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AEC31E" w14:textId="77777777" w:rsidR="00D057DD" w:rsidRDefault="00D057DD" w:rsidP="00D057DD">
      <w:pPr>
        <w:jc w:val="both"/>
        <w:rPr>
          <w:rFonts w:ascii="Times New Roman" w:hAnsi="Times New Roman" w:cs="Times New Roman"/>
          <w:b/>
          <w:bCs/>
          <w:sz w:val="24"/>
          <w:szCs w:val="24"/>
          <w:lang w:eastAsia="es-UY"/>
        </w:rPr>
      </w:pPr>
      <w:r>
        <w:rPr>
          <w:rFonts w:ascii="Times New Roman" w:hAnsi="Times New Roman" w:cs="Times New Roman"/>
          <w:b/>
          <w:bCs/>
          <w:sz w:val="24"/>
          <w:szCs w:val="24"/>
          <w:lang w:eastAsia="es-UY"/>
        </w:rPr>
        <w:t>Convención sobre la eliminación de todas las formas de discriminación contra la mujer</w:t>
      </w:r>
    </w:p>
    <w:p w14:paraId="56800A59" w14:textId="77777777" w:rsidR="00D057DD" w:rsidRDefault="00D057DD" w:rsidP="00D057DD">
      <w:pPr>
        <w:jc w:val="both"/>
        <w:rPr>
          <w:rFonts w:ascii="Times New Roman" w:hAnsi="Times New Roman" w:cs="Times New Roman"/>
          <w:b/>
          <w:bCs/>
          <w:sz w:val="24"/>
          <w:szCs w:val="24"/>
          <w:lang w:eastAsia="es-UY"/>
        </w:rPr>
      </w:pPr>
      <w:r>
        <w:rPr>
          <w:rFonts w:ascii="Times New Roman" w:hAnsi="Times New Roman" w:cs="Times New Roman"/>
          <w:b/>
          <w:bCs/>
          <w:sz w:val="24"/>
          <w:szCs w:val="24"/>
          <w:lang w:eastAsia="es-UY"/>
        </w:rPr>
        <w:t>Comité para la Eliminación de la Discriminación contra la Mujer</w:t>
      </w:r>
    </w:p>
    <w:p w14:paraId="0919D7DF" w14:textId="77777777" w:rsidR="00D057DD" w:rsidRDefault="00D057DD" w:rsidP="00D057DD">
      <w:pPr>
        <w:jc w:val="both"/>
        <w:rPr>
          <w:rFonts w:ascii="Times New Roman" w:hAnsi="Times New Roman" w:cs="Times New Roman"/>
          <w:b/>
          <w:bCs/>
          <w:sz w:val="24"/>
          <w:szCs w:val="24"/>
          <w:lang w:eastAsia="es-UY"/>
        </w:rPr>
      </w:pPr>
      <w:r>
        <w:rPr>
          <w:rFonts w:ascii="Times New Roman" w:hAnsi="Times New Roman" w:cs="Times New Roman"/>
          <w:b/>
          <w:bCs/>
          <w:sz w:val="24"/>
          <w:szCs w:val="24"/>
          <w:lang w:eastAsia="es-UY"/>
        </w:rPr>
        <w:t>86º Sesión</w:t>
      </w:r>
    </w:p>
    <w:p w14:paraId="3F7B29D4" w14:textId="77777777" w:rsidR="00D057DD" w:rsidRDefault="00D057DD" w:rsidP="00D057DD">
      <w:pPr>
        <w:jc w:val="both"/>
        <w:rPr>
          <w:rFonts w:ascii="Times New Roman" w:hAnsi="Times New Roman" w:cs="Times New Roman"/>
          <w:b/>
          <w:bCs/>
          <w:sz w:val="24"/>
          <w:szCs w:val="24"/>
          <w:lang w:eastAsia="es-UY"/>
        </w:rPr>
      </w:pPr>
    </w:p>
    <w:p w14:paraId="73007D1C" w14:textId="77777777" w:rsidR="00D057DD" w:rsidRDefault="00D057DD" w:rsidP="00D057DD">
      <w:pPr>
        <w:jc w:val="both"/>
        <w:rPr>
          <w:rFonts w:ascii="Times New Roman" w:hAnsi="Times New Roman" w:cs="Times New Roman"/>
          <w:b/>
          <w:bCs/>
          <w:sz w:val="24"/>
          <w:szCs w:val="24"/>
          <w:lang w:eastAsia="es-UY"/>
        </w:rPr>
      </w:pPr>
    </w:p>
    <w:p w14:paraId="74CC85DE" w14:textId="77777777" w:rsidR="00D057DD" w:rsidRDefault="00D057DD" w:rsidP="00D057DD">
      <w:pPr>
        <w:jc w:val="both"/>
        <w:rPr>
          <w:rFonts w:ascii="Times New Roman" w:hAnsi="Times New Roman" w:cs="Times New Roman"/>
          <w:b/>
          <w:bCs/>
          <w:sz w:val="24"/>
          <w:szCs w:val="24"/>
          <w:lang w:eastAsia="es-UY"/>
        </w:rPr>
      </w:pPr>
      <w:r>
        <w:rPr>
          <w:rFonts w:ascii="Times New Roman" w:hAnsi="Times New Roman" w:cs="Times New Roman"/>
          <w:b/>
          <w:bCs/>
          <w:sz w:val="24"/>
          <w:szCs w:val="24"/>
          <w:lang w:eastAsia="es-UY"/>
        </w:rPr>
        <w:t>Informe de la Institución Nacional de Derechos Humanos y Defensoría del Pueblo de la República Oriental del Uruguay</w:t>
      </w:r>
    </w:p>
    <w:p w14:paraId="653888A9" w14:textId="77777777" w:rsidR="00D057DD" w:rsidRDefault="00D057DD" w:rsidP="00D057DD">
      <w:pPr>
        <w:jc w:val="both"/>
        <w:rPr>
          <w:rFonts w:ascii="Times New Roman" w:hAnsi="Times New Roman" w:cs="Times New Roman"/>
          <w:sz w:val="24"/>
          <w:szCs w:val="24"/>
          <w:lang w:eastAsia="es-UY"/>
        </w:rPr>
      </w:pPr>
    </w:p>
    <w:p w14:paraId="44DFB4B4" w14:textId="77777777" w:rsidR="00D057DD" w:rsidRDefault="00D057DD" w:rsidP="00D057DD">
      <w:pPr>
        <w:jc w:val="both"/>
        <w:rPr>
          <w:rFonts w:ascii="Times New Roman" w:hAnsi="Times New Roman" w:cs="Times New Roman"/>
          <w:sz w:val="24"/>
          <w:szCs w:val="24"/>
          <w:lang w:eastAsia="es-UY"/>
        </w:rPr>
      </w:pPr>
    </w:p>
    <w:p w14:paraId="55243A27" w14:textId="77777777" w:rsidR="00D057DD" w:rsidRDefault="00D057DD" w:rsidP="00D057DD">
      <w:pPr>
        <w:jc w:val="both"/>
        <w:rPr>
          <w:rFonts w:ascii="Times New Roman" w:hAnsi="Times New Roman" w:cs="Times New Roman"/>
          <w:sz w:val="24"/>
          <w:szCs w:val="24"/>
          <w:lang w:eastAsia="es-UY"/>
        </w:rPr>
      </w:pPr>
    </w:p>
    <w:p w14:paraId="69D7BF0F" w14:textId="77777777" w:rsidR="00D057DD" w:rsidRDefault="00D057DD" w:rsidP="00D057DD">
      <w:pPr>
        <w:jc w:val="both"/>
        <w:rPr>
          <w:rFonts w:ascii="Times New Roman" w:hAnsi="Times New Roman" w:cs="Times New Roman"/>
          <w:sz w:val="24"/>
          <w:szCs w:val="24"/>
          <w:lang w:eastAsia="es-UY"/>
        </w:rPr>
      </w:pPr>
    </w:p>
    <w:p w14:paraId="14C99AF0" w14:textId="77777777" w:rsidR="00D057DD" w:rsidRDefault="00D057DD" w:rsidP="00D057DD">
      <w:pPr>
        <w:jc w:val="both"/>
        <w:rPr>
          <w:rFonts w:ascii="Times New Roman" w:hAnsi="Times New Roman" w:cs="Times New Roman"/>
          <w:sz w:val="24"/>
          <w:szCs w:val="24"/>
          <w:lang w:eastAsia="es-UY"/>
        </w:rPr>
      </w:pPr>
      <w:r>
        <w:rPr>
          <w:rFonts w:ascii="Times New Roman" w:hAnsi="Times New Roman" w:cs="Times New Roman"/>
          <w:sz w:val="24"/>
          <w:szCs w:val="24"/>
          <w:lang w:eastAsia="es-UY"/>
        </w:rPr>
        <w:br w:type="page"/>
      </w:r>
    </w:p>
    <w:p w14:paraId="15499FAA" w14:textId="77777777" w:rsidR="00D057DD" w:rsidRDefault="00D057DD" w:rsidP="00D057DD">
      <w:pPr>
        <w:jc w:val="both"/>
        <w:rPr>
          <w:rFonts w:ascii="Times New Roman" w:hAnsi="Times New Roman" w:cs="Times New Roman"/>
          <w:b/>
          <w:bCs/>
          <w:sz w:val="24"/>
          <w:szCs w:val="24"/>
          <w:lang w:eastAsia="es-UY"/>
        </w:rPr>
      </w:pPr>
    </w:p>
    <w:p w14:paraId="447EF242" w14:textId="77777777" w:rsidR="00D057DD" w:rsidRDefault="00D057DD" w:rsidP="00D057DD">
      <w:pPr>
        <w:pStyle w:val="TitleHCH"/>
        <w:jc w:val="both"/>
        <w:rPr>
          <w:sz w:val="24"/>
          <w:szCs w:val="24"/>
          <w:lang w:eastAsia="zh-CN"/>
        </w:rPr>
      </w:pPr>
    </w:p>
    <w:p w14:paraId="55209BFA" w14:textId="77777777" w:rsidR="00D057DD" w:rsidRDefault="00D057DD" w:rsidP="00D057DD">
      <w:pPr>
        <w:pStyle w:val="SingleTxt"/>
        <w:spacing w:after="0" w:line="120" w:lineRule="exact"/>
        <w:rPr>
          <w:sz w:val="24"/>
          <w:szCs w:val="24"/>
          <w:lang w:eastAsia="zh-CN"/>
        </w:rPr>
      </w:pPr>
    </w:p>
    <w:p w14:paraId="5F0CA308" w14:textId="77777777" w:rsidR="00D057DD" w:rsidRDefault="00D057DD" w:rsidP="00D057DD">
      <w:pPr>
        <w:pStyle w:val="SingleTxt"/>
        <w:spacing w:after="0" w:line="120" w:lineRule="exact"/>
        <w:rPr>
          <w:sz w:val="24"/>
          <w:szCs w:val="24"/>
          <w:lang w:eastAsia="zh-CN"/>
        </w:rPr>
      </w:pPr>
    </w:p>
    <w:p w14:paraId="02D74240" w14:textId="77777777" w:rsidR="00D057DD" w:rsidRDefault="00D057DD" w:rsidP="00D057DD">
      <w:pPr>
        <w:pStyle w:val="SingleTxt"/>
        <w:rPr>
          <w:b/>
          <w:bCs/>
          <w:sz w:val="24"/>
          <w:szCs w:val="24"/>
          <w:lang w:eastAsia="es-UY"/>
        </w:rPr>
      </w:pPr>
      <w:r>
        <w:rPr>
          <w:sz w:val="24"/>
          <w:szCs w:val="24"/>
          <w:lang w:eastAsia="zh-CN"/>
        </w:rPr>
        <w:tab/>
      </w:r>
      <w:r>
        <w:rPr>
          <w:sz w:val="24"/>
          <w:szCs w:val="24"/>
          <w:lang w:eastAsia="zh-CN"/>
        </w:rPr>
        <w:tab/>
      </w:r>
      <w:r>
        <w:rPr>
          <w:noProof/>
          <w:w w:val="100"/>
          <w:sz w:val="24"/>
          <w:szCs w:val="24"/>
          <w:lang w:val="es-UY" w:eastAsia="es-UY"/>
        </w:rPr>
        <mc:AlternateContent>
          <mc:Choice Requires="wps">
            <w:drawing>
              <wp:anchor distT="0" distB="0" distL="114300" distR="114300" simplePos="0" relativeHeight="251659264" behindDoc="0" locked="0" layoutInCell="1" allowOverlap="1" wp14:anchorId="000BEB20" wp14:editId="6447CCDE">
                <wp:simplePos x="0" y="0"/>
                <wp:positionH relativeFrom="column">
                  <wp:posOffset>2669540</wp:posOffset>
                </wp:positionH>
                <wp:positionV relativeFrom="paragraph">
                  <wp:posOffset>304800</wp:posOffset>
                </wp:positionV>
                <wp:extent cx="914400" cy="0"/>
                <wp:effectExtent l="0" t="0" r="0" b="0"/>
                <wp:wrapNone/>
                <wp:docPr id="1"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12B8D6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" strokecolor="#010000" strokeweight=".25pt"/>
            </w:pict>
          </mc:Fallback>
        </mc:AlternateContent>
      </w:r>
    </w:p>
    <w:p w14:paraId="17154AA6" w14:textId="77777777" w:rsidR="00D057DD" w:rsidRDefault="00D057DD" w:rsidP="00D057DD">
      <w:pPr>
        <w:jc w:val="both"/>
        <w:rPr>
          <w:rFonts w:ascii="Times New Roman" w:hAnsi="Times New Roman" w:cs="Times New Roman"/>
          <w:sz w:val="24"/>
          <w:szCs w:val="24"/>
          <w:lang w:val="es-MX" w:eastAsia="es-UY"/>
        </w:rPr>
      </w:pPr>
      <w:r>
        <w:rPr>
          <w:rFonts w:ascii="Times New Roman" w:hAnsi="Times New Roman" w:cs="Times New Roman"/>
          <w:b/>
          <w:bCs/>
          <w:sz w:val="24"/>
          <w:szCs w:val="24"/>
          <w:lang w:eastAsia="es-UY"/>
        </w:rPr>
        <w:t>Introducción</w:t>
      </w:r>
    </w:p>
    <w:p w14:paraId="26DD7B08" w14:textId="77777777" w:rsidR="00D057DD" w:rsidRDefault="00D057DD" w:rsidP="00D057DD">
      <w:pPr>
        <w:pStyle w:val="Prrafodelista"/>
        <w:numPr>
          <w:ilvl w:val="0"/>
          <w:numId w:val="20"/>
        </w:numPr>
        <w:jc w:val="both"/>
        <w:rPr>
          <w:rFonts w:ascii="Times New Roman" w:hAnsi="Times New Roman" w:cs="Times New Roman"/>
          <w:sz w:val="24"/>
          <w:szCs w:val="24"/>
          <w:lang w:eastAsia="es-UY"/>
        </w:rPr>
      </w:pPr>
      <w:r>
        <w:rPr>
          <w:rFonts w:ascii="Times New Roman" w:hAnsi="Times New Roman" w:cs="Times New Roman"/>
          <w:sz w:val="24"/>
          <w:szCs w:val="24"/>
          <w:lang w:eastAsia="es-UY"/>
        </w:rPr>
        <w:t xml:space="preserve">La Institución Nacional de Derechos Humanos y Defensoría del Pueblo de la República Oriental del Uruguay (INDDHH) presenta este informe complementario para la 86ª Sesión del Comité para la Eliminación de la Discriminación contra la Mujer (CEDAW). </w:t>
      </w:r>
    </w:p>
    <w:p w14:paraId="19C59948" w14:textId="77777777" w:rsidR="00D057DD" w:rsidRDefault="00D057DD" w:rsidP="00D057DD">
      <w:pPr>
        <w:pStyle w:val="Prrafodelista"/>
        <w:numPr>
          <w:ilvl w:val="0"/>
          <w:numId w:val="20"/>
        </w:numPr>
        <w:jc w:val="both"/>
        <w:rPr>
          <w:rFonts w:ascii="Times New Roman" w:hAnsi="Times New Roman" w:cs="Times New Roman"/>
          <w:sz w:val="24"/>
          <w:szCs w:val="24"/>
          <w:lang w:eastAsia="es-UY"/>
        </w:rPr>
      </w:pPr>
      <w:r>
        <w:rPr>
          <w:rFonts w:ascii="Times New Roman" w:hAnsi="Times New Roman" w:cs="Times New Roman"/>
          <w:sz w:val="24"/>
          <w:szCs w:val="24"/>
          <w:lang w:val="es-MX" w:eastAsia="es-UY"/>
        </w:rPr>
        <w:t>Este Informe</w:t>
      </w:r>
      <w:r>
        <w:rPr>
          <w:rFonts w:ascii="Times New Roman" w:hAnsi="Times New Roman" w:cs="Times New Roman"/>
          <w:sz w:val="24"/>
          <w:szCs w:val="24"/>
          <w:lang w:eastAsia="es-UY"/>
        </w:rPr>
        <w:t xml:space="preserve"> efectúa seguimiento de las Observaciones finales realizadas por el Comité CEDAW en el año 2016. </w:t>
      </w:r>
      <w:r>
        <w:rPr>
          <w:rFonts w:ascii="Times New Roman" w:hAnsi="Times New Roman" w:cs="Times New Roman"/>
          <w:sz w:val="24"/>
          <w:szCs w:val="24"/>
          <w:lang w:val="es-MX" w:eastAsia="es-UY"/>
        </w:rPr>
        <w:t xml:space="preserve"> </w:t>
      </w:r>
    </w:p>
    <w:p w14:paraId="4C961B8C" w14:textId="77777777" w:rsidR="00D057DD" w:rsidRDefault="00D057DD" w:rsidP="00D057DD">
      <w:pPr>
        <w:pStyle w:val="Prrafodelista"/>
        <w:numPr>
          <w:ilvl w:val="0"/>
          <w:numId w:val="20"/>
        </w:numPr>
        <w:jc w:val="both"/>
        <w:rPr>
          <w:rFonts w:ascii="Times New Roman" w:hAnsi="Times New Roman" w:cs="Times New Roman"/>
          <w:sz w:val="24"/>
          <w:szCs w:val="24"/>
          <w:lang w:eastAsia="es-UY"/>
        </w:rPr>
      </w:pPr>
      <w:r>
        <w:rPr>
          <w:rFonts w:ascii="Times New Roman" w:hAnsi="Times New Roman" w:cs="Times New Roman"/>
          <w:sz w:val="24"/>
          <w:szCs w:val="24"/>
          <w:lang w:val="es-MX" w:eastAsia="es-UY"/>
        </w:rPr>
        <w:t>Su</w:t>
      </w:r>
      <w:r>
        <w:rPr>
          <w:rFonts w:ascii="Times New Roman" w:hAnsi="Times New Roman" w:cs="Times New Roman"/>
          <w:sz w:val="24"/>
          <w:szCs w:val="24"/>
          <w:lang w:eastAsia="es-UY"/>
        </w:rPr>
        <w:t xml:space="preserve"> estructura </w:t>
      </w:r>
      <w:proofErr w:type="spellStart"/>
      <w:r>
        <w:rPr>
          <w:rFonts w:ascii="Times New Roman" w:hAnsi="Times New Roman" w:cs="Times New Roman"/>
          <w:sz w:val="24"/>
          <w:szCs w:val="24"/>
          <w:lang w:eastAsia="es-UY"/>
        </w:rPr>
        <w:t>sigu</w:t>
      </w:r>
      <w:proofErr w:type="spellEnd"/>
      <w:r>
        <w:rPr>
          <w:rFonts w:ascii="Times New Roman" w:hAnsi="Times New Roman" w:cs="Times New Roman"/>
          <w:sz w:val="24"/>
          <w:szCs w:val="24"/>
          <w:lang w:val="es-MX" w:eastAsia="es-UY"/>
        </w:rPr>
        <w:t>e</w:t>
      </w:r>
      <w:r>
        <w:rPr>
          <w:rFonts w:ascii="Times New Roman" w:hAnsi="Times New Roman" w:cs="Times New Roman"/>
          <w:sz w:val="24"/>
          <w:szCs w:val="24"/>
          <w:lang w:eastAsia="es-UY"/>
        </w:rPr>
        <w:t xml:space="preserve"> los ítems considerados en las observaciones finales y en la lista de cuestiones</w:t>
      </w:r>
      <w:r>
        <w:rPr>
          <w:rFonts w:ascii="Times New Roman" w:hAnsi="Times New Roman" w:cs="Times New Roman"/>
          <w:sz w:val="24"/>
          <w:szCs w:val="24"/>
          <w:lang w:val="es-MX" w:eastAsia="es-UY"/>
        </w:rPr>
        <w:t>.</w:t>
      </w:r>
    </w:p>
    <w:p w14:paraId="35ABB322" w14:textId="77777777" w:rsidR="00D057DD" w:rsidRDefault="00D057DD" w:rsidP="00D057DD">
      <w:pPr>
        <w:pStyle w:val="Prrafodelista"/>
        <w:numPr>
          <w:ilvl w:val="0"/>
          <w:numId w:val="20"/>
        </w:numPr>
        <w:jc w:val="both"/>
        <w:rPr>
          <w:rFonts w:ascii="Times New Roman" w:hAnsi="Times New Roman" w:cs="Times New Roman"/>
          <w:sz w:val="24"/>
          <w:szCs w:val="24"/>
          <w:lang w:eastAsia="es-UY"/>
        </w:rPr>
      </w:pPr>
      <w:r>
        <w:rPr>
          <w:rFonts w:ascii="Times New Roman" w:hAnsi="Times New Roman" w:cs="Times New Roman"/>
          <w:sz w:val="24"/>
          <w:szCs w:val="24"/>
          <w:lang w:val="es-MX" w:eastAsia="es-UY"/>
        </w:rPr>
        <w:t>De esa manera aborda</w:t>
      </w:r>
      <w:r>
        <w:rPr>
          <w:rFonts w:ascii="Times New Roman" w:hAnsi="Times New Roman" w:cs="Times New Roman"/>
          <w:sz w:val="24"/>
          <w:szCs w:val="24"/>
          <w:lang w:eastAsia="es-UY"/>
        </w:rPr>
        <w:t xml:space="preserve"> los aspectos </w:t>
      </w:r>
      <w:r>
        <w:rPr>
          <w:rFonts w:ascii="Times New Roman" w:hAnsi="Times New Roman" w:cs="Times New Roman"/>
          <w:sz w:val="24"/>
          <w:szCs w:val="24"/>
          <w:lang w:val="es-MX" w:eastAsia="es-UY"/>
        </w:rPr>
        <w:t xml:space="preserve">donde </w:t>
      </w:r>
      <w:r>
        <w:rPr>
          <w:rFonts w:ascii="Times New Roman" w:hAnsi="Times New Roman" w:cs="Times New Roman"/>
          <w:sz w:val="24"/>
          <w:szCs w:val="24"/>
          <w:lang w:eastAsia="es-UY"/>
        </w:rPr>
        <w:t xml:space="preserve">la INDDHH tiene información que complementa la brindada por el Estado y la sociedad civil, procurando dar </w:t>
      </w:r>
      <w:r>
        <w:rPr>
          <w:rFonts w:ascii="Times New Roman" w:hAnsi="Times New Roman" w:cs="Times New Roman"/>
          <w:sz w:val="24"/>
          <w:szCs w:val="24"/>
          <w:lang w:val="es-MX" w:eastAsia="es-UY"/>
        </w:rPr>
        <w:t>su</w:t>
      </w:r>
      <w:r>
        <w:rPr>
          <w:rFonts w:ascii="Times New Roman" w:hAnsi="Times New Roman" w:cs="Times New Roman"/>
          <w:sz w:val="24"/>
          <w:szCs w:val="24"/>
          <w:lang w:eastAsia="es-UY"/>
        </w:rPr>
        <w:t xml:space="preserve"> visión para contribuir al fortalecimiento del Estado de Derecho y a la protección efectiva de los derechos de las mujeres en el país.</w:t>
      </w:r>
    </w:p>
    <w:p w14:paraId="17040110" w14:textId="77777777" w:rsidR="00D057DD" w:rsidRDefault="00D057DD" w:rsidP="00D057DD">
      <w:pPr>
        <w:pStyle w:val="Prrafodelista"/>
        <w:numPr>
          <w:ilvl w:val="0"/>
          <w:numId w:val="20"/>
        </w:numPr>
        <w:jc w:val="both"/>
        <w:rPr>
          <w:rFonts w:ascii="Times New Roman" w:hAnsi="Times New Roman" w:cs="Times New Roman"/>
          <w:bCs/>
          <w:sz w:val="24"/>
          <w:szCs w:val="24"/>
        </w:rPr>
      </w:pPr>
      <w:r>
        <w:rPr>
          <w:rFonts w:ascii="Times New Roman" w:hAnsi="Times New Roman" w:cs="Times New Roman"/>
          <w:bCs/>
          <w:sz w:val="24"/>
          <w:szCs w:val="24"/>
        </w:rPr>
        <w:t xml:space="preserve">En relación a los derechos de las mujeres, las competencias de la INDDHH, </w:t>
      </w:r>
      <w:proofErr w:type="gramStart"/>
      <w:r>
        <w:rPr>
          <w:rFonts w:ascii="Times New Roman" w:hAnsi="Times New Roman" w:cs="Times New Roman"/>
          <w:bCs/>
          <w:sz w:val="24"/>
          <w:szCs w:val="24"/>
        </w:rPr>
        <w:t xml:space="preserve">se  </w:t>
      </w:r>
      <w:proofErr w:type="spellStart"/>
      <w:r>
        <w:rPr>
          <w:rFonts w:ascii="Times New Roman" w:hAnsi="Times New Roman" w:cs="Times New Roman"/>
          <w:bCs/>
          <w:sz w:val="24"/>
          <w:szCs w:val="24"/>
        </w:rPr>
        <w:t>fortaleci</w:t>
      </w:r>
      <w:r>
        <w:rPr>
          <w:rFonts w:ascii="Times New Roman" w:hAnsi="Times New Roman" w:cs="Times New Roman"/>
          <w:bCs/>
          <w:sz w:val="24"/>
          <w:szCs w:val="24"/>
          <w:lang w:val="es-MX"/>
        </w:rPr>
        <w:t>eron</w:t>
      </w:r>
      <w:proofErr w:type="spellEnd"/>
      <w:proofErr w:type="gramEnd"/>
      <w:r>
        <w:rPr>
          <w:rFonts w:ascii="Times New Roman" w:hAnsi="Times New Roman" w:cs="Times New Roman"/>
          <w:bCs/>
          <w:sz w:val="24"/>
          <w:szCs w:val="24"/>
        </w:rPr>
        <w:t xml:space="preserve"> por las leyes N° 19.580 y N°19.846. </w:t>
      </w:r>
    </w:p>
    <w:p w14:paraId="0FA970E6" w14:textId="77777777" w:rsidR="00D057DD" w:rsidRDefault="00D057DD" w:rsidP="00D057DD">
      <w:pPr>
        <w:pStyle w:val="Prrafodelista"/>
        <w:numPr>
          <w:ilvl w:val="0"/>
          <w:numId w:val="20"/>
        </w:numPr>
        <w:jc w:val="both"/>
        <w:rPr>
          <w:rFonts w:ascii="Times New Roman" w:hAnsi="Times New Roman" w:cs="Times New Roman"/>
          <w:bCs/>
          <w:sz w:val="24"/>
          <w:szCs w:val="24"/>
        </w:rPr>
      </w:pPr>
      <w:r>
        <w:rPr>
          <w:rFonts w:ascii="Times New Roman" w:hAnsi="Times New Roman" w:cs="Times New Roman"/>
          <w:bCs/>
          <w:sz w:val="24"/>
          <w:szCs w:val="24"/>
          <w:lang w:val="es-MX"/>
        </w:rPr>
        <w:t>Esas</w:t>
      </w:r>
      <w:r>
        <w:rPr>
          <w:rFonts w:ascii="Times New Roman" w:hAnsi="Times New Roman" w:cs="Times New Roman"/>
          <w:bCs/>
          <w:sz w:val="24"/>
          <w:szCs w:val="24"/>
        </w:rPr>
        <w:t xml:space="preserve"> normas </w:t>
      </w:r>
      <w:r>
        <w:rPr>
          <w:rFonts w:ascii="Times New Roman" w:hAnsi="Times New Roman" w:cs="Times New Roman"/>
          <w:bCs/>
          <w:sz w:val="24"/>
          <w:szCs w:val="24"/>
          <w:lang w:val="es-MX"/>
        </w:rPr>
        <w:t>establecen la</w:t>
      </w:r>
      <w:r>
        <w:rPr>
          <w:rFonts w:ascii="Times New Roman" w:hAnsi="Times New Roman" w:cs="Times New Roman"/>
          <w:bCs/>
          <w:sz w:val="24"/>
          <w:szCs w:val="24"/>
        </w:rPr>
        <w:t xml:space="preserve"> obligación de participar en el Consejo Nacional Consultivo de Violencia de Género y le otorgan legitimación activa para entablar acciones de amparo para la protección de la igualdad de género. </w:t>
      </w:r>
    </w:p>
    <w:p w14:paraId="725CCFDD" w14:textId="77777777" w:rsidR="00D057DD" w:rsidRDefault="00D057DD" w:rsidP="00D057DD">
      <w:pPr>
        <w:pStyle w:val="Prrafodelista"/>
        <w:numPr>
          <w:ilvl w:val="0"/>
          <w:numId w:val="20"/>
        </w:numPr>
        <w:jc w:val="both"/>
        <w:rPr>
          <w:rFonts w:ascii="Times New Roman" w:hAnsi="Times New Roman" w:cs="Times New Roman"/>
          <w:sz w:val="24"/>
          <w:szCs w:val="24"/>
        </w:rPr>
      </w:pPr>
      <w:r>
        <w:rPr>
          <w:rFonts w:ascii="Times New Roman" w:hAnsi="Times New Roman" w:cs="Times New Roman"/>
          <w:sz w:val="24"/>
          <w:szCs w:val="24"/>
        </w:rPr>
        <w:t>En agosto de 2021 el Consejo Directivo de la INDDHH, creó la Unidad Especializada de Género (UEG), la cual está operativa desde octubre de 2022.</w:t>
      </w:r>
      <w:r>
        <w:rPr>
          <w:rFonts w:ascii="Times New Roman" w:hAnsi="Times New Roman" w:cs="Times New Roman"/>
          <w:sz w:val="24"/>
          <w:szCs w:val="24"/>
          <w:lang w:val="es-MX"/>
        </w:rPr>
        <w:t xml:space="preserve"> </w:t>
      </w:r>
      <w:r>
        <w:rPr>
          <w:rFonts w:ascii="Times New Roman" w:hAnsi="Times New Roman" w:cs="Times New Roman"/>
          <w:sz w:val="24"/>
          <w:szCs w:val="24"/>
        </w:rPr>
        <w:t xml:space="preserve">El objetivo </w:t>
      </w:r>
      <w:proofErr w:type="gramStart"/>
      <w:r>
        <w:rPr>
          <w:rFonts w:ascii="Times New Roman" w:hAnsi="Times New Roman" w:cs="Times New Roman"/>
          <w:sz w:val="24"/>
          <w:szCs w:val="24"/>
        </w:rPr>
        <w:t xml:space="preserve">general </w:t>
      </w:r>
      <w:r>
        <w:rPr>
          <w:rFonts w:ascii="Times New Roman" w:hAnsi="Times New Roman" w:cs="Times New Roman"/>
          <w:sz w:val="24"/>
          <w:szCs w:val="24"/>
          <w:lang w:val="es-MX"/>
        </w:rPr>
        <w:t xml:space="preserve"> es</w:t>
      </w:r>
      <w:proofErr w:type="gramEnd"/>
      <w:r>
        <w:rPr>
          <w:rFonts w:ascii="Times New Roman" w:hAnsi="Times New Roman" w:cs="Times New Roman"/>
          <w:sz w:val="24"/>
          <w:szCs w:val="24"/>
          <w:lang w:val="es-MX"/>
        </w:rPr>
        <w:t xml:space="preserve"> </w:t>
      </w:r>
      <w:proofErr w:type="spellStart"/>
      <w:r>
        <w:rPr>
          <w:rFonts w:ascii="Times New Roman" w:hAnsi="Times New Roman" w:cs="Times New Roman"/>
          <w:sz w:val="24"/>
          <w:szCs w:val="24"/>
        </w:rPr>
        <w:t>transversalizar</w:t>
      </w:r>
      <w:proofErr w:type="spellEnd"/>
      <w:r>
        <w:rPr>
          <w:rFonts w:ascii="Times New Roman" w:hAnsi="Times New Roman" w:cs="Times New Roman"/>
          <w:sz w:val="24"/>
          <w:szCs w:val="24"/>
        </w:rPr>
        <w:t xml:space="preserve"> la perspectiva de género en el accionar institucional y desarrollar medidas para fortalecer las políticas públicas en materia de igualdad de género. </w:t>
      </w:r>
    </w:p>
    <w:p w14:paraId="6D9F46D8" w14:textId="77777777" w:rsidR="00D057DD" w:rsidRDefault="00D057DD" w:rsidP="00D057DD">
      <w:pPr>
        <w:pStyle w:val="Prrafodelista"/>
        <w:numPr>
          <w:ilvl w:val="0"/>
          <w:numId w:val="20"/>
        </w:numPr>
        <w:jc w:val="both"/>
        <w:rPr>
          <w:rFonts w:ascii="Times New Roman" w:hAnsi="Times New Roman" w:cs="Times New Roman"/>
          <w:sz w:val="24"/>
          <w:szCs w:val="24"/>
        </w:rPr>
      </w:pPr>
      <w:r>
        <w:rPr>
          <w:rFonts w:ascii="Times New Roman" w:hAnsi="Times New Roman" w:cs="Times New Roman"/>
          <w:sz w:val="24"/>
          <w:szCs w:val="24"/>
        </w:rPr>
        <w:t xml:space="preserve">Su creación </w:t>
      </w:r>
      <w:r>
        <w:rPr>
          <w:rFonts w:ascii="Times New Roman" w:hAnsi="Times New Roman" w:cs="Times New Roman"/>
          <w:sz w:val="24"/>
          <w:szCs w:val="24"/>
          <w:lang w:val="es-MX"/>
        </w:rPr>
        <w:t>coincide con</w:t>
      </w:r>
      <w:r>
        <w:rPr>
          <w:rFonts w:ascii="Times New Roman" w:hAnsi="Times New Roman" w:cs="Times New Roman"/>
          <w:sz w:val="24"/>
          <w:szCs w:val="24"/>
        </w:rPr>
        <w:t xml:space="preserve"> </w:t>
      </w:r>
      <w:r>
        <w:rPr>
          <w:rFonts w:ascii="Times New Roman" w:hAnsi="Times New Roman" w:cs="Times New Roman"/>
          <w:sz w:val="24"/>
          <w:szCs w:val="24"/>
          <w:lang w:val="es-MX"/>
        </w:rPr>
        <w:t>e</w:t>
      </w:r>
      <w:r>
        <w:rPr>
          <w:rFonts w:ascii="Times New Roman" w:hAnsi="Times New Roman" w:cs="Times New Roman"/>
          <w:sz w:val="24"/>
          <w:szCs w:val="24"/>
        </w:rPr>
        <w:t xml:space="preserve">l artículo 18 de la Ley N° 19.846, “Ley de Igualdad y No Discriminación entre Varones y Mujeres”, que </w:t>
      </w:r>
      <w:r>
        <w:rPr>
          <w:rFonts w:ascii="Times New Roman" w:hAnsi="Times New Roman" w:cs="Times New Roman"/>
          <w:sz w:val="24"/>
          <w:szCs w:val="24"/>
          <w:lang w:val="es-MX"/>
        </w:rPr>
        <w:t xml:space="preserve">obliga a </w:t>
      </w:r>
      <w:r>
        <w:rPr>
          <w:rFonts w:ascii="Times New Roman" w:hAnsi="Times New Roman" w:cs="Times New Roman"/>
          <w:sz w:val="24"/>
          <w:szCs w:val="24"/>
        </w:rPr>
        <w:t xml:space="preserve"> todos los organismos públicos </w:t>
      </w:r>
      <w:r>
        <w:rPr>
          <w:rFonts w:ascii="Times New Roman" w:hAnsi="Times New Roman" w:cs="Times New Roman"/>
          <w:sz w:val="24"/>
          <w:szCs w:val="24"/>
          <w:lang w:val="es-MX"/>
        </w:rPr>
        <w:t>a crear</w:t>
      </w:r>
      <w:r>
        <w:rPr>
          <w:rFonts w:ascii="Times New Roman" w:hAnsi="Times New Roman" w:cs="Times New Roman"/>
          <w:sz w:val="24"/>
          <w:szCs w:val="24"/>
        </w:rPr>
        <w:t xml:space="preserve"> UEG, con recursos humanos especialmente designados y asignación presupuestal</w:t>
      </w:r>
      <w:r>
        <w:rPr>
          <w:rStyle w:val="Refdenotaalpie"/>
          <w:rFonts w:ascii="Times New Roman" w:hAnsi="Times New Roman" w:cs="Times New Roman"/>
          <w:sz w:val="24"/>
          <w:szCs w:val="24"/>
        </w:rPr>
        <w:footnoteReference w:id="1"/>
      </w:r>
      <w:r>
        <w:rPr>
          <w:rFonts w:ascii="Times New Roman" w:hAnsi="Times New Roman" w:cs="Times New Roman"/>
          <w:sz w:val="24"/>
          <w:szCs w:val="24"/>
        </w:rPr>
        <w:t xml:space="preserve">. </w:t>
      </w:r>
    </w:p>
    <w:p w14:paraId="126DCC86" w14:textId="77777777" w:rsidR="00D057DD" w:rsidRDefault="00D057DD" w:rsidP="00D057DD">
      <w:pPr>
        <w:jc w:val="both"/>
        <w:rPr>
          <w:rFonts w:ascii="Times New Roman" w:hAnsi="Times New Roman" w:cs="Times New Roman"/>
          <w:b/>
          <w:bCs/>
          <w:sz w:val="24"/>
          <w:szCs w:val="24"/>
          <w:lang w:val="es-MX"/>
        </w:rPr>
      </w:pPr>
      <w:r>
        <w:rPr>
          <w:rFonts w:ascii="Times New Roman" w:hAnsi="Times New Roman" w:cs="Times New Roman"/>
          <w:b/>
          <w:bCs/>
          <w:sz w:val="24"/>
          <w:szCs w:val="24"/>
          <w:lang w:eastAsia="zh-CN"/>
        </w:rPr>
        <w:t xml:space="preserve">Lista de cuestiones y preguntas previas a la presentación </w:t>
      </w:r>
      <w:r>
        <w:rPr>
          <w:rFonts w:ascii="Times New Roman" w:hAnsi="Times New Roman" w:cs="Times New Roman"/>
          <w:b/>
          <w:bCs/>
          <w:sz w:val="24"/>
          <w:szCs w:val="24"/>
          <w:lang w:eastAsia="zh-CN"/>
        </w:rPr>
        <w:br/>
        <w:t>del décimo informe periódico del Uruguay</w:t>
      </w:r>
    </w:p>
    <w:p w14:paraId="194BF47E" w14:textId="77777777" w:rsidR="00D057DD" w:rsidRDefault="00D057DD" w:rsidP="00D057DD">
      <w:pPr>
        <w:jc w:val="both"/>
        <w:rPr>
          <w:rFonts w:ascii="Times New Roman" w:hAnsi="Times New Roman" w:cs="Times New Roman"/>
          <w:b/>
          <w:bCs/>
          <w:sz w:val="24"/>
          <w:szCs w:val="24"/>
          <w:lang w:val="es-MX"/>
        </w:rPr>
      </w:pPr>
      <w:r>
        <w:rPr>
          <w:rFonts w:ascii="Times New Roman" w:hAnsi="Times New Roman" w:cs="Times New Roman"/>
          <w:b/>
          <w:bCs/>
          <w:sz w:val="24"/>
          <w:szCs w:val="24"/>
          <w:lang w:val="es-MX"/>
        </w:rPr>
        <w:t>Generalidades</w:t>
      </w:r>
    </w:p>
    <w:p w14:paraId="11EF4803" w14:textId="77777777" w:rsidR="00D057DD" w:rsidRDefault="00D057DD" w:rsidP="00D057DD">
      <w:pPr>
        <w:pStyle w:val="Prrafodelista"/>
        <w:numPr>
          <w:ilvl w:val="0"/>
          <w:numId w:val="20"/>
        </w:numPr>
        <w:jc w:val="both"/>
        <w:rPr>
          <w:rFonts w:ascii="Times New Roman" w:hAnsi="Times New Roman" w:cs="Times New Roman"/>
          <w:sz w:val="24"/>
          <w:szCs w:val="24"/>
        </w:rPr>
      </w:pPr>
      <w:r>
        <w:rPr>
          <w:rFonts w:ascii="Times New Roman" w:hAnsi="Times New Roman" w:cs="Times New Roman"/>
          <w:sz w:val="24"/>
          <w:szCs w:val="24"/>
        </w:rPr>
        <w:t>Uruguay dispone de información de calidad para visibilizar las desigualdades de género</w:t>
      </w:r>
      <w:r>
        <w:rPr>
          <w:rFonts w:ascii="Times New Roman" w:hAnsi="Times New Roman" w:cs="Times New Roman"/>
          <w:sz w:val="24"/>
          <w:szCs w:val="24"/>
          <w:lang w:val="es-MX"/>
        </w:rPr>
        <w:t>, destacándose</w:t>
      </w:r>
      <w:r>
        <w:rPr>
          <w:rFonts w:ascii="Times New Roman" w:hAnsi="Times New Roman" w:cs="Times New Roman"/>
          <w:sz w:val="24"/>
          <w:szCs w:val="24"/>
        </w:rPr>
        <w:t xml:space="preserve"> que ha instrumentado mecanismos sistemáticos de medición de algunas problemáticas tales como</w:t>
      </w:r>
      <w:r>
        <w:rPr>
          <w:rFonts w:ascii="Times New Roman" w:hAnsi="Times New Roman" w:cs="Times New Roman"/>
          <w:sz w:val="24"/>
          <w:szCs w:val="24"/>
          <w:lang w:val="es-MX"/>
        </w:rPr>
        <w:t xml:space="preserve"> las </w:t>
      </w:r>
      <w:r>
        <w:rPr>
          <w:rFonts w:ascii="Times New Roman" w:hAnsi="Times New Roman" w:cs="Times New Roman"/>
          <w:sz w:val="24"/>
          <w:szCs w:val="24"/>
        </w:rPr>
        <w:t>Encuesta</w:t>
      </w:r>
      <w:r>
        <w:rPr>
          <w:rFonts w:ascii="Times New Roman" w:hAnsi="Times New Roman" w:cs="Times New Roman"/>
          <w:sz w:val="24"/>
          <w:szCs w:val="24"/>
          <w:lang w:val="es-MX"/>
        </w:rPr>
        <w:t>s Nacionales: a)</w:t>
      </w:r>
      <w:r>
        <w:rPr>
          <w:rFonts w:ascii="Times New Roman" w:hAnsi="Times New Roman" w:cs="Times New Roman"/>
          <w:sz w:val="24"/>
          <w:szCs w:val="24"/>
        </w:rPr>
        <w:t xml:space="preserve"> de uso del tiempo y </w:t>
      </w:r>
      <w:r>
        <w:rPr>
          <w:rFonts w:ascii="Times New Roman" w:hAnsi="Times New Roman" w:cs="Times New Roman"/>
          <w:sz w:val="24"/>
          <w:szCs w:val="24"/>
        </w:rPr>
        <w:lastRenderedPageBreak/>
        <w:t>trabajo no remunerado</w:t>
      </w:r>
      <w:r>
        <w:rPr>
          <w:rFonts w:ascii="Times New Roman" w:hAnsi="Times New Roman" w:cs="Times New Roman"/>
          <w:sz w:val="24"/>
          <w:szCs w:val="24"/>
          <w:lang w:val="es-MX"/>
        </w:rPr>
        <w:t xml:space="preserve">; b) </w:t>
      </w:r>
      <w:r>
        <w:rPr>
          <w:rFonts w:ascii="Times New Roman" w:hAnsi="Times New Roman" w:cs="Times New Roman"/>
          <w:sz w:val="24"/>
          <w:szCs w:val="24"/>
        </w:rPr>
        <w:t xml:space="preserve">prevalencia sobre violencia basada en género y generaciones, y, </w:t>
      </w:r>
      <w:r>
        <w:rPr>
          <w:rFonts w:ascii="Times New Roman" w:hAnsi="Times New Roman" w:cs="Times New Roman"/>
          <w:sz w:val="24"/>
          <w:szCs w:val="24"/>
          <w:lang w:val="es-MX"/>
        </w:rPr>
        <w:t xml:space="preserve">c) </w:t>
      </w:r>
      <w:r>
        <w:rPr>
          <w:rFonts w:ascii="Times New Roman" w:hAnsi="Times New Roman" w:cs="Times New Roman"/>
          <w:sz w:val="24"/>
          <w:szCs w:val="24"/>
        </w:rPr>
        <w:t>de generaciones y género</w:t>
      </w:r>
      <w:r>
        <w:rPr>
          <w:rStyle w:val="Refdenotaalpie"/>
          <w:rFonts w:ascii="Times New Roman" w:hAnsi="Times New Roman" w:cs="Times New Roman"/>
          <w:sz w:val="24"/>
          <w:szCs w:val="24"/>
        </w:rPr>
        <w:footnoteReference w:id="2"/>
      </w:r>
      <w:r>
        <w:rPr>
          <w:rFonts w:ascii="Times New Roman" w:hAnsi="Times New Roman" w:cs="Times New Roman"/>
          <w:sz w:val="24"/>
          <w:szCs w:val="24"/>
        </w:rPr>
        <w:t xml:space="preserve">. </w:t>
      </w:r>
    </w:p>
    <w:p w14:paraId="23AA6472" w14:textId="77777777" w:rsidR="00D057DD" w:rsidRDefault="00D057DD" w:rsidP="00D057DD">
      <w:pPr>
        <w:pStyle w:val="Prrafodelista"/>
        <w:numPr>
          <w:ilvl w:val="0"/>
          <w:numId w:val="20"/>
        </w:numPr>
        <w:jc w:val="both"/>
        <w:rPr>
          <w:rFonts w:ascii="Times New Roman" w:hAnsi="Times New Roman" w:cs="Times New Roman"/>
          <w:sz w:val="24"/>
          <w:szCs w:val="24"/>
        </w:rPr>
      </w:pPr>
      <w:r>
        <w:rPr>
          <w:rFonts w:ascii="Times New Roman" w:hAnsi="Times New Roman" w:cs="Times New Roman"/>
          <w:sz w:val="24"/>
          <w:szCs w:val="24"/>
        </w:rPr>
        <w:t xml:space="preserve">Ello </w:t>
      </w:r>
      <w:r>
        <w:rPr>
          <w:rFonts w:ascii="Times New Roman" w:hAnsi="Times New Roman" w:cs="Times New Roman"/>
          <w:sz w:val="24"/>
          <w:szCs w:val="24"/>
          <w:lang w:val="es-MX"/>
        </w:rPr>
        <w:t>facilitó</w:t>
      </w:r>
      <w:r>
        <w:rPr>
          <w:rFonts w:ascii="Times New Roman" w:hAnsi="Times New Roman" w:cs="Times New Roman"/>
          <w:sz w:val="24"/>
          <w:szCs w:val="24"/>
        </w:rPr>
        <w:t xml:space="preserve"> la generación de instrumentos específicos </w:t>
      </w:r>
      <w:r>
        <w:rPr>
          <w:rFonts w:ascii="Times New Roman" w:hAnsi="Times New Roman" w:cs="Times New Roman"/>
          <w:sz w:val="24"/>
          <w:szCs w:val="24"/>
          <w:lang w:val="es-MX"/>
        </w:rPr>
        <w:t xml:space="preserve">tales </w:t>
      </w:r>
      <w:r>
        <w:rPr>
          <w:rFonts w:ascii="Times New Roman" w:hAnsi="Times New Roman" w:cs="Times New Roman"/>
          <w:sz w:val="24"/>
          <w:szCs w:val="24"/>
        </w:rPr>
        <w:t xml:space="preserve">como el Sistema de Información de Género de </w:t>
      </w:r>
      <w:proofErr w:type="spellStart"/>
      <w:r>
        <w:rPr>
          <w:rFonts w:ascii="Times New Roman" w:hAnsi="Times New Roman" w:cs="Times New Roman"/>
          <w:sz w:val="24"/>
          <w:szCs w:val="24"/>
        </w:rPr>
        <w:t>Inmujeres</w:t>
      </w:r>
      <w:proofErr w:type="spellEnd"/>
      <w:r>
        <w:rPr>
          <w:rFonts w:ascii="Times New Roman" w:hAnsi="Times New Roman" w:cs="Times New Roman"/>
          <w:sz w:val="24"/>
          <w:szCs w:val="24"/>
        </w:rPr>
        <w:t xml:space="preserve"> y el Observatorio de Violencia de Género (Ley 19.580</w:t>
      </w:r>
      <w:r>
        <w:rPr>
          <w:rStyle w:val="Refdenotaalpie"/>
          <w:rFonts w:ascii="Times New Roman" w:hAnsi="Times New Roman" w:cs="Times New Roman"/>
          <w:sz w:val="24"/>
          <w:szCs w:val="24"/>
        </w:rPr>
        <w:footnoteReference w:id="3"/>
      </w:r>
      <w:r>
        <w:rPr>
          <w:rFonts w:ascii="Times New Roman" w:hAnsi="Times New Roman" w:cs="Times New Roman"/>
          <w:sz w:val="24"/>
          <w:szCs w:val="24"/>
        </w:rPr>
        <w:t>).</w:t>
      </w:r>
    </w:p>
    <w:p w14:paraId="5ADC3C95" w14:textId="55773937" w:rsidR="00D057DD" w:rsidRDefault="00D057DD" w:rsidP="00D057DD">
      <w:pPr>
        <w:pStyle w:val="Prrafodelista"/>
        <w:numPr>
          <w:ilvl w:val="0"/>
          <w:numId w:val="20"/>
        </w:numPr>
        <w:jc w:val="both"/>
        <w:rPr>
          <w:rFonts w:ascii="Times New Roman" w:hAnsi="Times New Roman" w:cs="Times New Roman"/>
          <w:sz w:val="24"/>
          <w:szCs w:val="24"/>
        </w:rPr>
      </w:pPr>
      <w:r>
        <w:rPr>
          <w:rFonts w:ascii="Times New Roman" w:hAnsi="Times New Roman" w:cs="Times New Roman"/>
          <w:sz w:val="24"/>
          <w:szCs w:val="24"/>
          <w:lang w:val="es-MX"/>
        </w:rPr>
        <w:t xml:space="preserve">No obstante, se advierten debilidades como son: la insuficiente transparencia activa, la falta de datos abiertos, dificultades en  el </w:t>
      </w:r>
      <w:r>
        <w:rPr>
          <w:rFonts w:ascii="Times New Roman" w:hAnsi="Times New Roman" w:cs="Times New Roman"/>
          <w:sz w:val="24"/>
          <w:szCs w:val="24"/>
        </w:rPr>
        <w:t xml:space="preserve">registro </w:t>
      </w:r>
      <w:r>
        <w:rPr>
          <w:rFonts w:ascii="Times New Roman" w:hAnsi="Times New Roman" w:cs="Times New Roman"/>
          <w:sz w:val="24"/>
          <w:szCs w:val="24"/>
          <w:lang w:val="es-MX"/>
        </w:rPr>
        <w:t xml:space="preserve"> administrativo del sistema interinstitucional </w:t>
      </w:r>
      <w:r>
        <w:rPr>
          <w:rFonts w:ascii="Times New Roman" w:hAnsi="Times New Roman" w:cs="Times New Roman"/>
          <w:sz w:val="24"/>
          <w:szCs w:val="24"/>
        </w:rPr>
        <w:t xml:space="preserve">de </w:t>
      </w:r>
      <w:r>
        <w:rPr>
          <w:rFonts w:ascii="Times New Roman" w:hAnsi="Times New Roman" w:cs="Times New Roman"/>
          <w:sz w:val="24"/>
          <w:szCs w:val="24"/>
          <w:lang w:val="es-MX"/>
        </w:rPr>
        <w:t xml:space="preserve"> </w:t>
      </w:r>
      <w:r>
        <w:rPr>
          <w:rFonts w:ascii="Times New Roman" w:hAnsi="Times New Roman" w:cs="Times New Roman"/>
          <w:sz w:val="24"/>
          <w:szCs w:val="24"/>
        </w:rPr>
        <w:t>respuesta</w:t>
      </w:r>
      <w:r>
        <w:rPr>
          <w:rFonts w:ascii="Times New Roman" w:hAnsi="Times New Roman" w:cs="Times New Roman"/>
          <w:sz w:val="24"/>
          <w:szCs w:val="24"/>
          <w:lang w:val="es-MX"/>
        </w:rPr>
        <w:t xml:space="preserve">s a situaciones de violencia basada en género,  </w:t>
      </w:r>
      <w:r>
        <w:rPr>
          <w:rFonts w:ascii="Times New Roman" w:hAnsi="Times New Roman" w:cs="Times New Roman"/>
          <w:sz w:val="24"/>
          <w:szCs w:val="24"/>
        </w:rPr>
        <w:t xml:space="preserve">ausencia </w:t>
      </w:r>
      <w:r>
        <w:rPr>
          <w:rFonts w:ascii="Times New Roman" w:hAnsi="Times New Roman" w:cs="Times New Roman"/>
          <w:sz w:val="24"/>
          <w:szCs w:val="24"/>
          <w:lang w:val="es-MX"/>
        </w:rPr>
        <w:t xml:space="preserve">de </w:t>
      </w:r>
      <w:r>
        <w:rPr>
          <w:rFonts w:ascii="Times New Roman" w:hAnsi="Times New Roman" w:cs="Times New Roman"/>
          <w:sz w:val="24"/>
          <w:szCs w:val="24"/>
        </w:rPr>
        <w:t>registros de variables clave</w:t>
      </w:r>
      <w:r>
        <w:rPr>
          <w:rStyle w:val="Refdenotaalpie"/>
          <w:rFonts w:ascii="Times New Roman" w:hAnsi="Times New Roman" w:cs="Times New Roman"/>
          <w:sz w:val="24"/>
          <w:szCs w:val="24"/>
        </w:rPr>
        <w:footnoteReference w:id="4"/>
      </w:r>
      <w:r>
        <w:rPr>
          <w:rFonts w:ascii="Times New Roman" w:hAnsi="Times New Roman" w:cs="Times New Roman"/>
          <w:sz w:val="24"/>
          <w:szCs w:val="24"/>
        </w:rPr>
        <w:t>,</w:t>
      </w:r>
      <w:r>
        <w:rPr>
          <w:rFonts w:ascii="Times New Roman" w:hAnsi="Times New Roman" w:cs="Times New Roman"/>
          <w:sz w:val="24"/>
          <w:szCs w:val="24"/>
          <w:lang w:val="es-MX"/>
        </w:rPr>
        <w:t xml:space="preserve"> la</w:t>
      </w:r>
      <w:r>
        <w:rPr>
          <w:rFonts w:ascii="Times New Roman" w:hAnsi="Times New Roman" w:cs="Times New Roman"/>
          <w:sz w:val="24"/>
          <w:szCs w:val="24"/>
        </w:rPr>
        <w:t xml:space="preserve"> </w:t>
      </w:r>
      <w:r>
        <w:rPr>
          <w:rFonts w:ascii="Times New Roman" w:hAnsi="Times New Roman" w:cs="Times New Roman"/>
          <w:sz w:val="24"/>
          <w:szCs w:val="24"/>
          <w:lang w:val="es-MX"/>
        </w:rPr>
        <w:t>lenta</w:t>
      </w:r>
      <w:r>
        <w:rPr>
          <w:rFonts w:ascii="Times New Roman" w:hAnsi="Times New Roman" w:cs="Times New Roman"/>
          <w:sz w:val="24"/>
          <w:szCs w:val="24"/>
        </w:rPr>
        <w:t xml:space="preserve"> implementación de sistemas informáticos, atrasos de ingreso y actualización de </w:t>
      </w:r>
      <w:r w:rsidR="00996D68">
        <w:rPr>
          <w:rFonts w:ascii="Times New Roman" w:hAnsi="Times New Roman" w:cs="Times New Roman"/>
          <w:sz w:val="24"/>
          <w:szCs w:val="24"/>
        </w:rPr>
        <w:t>in</w:t>
      </w:r>
      <w:r>
        <w:rPr>
          <w:rFonts w:ascii="Times New Roman" w:hAnsi="Times New Roman" w:cs="Times New Roman"/>
          <w:sz w:val="24"/>
          <w:szCs w:val="24"/>
        </w:rPr>
        <w:t>formación</w:t>
      </w:r>
      <w:r>
        <w:rPr>
          <w:rFonts w:ascii="Times New Roman" w:hAnsi="Times New Roman" w:cs="Times New Roman"/>
          <w:sz w:val="24"/>
          <w:szCs w:val="24"/>
          <w:lang w:val="es-MX"/>
        </w:rPr>
        <w:t xml:space="preserve"> y</w:t>
      </w:r>
      <w:r>
        <w:rPr>
          <w:rFonts w:ascii="Times New Roman" w:hAnsi="Times New Roman" w:cs="Times New Roman"/>
          <w:sz w:val="24"/>
          <w:szCs w:val="24"/>
        </w:rPr>
        <w:t xml:space="preserve"> falta de recursos humanos para </w:t>
      </w:r>
      <w:r>
        <w:rPr>
          <w:rFonts w:ascii="Times New Roman" w:hAnsi="Times New Roman" w:cs="Times New Roman"/>
          <w:sz w:val="24"/>
          <w:szCs w:val="24"/>
          <w:lang w:val="es-MX"/>
        </w:rPr>
        <w:t>su</w:t>
      </w:r>
      <w:r>
        <w:rPr>
          <w:rFonts w:ascii="Times New Roman" w:hAnsi="Times New Roman" w:cs="Times New Roman"/>
          <w:sz w:val="24"/>
          <w:szCs w:val="24"/>
        </w:rPr>
        <w:t xml:space="preserve"> procesamiento</w:t>
      </w:r>
      <w:r>
        <w:rPr>
          <w:rStyle w:val="Refdenotaalpie"/>
          <w:rFonts w:ascii="Times New Roman" w:hAnsi="Times New Roman" w:cs="Times New Roman"/>
          <w:sz w:val="24"/>
          <w:szCs w:val="24"/>
        </w:rPr>
        <w:footnoteReference w:id="5"/>
      </w:r>
      <w:r>
        <w:rPr>
          <w:rFonts w:ascii="Times New Roman" w:hAnsi="Times New Roman" w:cs="Times New Roman"/>
          <w:sz w:val="24"/>
          <w:szCs w:val="24"/>
        </w:rPr>
        <w:t xml:space="preserve">. </w:t>
      </w:r>
      <w:r>
        <w:rPr>
          <w:rFonts w:ascii="Times New Roman" w:hAnsi="Times New Roman" w:cs="Times New Roman"/>
          <w:color w:val="C00000"/>
          <w:sz w:val="24"/>
          <w:szCs w:val="24"/>
        </w:rPr>
        <w:t xml:space="preserve"> </w:t>
      </w:r>
    </w:p>
    <w:p w14:paraId="4E0D11CB" w14:textId="77777777" w:rsidR="00D057DD" w:rsidRDefault="00D057DD" w:rsidP="00D057DD">
      <w:pPr>
        <w:pStyle w:val="Prrafodelista"/>
        <w:numPr>
          <w:ilvl w:val="0"/>
          <w:numId w:val="20"/>
        </w:numPr>
        <w:jc w:val="both"/>
        <w:rPr>
          <w:rFonts w:ascii="Times New Roman" w:hAnsi="Times New Roman" w:cs="Times New Roman"/>
          <w:sz w:val="24"/>
          <w:szCs w:val="24"/>
        </w:rPr>
      </w:pPr>
      <w:r>
        <w:rPr>
          <w:rFonts w:ascii="Times New Roman" w:hAnsi="Times New Roman" w:cs="Times New Roman"/>
          <w:sz w:val="24"/>
          <w:szCs w:val="24"/>
          <w:lang w:val="es-MX"/>
        </w:rPr>
        <w:t xml:space="preserve">La </w:t>
      </w:r>
      <w:r>
        <w:rPr>
          <w:rFonts w:ascii="Times New Roman" w:hAnsi="Times New Roman" w:cs="Times New Roman"/>
          <w:sz w:val="24"/>
          <w:szCs w:val="24"/>
        </w:rPr>
        <w:t xml:space="preserve">información </w:t>
      </w:r>
      <w:r>
        <w:rPr>
          <w:rFonts w:ascii="Times New Roman" w:hAnsi="Times New Roman" w:cs="Times New Roman"/>
          <w:sz w:val="24"/>
          <w:szCs w:val="24"/>
          <w:lang w:val="es-MX"/>
        </w:rPr>
        <w:t>d</w:t>
      </w:r>
      <w:r>
        <w:rPr>
          <w:rFonts w:ascii="Times New Roman" w:hAnsi="Times New Roman" w:cs="Times New Roman"/>
          <w:sz w:val="24"/>
          <w:szCs w:val="24"/>
        </w:rPr>
        <w:t>el Sistema de Justicia</w:t>
      </w:r>
      <w:r>
        <w:rPr>
          <w:rFonts w:ascii="Times New Roman" w:hAnsi="Times New Roman" w:cs="Times New Roman"/>
          <w:sz w:val="24"/>
          <w:szCs w:val="24"/>
          <w:lang w:val="es-MX"/>
        </w:rPr>
        <w:t xml:space="preserve"> también es insuficiente. </w:t>
      </w:r>
    </w:p>
    <w:p w14:paraId="667087A3" w14:textId="2CFF3807" w:rsidR="00D057DD" w:rsidRDefault="00D057DD" w:rsidP="00D057DD">
      <w:pPr>
        <w:pStyle w:val="Prrafodelista"/>
        <w:numPr>
          <w:ilvl w:val="0"/>
          <w:numId w:val="20"/>
        </w:numPr>
        <w:jc w:val="both"/>
        <w:rPr>
          <w:rFonts w:ascii="Times New Roman" w:hAnsi="Times New Roman" w:cs="Times New Roman"/>
          <w:sz w:val="24"/>
          <w:szCs w:val="24"/>
        </w:rPr>
      </w:pPr>
      <w:r>
        <w:rPr>
          <w:rFonts w:ascii="Times New Roman" w:hAnsi="Times New Roman" w:cs="Times New Roman"/>
          <w:sz w:val="24"/>
          <w:szCs w:val="24"/>
          <w:lang w:val="es-MX"/>
        </w:rPr>
        <w:t>Si bien</w:t>
      </w:r>
      <w:r>
        <w:rPr>
          <w:rFonts w:ascii="Times New Roman" w:hAnsi="Times New Roman" w:cs="Times New Roman"/>
          <w:sz w:val="24"/>
          <w:szCs w:val="24"/>
        </w:rPr>
        <w:t xml:space="preserve"> el Ministerio del Interior</w:t>
      </w:r>
      <w:r>
        <w:rPr>
          <w:rFonts w:ascii="Times New Roman" w:hAnsi="Times New Roman" w:cs="Times New Roman"/>
          <w:sz w:val="24"/>
          <w:szCs w:val="24"/>
          <w:lang w:val="es-MX"/>
        </w:rPr>
        <w:t xml:space="preserve"> y</w:t>
      </w:r>
      <w:r>
        <w:rPr>
          <w:rFonts w:ascii="Times New Roman" w:hAnsi="Times New Roman" w:cs="Times New Roman"/>
          <w:sz w:val="24"/>
          <w:szCs w:val="24"/>
        </w:rPr>
        <w:t xml:space="preserve"> la Fiscalía General de la Nación </w:t>
      </w:r>
      <w:r>
        <w:rPr>
          <w:rFonts w:ascii="Times New Roman" w:hAnsi="Times New Roman" w:cs="Times New Roman"/>
          <w:sz w:val="24"/>
          <w:szCs w:val="24"/>
          <w:lang w:val="es-MX"/>
        </w:rPr>
        <w:t>desarrollaron</w:t>
      </w:r>
      <w:r>
        <w:rPr>
          <w:rFonts w:ascii="Times New Roman" w:hAnsi="Times New Roman" w:cs="Times New Roman"/>
          <w:sz w:val="24"/>
          <w:szCs w:val="24"/>
        </w:rPr>
        <w:t xml:space="preserve"> líneas de trabajo para mejorar la información, </w:t>
      </w:r>
      <w:r>
        <w:rPr>
          <w:rFonts w:ascii="Times New Roman" w:hAnsi="Times New Roman" w:cs="Times New Roman"/>
          <w:sz w:val="24"/>
          <w:szCs w:val="24"/>
          <w:lang w:val="es-MX"/>
        </w:rPr>
        <w:t xml:space="preserve">en </w:t>
      </w:r>
      <w:r>
        <w:rPr>
          <w:rFonts w:ascii="Times New Roman" w:hAnsi="Times New Roman" w:cs="Times New Roman"/>
          <w:sz w:val="24"/>
          <w:szCs w:val="24"/>
        </w:rPr>
        <w:t xml:space="preserve">el Poder Judicial se ha descontinuado la producción de información sobre los juzgados letrados de familia especializados, </w:t>
      </w:r>
      <w:r>
        <w:rPr>
          <w:rFonts w:ascii="Times New Roman" w:hAnsi="Times New Roman" w:cs="Times New Roman"/>
          <w:sz w:val="24"/>
          <w:szCs w:val="24"/>
          <w:lang w:val="es-MX"/>
        </w:rPr>
        <w:t xml:space="preserve">no </w:t>
      </w:r>
      <w:r>
        <w:rPr>
          <w:rFonts w:ascii="Times New Roman" w:hAnsi="Times New Roman" w:cs="Times New Roman"/>
          <w:sz w:val="24"/>
          <w:szCs w:val="24"/>
        </w:rPr>
        <w:t xml:space="preserve"> dispon</w:t>
      </w:r>
      <w:r w:rsidR="00996D68">
        <w:rPr>
          <w:rFonts w:ascii="Times New Roman" w:hAnsi="Times New Roman" w:cs="Times New Roman"/>
          <w:sz w:val="24"/>
          <w:szCs w:val="24"/>
          <w:lang w:val="es-MX"/>
        </w:rPr>
        <w:t>ié</w:t>
      </w:r>
      <w:r>
        <w:rPr>
          <w:rFonts w:ascii="Times New Roman" w:hAnsi="Times New Roman" w:cs="Times New Roman"/>
          <w:sz w:val="24"/>
          <w:szCs w:val="24"/>
          <w:lang w:val="es-MX"/>
        </w:rPr>
        <w:t>ndose de</w:t>
      </w:r>
      <w:r>
        <w:rPr>
          <w:rFonts w:ascii="Times New Roman" w:hAnsi="Times New Roman" w:cs="Times New Roman"/>
          <w:sz w:val="24"/>
          <w:szCs w:val="24"/>
        </w:rPr>
        <w:t xml:space="preserve"> información a nivel nacional</w:t>
      </w:r>
      <w:r>
        <w:rPr>
          <w:rFonts w:ascii="Times New Roman" w:hAnsi="Times New Roman" w:cs="Times New Roman"/>
          <w:sz w:val="24"/>
          <w:szCs w:val="24"/>
          <w:lang w:val="es-MX"/>
        </w:rPr>
        <w:t xml:space="preserve">. </w:t>
      </w:r>
    </w:p>
    <w:p w14:paraId="061071D4" w14:textId="77777777" w:rsidR="00D057DD" w:rsidRDefault="00D057DD" w:rsidP="00D057DD">
      <w:pPr>
        <w:pStyle w:val="Prrafodelista"/>
        <w:numPr>
          <w:ilvl w:val="0"/>
          <w:numId w:val="20"/>
        </w:numPr>
        <w:jc w:val="both"/>
        <w:rPr>
          <w:rFonts w:ascii="Times New Roman" w:hAnsi="Times New Roman" w:cs="Times New Roman"/>
          <w:sz w:val="24"/>
          <w:szCs w:val="24"/>
        </w:rPr>
      </w:pPr>
      <w:r>
        <w:rPr>
          <w:rFonts w:ascii="Times New Roman" w:hAnsi="Times New Roman" w:cs="Times New Roman"/>
          <w:sz w:val="24"/>
          <w:szCs w:val="24"/>
          <w:lang w:val="es-MX"/>
        </w:rPr>
        <w:t>Los</w:t>
      </w:r>
      <w:r>
        <w:rPr>
          <w:rFonts w:ascii="Times New Roman" w:hAnsi="Times New Roman" w:cs="Times New Roman"/>
          <w:sz w:val="24"/>
          <w:szCs w:val="24"/>
        </w:rPr>
        <w:t xml:space="preserve"> recursos</w:t>
      </w:r>
      <w:r>
        <w:rPr>
          <w:rFonts w:ascii="Times New Roman" w:hAnsi="Times New Roman" w:cs="Times New Roman"/>
          <w:sz w:val="24"/>
          <w:szCs w:val="24"/>
          <w:lang w:val="es-MX"/>
        </w:rPr>
        <w:t xml:space="preserve"> para</w:t>
      </w:r>
      <w:r>
        <w:rPr>
          <w:rFonts w:ascii="Times New Roman" w:hAnsi="Times New Roman" w:cs="Times New Roman"/>
          <w:sz w:val="24"/>
          <w:szCs w:val="24"/>
        </w:rPr>
        <w:t xml:space="preserve"> la sistematización de información son insuficientes</w:t>
      </w:r>
      <w:r>
        <w:rPr>
          <w:rStyle w:val="Refdenotaalpie"/>
          <w:rFonts w:ascii="Times New Roman" w:hAnsi="Times New Roman" w:cs="Times New Roman"/>
          <w:sz w:val="24"/>
          <w:szCs w:val="24"/>
        </w:rPr>
        <w:footnoteReference w:id="6"/>
      </w:r>
      <w:r>
        <w:rPr>
          <w:rFonts w:ascii="Times New Roman" w:hAnsi="Times New Roman" w:cs="Times New Roman"/>
          <w:sz w:val="24"/>
          <w:szCs w:val="24"/>
        </w:rPr>
        <w:t xml:space="preserve">. </w:t>
      </w:r>
    </w:p>
    <w:p w14:paraId="3FEB7DED" w14:textId="77777777" w:rsidR="00D057DD" w:rsidRDefault="00D057DD" w:rsidP="00D057DD">
      <w:pPr>
        <w:jc w:val="both"/>
        <w:rPr>
          <w:rFonts w:ascii="Times New Roman" w:hAnsi="Times New Roman" w:cs="Times New Roman"/>
          <w:b/>
          <w:bCs/>
          <w:sz w:val="24"/>
          <w:szCs w:val="24"/>
        </w:rPr>
      </w:pPr>
      <w:r>
        <w:rPr>
          <w:rFonts w:ascii="Times New Roman" w:hAnsi="Times New Roman" w:cs="Times New Roman"/>
          <w:b/>
          <w:bCs/>
          <w:sz w:val="24"/>
          <w:szCs w:val="24"/>
        </w:rPr>
        <w:t xml:space="preserve">Marco legislativo </w:t>
      </w:r>
    </w:p>
    <w:p w14:paraId="484AB182" w14:textId="77777777" w:rsidR="00D057DD" w:rsidRDefault="00D057DD" w:rsidP="00D057DD">
      <w:pPr>
        <w:pStyle w:val="Prrafodelista"/>
        <w:numPr>
          <w:ilvl w:val="0"/>
          <w:numId w:val="20"/>
        </w:numPr>
        <w:jc w:val="both"/>
        <w:rPr>
          <w:rFonts w:ascii="Times New Roman" w:hAnsi="Times New Roman" w:cs="Times New Roman"/>
          <w:sz w:val="24"/>
          <w:szCs w:val="24"/>
        </w:rPr>
      </w:pPr>
      <w:r>
        <w:rPr>
          <w:rFonts w:ascii="Times New Roman" w:hAnsi="Times New Roman" w:cs="Times New Roman"/>
          <w:sz w:val="24"/>
          <w:szCs w:val="24"/>
        </w:rPr>
        <w:t xml:space="preserve">Tal como </w:t>
      </w:r>
      <w:r>
        <w:rPr>
          <w:rFonts w:ascii="Times New Roman" w:hAnsi="Times New Roman" w:cs="Times New Roman"/>
          <w:sz w:val="24"/>
          <w:szCs w:val="24"/>
          <w:lang w:val="es-MX"/>
        </w:rPr>
        <w:t>señala</w:t>
      </w:r>
      <w:r>
        <w:rPr>
          <w:rFonts w:ascii="Times New Roman" w:hAnsi="Times New Roman" w:cs="Times New Roman"/>
          <w:sz w:val="24"/>
          <w:szCs w:val="24"/>
        </w:rPr>
        <w:t xml:space="preserve"> el Informe del Estado, desde el último reporte, el marco normativo nacional ha </w:t>
      </w:r>
      <w:r>
        <w:rPr>
          <w:rFonts w:ascii="Times New Roman" w:hAnsi="Times New Roman" w:cs="Times New Roman"/>
          <w:sz w:val="24"/>
          <w:szCs w:val="24"/>
          <w:lang w:val="es-MX"/>
        </w:rPr>
        <w:t>sido</w:t>
      </w:r>
      <w:r>
        <w:rPr>
          <w:rFonts w:ascii="Times New Roman" w:hAnsi="Times New Roman" w:cs="Times New Roman"/>
          <w:sz w:val="24"/>
          <w:szCs w:val="24"/>
        </w:rPr>
        <w:t xml:space="preserve"> reforzado por un conjunto de leyes que </w:t>
      </w:r>
      <w:r>
        <w:rPr>
          <w:rFonts w:ascii="Times New Roman" w:hAnsi="Times New Roman" w:cs="Times New Roman"/>
          <w:sz w:val="24"/>
          <w:szCs w:val="24"/>
          <w:lang w:val="es-MX"/>
        </w:rPr>
        <w:t xml:space="preserve">tienen por fin </w:t>
      </w:r>
      <w:r>
        <w:rPr>
          <w:rFonts w:ascii="Times New Roman" w:hAnsi="Times New Roman" w:cs="Times New Roman"/>
          <w:sz w:val="24"/>
          <w:szCs w:val="24"/>
        </w:rPr>
        <w:t xml:space="preserve">alcanzar la igualdad de género. </w:t>
      </w:r>
    </w:p>
    <w:p w14:paraId="74889BD8" w14:textId="77777777" w:rsidR="00D057DD" w:rsidRDefault="00D057DD" w:rsidP="00D057DD">
      <w:pPr>
        <w:pStyle w:val="Prrafodelista"/>
        <w:numPr>
          <w:ilvl w:val="0"/>
          <w:numId w:val="20"/>
        </w:numPr>
        <w:ind w:left="568"/>
        <w:jc w:val="both"/>
        <w:rPr>
          <w:rFonts w:ascii="Times New Roman" w:hAnsi="Times New Roman" w:cs="Times New Roman"/>
          <w:sz w:val="24"/>
          <w:szCs w:val="24"/>
        </w:rPr>
      </w:pPr>
      <w:r>
        <w:rPr>
          <w:rFonts w:ascii="Times New Roman" w:hAnsi="Times New Roman" w:cs="Times New Roman"/>
          <w:sz w:val="24"/>
          <w:szCs w:val="24"/>
          <w:lang w:val="es-MX"/>
        </w:rPr>
        <w:t>Empero</w:t>
      </w:r>
      <w:r>
        <w:rPr>
          <w:rFonts w:ascii="Times New Roman" w:hAnsi="Times New Roman" w:cs="Times New Roman"/>
          <w:sz w:val="24"/>
          <w:szCs w:val="24"/>
        </w:rPr>
        <w:t>, la INDDHH entiende que estos temas requieren revisión</w:t>
      </w:r>
      <w:r>
        <w:rPr>
          <w:rFonts w:ascii="Times New Roman" w:hAnsi="Times New Roman" w:cs="Times New Roman"/>
          <w:sz w:val="24"/>
          <w:szCs w:val="24"/>
          <w:lang w:val="es-MX"/>
        </w:rPr>
        <w:t xml:space="preserve"> </w:t>
      </w:r>
      <w:r>
        <w:rPr>
          <w:rFonts w:ascii="Times New Roman" w:hAnsi="Times New Roman" w:cs="Times New Roman"/>
          <w:sz w:val="24"/>
          <w:szCs w:val="24"/>
        </w:rPr>
        <w:t>normativa</w:t>
      </w:r>
      <w:r>
        <w:rPr>
          <w:rFonts w:ascii="Times New Roman" w:hAnsi="Times New Roman" w:cs="Times New Roman"/>
          <w:sz w:val="24"/>
          <w:szCs w:val="24"/>
          <w:lang w:val="es-MX"/>
        </w:rPr>
        <w:t>:</w:t>
      </w:r>
      <w:r>
        <w:rPr>
          <w:rFonts w:ascii="Times New Roman" w:hAnsi="Times New Roman" w:cs="Times New Roman"/>
          <w:sz w:val="24"/>
          <w:szCs w:val="24"/>
        </w:rPr>
        <w:t xml:space="preserve"> </w:t>
      </w:r>
      <w:r>
        <w:rPr>
          <w:rFonts w:ascii="Times New Roman" w:hAnsi="Times New Roman" w:cs="Times New Roman"/>
          <w:sz w:val="24"/>
          <w:szCs w:val="24"/>
          <w:lang w:val="es-MX"/>
        </w:rPr>
        <w:t xml:space="preserve"> </w:t>
      </w:r>
    </w:p>
    <w:p w14:paraId="37CFA295" w14:textId="77777777" w:rsidR="00D057DD" w:rsidRDefault="00D057DD" w:rsidP="00D057DD">
      <w:pPr>
        <w:pStyle w:val="Prrafodelista"/>
        <w:numPr>
          <w:ilvl w:val="0"/>
          <w:numId w:val="21"/>
        </w:numPr>
        <w:jc w:val="both"/>
        <w:rPr>
          <w:rFonts w:ascii="Times New Roman" w:hAnsi="Times New Roman" w:cs="Times New Roman"/>
          <w:sz w:val="24"/>
          <w:szCs w:val="24"/>
        </w:rPr>
      </w:pPr>
      <w:r>
        <w:rPr>
          <w:rFonts w:ascii="Times New Roman" w:hAnsi="Times New Roman" w:cs="Times New Roman"/>
          <w:sz w:val="24"/>
          <w:szCs w:val="24"/>
          <w:lang w:val="es-MX"/>
        </w:rPr>
        <w:t>Participación política paritaria</w:t>
      </w:r>
      <w:r>
        <w:rPr>
          <w:rFonts w:ascii="Times New Roman" w:hAnsi="Times New Roman" w:cs="Times New Roman"/>
          <w:sz w:val="24"/>
          <w:szCs w:val="24"/>
        </w:rPr>
        <w:t xml:space="preserve"> </w:t>
      </w:r>
      <w:r>
        <w:rPr>
          <w:rStyle w:val="Refdenotaalpie"/>
          <w:rFonts w:ascii="Times New Roman" w:hAnsi="Times New Roman" w:cs="Times New Roman"/>
          <w:sz w:val="24"/>
          <w:szCs w:val="24"/>
        </w:rPr>
        <w:footnoteReference w:id="7"/>
      </w:r>
      <w:r>
        <w:rPr>
          <w:rFonts w:ascii="Times New Roman" w:hAnsi="Times New Roman" w:cs="Times New Roman"/>
          <w:sz w:val="24"/>
          <w:szCs w:val="24"/>
        </w:rPr>
        <w:t xml:space="preserve">, </w:t>
      </w:r>
    </w:p>
    <w:p w14:paraId="339D045F" w14:textId="77777777" w:rsidR="00D057DD" w:rsidRDefault="00D057DD" w:rsidP="00D057DD">
      <w:pPr>
        <w:pStyle w:val="Prrafodelista"/>
        <w:numPr>
          <w:ilvl w:val="0"/>
          <w:numId w:val="21"/>
        </w:numPr>
        <w:jc w:val="both"/>
        <w:rPr>
          <w:rFonts w:ascii="Times New Roman" w:hAnsi="Times New Roman" w:cs="Times New Roman"/>
          <w:sz w:val="24"/>
          <w:szCs w:val="24"/>
        </w:rPr>
      </w:pPr>
      <w:r>
        <w:rPr>
          <w:rFonts w:ascii="Times New Roman" w:hAnsi="Times New Roman" w:cs="Times New Roman"/>
          <w:sz w:val="24"/>
          <w:szCs w:val="24"/>
          <w:lang w:val="es-MX"/>
        </w:rPr>
        <w:t>Mujeres privadas de libertad y prisión domiciliaria asistida</w:t>
      </w:r>
      <w:r>
        <w:rPr>
          <w:rFonts w:ascii="Times New Roman" w:hAnsi="Times New Roman" w:cs="Times New Roman"/>
          <w:sz w:val="24"/>
          <w:szCs w:val="24"/>
        </w:rPr>
        <w:t>.</w:t>
      </w:r>
    </w:p>
    <w:p w14:paraId="29BD8CFA" w14:textId="77777777" w:rsidR="00D057DD" w:rsidRDefault="00D057DD" w:rsidP="00D057DD">
      <w:pPr>
        <w:pStyle w:val="Prrafodelista"/>
        <w:ind w:left="708" w:firstLineChars="150" w:firstLine="360"/>
        <w:jc w:val="both"/>
        <w:rPr>
          <w:rFonts w:ascii="Times New Roman" w:hAnsi="Times New Roman" w:cs="Times New Roman"/>
          <w:sz w:val="24"/>
          <w:szCs w:val="24"/>
        </w:rPr>
      </w:pPr>
      <w:r>
        <w:rPr>
          <w:rFonts w:ascii="Times New Roman" w:hAnsi="Times New Roman" w:cs="Times New Roman"/>
          <w:sz w:val="24"/>
          <w:szCs w:val="24"/>
        </w:rPr>
        <w:lastRenderedPageBreak/>
        <w:t xml:space="preserve"> En mayo de 2020 la INDDHH advertía</w:t>
      </w:r>
      <w:r>
        <w:rPr>
          <w:rStyle w:val="Refdenotaalpie"/>
          <w:rFonts w:ascii="Times New Roman" w:hAnsi="Times New Roman" w:cs="Times New Roman"/>
          <w:sz w:val="24"/>
          <w:szCs w:val="24"/>
        </w:rPr>
        <w:footnoteReference w:id="8"/>
      </w:r>
      <w:r>
        <w:rPr>
          <w:rFonts w:ascii="Times New Roman" w:hAnsi="Times New Roman" w:cs="Times New Roman"/>
          <w:sz w:val="24"/>
          <w:szCs w:val="24"/>
        </w:rPr>
        <w:t xml:space="preserve"> sobre el empeoramiento en las</w:t>
      </w:r>
      <w:r>
        <w:rPr>
          <w:rFonts w:ascii="Times New Roman" w:hAnsi="Times New Roman" w:cs="Times New Roman"/>
          <w:sz w:val="24"/>
          <w:szCs w:val="24"/>
          <w:lang w:val="es-MX"/>
        </w:rPr>
        <w:t xml:space="preserve"> </w:t>
      </w:r>
      <w:r>
        <w:rPr>
          <w:rFonts w:ascii="Times New Roman" w:hAnsi="Times New Roman" w:cs="Times New Roman"/>
          <w:sz w:val="24"/>
          <w:szCs w:val="24"/>
        </w:rPr>
        <w:t xml:space="preserve">condiciones de vida para las  PPL a partir de la aprobación de la ley de Urgente Consideración </w:t>
      </w:r>
      <w:r>
        <w:rPr>
          <w:rFonts w:ascii="Times New Roman" w:hAnsi="Times New Roman" w:cs="Times New Roman"/>
          <w:sz w:val="24"/>
          <w:szCs w:val="24"/>
          <w:lang w:val="es-MX"/>
        </w:rPr>
        <w:t>N</w:t>
      </w:r>
      <w:r>
        <w:rPr>
          <w:rFonts w:ascii="Times New Roman" w:hAnsi="Times New Roman" w:cs="Times New Roman"/>
          <w:sz w:val="24"/>
          <w:szCs w:val="24"/>
        </w:rPr>
        <w:t>° 19</w:t>
      </w:r>
      <w:r>
        <w:rPr>
          <w:rFonts w:ascii="Times New Roman" w:hAnsi="Times New Roman" w:cs="Times New Roman"/>
          <w:sz w:val="24"/>
          <w:szCs w:val="24"/>
          <w:lang w:val="es-MX"/>
        </w:rPr>
        <w:t>.</w:t>
      </w:r>
      <w:r>
        <w:rPr>
          <w:rFonts w:ascii="Times New Roman" w:hAnsi="Times New Roman" w:cs="Times New Roman"/>
          <w:sz w:val="24"/>
          <w:szCs w:val="24"/>
        </w:rPr>
        <w:t xml:space="preserve">889. </w:t>
      </w:r>
    </w:p>
    <w:p w14:paraId="67D60BD7" w14:textId="77777777" w:rsidR="00D057DD" w:rsidRDefault="00D057DD" w:rsidP="00D057DD">
      <w:pPr>
        <w:pStyle w:val="Prrafodelista"/>
        <w:ind w:left="708" w:firstLineChars="150" w:firstLine="360"/>
        <w:jc w:val="both"/>
        <w:rPr>
          <w:rFonts w:ascii="Times New Roman" w:hAnsi="Times New Roman" w:cs="Times New Roman"/>
          <w:sz w:val="24"/>
          <w:szCs w:val="24"/>
        </w:rPr>
      </w:pPr>
      <w:r>
        <w:rPr>
          <w:rFonts w:ascii="Times New Roman" w:hAnsi="Times New Roman" w:cs="Times New Roman"/>
          <w:sz w:val="24"/>
          <w:szCs w:val="24"/>
        </w:rPr>
        <w:t xml:space="preserve">En particular el capítulo IV que establece normas vinculadas a estupefacientes que han tenido un impacto contundente en la cantidad de mujeres privadas de libertad y sus condiciones de vida. </w:t>
      </w:r>
    </w:p>
    <w:p w14:paraId="199119B7" w14:textId="77777777" w:rsidR="00D057DD" w:rsidRDefault="00D057DD" w:rsidP="00D057DD">
      <w:pPr>
        <w:pStyle w:val="Prrafodelista"/>
        <w:ind w:left="708" w:firstLineChars="150" w:firstLine="360"/>
        <w:jc w:val="both"/>
        <w:rPr>
          <w:rFonts w:ascii="Times New Roman" w:hAnsi="Times New Roman" w:cs="Times New Roman"/>
          <w:sz w:val="24"/>
          <w:szCs w:val="24"/>
        </w:rPr>
      </w:pPr>
      <w:r>
        <w:rPr>
          <w:rFonts w:ascii="Times New Roman" w:hAnsi="Times New Roman" w:cs="Times New Roman"/>
          <w:sz w:val="24"/>
          <w:szCs w:val="24"/>
        </w:rPr>
        <w:t>Cada año aumentan la cantidad de mujeres que reciben penas desproporcionadas para delitos leves y sin posibilidad de ser excarcelables debido a las modificaciones introducidas por la</w:t>
      </w:r>
      <w:r>
        <w:rPr>
          <w:rFonts w:ascii="Times New Roman" w:hAnsi="Times New Roman" w:cs="Times New Roman"/>
          <w:sz w:val="24"/>
          <w:szCs w:val="24"/>
          <w:lang w:val="es-MX"/>
        </w:rPr>
        <w:t xml:space="preserve"> Ley Nº 19.889</w:t>
      </w:r>
      <w:r>
        <w:rPr>
          <w:rFonts w:ascii="Times New Roman" w:hAnsi="Times New Roman" w:cs="Times New Roman"/>
          <w:sz w:val="24"/>
          <w:szCs w:val="24"/>
        </w:rPr>
        <w:t xml:space="preserve">. </w:t>
      </w:r>
    </w:p>
    <w:p w14:paraId="6E943674" w14:textId="43EC7680" w:rsidR="00D057DD" w:rsidRDefault="00D057DD" w:rsidP="00D057DD">
      <w:pPr>
        <w:pStyle w:val="Prrafodelista"/>
        <w:ind w:left="708" w:firstLineChars="150" w:firstLine="360"/>
        <w:jc w:val="both"/>
        <w:rPr>
          <w:rFonts w:ascii="Times New Roman" w:hAnsi="Times New Roman" w:cs="Times New Roman"/>
          <w:sz w:val="24"/>
          <w:szCs w:val="24"/>
        </w:rPr>
      </w:pPr>
      <w:r>
        <w:rPr>
          <w:rFonts w:ascii="Times New Roman" w:hAnsi="Times New Roman" w:cs="Times New Roman"/>
          <w:sz w:val="24"/>
          <w:szCs w:val="24"/>
        </w:rPr>
        <w:t xml:space="preserve"> La INDDHH resalta la necesidad de adoptar una solución urgente y definitiva a este problema que </w:t>
      </w:r>
      <w:r>
        <w:rPr>
          <w:rFonts w:ascii="Times New Roman" w:hAnsi="Times New Roman" w:cs="Times New Roman"/>
          <w:sz w:val="24"/>
          <w:szCs w:val="24"/>
          <w:lang w:val="es-MX"/>
        </w:rPr>
        <w:t>fue</w:t>
      </w:r>
      <w:r>
        <w:rPr>
          <w:rFonts w:ascii="Times New Roman" w:hAnsi="Times New Roman" w:cs="Times New Roman"/>
          <w:sz w:val="24"/>
          <w:szCs w:val="24"/>
        </w:rPr>
        <w:t xml:space="preserve"> diagnosticado desde 2021 y para el que existen en la </w:t>
      </w:r>
      <w:r w:rsidR="00996D68">
        <w:rPr>
          <w:rFonts w:ascii="Times New Roman" w:hAnsi="Times New Roman" w:cs="Times New Roman"/>
          <w:sz w:val="24"/>
          <w:szCs w:val="24"/>
        </w:rPr>
        <w:t>actualidad</w:t>
      </w:r>
      <w:r w:rsidR="00996D68">
        <w:rPr>
          <w:rFonts w:ascii="Times New Roman" w:hAnsi="Times New Roman" w:cs="Times New Roman"/>
          <w:sz w:val="24"/>
          <w:szCs w:val="24"/>
          <w:lang w:val="es-MX"/>
        </w:rPr>
        <w:t xml:space="preserve"> </w:t>
      </w:r>
      <w:r w:rsidR="00996D68">
        <w:rPr>
          <w:rFonts w:ascii="Times New Roman" w:hAnsi="Times New Roman" w:cs="Times New Roman"/>
          <w:sz w:val="24"/>
          <w:szCs w:val="24"/>
        </w:rPr>
        <w:t>4</w:t>
      </w:r>
      <w:r>
        <w:rPr>
          <w:rFonts w:ascii="Times New Roman" w:hAnsi="Times New Roman" w:cs="Times New Roman"/>
          <w:sz w:val="24"/>
          <w:szCs w:val="24"/>
        </w:rPr>
        <w:t xml:space="preserve"> propuestas legislativas para </w:t>
      </w:r>
      <w:r>
        <w:rPr>
          <w:rFonts w:ascii="Times New Roman" w:hAnsi="Times New Roman" w:cs="Times New Roman"/>
          <w:sz w:val="24"/>
          <w:szCs w:val="24"/>
          <w:lang w:val="es-MX"/>
        </w:rPr>
        <w:t>enmendarlo</w:t>
      </w:r>
      <w:r>
        <w:rPr>
          <w:rFonts w:ascii="Times New Roman" w:hAnsi="Times New Roman" w:cs="Times New Roman"/>
          <w:sz w:val="24"/>
          <w:szCs w:val="24"/>
        </w:rPr>
        <w:t xml:space="preserve">. </w:t>
      </w:r>
      <w:r>
        <w:rPr>
          <w:rStyle w:val="Refdenotaalpie"/>
          <w:rFonts w:ascii="Times New Roman" w:hAnsi="Times New Roman" w:cs="Times New Roman"/>
          <w:sz w:val="24"/>
          <w:szCs w:val="24"/>
        </w:rPr>
        <w:footnoteReference w:id="9"/>
      </w:r>
    </w:p>
    <w:p w14:paraId="46F9EA17" w14:textId="77777777" w:rsidR="00D057DD" w:rsidRDefault="00D057DD" w:rsidP="00D057DD">
      <w:pPr>
        <w:pStyle w:val="Prrafodelista"/>
        <w:numPr>
          <w:ilvl w:val="0"/>
          <w:numId w:val="21"/>
        </w:numPr>
        <w:jc w:val="both"/>
        <w:rPr>
          <w:rFonts w:ascii="Times New Roman" w:hAnsi="Times New Roman" w:cs="Times New Roman"/>
          <w:sz w:val="24"/>
          <w:szCs w:val="24"/>
        </w:rPr>
      </w:pPr>
      <w:r>
        <w:rPr>
          <w:rFonts w:ascii="Times New Roman" w:hAnsi="Times New Roman" w:cs="Times New Roman"/>
          <w:sz w:val="24"/>
          <w:szCs w:val="24"/>
          <w:lang w:val="es-MX"/>
        </w:rPr>
        <w:t>Corresponsabilidad en la crianza: la INDDHH entiende que la aprobación de  l</w:t>
      </w:r>
      <w:r>
        <w:rPr>
          <w:rFonts w:ascii="Times New Roman" w:hAnsi="Times New Roman" w:cs="Times New Roman"/>
          <w:sz w:val="24"/>
          <w:szCs w:val="24"/>
        </w:rPr>
        <w:t>a Ley N°</w:t>
      </w:r>
      <w:r>
        <w:rPr>
          <w:rFonts w:ascii="Times New Roman" w:hAnsi="Times New Roman" w:cs="Times New Roman"/>
          <w:sz w:val="24"/>
          <w:szCs w:val="24"/>
          <w:lang w:val="es-MX"/>
        </w:rPr>
        <w:t xml:space="preserve"> </w:t>
      </w:r>
      <w:r>
        <w:rPr>
          <w:rFonts w:ascii="Times New Roman" w:hAnsi="Times New Roman" w:cs="Times New Roman"/>
          <w:sz w:val="24"/>
          <w:szCs w:val="24"/>
        </w:rPr>
        <w:t xml:space="preserve">20.141 </w:t>
      </w:r>
      <w:r>
        <w:rPr>
          <w:rFonts w:ascii="Times New Roman" w:hAnsi="Times New Roman" w:cs="Times New Roman"/>
          <w:sz w:val="24"/>
          <w:szCs w:val="24"/>
          <w:lang w:val="es-MX"/>
        </w:rPr>
        <w:t xml:space="preserve">posee efectos regresivos al debilitar la protección de niños, niñas y adolescentes, en especial en su art. 4 que puede implicar vinculación entre el niño o niña con su posible agresor/a </w:t>
      </w:r>
      <w:r>
        <w:rPr>
          <w:rStyle w:val="Refdenotaalpie"/>
          <w:rFonts w:ascii="Times New Roman" w:hAnsi="Times New Roman" w:cs="Times New Roman"/>
          <w:sz w:val="24"/>
          <w:szCs w:val="24"/>
        </w:rPr>
        <w:footnoteReference w:id="10"/>
      </w:r>
      <w:r>
        <w:rPr>
          <w:rFonts w:ascii="Times New Roman" w:hAnsi="Times New Roman" w:cs="Times New Roman"/>
          <w:sz w:val="24"/>
          <w:szCs w:val="24"/>
        </w:rPr>
        <w:t>.</w:t>
      </w:r>
    </w:p>
    <w:p w14:paraId="7C964832" w14:textId="49EF34EC" w:rsidR="00D057DD" w:rsidRDefault="00D057DD" w:rsidP="00D057DD">
      <w:pPr>
        <w:pStyle w:val="Prrafodelista"/>
        <w:numPr>
          <w:ilvl w:val="0"/>
          <w:numId w:val="21"/>
        </w:numPr>
        <w:jc w:val="both"/>
        <w:rPr>
          <w:rFonts w:ascii="Times New Roman" w:hAnsi="Times New Roman" w:cs="Times New Roman"/>
          <w:sz w:val="24"/>
          <w:szCs w:val="24"/>
        </w:rPr>
      </w:pPr>
      <w:r>
        <w:rPr>
          <w:rFonts w:ascii="Times New Roman" w:hAnsi="Times New Roman" w:cs="Times New Roman"/>
          <w:sz w:val="24"/>
          <w:szCs w:val="24"/>
          <w:lang w:val="es-MX"/>
        </w:rPr>
        <w:t xml:space="preserve">Protección legal frente a la violencia mediática y estereotipos de género: la </w:t>
      </w:r>
      <w:r w:rsidR="00996D68">
        <w:rPr>
          <w:rFonts w:ascii="Times New Roman" w:hAnsi="Times New Roman" w:cs="Times New Roman"/>
          <w:sz w:val="24"/>
          <w:szCs w:val="24"/>
          <w:lang w:val="es-MX"/>
        </w:rPr>
        <w:t>ley vigente</w:t>
      </w:r>
      <w:r>
        <w:rPr>
          <w:rFonts w:ascii="Times New Roman" w:hAnsi="Times New Roman" w:cs="Times New Roman"/>
          <w:sz w:val="24"/>
          <w:szCs w:val="24"/>
          <w:lang w:val="es-MX"/>
        </w:rPr>
        <w:t xml:space="preserve"> Nº 19.307 de “Servicios de Comunicación Audiovisual” (SCA</w:t>
      </w:r>
      <w:r w:rsidR="00996D68">
        <w:rPr>
          <w:rFonts w:ascii="Times New Roman" w:hAnsi="Times New Roman" w:cs="Times New Roman"/>
          <w:sz w:val="24"/>
          <w:szCs w:val="24"/>
          <w:lang w:val="es-MX"/>
        </w:rPr>
        <w:t>), prevé</w:t>
      </w:r>
      <w:r>
        <w:rPr>
          <w:rFonts w:ascii="Times New Roman" w:hAnsi="Times New Roman" w:cs="Times New Roman"/>
          <w:sz w:val="24"/>
          <w:szCs w:val="24"/>
          <w:lang w:val="es-MX"/>
        </w:rPr>
        <w:t xml:space="preserve"> medidas protectoras </w:t>
      </w:r>
      <w:r>
        <w:rPr>
          <w:rFonts w:ascii="Times New Roman" w:hAnsi="Times New Roman" w:cs="Times New Roman"/>
          <w:sz w:val="24"/>
          <w:szCs w:val="24"/>
        </w:rPr>
        <w:t>contra</w:t>
      </w:r>
      <w:r>
        <w:rPr>
          <w:rFonts w:ascii="Times New Roman" w:hAnsi="Times New Roman" w:cs="Times New Roman"/>
          <w:sz w:val="24"/>
          <w:szCs w:val="24"/>
          <w:lang w:val="es-MX"/>
        </w:rPr>
        <w:t>: la apología de la discriminación, discursos de odio e incitación a la violencia.</w:t>
      </w:r>
    </w:p>
    <w:p w14:paraId="2C5CB02F" w14:textId="77777777" w:rsidR="00D057DD" w:rsidRDefault="00D057DD" w:rsidP="00D057DD">
      <w:pPr>
        <w:pStyle w:val="Prrafodelista"/>
        <w:ind w:left="708" w:firstLineChars="150" w:firstLine="360"/>
        <w:jc w:val="both"/>
        <w:rPr>
          <w:rFonts w:ascii="Times New Roman" w:hAnsi="Times New Roman" w:cs="Times New Roman"/>
          <w:sz w:val="24"/>
          <w:szCs w:val="24"/>
          <w:shd w:val="clear" w:color="auto" w:fill="FFFFFF"/>
        </w:rPr>
      </w:pPr>
      <w:r>
        <w:rPr>
          <w:rFonts w:ascii="Times New Roman" w:hAnsi="Times New Roman" w:cs="Times New Roman"/>
          <w:sz w:val="24"/>
          <w:szCs w:val="24"/>
          <w:lang w:val="es-MX"/>
        </w:rPr>
        <w:t xml:space="preserve">Por otra parte, </w:t>
      </w:r>
      <w:r>
        <w:rPr>
          <w:rFonts w:ascii="Times New Roman" w:hAnsi="Times New Roman" w:cs="Times New Roman"/>
          <w:sz w:val="24"/>
          <w:szCs w:val="24"/>
        </w:rPr>
        <w:t>promueve</w:t>
      </w:r>
      <w:r>
        <w:rPr>
          <w:rFonts w:ascii="Times New Roman" w:hAnsi="Times New Roman" w:cs="Times New Roman"/>
          <w:sz w:val="24"/>
          <w:szCs w:val="24"/>
          <w:lang w:val="es-MX"/>
        </w:rPr>
        <w:t xml:space="preserve"> que en la programación de los SCA</w:t>
      </w:r>
      <w:r>
        <w:rPr>
          <w:rFonts w:ascii="Times New Roman" w:hAnsi="Times New Roman" w:cs="Times New Roman"/>
          <w:sz w:val="24"/>
          <w:szCs w:val="24"/>
        </w:rPr>
        <w:t xml:space="preserve"> haya</w:t>
      </w:r>
      <w:r>
        <w:rPr>
          <w:rFonts w:ascii="Times New Roman" w:hAnsi="Times New Roman" w:cs="Times New Roman"/>
          <w:sz w:val="24"/>
          <w:szCs w:val="24"/>
          <w:lang w:val="es-MX"/>
        </w:rPr>
        <w:t xml:space="preserve"> expresiones y acciones afirmativas e inclusivas a favor de personas o grupos objeto de discriminación, otorgándole </w:t>
      </w:r>
      <w:r>
        <w:rPr>
          <w:rFonts w:ascii="Times New Roman" w:hAnsi="Times New Roman" w:cs="Times New Roman"/>
          <w:sz w:val="24"/>
          <w:szCs w:val="24"/>
          <w:shd w:val="clear" w:color="auto" w:fill="FFFFFF"/>
        </w:rPr>
        <w:t xml:space="preserve">a la INDDHH potestad -entre otras- </w:t>
      </w:r>
      <w:r>
        <w:rPr>
          <w:rFonts w:ascii="Times New Roman" w:hAnsi="Times New Roman" w:cs="Times New Roman"/>
          <w:sz w:val="24"/>
          <w:szCs w:val="24"/>
          <w:shd w:val="clear" w:color="auto" w:fill="FFFFFF"/>
          <w:lang w:val="es-MX"/>
        </w:rPr>
        <w:t>para</w:t>
      </w:r>
      <w:r>
        <w:rPr>
          <w:rFonts w:ascii="Times New Roman" w:hAnsi="Times New Roman" w:cs="Times New Roman"/>
          <w:sz w:val="24"/>
          <w:szCs w:val="24"/>
          <w:shd w:val="clear" w:color="auto" w:fill="FFFFFF"/>
        </w:rPr>
        <w:t xml:space="preserve"> recibir y tramitar denuncias sobre el eventual </w:t>
      </w:r>
      <w:r>
        <w:rPr>
          <w:rFonts w:ascii="Times New Roman" w:hAnsi="Times New Roman" w:cs="Times New Roman"/>
          <w:sz w:val="24"/>
          <w:szCs w:val="24"/>
          <w:shd w:val="clear" w:color="auto" w:fill="FFFFFF"/>
          <w:lang w:val="es-MX"/>
        </w:rPr>
        <w:t>incumplimiento</w:t>
      </w:r>
      <w:r>
        <w:rPr>
          <w:rFonts w:ascii="Times New Roman" w:hAnsi="Times New Roman" w:cs="Times New Roman"/>
          <w:sz w:val="24"/>
          <w:szCs w:val="24"/>
          <w:shd w:val="clear" w:color="auto" w:fill="FFFFFF"/>
        </w:rPr>
        <w:t xml:space="preserve"> de los </w:t>
      </w:r>
      <w:r>
        <w:rPr>
          <w:rFonts w:ascii="Times New Roman" w:hAnsi="Times New Roman" w:cs="Times New Roman"/>
          <w:sz w:val="24"/>
          <w:szCs w:val="24"/>
          <w:shd w:val="clear" w:color="auto" w:fill="FFFFFF"/>
          <w:lang w:val="es-MX"/>
        </w:rPr>
        <w:t>SCA</w:t>
      </w:r>
      <w:r>
        <w:rPr>
          <w:rFonts w:ascii="Times New Roman" w:hAnsi="Times New Roman" w:cs="Times New Roman"/>
          <w:sz w:val="24"/>
          <w:szCs w:val="24"/>
          <w:shd w:val="clear" w:color="auto" w:fill="FFFFFF"/>
        </w:rPr>
        <w:t xml:space="preserve"> respecto de estas disposiciones.  </w:t>
      </w:r>
    </w:p>
    <w:p w14:paraId="7ADFC506" w14:textId="77777777" w:rsidR="00D057DD" w:rsidRDefault="00D057DD" w:rsidP="00D057DD">
      <w:pPr>
        <w:pStyle w:val="Prrafodelista"/>
        <w:ind w:left="708" w:firstLineChars="150" w:firstLine="360"/>
        <w:jc w:val="both"/>
        <w:rPr>
          <w:rFonts w:ascii="Times New Roman" w:hAnsi="Times New Roman" w:cs="Times New Roman"/>
          <w:sz w:val="24"/>
          <w:szCs w:val="24"/>
          <w:lang w:val="es-MX"/>
        </w:rPr>
      </w:pPr>
      <w:r>
        <w:rPr>
          <w:rFonts w:ascii="Times New Roman" w:hAnsi="Times New Roman" w:cs="Times New Roman"/>
          <w:sz w:val="24"/>
          <w:szCs w:val="24"/>
          <w:shd w:val="clear" w:color="auto" w:fill="FFFFFF"/>
          <w:lang w:val="es-MX"/>
        </w:rPr>
        <w:t>Habiendo</w:t>
      </w:r>
      <w:r>
        <w:rPr>
          <w:rFonts w:ascii="Times New Roman" w:hAnsi="Times New Roman" w:cs="Times New Roman"/>
          <w:sz w:val="24"/>
          <w:szCs w:val="24"/>
          <w:shd w:val="clear" w:color="auto" w:fill="FFFFFF"/>
        </w:rPr>
        <w:t xml:space="preserve"> emitido varias resoluciones identificando situaciones de violencia mediática</w:t>
      </w:r>
      <w:r>
        <w:rPr>
          <w:rStyle w:val="Refdenotaalpie"/>
          <w:rFonts w:ascii="Times New Roman" w:hAnsi="Times New Roman" w:cs="Times New Roman"/>
          <w:sz w:val="24"/>
          <w:szCs w:val="24"/>
          <w:shd w:val="clear" w:color="auto" w:fill="FFFFFF"/>
        </w:rPr>
        <w:footnoteReference w:id="11"/>
      </w:r>
      <w:r>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lang w:val="es-MX"/>
        </w:rPr>
        <w:t xml:space="preserve"> P</w:t>
      </w:r>
      <w:r>
        <w:rPr>
          <w:rFonts w:ascii="Times New Roman" w:hAnsi="Times New Roman" w:cs="Times New Roman"/>
          <w:sz w:val="24"/>
          <w:szCs w:val="24"/>
          <w:lang w:val="es-MX"/>
        </w:rPr>
        <w:t>reocupa a la INDDHH que actualmente</w:t>
      </w:r>
      <w:r>
        <w:rPr>
          <w:rFonts w:ascii="Times New Roman" w:hAnsi="Times New Roman" w:cs="Times New Roman"/>
          <w:sz w:val="24"/>
          <w:szCs w:val="24"/>
        </w:rPr>
        <w:t xml:space="preserve">, </w:t>
      </w:r>
      <w:r>
        <w:rPr>
          <w:rFonts w:ascii="Times New Roman" w:hAnsi="Times New Roman" w:cs="Times New Roman"/>
          <w:sz w:val="24"/>
          <w:szCs w:val="24"/>
          <w:lang w:val="es-MX"/>
        </w:rPr>
        <w:t>está</w:t>
      </w:r>
      <w:r>
        <w:rPr>
          <w:rFonts w:ascii="Times New Roman" w:hAnsi="Times New Roman" w:cs="Times New Roman"/>
          <w:sz w:val="24"/>
          <w:szCs w:val="24"/>
        </w:rPr>
        <w:t xml:space="preserve"> en trámite parlamentario un anteproyecto de Ley </w:t>
      </w:r>
      <w:r>
        <w:rPr>
          <w:rFonts w:ascii="Times New Roman" w:hAnsi="Times New Roman" w:cs="Times New Roman"/>
          <w:sz w:val="24"/>
          <w:szCs w:val="24"/>
          <w:lang w:val="es-MX"/>
        </w:rPr>
        <w:t xml:space="preserve">presentado por el Poder Ejecutivo </w:t>
      </w:r>
      <w:r>
        <w:rPr>
          <w:rFonts w:ascii="Times New Roman" w:hAnsi="Times New Roman" w:cs="Times New Roman"/>
          <w:sz w:val="24"/>
          <w:szCs w:val="24"/>
        </w:rPr>
        <w:t xml:space="preserve">que, de ser aprobado, </w:t>
      </w:r>
      <w:r>
        <w:rPr>
          <w:rFonts w:ascii="Times New Roman" w:hAnsi="Times New Roman"/>
          <w:sz w:val="24"/>
          <w:szCs w:val="24"/>
        </w:rPr>
        <w:t xml:space="preserve">derogaría </w:t>
      </w:r>
      <w:r>
        <w:rPr>
          <w:rFonts w:ascii="Times New Roman" w:hAnsi="Times New Roman"/>
          <w:sz w:val="24"/>
          <w:szCs w:val="24"/>
          <w:lang w:val="es-MX"/>
        </w:rPr>
        <w:t>esta l</w:t>
      </w:r>
      <w:r>
        <w:rPr>
          <w:rFonts w:ascii="Times New Roman" w:hAnsi="Times New Roman" w:cs="Times New Roman"/>
          <w:sz w:val="24"/>
          <w:szCs w:val="24"/>
          <w:lang w:val="es-MX"/>
        </w:rPr>
        <w:t xml:space="preserve">ey. </w:t>
      </w:r>
    </w:p>
    <w:p w14:paraId="75968218" w14:textId="77777777" w:rsidR="00D057DD" w:rsidRDefault="00D057DD" w:rsidP="00D057DD">
      <w:pPr>
        <w:pStyle w:val="Prrafodelista"/>
        <w:ind w:left="708" w:firstLineChars="150" w:firstLine="360"/>
        <w:jc w:val="both"/>
        <w:rPr>
          <w:rFonts w:ascii="Times New Roman" w:hAnsi="Times New Roman" w:cs="Times New Roman"/>
          <w:sz w:val="24"/>
          <w:szCs w:val="24"/>
        </w:rPr>
      </w:pPr>
      <w:r>
        <w:rPr>
          <w:rFonts w:ascii="Times New Roman" w:hAnsi="Times New Roman" w:cs="Times New Roman"/>
          <w:sz w:val="24"/>
          <w:szCs w:val="24"/>
        </w:rPr>
        <w:lastRenderedPageBreak/>
        <w:t xml:space="preserve">Al respecto, la INDDHH </w:t>
      </w:r>
      <w:r>
        <w:rPr>
          <w:rFonts w:ascii="Times New Roman" w:hAnsi="Times New Roman" w:cs="Times New Roman"/>
          <w:sz w:val="24"/>
          <w:szCs w:val="24"/>
          <w:lang w:val="es-MX"/>
        </w:rPr>
        <w:t>presentó el 26 de mayo de 2021</w:t>
      </w:r>
      <w:r>
        <w:rPr>
          <w:rFonts w:ascii="Times New Roman" w:hAnsi="Times New Roman" w:cs="Times New Roman"/>
          <w:color w:val="FF0000"/>
          <w:sz w:val="24"/>
          <w:szCs w:val="24"/>
        </w:rPr>
        <w:t xml:space="preserve"> </w:t>
      </w:r>
      <w:r>
        <w:rPr>
          <w:rFonts w:ascii="Times New Roman" w:hAnsi="Times New Roman" w:cs="Times New Roman"/>
          <w:sz w:val="24"/>
          <w:szCs w:val="24"/>
        </w:rPr>
        <w:t xml:space="preserve">ante </w:t>
      </w:r>
      <w:r>
        <w:rPr>
          <w:rFonts w:ascii="Times New Roman" w:hAnsi="Times New Roman" w:cs="Times New Roman"/>
          <w:sz w:val="24"/>
          <w:szCs w:val="24"/>
          <w:lang w:val="es-MX"/>
        </w:rPr>
        <w:t>el Parlamento</w:t>
      </w:r>
      <w:r>
        <w:rPr>
          <w:rFonts w:ascii="Times New Roman" w:hAnsi="Times New Roman" w:cs="Times New Roman"/>
          <w:sz w:val="24"/>
          <w:szCs w:val="24"/>
        </w:rPr>
        <w:t xml:space="preserve"> un Informe</w:t>
      </w:r>
      <w:r>
        <w:rPr>
          <w:rStyle w:val="Refdenotaalpie"/>
          <w:rFonts w:ascii="Times New Roman" w:hAnsi="Times New Roman" w:cs="Times New Roman"/>
          <w:sz w:val="24"/>
          <w:szCs w:val="24"/>
        </w:rPr>
        <w:footnoteReference w:id="12"/>
      </w:r>
      <w:r>
        <w:rPr>
          <w:rFonts w:ascii="Times New Roman" w:hAnsi="Times New Roman" w:cs="Times New Roman"/>
          <w:sz w:val="24"/>
          <w:szCs w:val="24"/>
        </w:rPr>
        <w:t xml:space="preserve"> recomendando su no derogación, </w:t>
      </w:r>
      <w:r>
        <w:rPr>
          <w:rFonts w:ascii="Times New Roman" w:hAnsi="Times New Roman" w:cs="Times New Roman"/>
          <w:sz w:val="24"/>
          <w:szCs w:val="24"/>
          <w:lang w:val="es-MX"/>
        </w:rPr>
        <w:t>para conservar estas garantías de protección y promoción.</w:t>
      </w:r>
    </w:p>
    <w:p w14:paraId="2A09C9EE" w14:textId="77777777" w:rsidR="00D057DD" w:rsidRDefault="00D057DD" w:rsidP="00D057DD">
      <w:pPr>
        <w:pStyle w:val="Prrafodelista"/>
        <w:numPr>
          <w:ilvl w:val="0"/>
          <w:numId w:val="21"/>
        </w:numPr>
        <w:jc w:val="both"/>
        <w:rPr>
          <w:rFonts w:ascii="Times New Roman" w:hAnsi="Times New Roman" w:cs="Times New Roman"/>
          <w:sz w:val="24"/>
          <w:szCs w:val="24"/>
        </w:rPr>
      </w:pPr>
      <w:r>
        <w:rPr>
          <w:rFonts w:ascii="Times New Roman" w:hAnsi="Times New Roman" w:cs="Times New Roman"/>
          <w:sz w:val="24"/>
          <w:szCs w:val="24"/>
          <w:lang w:val="es-MX"/>
        </w:rPr>
        <w:t>Licencias de maternidad, paternidad y parentales.  L</w:t>
      </w:r>
      <w:r>
        <w:rPr>
          <w:rFonts w:ascii="Times New Roman" w:hAnsi="Times New Roman" w:cs="Times New Roman"/>
          <w:sz w:val="24"/>
          <w:szCs w:val="24"/>
        </w:rPr>
        <w:t xml:space="preserve">a INDDHH  ha impulsado un grupo de trabajo </w:t>
      </w:r>
      <w:r>
        <w:rPr>
          <w:rFonts w:ascii="Times New Roman" w:hAnsi="Times New Roman" w:cs="Times New Roman"/>
          <w:sz w:val="24"/>
          <w:szCs w:val="24"/>
          <w:lang w:val="es-MX"/>
        </w:rPr>
        <w:t>para la revisión y evaluación de</w:t>
      </w:r>
      <w:r>
        <w:rPr>
          <w:rFonts w:ascii="Times New Roman" w:hAnsi="Times New Roman" w:cs="Times New Roman"/>
          <w:sz w:val="24"/>
          <w:szCs w:val="24"/>
        </w:rPr>
        <w:t xml:space="preserve"> la normativa </w:t>
      </w:r>
      <w:r>
        <w:rPr>
          <w:rFonts w:ascii="Times New Roman" w:hAnsi="Times New Roman" w:cs="Times New Roman"/>
          <w:sz w:val="24"/>
          <w:szCs w:val="24"/>
          <w:lang w:val="es-MX"/>
        </w:rPr>
        <w:t>vigente, procurando que junto a</w:t>
      </w:r>
      <w:r>
        <w:rPr>
          <w:rFonts w:ascii="Times New Roman" w:hAnsi="Times New Roman" w:cs="Times New Roman"/>
          <w:sz w:val="24"/>
          <w:szCs w:val="24"/>
        </w:rPr>
        <w:t xml:space="preserve"> la aplicación de un sistema de cuidados más </w:t>
      </w:r>
      <w:r>
        <w:rPr>
          <w:rFonts w:ascii="Times New Roman" w:hAnsi="Times New Roman" w:cs="Times New Roman"/>
          <w:sz w:val="24"/>
          <w:szCs w:val="24"/>
          <w:lang w:val="es-MX"/>
        </w:rPr>
        <w:t>amplio y fortalecido</w:t>
      </w:r>
      <w:r>
        <w:rPr>
          <w:rFonts w:ascii="Times New Roman" w:hAnsi="Times New Roman" w:cs="Times New Roman"/>
          <w:sz w:val="24"/>
          <w:szCs w:val="24"/>
        </w:rPr>
        <w:t xml:space="preserve">, </w:t>
      </w:r>
      <w:r>
        <w:rPr>
          <w:rFonts w:ascii="Times New Roman" w:hAnsi="Times New Roman" w:cs="Times New Roman"/>
          <w:sz w:val="24"/>
          <w:szCs w:val="24"/>
          <w:lang w:val="es-MX"/>
        </w:rPr>
        <w:t xml:space="preserve"> se </w:t>
      </w:r>
      <w:r>
        <w:rPr>
          <w:rFonts w:ascii="Times New Roman" w:hAnsi="Times New Roman" w:cs="Times New Roman"/>
          <w:sz w:val="24"/>
          <w:szCs w:val="24"/>
        </w:rPr>
        <w:t>generen políticas de cuidado transformadoras</w:t>
      </w:r>
      <w:r>
        <w:rPr>
          <w:rStyle w:val="Refdenotaalpie"/>
          <w:rFonts w:ascii="Times New Roman" w:hAnsi="Times New Roman" w:cs="Times New Roman"/>
          <w:sz w:val="24"/>
          <w:szCs w:val="24"/>
        </w:rPr>
        <w:footnoteReference w:id="13"/>
      </w:r>
      <w:r>
        <w:rPr>
          <w:rFonts w:ascii="Times New Roman" w:hAnsi="Times New Roman" w:cs="Times New Roman"/>
          <w:sz w:val="24"/>
          <w:szCs w:val="24"/>
        </w:rPr>
        <w:t>.</w:t>
      </w:r>
    </w:p>
    <w:p w14:paraId="54948900" w14:textId="77777777" w:rsidR="00D057DD" w:rsidRDefault="00D057DD" w:rsidP="00D057DD">
      <w:pPr>
        <w:jc w:val="both"/>
        <w:rPr>
          <w:rFonts w:ascii="Times New Roman" w:hAnsi="Times New Roman" w:cs="Times New Roman"/>
          <w:b/>
          <w:bCs/>
          <w:sz w:val="24"/>
          <w:szCs w:val="24"/>
        </w:rPr>
      </w:pPr>
      <w:r>
        <w:rPr>
          <w:rFonts w:ascii="Times New Roman" w:hAnsi="Times New Roman" w:cs="Times New Roman"/>
          <w:b/>
          <w:bCs/>
          <w:sz w:val="24"/>
          <w:szCs w:val="24"/>
        </w:rPr>
        <w:t xml:space="preserve">Acceso a la justicia </w:t>
      </w:r>
    </w:p>
    <w:p w14:paraId="6158A129" w14:textId="77777777" w:rsidR="00D057DD" w:rsidRDefault="00D057DD" w:rsidP="00D057DD">
      <w:pPr>
        <w:pStyle w:val="Prrafodelista"/>
        <w:numPr>
          <w:ilvl w:val="0"/>
          <w:numId w:val="20"/>
        </w:numPr>
        <w:jc w:val="both"/>
        <w:rPr>
          <w:rFonts w:ascii="Times New Roman" w:hAnsi="Times New Roman" w:cs="Times New Roman"/>
          <w:sz w:val="24"/>
          <w:szCs w:val="24"/>
          <w:lang w:val="es-MX"/>
        </w:rPr>
      </w:pPr>
      <w:r>
        <w:rPr>
          <w:rFonts w:ascii="Times New Roman" w:hAnsi="Times New Roman" w:cs="Times New Roman"/>
          <w:sz w:val="24"/>
          <w:szCs w:val="24"/>
          <w:lang w:val="es-MX"/>
        </w:rPr>
        <w:t xml:space="preserve">Para valorar el estado de situación resulta relevante informar sobre el funcionamiento de los mecanismos para la transversalización de género en los principales organismos que conforman el sistema de justicia. </w:t>
      </w:r>
    </w:p>
    <w:p w14:paraId="202B8BC5" w14:textId="77777777" w:rsidR="00D057DD" w:rsidRDefault="00D057DD" w:rsidP="00D057DD">
      <w:pPr>
        <w:pStyle w:val="Prrafodelista"/>
        <w:numPr>
          <w:ilvl w:val="0"/>
          <w:numId w:val="20"/>
        </w:numPr>
        <w:jc w:val="both"/>
        <w:rPr>
          <w:rFonts w:ascii="Times New Roman" w:hAnsi="Times New Roman" w:cs="Times New Roman"/>
          <w:sz w:val="24"/>
          <w:szCs w:val="24"/>
          <w:lang w:val="es-MX"/>
        </w:rPr>
      </w:pPr>
      <w:r>
        <w:rPr>
          <w:rFonts w:ascii="Times New Roman" w:hAnsi="Times New Roman" w:cs="Times New Roman"/>
          <w:sz w:val="24"/>
          <w:szCs w:val="24"/>
        </w:rPr>
        <w:t xml:space="preserve">En el Ministerio del Interior (auxiliar de la justicia) la División Nacional de Políticas de Género </w:t>
      </w:r>
      <w:r>
        <w:rPr>
          <w:rFonts w:ascii="Times New Roman" w:hAnsi="Times New Roman" w:cs="Times New Roman"/>
          <w:sz w:val="24"/>
          <w:szCs w:val="24"/>
          <w:lang w:val="es-MX"/>
        </w:rPr>
        <w:t>se constituyó en</w:t>
      </w:r>
      <w:r>
        <w:rPr>
          <w:rFonts w:ascii="Times New Roman" w:hAnsi="Times New Roman" w:cs="Times New Roman"/>
          <w:sz w:val="24"/>
          <w:szCs w:val="24"/>
        </w:rPr>
        <w:t xml:space="preserve"> una Dirección Nacional, </w:t>
      </w:r>
      <w:r>
        <w:rPr>
          <w:rFonts w:ascii="Times New Roman" w:hAnsi="Times New Roman" w:cs="Times New Roman"/>
          <w:sz w:val="24"/>
          <w:szCs w:val="24"/>
          <w:lang w:val="es-MX"/>
        </w:rPr>
        <w:t>sin que</w:t>
      </w:r>
      <w:r>
        <w:rPr>
          <w:rFonts w:ascii="Times New Roman" w:hAnsi="Times New Roman" w:cs="Times New Roman"/>
          <w:sz w:val="24"/>
          <w:szCs w:val="24"/>
        </w:rPr>
        <w:t xml:space="preserve"> la jerarquización en la estructura</w:t>
      </w:r>
      <w:r>
        <w:rPr>
          <w:rFonts w:ascii="Times New Roman" w:hAnsi="Times New Roman" w:cs="Times New Roman"/>
          <w:sz w:val="24"/>
          <w:szCs w:val="24"/>
          <w:lang w:val="es-MX"/>
        </w:rPr>
        <w:t xml:space="preserve"> determinara un </w:t>
      </w:r>
      <w:r>
        <w:rPr>
          <w:rFonts w:ascii="Times New Roman" w:hAnsi="Times New Roman" w:cs="Times New Roman"/>
          <w:sz w:val="24"/>
          <w:szCs w:val="24"/>
        </w:rPr>
        <w:t xml:space="preserve">incremento presupuestal ni un cambio sustantivo en el funcionamiento institucional. </w:t>
      </w:r>
      <w:r>
        <w:rPr>
          <w:rFonts w:ascii="Times New Roman" w:hAnsi="Times New Roman" w:cs="Times New Roman"/>
          <w:sz w:val="24"/>
          <w:szCs w:val="24"/>
          <w:lang w:val="es-MX"/>
        </w:rPr>
        <w:t xml:space="preserve"> </w:t>
      </w:r>
    </w:p>
    <w:p w14:paraId="419DD14B" w14:textId="77777777" w:rsidR="00D057DD" w:rsidRDefault="00D057DD" w:rsidP="00D057DD">
      <w:pPr>
        <w:pStyle w:val="Prrafodelista"/>
        <w:numPr>
          <w:ilvl w:val="0"/>
          <w:numId w:val="20"/>
        </w:numPr>
        <w:jc w:val="both"/>
        <w:rPr>
          <w:rFonts w:ascii="Times New Roman" w:hAnsi="Times New Roman" w:cs="Times New Roman"/>
          <w:sz w:val="24"/>
          <w:szCs w:val="24"/>
          <w:lang w:val="es-MX"/>
        </w:rPr>
      </w:pPr>
      <w:r>
        <w:rPr>
          <w:rFonts w:ascii="Times New Roman" w:hAnsi="Times New Roman" w:cs="Times New Roman"/>
          <w:sz w:val="24"/>
          <w:szCs w:val="24"/>
        </w:rPr>
        <w:t>En la F</w:t>
      </w:r>
      <w:proofErr w:type="spellStart"/>
      <w:r>
        <w:rPr>
          <w:rFonts w:ascii="Times New Roman" w:hAnsi="Times New Roman" w:cs="Times New Roman"/>
          <w:sz w:val="24"/>
          <w:szCs w:val="24"/>
          <w:lang w:val="es-MX"/>
        </w:rPr>
        <w:t>iscalía</w:t>
      </w:r>
      <w:proofErr w:type="spellEnd"/>
      <w:r>
        <w:rPr>
          <w:rFonts w:ascii="Times New Roman" w:hAnsi="Times New Roman" w:cs="Times New Roman"/>
          <w:sz w:val="24"/>
          <w:szCs w:val="24"/>
          <w:lang w:val="es-MX"/>
        </w:rPr>
        <w:t xml:space="preserve"> </w:t>
      </w:r>
      <w:r>
        <w:rPr>
          <w:rFonts w:ascii="Times New Roman" w:hAnsi="Times New Roman" w:cs="Times New Roman"/>
          <w:sz w:val="24"/>
          <w:szCs w:val="24"/>
        </w:rPr>
        <w:t>G</w:t>
      </w:r>
      <w:proofErr w:type="spellStart"/>
      <w:r>
        <w:rPr>
          <w:rFonts w:ascii="Times New Roman" w:hAnsi="Times New Roman" w:cs="Times New Roman"/>
          <w:sz w:val="24"/>
          <w:szCs w:val="24"/>
          <w:lang w:val="es-MX"/>
        </w:rPr>
        <w:t>eneral</w:t>
      </w:r>
      <w:proofErr w:type="spellEnd"/>
      <w:r>
        <w:rPr>
          <w:rFonts w:ascii="Times New Roman" w:hAnsi="Times New Roman" w:cs="Times New Roman"/>
          <w:sz w:val="24"/>
          <w:szCs w:val="24"/>
          <w:lang w:val="es-MX"/>
        </w:rPr>
        <w:t xml:space="preserve"> de la </w:t>
      </w:r>
      <w:r>
        <w:rPr>
          <w:rFonts w:ascii="Times New Roman" w:hAnsi="Times New Roman" w:cs="Times New Roman"/>
          <w:sz w:val="24"/>
          <w:szCs w:val="24"/>
        </w:rPr>
        <w:t>N</w:t>
      </w:r>
      <w:proofErr w:type="spellStart"/>
      <w:r>
        <w:rPr>
          <w:rFonts w:ascii="Times New Roman" w:hAnsi="Times New Roman" w:cs="Times New Roman"/>
          <w:sz w:val="24"/>
          <w:szCs w:val="24"/>
          <w:lang w:val="es-MX"/>
        </w:rPr>
        <w:t>ación</w:t>
      </w:r>
      <w:proofErr w:type="spellEnd"/>
      <w:r>
        <w:rPr>
          <w:rFonts w:ascii="Times New Roman" w:hAnsi="Times New Roman" w:cs="Times New Roman"/>
          <w:sz w:val="24"/>
          <w:szCs w:val="24"/>
        </w:rPr>
        <w:t xml:space="preserve">, la Unidad Especializada de Género pasó a estar a cargo de la Directora de la Unidad de Víctimas y Testigos. Si bien la </w:t>
      </w:r>
      <w:proofErr w:type="spellStart"/>
      <w:r>
        <w:rPr>
          <w:rFonts w:ascii="Times New Roman" w:hAnsi="Times New Roman" w:cs="Times New Roman"/>
          <w:sz w:val="24"/>
          <w:szCs w:val="24"/>
        </w:rPr>
        <w:t>UVyT</w:t>
      </w:r>
      <w:proofErr w:type="spellEnd"/>
      <w:r>
        <w:rPr>
          <w:rFonts w:ascii="Times New Roman" w:hAnsi="Times New Roman" w:cs="Times New Roman"/>
          <w:sz w:val="24"/>
          <w:szCs w:val="24"/>
        </w:rPr>
        <w:t xml:space="preserve"> cumple un rol fundamental, la UEG no cuenta con recursos propios. </w:t>
      </w:r>
    </w:p>
    <w:p w14:paraId="5E730415" w14:textId="77777777" w:rsidR="00D057DD" w:rsidRDefault="00D057DD" w:rsidP="00D057DD">
      <w:pPr>
        <w:pStyle w:val="Prrafodelista"/>
        <w:numPr>
          <w:ilvl w:val="0"/>
          <w:numId w:val="20"/>
        </w:numPr>
        <w:jc w:val="both"/>
        <w:rPr>
          <w:rFonts w:ascii="Times New Roman" w:hAnsi="Times New Roman" w:cs="Times New Roman"/>
          <w:sz w:val="24"/>
          <w:szCs w:val="24"/>
          <w:lang w:val="es-MX"/>
        </w:rPr>
      </w:pPr>
      <w:r>
        <w:rPr>
          <w:rFonts w:ascii="Times New Roman" w:hAnsi="Times New Roman" w:cs="Times New Roman"/>
          <w:sz w:val="24"/>
          <w:szCs w:val="24"/>
        </w:rPr>
        <w:t>E</w:t>
      </w:r>
      <w:r>
        <w:rPr>
          <w:rFonts w:ascii="Times New Roman" w:hAnsi="Times New Roman" w:cs="Times New Roman"/>
          <w:sz w:val="24"/>
          <w:szCs w:val="24"/>
          <w:lang w:val="es-MX"/>
        </w:rPr>
        <w:t>n e</w:t>
      </w:r>
      <w:r>
        <w:rPr>
          <w:rFonts w:ascii="Times New Roman" w:hAnsi="Times New Roman" w:cs="Times New Roman"/>
          <w:sz w:val="24"/>
          <w:szCs w:val="24"/>
        </w:rPr>
        <w:t>l Poder Judicial</w:t>
      </w:r>
      <w:r>
        <w:rPr>
          <w:rFonts w:ascii="Times New Roman" w:hAnsi="Times New Roman" w:cs="Times New Roman"/>
          <w:sz w:val="24"/>
          <w:szCs w:val="24"/>
          <w:lang w:val="es-MX"/>
        </w:rPr>
        <w:t xml:space="preserve"> se</w:t>
      </w:r>
      <w:r>
        <w:rPr>
          <w:rFonts w:ascii="Times New Roman" w:hAnsi="Times New Roman" w:cs="Times New Roman"/>
          <w:sz w:val="24"/>
          <w:szCs w:val="24"/>
        </w:rPr>
        <w:t xml:space="preserve"> </w:t>
      </w:r>
      <w:proofErr w:type="spellStart"/>
      <w:r>
        <w:rPr>
          <w:rFonts w:ascii="Times New Roman" w:hAnsi="Times New Roman" w:cs="Times New Roman"/>
          <w:sz w:val="24"/>
          <w:szCs w:val="24"/>
        </w:rPr>
        <w:t>suprim</w:t>
      </w:r>
      <w:r>
        <w:rPr>
          <w:rFonts w:ascii="Times New Roman" w:hAnsi="Times New Roman" w:cs="Times New Roman"/>
          <w:sz w:val="24"/>
          <w:szCs w:val="24"/>
          <w:lang w:val="es-MX"/>
        </w:rPr>
        <w:t>ieron</w:t>
      </w:r>
      <w:proofErr w:type="spellEnd"/>
      <w:r>
        <w:rPr>
          <w:rFonts w:ascii="Times New Roman" w:hAnsi="Times New Roman" w:cs="Times New Roman"/>
          <w:sz w:val="24"/>
          <w:szCs w:val="24"/>
          <w:lang w:val="es-MX"/>
        </w:rPr>
        <w:t xml:space="preserve"> (</w:t>
      </w:r>
      <w:r>
        <w:rPr>
          <w:rFonts w:ascii="Times New Roman" w:hAnsi="Times New Roman" w:cs="Times New Roman"/>
          <w:sz w:val="24"/>
          <w:szCs w:val="24"/>
        </w:rPr>
        <w:t>2018</w:t>
      </w:r>
      <w:r>
        <w:rPr>
          <w:rFonts w:ascii="Times New Roman" w:hAnsi="Times New Roman" w:cs="Times New Roman"/>
          <w:sz w:val="24"/>
          <w:szCs w:val="24"/>
          <w:lang w:val="es-MX"/>
        </w:rPr>
        <w:t>)</w:t>
      </w:r>
      <w:r>
        <w:rPr>
          <w:rFonts w:ascii="Times New Roman" w:hAnsi="Times New Roman" w:cs="Times New Roman"/>
          <w:sz w:val="24"/>
          <w:szCs w:val="24"/>
        </w:rPr>
        <w:t xml:space="preserve"> </w:t>
      </w:r>
      <w:r>
        <w:rPr>
          <w:rFonts w:ascii="Times New Roman" w:hAnsi="Times New Roman" w:cs="Times New Roman"/>
          <w:sz w:val="24"/>
          <w:szCs w:val="24"/>
          <w:lang w:val="es-MX"/>
        </w:rPr>
        <w:t>e</w:t>
      </w:r>
      <w:r>
        <w:rPr>
          <w:rFonts w:ascii="Times New Roman" w:hAnsi="Times New Roman" w:cs="Times New Roman"/>
          <w:sz w:val="24"/>
          <w:szCs w:val="24"/>
        </w:rPr>
        <w:t xml:space="preserve">l Grupo de </w:t>
      </w:r>
      <w:r>
        <w:rPr>
          <w:rFonts w:ascii="Times New Roman" w:hAnsi="Times New Roman" w:cs="Times New Roman"/>
          <w:sz w:val="24"/>
          <w:szCs w:val="24"/>
          <w:lang w:val="es-MX"/>
        </w:rPr>
        <w:t>T</w:t>
      </w:r>
      <w:proofErr w:type="spellStart"/>
      <w:r>
        <w:rPr>
          <w:rFonts w:ascii="Times New Roman" w:hAnsi="Times New Roman" w:cs="Times New Roman"/>
          <w:sz w:val="24"/>
          <w:szCs w:val="24"/>
        </w:rPr>
        <w:t>rabajo</w:t>
      </w:r>
      <w:proofErr w:type="spellEnd"/>
      <w:r>
        <w:rPr>
          <w:rFonts w:ascii="Times New Roman" w:hAnsi="Times New Roman" w:cs="Times New Roman"/>
          <w:sz w:val="24"/>
          <w:szCs w:val="24"/>
        </w:rPr>
        <w:t xml:space="preserve"> en Políticas de Género y la Comisión Asesora </w:t>
      </w:r>
      <w:proofErr w:type="spellStart"/>
      <w:r>
        <w:rPr>
          <w:rFonts w:ascii="Times New Roman" w:hAnsi="Times New Roman" w:cs="Times New Roman"/>
          <w:sz w:val="24"/>
          <w:szCs w:val="24"/>
        </w:rPr>
        <w:t>Intrainstitucional</w:t>
      </w:r>
      <w:proofErr w:type="spellEnd"/>
      <w:r>
        <w:rPr>
          <w:rFonts w:ascii="Times New Roman" w:hAnsi="Times New Roman" w:cs="Times New Roman"/>
          <w:sz w:val="24"/>
          <w:szCs w:val="24"/>
        </w:rPr>
        <w:t xml:space="preserve"> en Políticas de Género, que contaba con personal específicamente</w:t>
      </w:r>
      <w:r>
        <w:rPr>
          <w:rFonts w:ascii="Times New Roman" w:hAnsi="Times New Roman" w:cs="Times New Roman"/>
          <w:sz w:val="24"/>
          <w:szCs w:val="24"/>
          <w:lang w:val="es-MX"/>
        </w:rPr>
        <w:t xml:space="preserve"> asignado</w:t>
      </w:r>
      <w:r>
        <w:rPr>
          <w:rFonts w:ascii="Times New Roman" w:hAnsi="Times New Roman" w:cs="Times New Roman"/>
          <w:sz w:val="24"/>
          <w:szCs w:val="24"/>
        </w:rPr>
        <w:t xml:space="preserve">. </w:t>
      </w:r>
    </w:p>
    <w:p w14:paraId="7D7091A9" w14:textId="77777777" w:rsidR="00D057DD" w:rsidRDefault="00D057DD" w:rsidP="00D057DD">
      <w:pPr>
        <w:pStyle w:val="Prrafodelista"/>
        <w:numPr>
          <w:ilvl w:val="0"/>
          <w:numId w:val="20"/>
        </w:numPr>
        <w:jc w:val="both"/>
        <w:rPr>
          <w:rFonts w:ascii="Times New Roman" w:hAnsi="Times New Roman" w:cs="Times New Roman"/>
          <w:sz w:val="24"/>
          <w:szCs w:val="24"/>
          <w:lang w:val="es-MX"/>
        </w:rPr>
      </w:pPr>
      <w:r>
        <w:rPr>
          <w:rFonts w:ascii="Times New Roman" w:hAnsi="Times New Roman" w:cs="Times New Roman"/>
          <w:sz w:val="24"/>
          <w:szCs w:val="24"/>
        </w:rPr>
        <w:t>En</w:t>
      </w:r>
      <w:r>
        <w:rPr>
          <w:rFonts w:ascii="Times New Roman" w:hAnsi="Times New Roman" w:cs="Times New Roman"/>
          <w:sz w:val="24"/>
          <w:szCs w:val="24"/>
          <w:lang w:val="es-MX"/>
        </w:rPr>
        <w:t xml:space="preserve"> su lugar, en</w:t>
      </w:r>
      <w:r>
        <w:rPr>
          <w:rFonts w:ascii="Times New Roman" w:hAnsi="Times New Roman" w:cs="Times New Roman"/>
          <w:sz w:val="24"/>
          <w:szCs w:val="24"/>
        </w:rPr>
        <w:t xml:space="preserve"> diciembre de 2020,</w:t>
      </w:r>
      <w:r>
        <w:rPr>
          <w:rFonts w:ascii="Times New Roman" w:hAnsi="Times New Roman" w:cs="Times New Roman"/>
          <w:sz w:val="24"/>
          <w:szCs w:val="24"/>
          <w:lang w:val="es-MX"/>
        </w:rPr>
        <w:t xml:space="preserve"> se</w:t>
      </w:r>
      <w:r>
        <w:rPr>
          <w:rFonts w:ascii="Times New Roman" w:hAnsi="Times New Roman" w:cs="Times New Roman"/>
          <w:sz w:val="24"/>
          <w:szCs w:val="24"/>
        </w:rPr>
        <w:t xml:space="preserve"> creó la Comisión Asesora en Género conformada por una/un Ministra/o de Tribunal de Apelaciones y una/</w:t>
      </w:r>
      <w:proofErr w:type="gramStart"/>
      <w:r>
        <w:rPr>
          <w:rFonts w:ascii="Times New Roman" w:hAnsi="Times New Roman" w:cs="Times New Roman"/>
          <w:sz w:val="24"/>
          <w:szCs w:val="24"/>
        </w:rPr>
        <w:t>un defensora</w:t>
      </w:r>
      <w:proofErr w:type="gramEnd"/>
      <w:r>
        <w:rPr>
          <w:rFonts w:ascii="Times New Roman" w:hAnsi="Times New Roman" w:cs="Times New Roman"/>
          <w:sz w:val="24"/>
          <w:szCs w:val="24"/>
        </w:rPr>
        <w:t>/</w:t>
      </w:r>
      <w:proofErr w:type="spellStart"/>
      <w:r>
        <w:rPr>
          <w:rFonts w:ascii="Times New Roman" w:hAnsi="Times New Roman" w:cs="Times New Roman"/>
          <w:sz w:val="24"/>
          <w:szCs w:val="24"/>
        </w:rPr>
        <w:t>or</w:t>
      </w:r>
      <w:proofErr w:type="spellEnd"/>
      <w:r>
        <w:rPr>
          <w:rFonts w:ascii="Times New Roman" w:hAnsi="Times New Roman" w:cs="Times New Roman"/>
          <w:sz w:val="24"/>
          <w:szCs w:val="24"/>
        </w:rPr>
        <w:t xml:space="preserve"> Pública y la Oficina Operativa en Género. Esto ha representado un debilitamiento para la </w:t>
      </w:r>
      <w:proofErr w:type="spellStart"/>
      <w:r>
        <w:rPr>
          <w:rFonts w:ascii="Times New Roman" w:hAnsi="Times New Roman" w:cs="Times New Roman"/>
          <w:sz w:val="24"/>
          <w:szCs w:val="24"/>
        </w:rPr>
        <w:t>transversalización</w:t>
      </w:r>
      <w:proofErr w:type="spellEnd"/>
      <w:r>
        <w:rPr>
          <w:rFonts w:ascii="Times New Roman" w:hAnsi="Times New Roman" w:cs="Times New Roman"/>
          <w:sz w:val="24"/>
          <w:szCs w:val="24"/>
        </w:rPr>
        <w:t xml:space="preserve"> de las políticas de género</w:t>
      </w:r>
      <w:r>
        <w:rPr>
          <w:rStyle w:val="Refdenotaalpie"/>
          <w:rFonts w:ascii="Times New Roman" w:hAnsi="Times New Roman" w:cs="Times New Roman"/>
          <w:sz w:val="24"/>
          <w:szCs w:val="24"/>
        </w:rPr>
        <w:footnoteReference w:id="14"/>
      </w:r>
      <w:r>
        <w:rPr>
          <w:rFonts w:ascii="Times New Roman" w:hAnsi="Times New Roman" w:cs="Times New Roman"/>
          <w:sz w:val="24"/>
          <w:szCs w:val="24"/>
        </w:rPr>
        <w:t>.</w:t>
      </w:r>
    </w:p>
    <w:p w14:paraId="62910025" w14:textId="77777777" w:rsidR="00D057DD" w:rsidRDefault="00D057DD" w:rsidP="00D057DD">
      <w:pPr>
        <w:pStyle w:val="Prrafodelista"/>
        <w:numPr>
          <w:ilvl w:val="0"/>
          <w:numId w:val="20"/>
        </w:numPr>
        <w:jc w:val="both"/>
        <w:rPr>
          <w:rFonts w:ascii="Times New Roman" w:hAnsi="Times New Roman" w:cs="Times New Roman"/>
          <w:sz w:val="24"/>
          <w:szCs w:val="24"/>
          <w:lang w:val="es-MX"/>
        </w:rPr>
      </w:pPr>
      <w:r>
        <w:rPr>
          <w:rFonts w:ascii="Times New Roman" w:hAnsi="Times New Roman" w:cs="Times New Roman"/>
          <w:sz w:val="24"/>
          <w:szCs w:val="24"/>
        </w:rPr>
        <w:t xml:space="preserve">La INDDHH, entiende </w:t>
      </w:r>
      <w:r>
        <w:rPr>
          <w:rFonts w:ascii="Times New Roman" w:hAnsi="Times New Roman" w:cs="Times New Roman"/>
          <w:sz w:val="24"/>
          <w:szCs w:val="24"/>
          <w:lang w:val="es-MX"/>
        </w:rPr>
        <w:t>indispensable</w:t>
      </w:r>
      <w:r>
        <w:rPr>
          <w:rFonts w:ascii="Times New Roman" w:hAnsi="Times New Roman" w:cs="Times New Roman"/>
          <w:sz w:val="24"/>
          <w:szCs w:val="24"/>
        </w:rPr>
        <w:t xml:space="preserve"> mejorar la asignación </w:t>
      </w:r>
      <w:proofErr w:type="gramStart"/>
      <w:r>
        <w:rPr>
          <w:rFonts w:ascii="Times New Roman" w:hAnsi="Times New Roman" w:cs="Times New Roman"/>
          <w:sz w:val="24"/>
          <w:szCs w:val="24"/>
        </w:rPr>
        <w:t xml:space="preserve">presupuestal </w:t>
      </w:r>
      <w:r>
        <w:rPr>
          <w:rFonts w:ascii="Times New Roman" w:hAnsi="Times New Roman" w:cs="Times New Roman"/>
          <w:sz w:val="24"/>
          <w:szCs w:val="24"/>
          <w:lang w:val="es-MX"/>
        </w:rPr>
        <w:t xml:space="preserve"> de</w:t>
      </w:r>
      <w:proofErr w:type="gramEnd"/>
      <w:r>
        <w:rPr>
          <w:rFonts w:ascii="Times New Roman" w:hAnsi="Times New Roman" w:cs="Times New Roman"/>
          <w:sz w:val="24"/>
          <w:szCs w:val="24"/>
          <w:lang w:val="es-MX"/>
        </w:rPr>
        <w:t xml:space="preserve"> esta institucionalidad acompañada  d</w:t>
      </w:r>
      <w:r>
        <w:rPr>
          <w:rFonts w:ascii="Times New Roman" w:hAnsi="Times New Roman" w:cs="Times New Roman"/>
          <w:sz w:val="24"/>
          <w:szCs w:val="24"/>
        </w:rPr>
        <w:t>el compromiso de reforzar los mecanismos de</w:t>
      </w:r>
      <w:r>
        <w:rPr>
          <w:rFonts w:ascii="Times New Roman" w:hAnsi="Times New Roman" w:cs="Times New Roman"/>
          <w:sz w:val="24"/>
          <w:szCs w:val="24"/>
          <w:lang w:val="es-MX"/>
        </w:rPr>
        <w:t xml:space="preserve"> </w:t>
      </w:r>
      <w:proofErr w:type="spellStart"/>
      <w:r>
        <w:rPr>
          <w:rFonts w:ascii="Times New Roman" w:hAnsi="Times New Roman" w:cs="Times New Roman"/>
          <w:sz w:val="24"/>
          <w:szCs w:val="24"/>
        </w:rPr>
        <w:t>transversalización</w:t>
      </w:r>
      <w:proofErr w:type="spellEnd"/>
      <w:r>
        <w:rPr>
          <w:rFonts w:ascii="Times New Roman" w:hAnsi="Times New Roman" w:cs="Times New Roman"/>
          <w:sz w:val="24"/>
          <w:szCs w:val="24"/>
        </w:rPr>
        <w:t xml:space="preserve"> de género para erradicar los estereotipos que naturalizan las situaciones de violencia, re</w:t>
      </w:r>
      <w:r>
        <w:rPr>
          <w:rFonts w:ascii="Times New Roman" w:hAnsi="Times New Roman" w:cs="Times New Roman"/>
          <w:sz w:val="24"/>
          <w:szCs w:val="24"/>
          <w:lang w:val="es-MX"/>
        </w:rPr>
        <w:t>-</w:t>
      </w:r>
      <w:r>
        <w:rPr>
          <w:rFonts w:ascii="Times New Roman" w:hAnsi="Times New Roman" w:cs="Times New Roman"/>
          <w:sz w:val="24"/>
          <w:szCs w:val="24"/>
        </w:rPr>
        <w:t>victimizan y debilitan las respuestas.</w:t>
      </w:r>
    </w:p>
    <w:p w14:paraId="6FBF801A" w14:textId="77777777" w:rsidR="00D057DD" w:rsidRDefault="00D057DD" w:rsidP="00D057DD">
      <w:pPr>
        <w:pStyle w:val="Prrafodelista"/>
        <w:numPr>
          <w:ilvl w:val="0"/>
          <w:numId w:val="20"/>
        </w:numPr>
        <w:jc w:val="both"/>
        <w:rPr>
          <w:rFonts w:ascii="Times New Roman" w:hAnsi="Times New Roman" w:cs="Times New Roman"/>
          <w:sz w:val="24"/>
          <w:szCs w:val="24"/>
        </w:rPr>
      </w:pPr>
      <w:r>
        <w:rPr>
          <w:rFonts w:ascii="Times New Roman" w:hAnsi="Times New Roman" w:cs="Times New Roman"/>
          <w:sz w:val="24"/>
          <w:szCs w:val="24"/>
        </w:rPr>
        <w:lastRenderedPageBreak/>
        <w:t xml:space="preserve">En cuanto, a la estructura del sistema de justicia para dar respuesta a las situaciones de violencia de género, </w:t>
      </w:r>
      <w:r>
        <w:rPr>
          <w:rFonts w:ascii="Times New Roman" w:hAnsi="Times New Roman" w:cs="Times New Roman"/>
          <w:sz w:val="24"/>
          <w:szCs w:val="24"/>
          <w:lang w:val="es-MX"/>
        </w:rPr>
        <w:t>cabe señalar:</w:t>
      </w:r>
    </w:p>
    <w:p w14:paraId="20A25E88" w14:textId="77777777" w:rsidR="00D057DD" w:rsidRDefault="00D057DD" w:rsidP="00D057DD">
      <w:pPr>
        <w:pStyle w:val="Prrafodelista"/>
        <w:numPr>
          <w:ilvl w:val="0"/>
          <w:numId w:val="22"/>
        </w:numPr>
        <w:ind w:left="220"/>
        <w:jc w:val="both"/>
        <w:rPr>
          <w:rFonts w:ascii="Times New Roman" w:hAnsi="Times New Roman" w:cs="Times New Roman"/>
          <w:sz w:val="24"/>
          <w:szCs w:val="24"/>
        </w:rPr>
      </w:pPr>
      <w:r>
        <w:rPr>
          <w:rFonts w:ascii="Times New Roman" w:hAnsi="Times New Roman" w:cs="Times New Roman"/>
          <w:i/>
          <w:sz w:val="24"/>
          <w:szCs w:val="24"/>
        </w:rPr>
        <w:t>La cobertura policial a nivel nacional,</w:t>
      </w:r>
      <w:r>
        <w:rPr>
          <w:rFonts w:ascii="Times New Roman" w:hAnsi="Times New Roman" w:cs="Times New Roman"/>
          <w:sz w:val="24"/>
          <w:szCs w:val="24"/>
        </w:rPr>
        <w:t xml:space="preserve"> informada por el Estado en el 2020, se mantiene abarcando las 19 Direcciones Departamentales en Violencia Doméstica y Género. </w:t>
      </w:r>
    </w:p>
    <w:p w14:paraId="10114F44" w14:textId="77777777" w:rsidR="00D057DD" w:rsidRDefault="00D057DD" w:rsidP="00D057DD">
      <w:pPr>
        <w:pStyle w:val="Prrafodelista"/>
        <w:numPr>
          <w:ilvl w:val="0"/>
          <w:numId w:val="22"/>
        </w:numPr>
        <w:ind w:left="220"/>
        <w:jc w:val="both"/>
        <w:rPr>
          <w:rFonts w:ascii="Times New Roman" w:hAnsi="Times New Roman" w:cs="Times New Roman"/>
          <w:sz w:val="24"/>
          <w:szCs w:val="24"/>
        </w:rPr>
      </w:pPr>
      <w:r>
        <w:rPr>
          <w:rFonts w:ascii="Times New Roman" w:hAnsi="Times New Roman" w:cs="Times New Roman"/>
          <w:i/>
          <w:sz w:val="24"/>
          <w:szCs w:val="24"/>
        </w:rPr>
        <w:t xml:space="preserve">La FGN </w:t>
      </w:r>
      <w:r>
        <w:rPr>
          <w:rFonts w:ascii="Times New Roman" w:hAnsi="Times New Roman" w:cs="Times New Roman"/>
          <w:i/>
          <w:sz w:val="24"/>
          <w:szCs w:val="24"/>
          <w:lang w:val="es-MX"/>
        </w:rPr>
        <w:t>incrementó</w:t>
      </w:r>
      <w:r>
        <w:rPr>
          <w:rFonts w:ascii="Times New Roman" w:hAnsi="Times New Roman" w:cs="Times New Roman"/>
          <w:i/>
          <w:sz w:val="24"/>
          <w:szCs w:val="24"/>
        </w:rPr>
        <w:t xml:space="preserve"> en Montevideo la cantidad de fiscalías especializadas</w:t>
      </w:r>
      <w:r>
        <w:rPr>
          <w:rFonts w:ascii="Times New Roman" w:hAnsi="Times New Roman" w:cs="Times New Roman"/>
          <w:sz w:val="24"/>
          <w:szCs w:val="24"/>
        </w:rPr>
        <w:t xml:space="preserve"> de delitos sexuales, violencia doméstica y violencia de género, pasando de 5 a 8. </w:t>
      </w:r>
    </w:p>
    <w:p w14:paraId="031A9E9A" w14:textId="77777777" w:rsidR="00D057DD" w:rsidRDefault="00D057DD" w:rsidP="00D057DD">
      <w:pPr>
        <w:pStyle w:val="Prrafodelista"/>
        <w:ind w:left="0" w:firstLineChars="100" w:firstLine="240"/>
        <w:jc w:val="both"/>
        <w:rPr>
          <w:rFonts w:ascii="Times New Roman" w:hAnsi="Times New Roman" w:cs="Times New Roman"/>
          <w:sz w:val="24"/>
          <w:szCs w:val="24"/>
        </w:rPr>
      </w:pPr>
      <w:r>
        <w:rPr>
          <w:rFonts w:ascii="Times New Roman" w:hAnsi="Times New Roman" w:cs="Times New Roman"/>
          <w:sz w:val="24"/>
          <w:szCs w:val="24"/>
        </w:rPr>
        <w:t xml:space="preserve">Sin perjuicio de ello, la FGN  ha demandado mejorar la asignación presupuestal para incrementar la cantidad de Fiscalías y la cantidad de técnicas/os de la </w:t>
      </w:r>
      <w:proofErr w:type="spellStart"/>
      <w:r>
        <w:rPr>
          <w:rFonts w:ascii="Times New Roman" w:hAnsi="Times New Roman" w:cs="Times New Roman"/>
          <w:sz w:val="24"/>
          <w:szCs w:val="24"/>
        </w:rPr>
        <w:t>UVyT</w:t>
      </w:r>
      <w:proofErr w:type="spellEnd"/>
      <w:r>
        <w:rPr>
          <w:rFonts w:ascii="Times New Roman" w:hAnsi="Times New Roman" w:cs="Times New Roman"/>
          <w:sz w:val="24"/>
          <w:szCs w:val="24"/>
        </w:rPr>
        <w:t>,</w:t>
      </w:r>
      <w:r>
        <w:rPr>
          <w:rFonts w:ascii="Times New Roman" w:hAnsi="Times New Roman" w:cs="Times New Roman"/>
          <w:sz w:val="24"/>
          <w:szCs w:val="24"/>
          <w:lang w:val="es-MX"/>
        </w:rPr>
        <w:t xml:space="preserve"> </w:t>
      </w:r>
      <w:r>
        <w:rPr>
          <w:rFonts w:ascii="Times New Roman" w:hAnsi="Times New Roman" w:cs="Times New Roman"/>
          <w:sz w:val="24"/>
          <w:szCs w:val="24"/>
        </w:rPr>
        <w:t>considerando la demanda de casos existentes a nivel país, lo cual no ha sido otorgado en forma satisfactoria</w:t>
      </w:r>
      <w:r>
        <w:rPr>
          <w:rStyle w:val="Refdenotaalpie"/>
          <w:rFonts w:ascii="Times New Roman" w:hAnsi="Times New Roman" w:cs="Times New Roman"/>
          <w:iCs/>
          <w:sz w:val="24"/>
          <w:szCs w:val="24"/>
        </w:rPr>
        <w:footnoteReference w:id="15"/>
      </w:r>
      <w:r>
        <w:rPr>
          <w:rFonts w:ascii="Times New Roman" w:hAnsi="Times New Roman" w:cs="Times New Roman"/>
          <w:iCs/>
          <w:sz w:val="24"/>
          <w:szCs w:val="24"/>
        </w:rPr>
        <w:t>.</w:t>
      </w:r>
    </w:p>
    <w:p w14:paraId="2F432495" w14:textId="77777777" w:rsidR="00D057DD" w:rsidRDefault="00D057DD" w:rsidP="00D057DD">
      <w:pPr>
        <w:pStyle w:val="Prrafodelista"/>
        <w:numPr>
          <w:ilvl w:val="0"/>
          <w:numId w:val="22"/>
        </w:numPr>
        <w:ind w:left="220"/>
        <w:jc w:val="both"/>
        <w:rPr>
          <w:rFonts w:ascii="Times New Roman" w:hAnsi="Times New Roman" w:cs="Times New Roman"/>
          <w:sz w:val="24"/>
          <w:szCs w:val="24"/>
        </w:rPr>
      </w:pPr>
      <w:r>
        <w:rPr>
          <w:rFonts w:ascii="Times New Roman" w:hAnsi="Times New Roman" w:cs="Times New Roman"/>
          <w:sz w:val="24"/>
          <w:szCs w:val="24"/>
          <w:lang w:val="es-MX"/>
        </w:rPr>
        <w:t xml:space="preserve">En </w:t>
      </w:r>
      <w:r>
        <w:rPr>
          <w:rFonts w:ascii="Times New Roman" w:hAnsi="Times New Roman" w:cs="Times New Roman"/>
          <w:i/>
          <w:sz w:val="24"/>
          <w:szCs w:val="24"/>
          <w:lang w:val="es-MX"/>
        </w:rPr>
        <w:t>el Poder Judicial</w:t>
      </w:r>
      <w:r>
        <w:rPr>
          <w:rFonts w:ascii="Times New Roman" w:hAnsi="Times New Roman" w:cs="Times New Roman"/>
          <w:sz w:val="24"/>
          <w:szCs w:val="24"/>
          <w:lang w:val="es-MX"/>
        </w:rPr>
        <w:t>,  la previsión de mayor especialización establecida por la Ley Nº19.580 encuentra limitaciones en su aplicación</w:t>
      </w:r>
      <w:r>
        <w:rPr>
          <w:rStyle w:val="Refdenotaalpie"/>
          <w:rFonts w:ascii="Times New Roman" w:hAnsi="Times New Roman" w:cs="Times New Roman"/>
          <w:sz w:val="24"/>
          <w:szCs w:val="24"/>
          <w:lang w:val="es-MX"/>
        </w:rPr>
        <w:footnoteReference w:id="16"/>
      </w:r>
      <w:r>
        <w:rPr>
          <w:rFonts w:ascii="Times New Roman" w:hAnsi="Times New Roman" w:cs="Times New Roman"/>
          <w:sz w:val="24"/>
          <w:szCs w:val="24"/>
          <w:lang w:val="es-MX"/>
        </w:rPr>
        <w:t>. Hasta el presente, sólo se han creado dos sedes que se ubican en el Departamento de Maldonado.</w:t>
      </w:r>
    </w:p>
    <w:p w14:paraId="3DDF292B" w14:textId="77777777" w:rsidR="00D057DD" w:rsidRDefault="00D057DD" w:rsidP="00D057DD">
      <w:pPr>
        <w:pStyle w:val="Prrafodelista"/>
        <w:ind w:left="0" w:firstLineChars="100" w:firstLine="240"/>
        <w:jc w:val="both"/>
        <w:rPr>
          <w:rFonts w:ascii="Times New Roman" w:hAnsi="Times New Roman" w:cs="Times New Roman"/>
          <w:sz w:val="24"/>
          <w:szCs w:val="24"/>
          <w:lang w:val="es-MX"/>
        </w:rPr>
      </w:pPr>
      <w:r>
        <w:rPr>
          <w:rFonts w:ascii="Times New Roman" w:hAnsi="Times New Roman" w:cs="Times New Roman"/>
          <w:sz w:val="24"/>
          <w:szCs w:val="24"/>
          <w:lang w:val="es-MX"/>
        </w:rPr>
        <w:t xml:space="preserve"> </w:t>
      </w:r>
      <w:proofErr w:type="gramStart"/>
      <w:r>
        <w:rPr>
          <w:rFonts w:ascii="Times New Roman" w:hAnsi="Times New Roman" w:cs="Times New Roman"/>
          <w:sz w:val="24"/>
          <w:szCs w:val="24"/>
          <w:lang w:val="es-MX"/>
        </w:rPr>
        <w:t>Se  preveían</w:t>
      </w:r>
      <w:proofErr w:type="gramEnd"/>
      <w:r>
        <w:rPr>
          <w:rFonts w:ascii="Times New Roman" w:hAnsi="Times New Roman" w:cs="Times New Roman"/>
          <w:sz w:val="24"/>
          <w:szCs w:val="24"/>
          <w:lang w:val="es-MX"/>
        </w:rPr>
        <w:t xml:space="preserve"> para el 2022, la creación de los otros 4 Juzgados en los departamentos de Salto y Rivera, sin concreción aún. </w:t>
      </w:r>
    </w:p>
    <w:p w14:paraId="353B3A94" w14:textId="77777777" w:rsidR="00D057DD" w:rsidRDefault="00D057DD" w:rsidP="00D057DD">
      <w:pPr>
        <w:pStyle w:val="Prrafodelista"/>
        <w:ind w:left="0" w:firstLineChars="100" w:firstLine="240"/>
        <w:jc w:val="both"/>
        <w:rPr>
          <w:rFonts w:ascii="Times New Roman" w:hAnsi="Times New Roman" w:cs="Times New Roman"/>
          <w:sz w:val="24"/>
          <w:szCs w:val="24"/>
          <w:lang w:val="es-MX"/>
        </w:rPr>
      </w:pPr>
      <w:r>
        <w:rPr>
          <w:rFonts w:ascii="Times New Roman" w:hAnsi="Times New Roman" w:cs="Times New Roman"/>
          <w:sz w:val="24"/>
          <w:szCs w:val="24"/>
          <w:lang w:val="es-MX"/>
        </w:rPr>
        <w:t>Desde la aprobación de la Ley N°19.580 la SCJ ha solicitado presupuesto para crear nuevas sedes y le ha sido denegado sistemáticamente</w:t>
      </w:r>
      <w:r>
        <w:rPr>
          <w:rStyle w:val="Refdenotaalpie"/>
          <w:rFonts w:ascii="Times New Roman" w:hAnsi="Times New Roman" w:cs="Times New Roman"/>
          <w:sz w:val="24"/>
          <w:szCs w:val="24"/>
          <w:lang w:val="es-MX"/>
        </w:rPr>
        <w:footnoteReference w:id="17"/>
      </w:r>
      <w:r>
        <w:rPr>
          <w:rFonts w:ascii="Times New Roman" w:hAnsi="Times New Roman" w:cs="Times New Roman"/>
          <w:sz w:val="24"/>
          <w:szCs w:val="24"/>
          <w:lang w:val="es-MX"/>
        </w:rPr>
        <w:t xml:space="preserve">. Tampoco se </w:t>
      </w:r>
      <w:proofErr w:type="gramStart"/>
      <w:r>
        <w:rPr>
          <w:rFonts w:ascii="Times New Roman" w:hAnsi="Times New Roman" w:cs="Times New Roman"/>
          <w:sz w:val="24"/>
          <w:szCs w:val="24"/>
          <w:lang w:val="es-MX"/>
        </w:rPr>
        <w:t>han  reorganizado</w:t>
      </w:r>
      <w:proofErr w:type="gramEnd"/>
      <w:r>
        <w:rPr>
          <w:rFonts w:ascii="Times New Roman" w:hAnsi="Times New Roman" w:cs="Times New Roman"/>
          <w:sz w:val="24"/>
          <w:szCs w:val="24"/>
          <w:lang w:val="es-MX"/>
        </w:rPr>
        <w:t xml:space="preserve"> sedes para permitir la creación de nuevos juzgados. Por otra parte, la distribución territorial de las sedes se concentra principalmente en las capitales departamentales</w:t>
      </w:r>
      <w:r>
        <w:rPr>
          <w:rStyle w:val="Refdenotaalpie"/>
          <w:rFonts w:ascii="Times New Roman" w:hAnsi="Times New Roman" w:cs="Times New Roman"/>
          <w:sz w:val="24"/>
          <w:szCs w:val="24"/>
          <w:lang w:val="es-MX"/>
        </w:rPr>
        <w:footnoteReference w:id="18"/>
      </w:r>
      <w:r>
        <w:rPr>
          <w:rFonts w:ascii="Times New Roman" w:hAnsi="Times New Roman" w:cs="Times New Roman"/>
          <w:sz w:val="24"/>
          <w:szCs w:val="24"/>
          <w:lang w:val="es-MX"/>
        </w:rPr>
        <w:t xml:space="preserve">. </w:t>
      </w:r>
    </w:p>
    <w:p w14:paraId="3C42FF15" w14:textId="77777777" w:rsidR="00D057DD" w:rsidRDefault="00D057DD" w:rsidP="00D057DD">
      <w:pPr>
        <w:pStyle w:val="Prrafodelista"/>
        <w:ind w:left="0" w:firstLineChars="100" w:firstLine="240"/>
        <w:jc w:val="both"/>
        <w:rPr>
          <w:rFonts w:ascii="Times New Roman" w:hAnsi="Times New Roman" w:cs="Times New Roman"/>
          <w:sz w:val="24"/>
          <w:szCs w:val="24"/>
        </w:rPr>
      </w:pPr>
      <w:r>
        <w:rPr>
          <w:rFonts w:ascii="Times New Roman" w:hAnsi="Times New Roman" w:cs="Times New Roman"/>
          <w:sz w:val="24"/>
          <w:szCs w:val="24"/>
          <w:lang w:val="es-MX"/>
        </w:rPr>
        <w:lastRenderedPageBreak/>
        <w:t xml:space="preserve"> Resulta necesario </w:t>
      </w:r>
      <w:r>
        <w:rPr>
          <w:rFonts w:ascii="Times New Roman" w:hAnsi="Times New Roman" w:cs="Times New Roman"/>
          <w:sz w:val="24"/>
          <w:szCs w:val="24"/>
        </w:rPr>
        <w:t>incrementar la asistencia jurídica gratuita</w:t>
      </w:r>
      <w:r>
        <w:rPr>
          <w:rFonts w:ascii="Times New Roman" w:hAnsi="Times New Roman" w:cs="Times New Roman"/>
          <w:sz w:val="24"/>
          <w:szCs w:val="24"/>
          <w:lang w:val="es-MX"/>
        </w:rPr>
        <w:t xml:space="preserve">, aumentando los recursos humanos de la Defensoría Pública, especialmente en el interior del país y para </w:t>
      </w:r>
      <w:r>
        <w:rPr>
          <w:rFonts w:ascii="Times New Roman" w:hAnsi="Times New Roman" w:cs="Times New Roman"/>
          <w:sz w:val="24"/>
          <w:szCs w:val="24"/>
        </w:rPr>
        <w:t>la defensa de víctimas de delitos.</w:t>
      </w:r>
    </w:p>
    <w:p w14:paraId="71408EC2" w14:textId="77777777" w:rsidR="00D057DD" w:rsidRDefault="00D057DD" w:rsidP="00D057DD">
      <w:pPr>
        <w:pStyle w:val="Prrafodelista"/>
        <w:numPr>
          <w:ilvl w:val="0"/>
          <w:numId w:val="22"/>
        </w:numPr>
        <w:ind w:left="220"/>
        <w:jc w:val="both"/>
        <w:rPr>
          <w:rFonts w:ascii="Times New Roman" w:hAnsi="Times New Roman" w:cs="Times New Roman"/>
          <w:sz w:val="24"/>
          <w:szCs w:val="24"/>
        </w:rPr>
      </w:pPr>
      <w:r>
        <w:rPr>
          <w:rFonts w:ascii="Times New Roman" w:hAnsi="Times New Roman" w:cs="Times New Roman"/>
          <w:sz w:val="24"/>
          <w:szCs w:val="24"/>
        </w:rPr>
        <w:t xml:space="preserve">En relación a </w:t>
      </w:r>
      <w:r>
        <w:rPr>
          <w:rFonts w:ascii="Times New Roman" w:hAnsi="Times New Roman" w:cs="Times New Roman"/>
          <w:i/>
          <w:sz w:val="24"/>
          <w:szCs w:val="24"/>
        </w:rPr>
        <w:t xml:space="preserve">mecanismos </w:t>
      </w:r>
      <w:proofErr w:type="spellStart"/>
      <w:r>
        <w:rPr>
          <w:rFonts w:ascii="Times New Roman" w:hAnsi="Times New Roman" w:cs="Times New Roman"/>
          <w:i/>
          <w:sz w:val="24"/>
          <w:szCs w:val="24"/>
        </w:rPr>
        <w:t>cuasijurisdicciona</w:t>
      </w:r>
      <w:proofErr w:type="spellEnd"/>
      <w:r>
        <w:rPr>
          <w:rFonts w:ascii="Times New Roman" w:hAnsi="Times New Roman" w:cs="Times New Roman"/>
          <w:i/>
          <w:sz w:val="24"/>
          <w:szCs w:val="24"/>
          <w:lang w:val="es-MX"/>
        </w:rPr>
        <w:t>les</w:t>
      </w:r>
      <w:r>
        <w:rPr>
          <w:rFonts w:ascii="Times New Roman" w:hAnsi="Times New Roman" w:cs="Times New Roman"/>
          <w:sz w:val="24"/>
          <w:szCs w:val="24"/>
        </w:rPr>
        <w:t xml:space="preserve"> de protección, la INDDHH cuenta con la Defensoría del Pueblo que atiende consultas y denuncias.</w:t>
      </w:r>
    </w:p>
    <w:p w14:paraId="54B1A947" w14:textId="77777777" w:rsidR="00D057DD" w:rsidRDefault="00D057DD" w:rsidP="00D057DD">
      <w:pPr>
        <w:pStyle w:val="Prrafodelista"/>
        <w:ind w:left="220" w:firstLineChars="50" w:firstLine="120"/>
        <w:jc w:val="both"/>
        <w:rPr>
          <w:rFonts w:ascii="Times New Roman" w:hAnsi="Times New Roman" w:cs="Times New Roman"/>
          <w:sz w:val="24"/>
          <w:szCs w:val="24"/>
        </w:rPr>
      </w:pPr>
      <w:r>
        <w:rPr>
          <w:rFonts w:ascii="Times New Roman" w:hAnsi="Times New Roman" w:cs="Times New Roman"/>
          <w:sz w:val="24"/>
          <w:szCs w:val="24"/>
        </w:rPr>
        <w:t xml:space="preserve"> Durante el 2022, la UEG realizó una revisión de todas las resoluciones aprobadas por la INDDHH en</w:t>
      </w:r>
      <w:r>
        <w:rPr>
          <w:rFonts w:ascii="Times New Roman" w:hAnsi="Times New Roman" w:cs="Times New Roman"/>
          <w:sz w:val="24"/>
          <w:szCs w:val="24"/>
          <w:lang w:val="es-MX"/>
        </w:rPr>
        <w:t xml:space="preserve"> el período</w:t>
      </w:r>
      <w:r>
        <w:rPr>
          <w:rFonts w:ascii="Times New Roman" w:hAnsi="Times New Roman" w:cs="Times New Roman"/>
          <w:sz w:val="24"/>
          <w:szCs w:val="24"/>
        </w:rPr>
        <w:t xml:space="preserve"> 2018</w:t>
      </w:r>
      <w:r>
        <w:rPr>
          <w:rFonts w:ascii="Times New Roman" w:hAnsi="Times New Roman" w:cs="Times New Roman"/>
          <w:sz w:val="24"/>
          <w:szCs w:val="24"/>
          <w:lang w:val="es-MX"/>
        </w:rPr>
        <w:t>-2022</w:t>
      </w:r>
      <w:r>
        <w:rPr>
          <w:rFonts w:ascii="Times New Roman" w:hAnsi="Times New Roman" w:cs="Times New Roman"/>
          <w:sz w:val="24"/>
          <w:szCs w:val="24"/>
        </w:rPr>
        <w:t xml:space="preserve"> con el objetivo de identificar y caracterizar las situaciones de violencia basada en género, </w:t>
      </w:r>
      <w:r>
        <w:rPr>
          <w:rFonts w:ascii="Times New Roman" w:hAnsi="Times New Roman" w:cs="Times New Roman"/>
          <w:sz w:val="24"/>
          <w:szCs w:val="24"/>
          <w:lang w:val="es-MX"/>
        </w:rPr>
        <w:t>y</w:t>
      </w:r>
      <w:r>
        <w:rPr>
          <w:rFonts w:ascii="Times New Roman" w:hAnsi="Times New Roman" w:cs="Times New Roman"/>
          <w:sz w:val="24"/>
          <w:szCs w:val="24"/>
        </w:rPr>
        <w:t xml:space="preserve"> determinar dificultades, fortalezas y desafíos para dar respuesta eficaz y eficiente a los problemas planteados</w:t>
      </w:r>
      <w:r>
        <w:rPr>
          <w:rStyle w:val="Refdenotaalpie"/>
          <w:rFonts w:ascii="Times New Roman" w:hAnsi="Times New Roman" w:cs="Times New Roman"/>
          <w:sz w:val="24"/>
          <w:szCs w:val="24"/>
        </w:rPr>
        <w:footnoteReference w:id="19"/>
      </w:r>
      <w:r>
        <w:rPr>
          <w:rFonts w:ascii="Times New Roman" w:hAnsi="Times New Roman" w:cs="Times New Roman"/>
          <w:sz w:val="24"/>
          <w:szCs w:val="24"/>
        </w:rPr>
        <w:t xml:space="preserve">. </w:t>
      </w:r>
    </w:p>
    <w:p w14:paraId="3EB7EBEC" w14:textId="77777777" w:rsidR="00D057DD" w:rsidRDefault="00D057DD" w:rsidP="00D057DD">
      <w:pPr>
        <w:pStyle w:val="Prrafodelista"/>
        <w:ind w:left="220" w:firstLineChars="50" w:firstLine="120"/>
        <w:jc w:val="both"/>
        <w:rPr>
          <w:rFonts w:ascii="Times New Roman" w:hAnsi="Times New Roman" w:cs="Times New Roman"/>
          <w:sz w:val="24"/>
          <w:szCs w:val="24"/>
        </w:rPr>
      </w:pPr>
      <w:r>
        <w:rPr>
          <w:rFonts w:ascii="Times New Roman" w:hAnsi="Times New Roman" w:cs="Times New Roman"/>
          <w:sz w:val="24"/>
          <w:szCs w:val="24"/>
        </w:rPr>
        <w:t xml:space="preserve">Se </w:t>
      </w:r>
      <w:r>
        <w:rPr>
          <w:rFonts w:ascii="Times New Roman" w:hAnsi="Times New Roman" w:cs="Times New Roman"/>
          <w:sz w:val="24"/>
          <w:szCs w:val="24"/>
          <w:lang w:val="es-MX"/>
        </w:rPr>
        <w:t>detectaron</w:t>
      </w:r>
      <w:r>
        <w:rPr>
          <w:rFonts w:ascii="Times New Roman" w:hAnsi="Times New Roman" w:cs="Times New Roman"/>
          <w:sz w:val="24"/>
          <w:szCs w:val="24"/>
        </w:rPr>
        <w:t xml:space="preserve"> 92 casos vinculados a violencia basada en género </w:t>
      </w:r>
      <w:r>
        <w:rPr>
          <w:rFonts w:ascii="Times New Roman" w:hAnsi="Times New Roman" w:cs="Times New Roman"/>
          <w:sz w:val="24"/>
          <w:szCs w:val="24"/>
          <w:lang w:val="es-MX"/>
        </w:rPr>
        <w:t>donde</w:t>
      </w:r>
      <w:r>
        <w:rPr>
          <w:rFonts w:ascii="Times New Roman" w:hAnsi="Times New Roman" w:cs="Times New Roman"/>
          <w:sz w:val="24"/>
          <w:szCs w:val="24"/>
        </w:rPr>
        <w:t xml:space="preserve"> la INDDHH emitió </w:t>
      </w:r>
      <w:proofErr w:type="spellStart"/>
      <w:r>
        <w:rPr>
          <w:rFonts w:ascii="Times New Roman" w:hAnsi="Times New Roman" w:cs="Times New Roman"/>
          <w:sz w:val="24"/>
          <w:szCs w:val="24"/>
        </w:rPr>
        <w:t>resoluci</w:t>
      </w:r>
      <w:proofErr w:type="spellEnd"/>
      <w:r>
        <w:rPr>
          <w:rFonts w:ascii="Times New Roman" w:hAnsi="Times New Roman" w:cs="Times New Roman"/>
          <w:sz w:val="24"/>
          <w:szCs w:val="24"/>
          <w:lang w:val="es-MX"/>
        </w:rPr>
        <w:t>o</w:t>
      </w:r>
      <w:r>
        <w:rPr>
          <w:rFonts w:ascii="Times New Roman" w:hAnsi="Times New Roman" w:cs="Times New Roman"/>
          <w:sz w:val="24"/>
          <w:szCs w:val="24"/>
        </w:rPr>
        <w:t>n</w:t>
      </w:r>
      <w:r>
        <w:rPr>
          <w:rFonts w:ascii="Times New Roman" w:hAnsi="Times New Roman" w:cs="Times New Roman"/>
          <w:sz w:val="24"/>
          <w:szCs w:val="24"/>
          <w:lang w:val="es-MX"/>
        </w:rPr>
        <w:t>es</w:t>
      </w:r>
      <w:r>
        <w:rPr>
          <w:rFonts w:ascii="Times New Roman" w:hAnsi="Times New Roman" w:cs="Times New Roman"/>
          <w:sz w:val="24"/>
          <w:szCs w:val="24"/>
        </w:rPr>
        <w:t xml:space="preserve"> (lo que representa </w:t>
      </w:r>
      <w:proofErr w:type="gramStart"/>
      <w:r>
        <w:rPr>
          <w:rFonts w:ascii="Times New Roman" w:hAnsi="Times New Roman" w:cs="Times New Roman"/>
          <w:sz w:val="24"/>
          <w:szCs w:val="24"/>
        </w:rPr>
        <w:t xml:space="preserve">un </w:t>
      </w:r>
      <w:r>
        <w:rPr>
          <w:rFonts w:ascii="Times New Roman" w:hAnsi="Times New Roman" w:cs="Times New Roman"/>
          <w:sz w:val="24"/>
          <w:szCs w:val="24"/>
          <w:lang w:val="es-MX"/>
        </w:rPr>
        <w:t xml:space="preserve"> </w:t>
      </w:r>
      <w:r>
        <w:rPr>
          <w:rFonts w:ascii="Times New Roman" w:hAnsi="Times New Roman" w:cs="Times New Roman"/>
          <w:sz w:val="24"/>
          <w:szCs w:val="24"/>
        </w:rPr>
        <w:t>17</w:t>
      </w:r>
      <w:proofErr w:type="gramEnd"/>
      <w:r>
        <w:rPr>
          <w:rFonts w:ascii="Times New Roman" w:hAnsi="Times New Roman" w:cs="Times New Roman"/>
          <w:sz w:val="24"/>
          <w:szCs w:val="24"/>
        </w:rPr>
        <w:t xml:space="preserve"> % del total de resoluciones emitidas</w:t>
      </w:r>
      <w:r>
        <w:rPr>
          <w:rFonts w:ascii="Times New Roman" w:hAnsi="Times New Roman" w:cs="Times New Roman"/>
          <w:sz w:val="24"/>
          <w:szCs w:val="24"/>
          <w:lang w:val="es-MX"/>
        </w:rPr>
        <w:t>)</w:t>
      </w:r>
      <w:r>
        <w:rPr>
          <w:rFonts w:ascii="Times New Roman" w:hAnsi="Times New Roman" w:cs="Times New Roman"/>
          <w:sz w:val="24"/>
          <w:szCs w:val="24"/>
        </w:rPr>
        <w:t xml:space="preserve">. </w:t>
      </w:r>
      <w:r>
        <w:rPr>
          <w:rFonts w:ascii="Times New Roman" w:hAnsi="Times New Roman" w:cs="Times New Roman"/>
          <w:sz w:val="24"/>
          <w:szCs w:val="24"/>
          <w:lang w:val="es-MX"/>
        </w:rPr>
        <w:t>En</w:t>
      </w:r>
      <w:r>
        <w:rPr>
          <w:rFonts w:ascii="Times New Roman" w:hAnsi="Times New Roman" w:cs="Times New Roman"/>
          <w:sz w:val="24"/>
          <w:szCs w:val="24"/>
        </w:rPr>
        <w:t xml:space="preserve"> esos 92</w:t>
      </w:r>
      <w:r>
        <w:rPr>
          <w:rFonts w:ascii="Times New Roman" w:hAnsi="Times New Roman" w:cs="Times New Roman"/>
          <w:sz w:val="24"/>
          <w:szCs w:val="24"/>
          <w:lang w:val="es-MX"/>
        </w:rPr>
        <w:t xml:space="preserve"> casos</w:t>
      </w:r>
      <w:r>
        <w:rPr>
          <w:rFonts w:ascii="Times New Roman" w:hAnsi="Times New Roman" w:cs="Times New Roman"/>
          <w:sz w:val="24"/>
          <w:szCs w:val="24"/>
        </w:rPr>
        <w:t>, el 71 % se constató una vulneración de derechos</w:t>
      </w:r>
      <w:r>
        <w:rPr>
          <w:rFonts w:ascii="Times New Roman" w:hAnsi="Times New Roman" w:cs="Times New Roman"/>
          <w:sz w:val="24"/>
          <w:szCs w:val="24"/>
          <w:lang w:val="es-MX"/>
        </w:rPr>
        <w:t>, i</w:t>
      </w:r>
      <w:proofErr w:type="spellStart"/>
      <w:r>
        <w:rPr>
          <w:rFonts w:ascii="Times New Roman" w:hAnsi="Times New Roman" w:cs="Times New Roman"/>
          <w:sz w:val="24"/>
          <w:szCs w:val="24"/>
        </w:rPr>
        <w:t>dentifica</w:t>
      </w:r>
      <w:r>
        <w:rPr>
          <w:rFonts w:ascii="Times New Roman" w:hAnsi="Times New Roman" w:cs="Times New Roman"/>
          <w:sz w:val="24"/>
          <w:szCs w:val="24"/>
          <w:lang w:val="es-MX"/>
        </w:rPr>
        <w:t>ndo</w:t>
      </w:r>
      <w:proofErr w:type="spellEnd"/>
      <w:r>
        <w:rPr>
          <w:rFonts w:ascii="Times New Roman" w:hAnsi="Times New Roman" w:cs="Times New Roman"/>
          <w:sz w:val="24"/>
          <w:szCs w:val="24"/>
        </w:rPr>
        <w:t xml:space="preserve"> diversas formas de violencia previstas por la Ley N° 19.580</w:t>
      </w:r>
      <w:r>
        <w:rPr>
          <w:rStyle w:val="Refdenotaalpie"/>
          <w:rFonts w:ascii="Times New Roman" w:hAnsi="Times New Roman" w:cs="Times New Roman"/>
          <w:sz w:val="24"/>
          <w:szCs w:val="24"/>
        </w:rPr>
        <w:footnoteReference w:id="20"/>
      </w:r>
      <w:r>
        <w:rPr>
          <w:rFonts w:ascii="Times New Roman" w:hAnsi="Times New Roman" w:cs="Times New Roman"/>
          <w:sz w:val="24"/>
          <w:szCs w:val="24"/>
        </w:rPr>
        <w:t>.</w:t>
      </w:r>
    </w:p>
    <w:p w14:paraId="30E2A27D" w14:textId="77777777" w:rsidR="00D057DD" w:rsidRDefault="00D057DD" w:rsidP="00D057DD">
      <w:pPr>
        <w:pStyle w:val="Prrafodelista"/>
        <w:ind w:left="0"/>
        <w:jc w:val="both"/>
        <w:rPr>
          <w:rFonts w:ascii="Times New Roman" w:hAnsi="Times New Roman" w:cs="Times New Roman"/>
          <w:b/>
          <w:bCs/>
          <w:sz w:val="24"/>
          <w:szCs w:val="24"/>
          <w:lang w:val="es-MX"/>
        </w:rPr>
      </w:pPr>
    </w:p>
    <w:p w14:paraId="01806284" w14:textId="77777777" w:rsidR="00D057DD" w:rsidRDefault="00D057DD" w:rsidP="00D057DD">
      <w:pPr>
        <w:pStyle w:val="Prrafodelista"/>
        <w:ind w:left="0"/>
        <w:jc w:val="both"/>
        <w:rPr>
          <w:rFonts w:ascii="Times New Roman" w:hAnsi="Times New Roman" w:cs="Times New Roman"/>
          <w:sz w:val="24"/>
          <w:szCs w:val="24"/>
        </w:rPr>
      </w:pPr>
      <w:r>
        <w:rPr>
          <w:rFonts w:ascii="Times New Roman" w:hAnsi="Times New Roman" w:cs="Times New Roman"/>
          <w:b/>
          <w:bCs/>
          <w:sz w:val="24"/>
          <w:szCs w:val="24"/>
          <w:lang w:val="es-MX"/>
        </w:rPr>
        <w:t>V</w:t>
      </w:r>
      <w:proofErr w:type="spellStart"/>
      <w:r>
        <w:rPr>
          <w:rFonts w:ascii="Times New Roman" w:hAnsi="Times New Roman" w:cs="Times New Roman"/>
          <w:b/>
          <w:sz w:val="24"/>
          <w:szCs w:val="24"/>
          <w:lang w:eastAsia="zh-CN"/>
        </w:rPr>
        <w:t>iolencia</w:t>
      </w:r>
      <w:proofErr w:type="spellEnd"/>
      <w:r>
        <w:rPr>
          <w:rFonts w:ascii="Times New Roman" w:hAnsi="Times New Roman" w:cs="Times New Roman"/>
          <w:b/>
          <w:sz w:val="24"/>
          <w:szCs w:val="24"/>
          <w:lang w:eastAsia="zh-CN"/>
        </w:rPr>
        <w:t xml:space="preserve"> por razón de género contra las mujeres durante el régimen </w:t>
      </w:r>
      <w:r>
        <w:rPr>
          <w:rFonts w:ascii="Times New Roman" w:hAnsi="Times New Roman" w:cs="Times New Roman"/>
          <w:b/>
          <w:i/>
          <w:iCs/>
          <w:sz w:val="24"/>
          <w:szCs w:val="24"/>
          <w:lang w:eastAsia="zh-CN"/>
        </w:rPr>
        <w:t>de facto</w:t>
      </w:r>
    </w:p>
    <w:p w14:paraId="355011E9" w14:textId="77777777" w:rsidR="00D057DD" w:rsidRDefault="00D057DD" w:rsidP="00D057DD">
      <w:pPr>
        <w:pStyle w:val="Prrafodelista"/>
        <w:ind w:left="0"/>
        <w:jc w:val="both"/>
        <w:rPr>
          <w:rFonts w:ascii="Times New Roman" w:hAnsi="Times New Roman" w:cs="Times New Roman"/>
          <w:sz w:val="24"/>
          <w:szCs w:val="24"/>
        </w:rPr>
      </w:pPr>
    </w:p>
    <w:p w14:paraId="5BCBD4B6" w14:textId="77777777" w:rsidR="00D057DD" w:rsidRDefault="00D057DD" w:rsidP="00D057DD">
      <w:pPr>
        <w:pStyle w:val="Prrafodelista"/>
        <w:numPr>
          <w:ilvl w:val="0"/>
          <w:numId w:val="20"/>
        </w:numPr>
        <w:ind w:left="220"/>
        <w:jc w:val="both"/>
        <w:rPr>
          <w:rFonts w:ascii="Times New Roman" w:hAnsi="Times New Roman" w:cs="Times New Roman"/>
          <w:b/>
          <w:i/>
          <w:iCs/>
          <w:sz w:val="24"/>
          <w:szCs w:val="24"/>
          <w:lang w:eastAsia="zh-CN"/>
        </w:rPr>
      </w:pPr>
      <w:r>
        <w:rPr>
          <w:rFonts w:ascii="Times New Roman" w:hAnsi="Times New Roman" w:cs="Times New Roman"/>
          <w:sz w:val="24"/>
          <w:szCs w:val="24"/>
          <w:lang w:val="es-MX"/>
        </w:rPr>
        <w:t>La Ley 19.822</w:t>
      </w:r>
      <w:r>
        <w:rPr>
          <w:rStyle w:val="Refdenotaalpie"/>
          <w:rFonts w:ascii="Times New Roman" w:hAnsi="Times New Roman" w:cs="Times New Roman"/>
          <w:sz w:val="24"/>
          <w:szCs w:val="24"/>
          <w:lang w:val="es-MX"/>
        </w:rPr>
        <w:footnoteReference w:id="21"/>
      </w:r>
      <w:r>
        <w:rPr>
          <w:rFonts w:ascii="Times New Roman" w:hAnsi="Times New Roman" w:cs="Times New Roman"/>
          <w:sz w:val="24"/>
          <w:szCs w:val="24"/>
          <w:lang w:val="es-MX"/>
        </w:rPr>
        <w:t xml:space="preserve"> </w:t>
      </w:r>
      <w:r>
        <w:rPr>
          <w:rFonts w:ascii="Times New Roman" w:hAnsi="Times New Roman" w:cs="Times New Roman"/>
          <w:sz w:val="24"/>
          <w:szCs w:val="24"/>
          <w:lang w:eastAsia="zh-CN"/>
        </w:rPr>
        <w:t xml:space="preserve">encargó a la INDDHH la búsqueda de las personas detenidas desaparecidas </w:t>
      </w:r>
      <w:r>
        <w:rPr>
          <w:rFonts w:ascii="Times New Roman" w:hAnsi="Times New Roman" w:cs="Times New Roman"/>
          <w:sz w:val="24"/>
          <w:szCs w:val="24"/>
          <w:lang w:val="es-MX" w:eastAsia="zh-CN"/>
        </w:rPr>
        <w:t xml:space="preserve">dentro y fuera del Uruguay </w:t>
      </w:r>
      <w:r>
        <w:rPr>
          <w:rFonts w:ascii="Times New Roman" w:hAnsi="Times New Roman" w:cs="Times New Roman"/>
          <w:sz w:val="24"/>
          <w:szCs w:val="24"/>
          <w:lang w:eastAsia="zh-CN"/>
        </w:rPr>
        <w:t>en el marco de la actuación ilegítima del</w:t>
      </w:r>
      <w:r>
        <w:rPr>
          <w:rFonts w:ascii="Times New Roman" w:hAnsi="Times New Roman" w:cs="Times New Roman"/>
          <w:sz w:val="24"/>
          <w:szCs w:val="24"/>
          <w:lang w:val="es-MX" w:eastAsia="zh-CN"/>
        </w:rPr>
        <w:t xml:space="preserve"> </w:t>
      </w:r>
      <w:r>
        <w:rPr>
          <w:rFonts w:ascii="Times New Roman" w:hAnsi="Times New Roman" w:cs="Times New Roman"/>
          <w:sz w:val="24"/>
          <w:szCs w:val="24"/>
          <w:lang w:eastAsia="zh-CN"/>
        </w:rPr>
        <w:t>Estado</w:t>
      </w:r>
      <w:r>
        <w:rPr>
          <w:rFonts w:ascii="Times New Roman" w:hAnsi="Times New Roman" w:cs="Times New Roman"/>
          <w:sz w:val="24"/>
          <w:szCs w:val="24"/>
          <w:lang w:val="es-MX" w:eastAsia="zh-CN"/>
        </w:rPr>
        <w:t xml:space="preserve"> (1968-1973).</w:t>
      </w:r>
    </w:p>
    <w:p w14:paraId="35AC30E2" w14:textId="77777777" w:rsidR="00D057DD" w:rsidRDefault="00D057DD" w:rsidP="00D057DD">
      <w:pPr>
        <w:pStyle w:val="Prrafodelista"/>
        <w:numPr>
          <w:ilvl w:val="0"/>
          <w:numId w:val="20"/>
        </w:numPr>
        <w:ind w:left="220"/>
        <w:jc w:val="both"/>
        <w:rPr>
          <w:rFonts w:ascii="Times New Roman" w:hAnsi="Times New Roman" w:cs="Times New Roman"/>
          <w:b/>
          <w:i/>
          <w:iCs/>
          <w:sz w:val="24"/>
          <w:szCs w:val="24"/>
          <w:lang w:eastAsia="zh-CN"/>
        </w:rPr>
      </w:pPr>
      <w:r>
        <w:rPr>
          <w:rFonts w:ascii="Times New Roman" w:hAnsi="Times New Roman" w:cs="Times New Roman"/>
          <w:sz w:val="24"/>
          <w:szCs w:val="24"/>
          <w:lang w:val="es-MX" w:eastAsia="zh-CN"/>
        </w:rPr>
        <w:t>P</w:t>
      </w:r>
      <w:r>
        <w:rPr>
          <w:rFonts w:ascii="Times New Roman" w:hAnsi="Times New Roman" w:cs="Times New Roman"/>
          <w:sz w:val="24"/>
          <w:szCs w:val="24"/>
          <w:lang w:eastAsia="zh-CN"/>
        </w:rPr>
        <w:t>ara ello resulta fundamental que se mantengan los recursos, las asignaciones presupuestales necesarias y la cooperación de todas las entidades del Estado con el trabajo de investigación</w:t>
      </w:r>
      <w:r>
        <w:rPr>
          <w:rStyle w:val="Refdenotaalpie"/>
          <w:rFonts w:ascii="Times New Roman" w:hAnsi="Times New Roman" w:cs="Times New Roman"/>
          <w:sz w:val="24"/>
          <w:szCs w:val="24"/>
          <w:lang w:eastAsia="zh-CN"/>
        </w:rPr>
        <w:footnoteReference w:id="22"/>
      </w:r>
      <w:r>
        <w:rPr>
          <w:rFonts w:ascii="Times New Roman" w:hAnsi="Times New Roman" w:cs="Times New Roman"/>
          <w:sz w:val="24"/>
          <w:szCs w:val="24"/>
          <w:lang w:eastAsia="zh-CN"/>
        </w:rPr>
        <w:t xml:space="preserve">. </w:t>
      </w:r>
    </w:p>
    <w:p w14:paraId="29DC1955" w14:textId="77777777" w:rsidR="00D057DD" w:rsidRDefault="00D057DD" w:rsidP="00D057DD">
      <w:pPr>
        <w:pStyle w:val="Prrafodelista"/>
        <w:ind w:left="0"/>
        <w:jc w:val="both"/>
        <w:rPr>
          <w:rFonts w:ascii="Times New Roman" w:hAnsi="Times New Roman" w:cs="Times New Roman"/>
          <w:sz w:val="24"/>
          <w:szCs w:val="24"/>
          <w:lang w:eastAsia="zh-CN"/>
        </w:rPr>
      </w:pPr>
    </w:p>
    <w:p w14:paraId="7BC49370" w14:textId="77777777" w:rsidR="00D057DD" w:rsidRDefault="00D057DD" w:rsidP="00D057DD">
      <w:pPr>
        <w:jc w:val="both"/>
        <w:rPr>
          <w:rFonts w:ascii="Times New Roman" w:hAnsi="Times New Roman" w:cs="Times New Roman"/>
          <w:b/>
          <w:bCs/>
          <w:sz w:val="24"/>
          <w:szCs w:val="24"/>
        </w:rPr>
      </w:pPr>
      <w:r>
        <w:rPr>
          <w:rFonts w:ascii="Times New Roman" w:hAnsi="Times New Roman" w:cs="Times New Roman"/>
          <w:b/>
          <w:bCs/>
          <w:sz w:val="24"/>
          <w:szCs w:val="24"/>
        </w:rPr>
        <w:t>Institucionalidad de género</w:t>
      </w:r>
    </w:p>
    <w:p w14:paraId="3F592D6B" w14:textId="77777777" w:rsidR="00D057DD" w:rsidRDefault="00D057DD" w:rsidP="00D057DD">
      <w:pPr>
        <w:pStyle w:val="Prrafodelista"/>
        <w:numPr>
          <w:ilvl w:val="0"/>
          <w:numId w:val="20"/>
        </w:numPr>
        <w:jc w:val="both"/>
        <w:rPr>
          <w:rFonts w:ascii="Times New Roman" w:hAnsi="Times New Roman" w:cs="Times New Roman"/>
          <w:bCs/>
          <w:sz w:val="24"/>
          <w:szCs w:val="24"/>
        </w:rPr>
      </w:pPr>
      <w:r>
        <w:rPr>
          <w:rFonts w:ascii="Times New Roman" w:hAnsi="Times New Roman" w:cs="Times New Roman"/>
          <w:bCs/>
          <w:sz w:val="24"/>
          <w:szCs w:val="24"/>
        </w:rPr>
        <w:t xml:space="preserve">Para el </w:t>
      </w:r>
      <w:r>
        <w:rPr>
          <w:rFonts w:ascii="Times New Roman" w:hAnsi="Times New Roman" w:cs="Times New Roman"/>
          <w:bCs/>
          <w:sz w:val="24"/>
          <w:szCs w:val="24"/>
          <w:lang w:val="es-MX"/>
        </w:rPr>
        <w:t>fortalecimiento</w:t>
      </w:r>
      <w:r>
        <w:rPr>
          <w:rFonts w:ascii="Times New Roman" w:hAnsi="Times New Roman" w:cs="Times New Roman"/>
          <w:bCs/>
          <w:sz w:val="24"/>
          <w:szCs w:val="24"/>
        </w:rPr>
        <w:t xml:space="preserve"> de las políticas públicas de género la transformación del Instituto </w:t>
      </w:r>
      <w:r>
        <w:rPr>
          <w:rFonts w:ascii="Times New Roman" w:hAnsi="Times New Roman" w:cs="Times New Roman"/>
          <w:bCs/>
          <w:sz w:val="24"/>
          <w:szCs w:val="24"/>
          <w:lang w:val="es-MX"/>
        </w:rPr>
        <w:t>N</w:t>
      </w:r>
      <w:proofErr w:type="spellStart"/>
      <w:r>
        <w:rPr>
          <w:rFonts w:ascii="Times New Roman" w:hAnsi="Times New Roman" w:cs="Times New Roman"/>
          <w:bCs/>
          <w:sz w:val="24"/>
          <w:szCs w:val="24"/>
        </w:rPr>
        <w:t>acional</w:t>
      </w:r>
      <w:proofErr w:type="spellEnd"/>
      <w:r>
        <w:rPr>
          <w:rFonts w:ascii="Times New Roman" w:hAnsi="Times New Roman" w:cs="Times New Roman"/>
          <w:bCs/>
          <w:sz w:val="24"/>
          <w:szCs w:val="24"/>
        </w:rPr>
        <w:t xml:space="preserve"> de la </w:t>
      </w:r>
      <w:r>
        <w:rPr>
          <w:rFonts w:ascii="Times New Roman" w:hAnsi="Times New Roman" w:cs="Times New Roman"/>
          <w:bCs/>
          <w:sz w:val="24"/>
          <w:szCs w:val="24"/>
          <w:lang w:val="es-MX"/>
        </w:rPr>
        <w:t>F</w:t>
      </w:r>
      <w:proofErr w:type="spellStart"/>
      <w:r>
        <w:rPr>
          <w:rFonts w:ascii="Times New Roman" w:hAnsi="Times New Roman" w:cs="Times New Roman"/>
          <w:bCs/>
          <w:sz w:val="24"/>
          <w:szCs w:val="24"/>
        </w:rPr>
        <w:t>amilia</w:t>
      </w:r>
      <w:proofErr w:type="spellEnd"/>
      <w:r>
        <w:rPr>
          <w:rFonts w:ascii="Times New Roman" w:hAnsi="Times New Roman" w:cs="Times New Roman"/>
          <w:bCs/>
          <w:sz w:val="24"/>
          <w:szCs w:val="24"/>
        </w:rPr>
        <w:t xml:space="preserve"> y la </w:t>
      </w:r>
      <w:r>
        <w:rPr>
          <w:rFonts w:ascii="Times New Roman" w:hAnsi="Times New Roman" w:cs="Times New Roman"/>
          <w:bCs/>
          <w:sz w:val="24"/>
          <w:szCs w:val="24"/>
          <w:lang w:val="es-MX"/>
        </w:rPr>
        <w:t>M</w:t>
      </w:r>
      <w:proofErr w:type="spellStart"/>
      <w:r>
        <w:rPr>
          <w:rFonts w:ascii="Times New Roman" w:hAnsi="Times New Roman" w:cs="Times New Roman"/>
          <w:bCs/>
          <w:sz w:val="24"/>
          <w:szCs w:val="24"/>
        </w:rPr>
        <w:t>ujer</w:t>
      </w:r>
      <w:proofErr w:type="spellEnd"/>
      <w:r>
        <w:rPr>
          <w:rFonts w:ascii="Times New Roman" w:hAnsi="Times New Roman" w:cs="Times New Roman"/>
          <w:bCs/>
          <w:sz w:val="24"/>
          <w:szCs w:val="24"/>
        </w:rPr>
        <w:t xml:space="preserve"> en el INMUJERES</w:t>
      </w:r>
      <w:r>
        <w:rPr>
          <w:rFonts w:ascii="Times New Roman" w:hAnsi="Times New Roman" w:cs="Times New Roman"/>
          <w:bCs/>
          <w:sz w:val="24"/>
          <w:szCs w:val="24"/>
          <w:lang w:val="es-MX"/>
        </w:rPr>
        <w:t xml:space="preserve"> (MIDES)</w:t>
      </w:r>
      <w:r>
        <w:rPr>
          <w:rFonts w:ascii="Times New Roman" w:hAnsi="Times New Roman" w:cs="Times New Roman"/>
          <w:bCs/>
          <w:sz w:val="24"/>
          <w:szCs w:val="24"/>
        </w:rPr>
        <w:t xml:space="preserve"> significó un cambio sustantivo.</w:t>
      </w:r>
      <w:r>
        <w:rPr>
          <w:rFonts w:ascii="Times New Roman" w:hAnsi="Times New Roman" w:cs="Times New Roman"/>
          <w:bCs/>
          <w:sz w:val="24"/>
          <w:szCs w:val="24"/>
          <w:lang w:val="es-MX"/>
        </w:rPr>
        <w:t xml:space="preserve"> </w:t>
      </w:r>
    </w:p>
    <w:p w14:paraId="5B3033EB" w14:textId="77777777" w:rsidR="00D057DD" w:rsidRDefault="00D057DD" w:rsidP="00D057DD">
      <w:pPr>
        <w:pStyle w:val="Prrafodelista"/>
        <w:numPr>
          <w:ilvl w:val="0"/>
          <w:numId w:val="20"/>
        </w:numPr>
        <w:jc w:val="both"/>
        <w:rPr>
          <w:rFonts w:ascii="Times New Roman" w:hAnsi="Times New Roman" w:cs="Times New Roman"/>
          <w:bCs/>
          <w:sz w:val="24"/>
          <w:szCs w:val="24"/>
        </w:rPr>
      </w:pPr>
      <w:r>
        <w:rPr>
          <w:rFonts w:ascii="Times New Roman" w:hAnsi="Times New Roman" w:cs="Times New Roman"/>
          <w:bCs/>
          <w:sz w:val="24"/>
          <w:szCs w:val="24"/>
          <w:lang w:val="es-MX"/>
        </w:rPr>
        <w:lastRenderedPageBreak/>
        <w:t>Sin embargo, a casi</w:t>
      </w:r>
      <w:r>
        <w:rPr>
          <w:rFonts w:ascii="Times New Roman" w:hAnsi="Times New Roman" w:cs="Times New Roman"/>
          <w:bCs/>
          <w:sz w:val="24"/>
          <w:szCs w:val="24"/>
        </w:rPr>
        <w:t xml:space="preserve"> 20 años de es</w:t>
      </w:r>
      <w:r>
        <w:rPr>
          <w:rFonts w:ascii="Times New Roman" w:hAnsi="Times New Roman" w:cs="Times New Roman"/>
          <w:bCs/>
          <w:sz w:val="24"/>
          <w:szCs w:val="24"/>
          <w:lang w:val="es-MX"/>
        </w:rPr>
        <w:t>t</w:t>
      </w:r>
      <w:r>
        <w:rPr>
          <w:rFonts w:ascii="Times New Roman" w:hAnsi="Times New Roman" w:cs="Times New Roman"/>
          <w:bCs/>
          <w:sz w:val="24"/>
          <w:szCs w:val="24"/>
        </w:rPr>
        <w:t>a transformación, puede observarse un estancamiento.</w:t>
      </w:r>
    </w:p>
    <w:p w14:paraId="6344943D" w14:textId="77777777" w:rsidR="00D057DD" w:rsidRDefault="00D057DD" w:rsidP="00D057DD">
      <w:pPr>
        <w:pStyle w:val="Prrafodelista"/>
        <w:numPr>
          <w:ilvl w:val="0"/>
          <w:numId w:val="20"/>
        </w:numPr>
        <w:jc w:val="both"/>
        <w:rPr>
          <w:rFonts w:ascii="Times New Roman" w:hAnsi="Times New Roman" w:cs="Times New Roman"/>
          <w:bCs/>
          <w:sz w:val="24"/>
          <w:szCs w:val="24"/>
        </w:rPr>
      </w:pPr>
      <w:r>
        <w:rPr>
          <w:rFonts w:ascii="Times New Roman" w:hAnsi="Times New Roman" w:cs="Times New Roman"/>
          <w:bCs/>
          <w:sz w:val="24"/>
          <w:szCs w:val="24"/>
        </w:rPr>
        <w:t xml:space="preserve"> En consonancia con lo expresado por el Estado, el pasaje a ser unidad ejecutora no resulta ser un hecho significativo. </w:t>
      </w:r>
      <w:r>
        <w:rPr>
          <w:rFonts w:ascii="Times New Roman" w:hAnsi="Times New Roman" w:cs="Times New Roman"/>
          <w:bCs/>
          <w:sz w:val="24"/>
          <w:szCs w:val="24"/>
          <w:lang w:val="es-MX"/>
        </w:rPr>
        <w:t>S</w:t>
      </w:r>
      <w:r>
        <w:rPr>
          <w:rFonts w:ascii="Times New Roman" w:hAnsi="Times New Roman" w:cs="Times New Roman"/>
          <w:bCs/>
          <w:sz w:val="24"/>
          <w:szCs w:val="24"/>
        </w:rPr>
        <w:t>i bien la creación de mecanismos de género en los diferentes organismos del Estado, puede ser valorada positivamente, no resulta suficiente para contar con una</w:t>
      </w:r>
      <w:r>
        <w:rPr>
          <w:rFonts w:ascii="Times New Roman" w:hAnsi="Times New Roman" w:cs="Times New Roman"/>
          <w:bCs/>
          <w:sz w:val="24"/>
          <w:szCs w:val="24"/>
          <w:lang w:val="es-MX"/>
        </w:rPr>
        <w:t xml:space="preserve"> fuerte</w:t>
      </w:r>
      <w:r>
        <w:rPr>
          <w:rFonts w:ascii="Times New Roman" w:hAnsi="Times New Roman" w:cs="Times New Roman"/>
          <w:bCs/>
          <w:sz w:val="24"/>
          <w:szCs w:val="24"/>
        </w:rPr>
        <w:t xml:space="preserve"> institucionalidad de género. </w:t>
      </w:r>
    </w:p>
    <w:p w14:paraId="58F7C824" w14:textId="77777777" w:rsidR="00D057DD" w:rsidRDefault="00D057DD" w:rsidP="00D057DD">
      <w:pPr>
        <w:pStyle w:val="Prrafodelista"/>
        <w:numPr>
          <w:ilvl w:val="0"/>
          <w:numId w:val="20"/>
        </w:numPr>
        <w:jc w:val="both"/>
        <w:rPr>
          <w:rFonts w:ascii="Times New Roman" w:hAnsi="Times New Roman" w:cs="Times New Roman"/>
          <w:bCs/>
          <w:sz w:val="24"/>
          <w:szCs w:val="24"/>
        </w:rPr>
      </w:pPr>
      <w:r>
        <w:rPr>
          <w:rFonts w:ascii="Times New Roman" w:hAnsi="Times New Roman" w:cs="Times New Roman"/>
          <w:bCs/>
          <w:sz w:val="24"/>
          <w:szCs w:val="24"/>
          <w:lang w:val="es-MX"/>
        </w:rPr>
        <w:t>El</w:t>
      </w:r>
      <w:r>
        <w:rPr>
          <w:rFonts w:ascii="Times New Roman" w:hAnsi="Times New Roman" w:cs="Times New Roman"/>
          <w:bCs/>
          <w:sz w:val="24"/>
          <w:szCs w:val="24"/>
        </w:rPr>
        <w:t xml:space="preserve"> desarrollo de las UEG presentan realidades disimiles</w:t>
      </w:r>
      <w:r>
        <w:rPr>
          <w:rStyle w:val="Refdenotaalpie"/>
          <w:rFonts w:ascii="Times New Roman" w:hAnsi="Times New Roman" w:cs="Times New Roman"/>
          <w:bCs/>
          <w:sz w:val="24"/>
          <w:szCs w:val="24"/>
        </w:rPr>
        <w:footnoteReference w:id="23"/>
      </w:r>
      <w:r>
        <w:rPr>
          <w:rFonts w:ascii="Times New Roman" w:hAnsi="Times New Roman" w:cs="Times New Roman"/>
          <w:bCs/>
          <w:sz w:val="24"/>
          <w:szCs w:val="24"/>
        </w:rPr>
        <w:t xml:space="preserve">. </w:t>
      </w:r>
    </w:p>
    <w:p w14:paraId="34C60111" w14:textId="77777777" w:rsidR="00D057DD" w:rsidRDefault="00D057DD" w:rsidP="00D057DD">
      <w:pPr>
        <w:pStyle w:val="Prrafodelista"/>
        <w:numPr>
          <w:ilvl w:val="0"/>
          <w:numId w:val="20"/>
        </w:numPr>
        <w:jc w:val="both"/>
        <w:rPr>
          <w:rFonts w:ascii="Times New Roman" w:hAnsi="Times New Roman" w:cs="Times New Roman"/>
          <w:bCs/>
          <w:sz w:val="24"/>
          <w:szCs w:val="24"/>
        </w:rPr>
      </w:pPr>
      <w:r>
        <w:rPr>
          <w:rFonts w:ascii="Times New Roman" w:hAnsi="Times New Roman" w:cs="Times New Roman"/>
          <w:bCs/>
          <w:sz w:val="24"/>
          <w:szCs w:val="24"/>
        </w:rPr>
        <w:t xml:space="preserve">Para analizar estos aspectos resulta especialmente relevante, el anexo presupuestal II destinado a identificar las políticas de igualdad de género. Este anexo constituye un avance a nivel país que permite observar la inversión etiquetada por los organismos como políticas de igualdad de género, </w:t>
      </w:r>
      <w:r>
        <w:rPr>
          <w:rFonts w:ascii="Times New Roman" w:hAnsi="Times New Roman" w:cs="Times New Roman"/>
          <w:bCs/>
          <w:sz w:val="24"/>
          <w:szCs w:val="24"/>
          <w:lang w:val="es-MX"/>
        </w:rPr>
        <w:t>aunque</w:t>
      </w:r>
      <w:r>
        <w:rPr>
          <w:rFonts w:ascii="Times New Roman" w:hAnsi="Times New Roman" w:cs="Times New Roman"/>
          <w:bCs/>
          <w:sz w:val="24"/>
          <w:szCs w:val="24"/>
        </w:rPr>
        <w:t xml:space="preserve"> presenta debilidades metodológicas que requieren ser mejoradas. </w:t>
      </w:r>
    </w:p>
    <w:p w14:paraId="2B23C9E9" w14:textId="77777777" w:rsidR="00D057DD" w:rsidRDefault="00D057DD" w:rsidP="00D057DD">
      <w:pPr>
        <w:pStyle w:val="Prrafodelista"/>
        <w:numPr>
          <w:ilvl w:val="0"/>
          <w:numId w:val="20"/>
        </w:numPr>
        <w:jc w:val="both"/>
        <w:rPr>
          <w:rFonts w:ascii="Times New Roman" w:hAnsi="Times New Roman" w:cs="Times New Roman"/>
          <w:bCs/>
          <w:sz w:val="24"/>
          <w:szCs w:val="24"/>
          <w:lang w:val="zh-CN"/>
        </w:rPr>
      </w:pPr>
      <w:r>
        <w:rPr>
          <w:rFonts w:ascii="Times New Roman" w:hAnsi="Times New Roman" w:cs="Times New Roman"/>
          <w:bCs/>
          <w:sz w:val="24"/>
          <w:szCs w:val="24"/>
          <w:lang w:val="es-MX"/>
        </w:rPr>
        <w:t xml:space="preserve">Considerando </w:t>
      </w:r>
      <w:r>
        <w:rPr>
          <w:rFonts w:ascii="Times New Roman" w:hAnsi="Times New Roman" w:cs="Times New Roman"/>
          <w:bCs/>
          <w:sz w:val="24"/>
          <w:szCs w:val="24"/>
        </w:rPr>
        <w:t>aspectos señalados en estos anexos, la INDDHH llama la atención por las dificultades señaladas por el MSP, Ministerio de Vivienda, INAU, ANEP, ASSE y MTSS para la instalación y efectivo funcionamiento de sus UEG</w:t>
      </w:r>
      <w:r>
        <w:rPr>
          <w:rStyle w:val="Refdenotaalpie"/>
          <w:rFonts w:ascii="Times New Roman" w:hAnsi="Times New Roman" w:cs="Times New Roman"/>
          <w:bCs/>
          <w:sz w:val="24"/>
          <w:szCs w:val="24"/>
        </w:rPr>
        <w:footnoteReference w:id="24"/>
      </w:r>
      <w:r>
        <w:rPr>
          <w:rFonts w:ascii="Times New Roman" w:hAnsi="Times New Roman" w:cs="Times New Roman"/>
          <w:bCs/>
          <w:sz w:val="24"/>
          <w:szCs w:val="24"/>
        </w:rPr>
        <w:t xml:space="preserve">. </w:t>
      </w:r>
    </w:p>
    <w:p w14:paraId="1705B63B" w14:textId="77777777" w:rsidR="00D057DD" w:rsidRDefault="00D057DD" w:rsidP="00D057DD">
      <w:pPr>
        <w:pStyle w:val="Prrafodelista"/>
        <w:numPr>
          <w:ilvl w:val="0"/>
          <w:numId w:val="20"/>
        </w:numPr>
        <w:jc w:val="both"/>
        <w:rPr>
          <w:rFonts w:ascii="Times New Roman" w:hAnsi="Times New Roman" w:cs="Times New Roman"/>
          <w:bCs/>
          <w:sz w:val="24"/>
          <w:szCs w:val="24"/>
          <w:lang w:val="zh-CN"/>
        </w:rPr>
      </w:pPr>
      <w:r>
        <w:rPr>
          <w:rFonts w:ascii="Times New Roman" w:hAnsi="Times New Roman" w:cs="Times New Roman"/>
          <w:bCs/>
          <w:sz w:val="24"/>
          <w:szCs w:val="24"/>
          <w:lang w:val="zh-CN"/>
        </w:rPr>
        <w:t xml:space="preserve">La INDDHH resalta la importancia que el abordaje institucional de género incluya la prevención y combate </w:t>
      </w:r>
      <w:r>
        <w:rPr>
          <w:rFonts w:ascii="Times New Roman" w:hAnsi="Times New Roman" w:cs="Times New Roman"/>
          <w:bCs/>
          <w:sz w:val="24"/>
          <w:szCs w:val="24"/>
          <w:lang w:val="es-MX"/>
        </w:rPr>
        <w:t>a</w:t>
      </w:r>
      <w:r>
        <w:rPr>
          <w:rFonts w:ascii="Times New Roman" w:hAnsi="Times New Roman" w:cs="Times New Roman"/>
          <w:bCs/>
          <w:sz w:val="24"/>
          <w:szCs w:val="24"/>
          <w:lang w:val="zh-CN"/>
        </w:rPr>
        <w:t xml:space="preserve"> la discriminación hacia las mujeres afrodescendientes, adultas mayores, rurales o en situación de discapacidad</w:t>
      </w:r>
      <w:r>
        <w:rPr>
          <w:rFonts w:ascii="Times New Roman" w:hAnsi="Times New Roman" w:cs="Times New Roman"/>
          <w:bCs/>
          <w:sz w:val="24"/>
          <w:szCs w:val="24"/>
          <w:lang w:val="es-MX"/>
        </w:rPr>
        <w:t xml:space="preserve">. </w:t>
      </w:r>
    </w:p>
    <w:p w14:paraId="512CACF4" w14:textId="77777777" w:rsidR="00D057DD" w:rsidRDefault="00D057DD" w:rsidP="00D057DD">
      <w:pPr>
        <w:pStyle w:val="Prrafodelista"/>
        <w:numPr>
          <w:ilvl w:val="0"/>
          <w:numId w:val="20"/>
        </w:numPr>
        <w:jc w:val="both"/>
        <w:rPr>
          <w:rFonts w:ascii="Times New Roman" w:hAnsi="Times New Roman" w:cs="Times New Roman"/>
          <w:bCs/>
          <w:sz w:val="24"/>
          <w:szCs w:val="24"/>
          <w:lang w:val="zh-CN"/>
        </w:rPr>
      </w:pPr>
      <w:r>
        <w:rPr>
          <w:rFonts w:ascii="Times New Roman" w:hAnsi="Times New Roman" w:cs="Times New Roman"/>
          <w:bCs/>
          <w:sz w:val="24"/>
          <w:szCs w:val="24"/>
          <w:lang w:val="es-MX"/>
        </w:rPr>
        <w:t>En consecuencia,</w:t>
      </w:r>
      <w:r>
        <w:rPr>
          <w:rFonts w:ascii="Times New Roman" w:hAnsi="Times New Roman" w:cs="Times New Roman"/>
          <w:bCs/>
          <w:sz w:val="24"/>
          <w:szCs w:val="24"/>
          <w:lang w:val="zh-CN"/>
        </w:rPr>
        <w:t xml:space="preserve"> es importante fortalecer la articulación con División de Promoción de Políticas Públicas para Afrodescendientes</w:t>
      </w:r>
      <w:r>
        <w:rPr>
          <w:rStyle w:val="Refdenotaalpie"/>
          <w:rFonts w:ascii="Times New Roman" w:hAnsi="Times New Roman" w:cs="Times New Roman"/>
          <w:bCs/>
          <w:sz w:val="24"/>
          <w:szCs w:val="24"/>
          <w:lang w:val="zh-CN"/>
        </w:rPr>
        <w:footnoteReference w:id="25"/>
      </w:r>
      <w:r>
        <w:rPr>
          <w:rFonts w:ascii="Times New Roman" w:hAnsi="Times New Roman" w:cs="Times New Roman"/>
          <w:bCs/>
          <w:sz w:val="24"/>
          <w:szCs w:val="24"/>
          <w:lang w:val="zh-CN"/>
        </w:rPr>
        <w:t>, I</w:t>
      </w:r>
      <w:proofErr w:type="spellStart"/>
      <w:r>
        <w:rPr>
          <w:rFonts w:ascii="Times New Roman" w:hAnsi="Times New Roman" w:cs="Times New Roman"/>
          <w:bCs/>
          <w:sz w:val="24"/>
          <w:szCs w:val="24"/>
          <w:lang w:val="es-MX"/>
        </w:rPr>
        <w:t>NMayores</w:t>
      </w:r>
      <w:proofErr w:type="spellEnd"/>
      <w:r>
        <w:rPr>
          <w:rFonts w:ascii="Times New Roman" w:hAnsi="Times New Roman" w:cs="Times New Roman"/>
          <w:bCs/>
          <w:sz w:val="24"/>
          <w:szCs w:val="24"/>
          <w:lang w:val="es-MX"/>
        </w:rPr>
        <w:t xml:space="preserve"> </w:t>
      </w:r>
      <w:r>
        <w:rPr>
          <w:rFonts w:ascii="Times New Roman" w:hAnsi="Times New Roman" w:cs="Times New Roman"/>
          <w:bCs/>
          <w:sz w:val="24"/>
          <w:szCs w:val="24"/>
          <w:lang w:val="zh-CN"/>
        </w:rPr>
        <w:t xml:space="preserve"> y la Dirección Nacional de Discapacidad del MIDES, así como el MGAP.</w:t>
      </w:r>
    </w:p>
    <w:p w14:paraId="39F3FD55" w14:textId="77777777" w:rsidR="00D057DD" w:rsidRDefault="00D057DD" w:rsidP="00D057DD">
      <w:pPr>
        <w:pStyle w:val="Prrafodelista"/>
        <w:numPr>
          <w:ilvl w:val="0"/>
          <w:numId w:val="20"/>
        </w:numPr>
        <w:jc w:val="both"/>
        <w:rPr>
          <w:rFonts w:ascii="Times New Roman" w:hAnsi="Times New Roman" w:cs="Times New Roman"/>
          <w:b/>
          <w:sz w:val="24"/>
          <w:szCs w:val="24"/>
          <w:lang w:val="es-MX"/>
        </w:rPr>
      </w:pPr>
      <w:r>
        <w:rPr>
          <w:rFonts w:ascii="Times New Roman" w:hAnsi="Times New Roman" w:cs="Times New Roman"/>
          <w:bCs/>
          <w:sz w:val="24"/>
          <w:szCs w:val="24"/>
          <w:lang w:val="zh-CN"/>
        </w:rPr>
        <w:t>En el caso de las mujeres rurales es importante señalar que la aprobación del Plan Nacional de Género en las Políticas Agropecuarias ha significado un esfuerzo importante</w:t>
      </w:r>
      <w:r>
        <w:rPr>
          <w:rFonts w:ascii="Times New Roman" w:hAnsi="Times New Roman" w:cs="Times New Roman"/>
          <w:bCs/>
          <w:color w:val="C00000"/>
          <w:sz w:val="24"/>
          <w:szCs w:val="24"/>
          <w:lang w:val="zh-CN"/>
        </w:rPr>
        <w:t xml:space="preserve"> </w:t>
      </w:r>
      <w:r>
        <w:rPr>
          <w:rFonts w:ascii="Times New Roman" w:hAnsi="Times New Roman" w:cs="Times New Roman"/>
          <w:bCs/>
          <w:sz w:val="24"/>
          <w:szCs w:val="24"/>
          <w:lang w:val="es-MX"/>
        </w:rPr>
        <w:t>de política pública.</w:t>
      </w:r>
    </w:p>
    <w:p w14:paraId="604A86E9" w14:textId="77777777" w:rsidR="00D057DD" w:rsidRDefault="00D057DD" w:rsidP="00D057DD">
      <w:pPr>
        <w:jc w:val="both"/>
        <w:rPr>
          <w:rFonts w:ascii="Times New Roman" w:hAnsi="Times New Roman" w:cs="Times New Roman"/>
          <w:b/>
          <w:sz w:val="24"/>
          <w:szCs w:val="24"/>
          <w:lang w:val="es-MX"/>
        </w:rPr>
      </w:pPr>
      <w:r>
        <w:rPr>
          <w:rFonts w:ascii="Times New Roman" w:hAnsi="Times New Roman" w:cs="Times New Roman"/>
          <w:b/>
          <w:sz w:val="24"/>
          <w:szCs w:val="24"/>
          <w:lang w:val="es-MX"/>
        </w:rPr>
        <w:t>Estereotipos y prácticas perjudiciales</w:t>
      </w:r>
    </w:p>
    <w:p w14:paraId="26267B1A" w14:textId="77777777" w:rsidR="00D057DD" w:rsidRDefault="00D057DD" w:rsidP="00D057DD">
      <w:pPr>
        <w:pStyle w:val="Prrafodelista"/>
        <w:numPr>
          <w:ilvl w:val="0"/>
          <w:numId w:val="20"/>
        </w:numPr>
        <w:jc w:val="both"/>
        <w:rPr>
          <w:rFonts w:ascii="Times New Roman" w:hAnsi="Times New Roman" w:cs="Times New Roman"/>
          <w:b/>
          <w:sz w:val="24"/>
          <w:szCs w:val="24"/>
          <w:lang w:val="es-MX"/>
        </w:rPr>
      </w:pPr>
      <w:r>
        <w:rPr>
          <w:rFonts w:ascii="Times New Roman" w:hAnsi="Times New Roman" w:cs="Times New Roman"/>
          <w:bCs/>
          <w:sz w:val="24"/>
          <w:szCs w:val="24"/>
          <w:lang w:val="es-MX"/>
        </w:rPr>
        <w:t xml:space="preserve">Preocupa a la INDDHH el incremento de prédicas provenientes de distintos actores políticos y sociales contrarias a las políticas de igualdad </w:t>
      </w:r>
      <w:proofErr w:type="gramStart"/>
      <w:r>
        <w:rPr>
          <w:rFonts w:ascii="Times New Roman" w:hAnsi="Times New Roman" w:cs="Times New Roman"/>
          <w:bCs/>
          <w:sz w:val="24"/>
          <w:szCs w:val="24"/>
          <w:lang w:val="es-MX"/>
        </w:rPr>
        <w:t>género</w:t>
      </w:r>
      <w:proofErr w:type="gramEnd"/>
      <w:r>
        <w:rPr>
          <w:rFonts w:ascii="Times New Roman" w:hAnsi="Times New Roman" w:cs="Times New Roman"/>
          <w:bCs/>
          <w:sz w:val="24"/>
          <w:szCs w:val="24"/>
          <w:lang w:val="es-MX"/>
        </w:rPr>
        <w:t xml:space="preserve"> así como la ausencia de medidas oficiales efectivas para contrarrestarlas, siendo insuficientes las campañas de concientización sobre los derechos humanos de las mujeres.</w:t>
      </w:r>
    </w:p>
    <w:p w14:paraId="2D4D61D9" w14:textId="77777777" w:rsidR="00D057DD" w:rsidRDefault="00D057DD" w:rsidP="00D057DD">
      <w:pPr>
        <w:jc w:val="both"/>
        <w:rPr>
          <w:rFonts w:ascii="Times New Roman" w:hAnsi="Times New Roman" w:cs="Times New Roman"/>
          <w:b/>
          <w:bCs/>
          <w:sz w:val="24"/>
          <w:szCs w:val="24"/>
        </w:rPr>
      </w:pPr>
      <w:r>
        <w:rPr>
          <w:rFonts w:ascii="Times New Roman" w:hAnsi="Times New Roman" w:cs="Times New Roman"/>
          <w:b/>
          <w:bCs/>
          <w:sz w:val="24"/>
          <w:szCs w:val="24"/>
        </w:rPr>
        <w:t xml:space="preserve">Violencia </w:t>
      </w:r>
      <w:r>
        <w:rPr>
          <w:rFonts w:ascii="Times New Roman" w:hAnsi="Times New Roman" w:cs="Times New Roman"/>
          <w:b/>
          <w:bCs/>
          <w:sz w:val="24"/>
          <w:szCs w:val="24"/>
          <w:lang w:val="es-MX"/>
        </w:rPr>
        <w:t>de género</w:t>
      </w:r>
      <w:r>
        <w:rPr>
          <w:rFonts w:ascii="Times New Roman" w:hAnsi="Times New Roman" w:cs="Times New Roman"/>
          <w:b/>
          <w:bCs/>
          <w:sz w:val="24"/>
          <w:szCs w:val="24"/>
        </w:rPr>
        <w:t xml:space="preserve"> contra las mujeres</w:t>
      </w:r>
    </w:p>
    <w:p w14:paraId="0CAF8DAA" w14:textId="77777777" w:rsidR="00D057DD" w:rsidRDefault="00D057DD" w:rsidP="00D057DD">
      <w:pPr>
        <w:pStyle w:val="Prrafodelista"/>
        <w:numPr>
          <w:ilvl w:val="0"/>
          <w:numId w:val="20"/>
        </w:numPr>
        <w:jc w:val="both"/>
        <w:rPr>
          <w:rFonts w:ascii="Times New Roman" w:hAnsi="Times New Roman" w:cs="Times New Roman"/>
          <w:sz w:val="24"/>
          <w:szCs w:val="24"/>
        </w:rPr>
      </w:pPr>
      <w:r>
        <w:rPr>
          <w:rFonts w:ascii="Times New Roman" w:hAnsi="Times New Roman" w:cs="Times New Roman"/>
          <w:sz w:val="24"/>
          <w:szCs w:val="24"/>
        </w:rPr>
        <w:t xml:space="preserve">Los índices de violencia basada en género no </w:t>
      </w:r>
      <w:r>
        <w:rPr>
          <w:rFonts w:ascii="Times New Roman" w:hAnsi="Times New Roman" w:cs="Times New Roman"/>
          <w:sz w:val="24"/>
          <w:szCs w:val="24"/>
          <w:lang w:val="es-MX"/>
        </w:rPr>
        <w:t>presentan</w:t>
      </w:r>
      <w:r>
        <w:rPr>
          <w:rFonts w:ascii="Times New Roman" w:hAnsi="Times New Roman" w:cs="Times New Roman"/>
          <w:sz w:val="24"/>
          <w:szCs w:val="24"/>
        </w:rPr>
        <w:t xml:space="preserve"> reducciones sustantivas durante el período que comprende este informe.</w:t>
      </w:r>
    </w:p>
    <w:p w14:paraId="45DA5F57" w14:textId="77777777" w:rsidR="00D057DD" w:rsidRDefault="00D057DD" w:rsidP="00D057DD">
      <w:pPr>
        <w:pStyle w:val="Prrafodelista"/>
        <w:numPr>
          <w:ilvl w:val="0"/>
          <w:numId w:val="20"/>
        </w:numPr>
        <w:jc w:val="both"/>
        <w:rPr>
          <w:rFonts w:ascii="Times New Roman" w:hAnsi="Times New Roman" w:cs="Times New Roman"/>
          <w:sz w:val="24"/>
          <w:szCs w:val="24"/>
        </w:rPr>
      </w:pPr>
      <w:r>
        <w:rPr>
          <w:rFonts w:ascii="Times New Roman" w:hAnsi="Times New Roman" w:cs="Times New Roman"/>
          <w:sz w:val="24"/>
          <w:szCs w:val="24"/>
        </w:rPr>
        <w:t xml:space="preserve"> La segunda encuesta nacional de prevalencia sobre violencia basada en género y generaciones indica</w:t>
      </w:r>
      <w:r>
        <w:rPr>
          <w:rFonts w:ascii="Times New Roman" w:hAnsi="Times New Roman" w:cs="Times New Roman"/>
          <w:sz w:val="24"/>
          <w:szCs w:val="24"/>
          <w:lang w:val="es-MX"/>
        </w:rPr>
        <w:t>:</w:t>
      </w:r>
      <w:r>
        <w:rPr>
          <w:rFonts w:ascii="Times New Roman" w:hAnsi="Times New Roman" w:cs="Times New Roman"/>
          <w:sz w:val="24"/>
          <w:szCs w:val="24"/>
        </w:rPr>
        <w:t xml:space="preserve"> “En Uruguay para el año 2019, casi ocho de cada diez mujeres vivieron alguna situación de violencia basada en género en algún momento de sus </w:t>
      </w:r>
      <w:r>
        <w:rPr>
          <w:rFonts w:ascii="Times New Roman" w:hAnsi="Times New Roman" w:cs="Times New Roman"/>
          <w:sz w:val="24"/>
          <w:szCs w:val="24"/>
        </w:rPr>
        <w:lastRenderedPageBreak/>
        <w:t xml:space="preserve">vidas, lo cual representa aproximadamente 1.100.000 mujeres de 15 años y más. A su vez, al comparar la información relevada en la primera encuesta respecto a la segunda, se observa que cuando se consideran los mismos ámbitos y las mismas formas de VBG, se registra un aumento de la prevalencia: pasa de 68,8 % en 2013 a 72,7 % en 2019”. Asimismo, lo que se aprecia más claramente en el caso de los </w:t>
      </w:r>
      <w:proofErr w:type="spellStart"/>
      <w:r>
        <w:rPr>
          <w:rFonts w:ascii="Times New Roman" w:hAnsi="Times New Roman" w:cs="Times New Roman"/>
          <w:sz w:val="24"/>
          <w:szCs w:val="24"/>
        </w:rPr>
        <w:t>femicidios</w:t>
      </w:r>
      <w:proofErr w:type="spellEnd"/>
      <w:r>
        <w:rPr>
          <w:rFonts w:ascii="Times New Roman" w:hAnsi="Times New Roman" w:cs="Times New Roman"/>
          <w:sz w:val="24"/>
          <w:szCs w:val="24"/>
        </w:rPr>
        <w:t xml:space="preserve"> que mantienen un comportamiento similar</w:t>
      </w:r>
      <w:r>
        <w:rPr>
          <w:rStyle w:val="Refdenotaalpie"/>
          <w:rFonts w:ascii="Times New Roman" w:hAnsi="Times New Roman" w:cs="Times New Roman"/>
          <w:sz w:val="24"/>
          <w:szCs w:val="24"/>
        </w:rPr>
        <w:footnoteReference w:id="26"/>
      </w:r>
      <w:r>
        <w:rPr>
          <w:rFonts w:ascii="Times New Roman" w:hAnsi="Times New Roman" w:cs="Times New Roman"/>
          <w:sz w:val="24"/>
          <w:szCs w:val="24"/>
        </w:rPr>
        <w:t xml:space="preserve">. </w:t>
      </w:r>
    </w:p>
    <w:p w14:paraId="6588695D" w14:textId="77777777" w:rsidR="00D057DD" w:rsidRDefault="00D057DD" w:rsidP="00D057DD">
      <w:pPr>
        <w:pStyle w:val="Prrafodelista"/>
        <w:numPr>
          <w:ilvl w:val="0"/>
          <w:numId w:val="20"/>
        </w:numPr>
        <w:jc w:val="both"/>
        <w:rPr>
          <w:rFonts w:ascii="Times New Roman" w:hAnsi="Times New Roman" w:cs="Times New Roman"/>
          <w:sz w:val="24"/>
          <w:szCs w:val="24"/>
        </w:rPr>
      </w:pPr>
      <w:r>
        <w:rPr>
          <w:rFonts w:ascii="Times New Roman" w:hAnsi="Times New Roman" w:cs="Times New Roman"/>
          <w:sz w:val="24"/>
          <w:szCs w:val="24"/>
        </w:rPr>
        <w:t xml:space="preserve">Por lo </w:t>
      </w:r>
      <w:r>
        <w:rPr>
          <w:rFonts w:ascii="Times New Roman" w:hAnsi="Times New Roman" w:cs="Times New Roman"/>
          <w:sz w:val="24"/>
          <w:szCs w:val="24"/>
          <w:lang w:val="es-MX"/>
        </w:rPr>
        <w:t>que la necesidad de respaldar las políticas públicas a este respecto</w:t>
      </w:r>
      <w:r>
        <w:rPr>
          <w:rFonts w:ascii="Times New Roman" w:hAnsi="Times New Roman" w:cs="Times New Roman"/>
          <w:sz w:val="24"/>
          <w:szCs w:val="24"/>
        </w:rPr>
        <w:t xml:space="preserve"> sigue siendo para la INDDHH un tema de gran preocupación.</w:t>
      </w:r>
    </w:p>
    <w:p w14:paraId="3D3F100B" w14:textId="77777777" w:rsidR="00D057DD" w:rsidRDefault="00D057DD" w:rsidP="00D057DD">
      <w:pPr>
        <w:pStyle w:val="Prrafodelista"/>
        <w:numPr>
          <w:ilvl w:val="0"/>
          <w:numId w:val="20"/>
        </w:numPr>
        <w:jc w:val="both"/>
        <w:rPr>
          <w:rFonts w:ascii="Times New Roman" w:hAnsi="Times New Roman" w:cs="Times New Roman"/>
          <w:sz w:val="24"/>
          <w:szCs w:val="24"/>
        </w:rPr>
      </w:pPr>
      <w:r>
        <w:rPr>
          <w:rFonts w:ascii="Times New Roman" w:hAnsi="Times New Roman" w:cs="Times New Roman"/>
          <w:sz w:val="24"/>
          <w:szCs w:val="24"/>
        </w:rPr>
        <w:t>Para profundizar, nos detendremos en el alcance del Sistema Interinstitucional de Respuestas:</w:t>
      </w:r>
    </w:p>
    <w:p w14:paraId="3757481E" w14:textId="77777777" w:rsidR="00D057DD" w:rsidRDefault="00D057DD" w:rsidP="00D057DD">
      <w:pPr>
        <w:pStyle w:val="Prrafodelista"/>
        <w:numPr>
          <w:ilvl w:val="0"/>
          <w:numId w:val="23"/>
        </w:numPr>
        <w:jc w:val="both"/>
        <w:rPr>
          <w:rFonts w:ascii="Times New Roman" w:hAnsi="Times New Roman" w:cs="Times New Roman"/>
          <w:sz w:val="24"/>
          <w:szCs w:val="24"/>
        </w:rPr>
      </w:pPr>
      <w:r>
        <w:rPr>
          <w:rFonts w:ascii="Times New Roman" w:hAnsi="Times New Roman" w:cs="Times New Roman"/>
          <w:i/>
          <w:sz w:val="24"/>
          <w:szCs w:val="24"/>
          <w:lang w:val="es-MX"/>
        </w:rPr>
        <w:t xml:space="preserve"> </w:t>
      </w:r>
      <w:r>
        <w:rPr>
          <w:rFonts w:ascii="Times New Roman" w:hAnsi="Times New Roman" w:cs="Times New Roman"/>
          <w:i/>
          <w:sz w:val="24"/>
          <w:szCs w:val="24"/>
        </w:rPr>
        <w:t>La detección temprana</w:t>
      </w:r>
      <w:r>
        <w:rPr>
          <w:rFonts w:ascii="Times New Roman" w:hAnsi="Times New Roman" w:cs="Times New Roman"/>
          <w:sz w:val="24"/>
          <w:szCs w:val="24"/>
          <w:lang w:val="es-MX"/>
        </w:rPr>
        <w:t>:</w:t>
      </w:r>
      <w:r>
        <w:rPr>
          <w:rFonts w:ascii="Times New Roman" w:hAnsi="Times New Roman" w:cs="Times New Roman"/>
          <w:sz w:val="24"/>
          <w:szCs w:val="24"/>
        </w:rPr>
        <w:t xml:space="preserve"> los dos principales actores son la educación y la salud. Tanto ANEP como el MSP cuentan con protocolos que orientan los procesos. Los principales desafíos que presentan estos organismos es garantizar </w:t>
      </w:r>
      <w:r>
        <w:rPr>
          <w:rFonts w:ascii="Times New Roman" w:hAnsi="Times New Roman" w:cs="Times New Roman"/>
          <w:sz w:val="24"/>
          <w:szCs w:val="24"/>
          <w:lang w:val="es-MX"/>
        </w:rPr>
        <w:t>su</w:t>
      </w:r>
      <w:r>
        <w:rPr>
          <w:rFonts w:ascii="Times New Roman" w:hAnsi="Times New Roman" w:cs="Times New Roman"/>
          <w:sz w:val="24"/>
          <w:szCs w:val="24"/>
        </w:rPr>
        <w:t xml:space="preserve"> </w:t>
      </w:r>
      <w:proofErr w:type="spellStart"/>
      <w:r>
        <w:rPr>
          <w:rFonts w:ascii="Times New Roman" w:hAnsi="Times New Roman" w:cs="Times New Roman"/>
          <w:sz w:val="24"/>
          <w:szCs w:val="24"/>
        </w:rPr>
        <w:t>cumpl</w:t>
      </w:r>
      <w:r>
        <w:rPr>
          <w:rFonts w:ascii="Times New Roman" w:hAnsi="Times New Roman" w:cs="Times New Roman"/>
          <w:sz w:val="24"/>
          <w:szCs w:val="24"/>
          <w:lang w:val="es-MX"/>
        </w:rPr>
        <w:t>imiento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efectiv</w:t>
      </w:r>
      <w:proofErr w:type="spellEnd"/>
      <w:r>
        <w:rPr>
          <w:rFonts w:ascii="Times New Roman" w:hAnsi="Times New Roman" w:cs="Times New Roman"/>
          <w:sz w:val="24"/>
          <w:szCs w:val="24"/>
          <w:lang w:val="es-MX"/>
        </w:rPr>
        <w:t xml:space="preserve">o, </w:t>
      </w:r>
      <w:r>
        <w:rPr>
          <w:rFonts w:ascii="Times New Roman" w:hAnsi="Times New Roman" w:cs="Times New Roman"/>
          <w:sz w:val="24"/>
          <w:szCs w:val="24"/>
        </w:rPr>
        <w:t xml:space="preserve">generando mecanismos de seguimiento de la aplicación. </w:t>
      </w:r>
    </w:p>
    <w:p w14:paraId="2A7683BC" w14:textId="77777777" w:rsidR="00D057DD" w:rsidRDefault="00D057DD" w:rsidP="00D057DD">
      <w:pPr>
        <w:pStyle w:val="Prrafodelista"/>
        <w:numPr>
          <w:ilvl w:val="0"/>
          <w:numId w:val="23"/>
        </w:numPr>
        <w:jc w:val="both"/>
        <w:rPr>
          <w:rFonts w:ascii="Times New Roman" w:hAnsi="Times New Roman" w:cs="Times New Roman"/>
          <w:sz w:val="24"/>
          <w:szCs w:val="24"/>
        </w:rPr>
      </w:pPr>
      <w:r>
        <w:rPr>
          <w:rFonts w:ascii="Times New Roman" w:hAnsi="Times New Roman" w:cs="Times New Roman"/>
          <w:i/>
          <w:iCs/>
          <w:sz w:val="24"/>
          <w:szCs w:val="24"/>
        </w:rPr>
        <w:t>En la educación</w:t>
      </w:r>
      <w:r>
        <w:rPr>
          <w:rFonts w:ascii="Times New Roman" w:hAnsi="Times New Roman" w:cs="Times New Roman"/>
          <w:sz w:val="24"/>
          <w:szCs w:val="24"/>
        </w:rPr>
        <w:t xml:space="preserve"> resulta importante ampliar la cantidad de equipos interdisciplinarios que orientan las situaciones que deben enfrentar los centros educativos, fortalecer la educación sexual y </w:t>
      </w:r>
      <w:proofErr w:type="spellStart"/>
      <w:r>
        <w:rPr>
          <w:rFonts w:ascii="Times New Roman" w:hAnsi="Times New Roman" w:cs="Times New Roman"/>
          <w:sz w:val="24"/>
          <w:szCs w:val="24"/>
        </w:rPr>
        <w:t>transversalizar</w:t>
      </w:r>
      <w:proofErr w:type="spellEnd"/>
      <w:r>
        <w:rPr>
          <w:rFonts w:ascii="Times New Roman" w:hAnsi="Times New Roman" w:cs="Times New Roman"/>
          <w:sz w:val="24"/>
          <w:szCs w:val="24"/>
        </w:rPr>
        <w:t xml:space="preserve"> la perspectiva de género en la </w:t>
      </w:r>
      <w:proofErr w:type="spellStart"/>
      <w:r>
        <w:rPr>
          <w:rFonts w:ascii="Times New Roman" w:hAnsi="Times New Roman" w:cs="Times New Roman"/>
          <w:sz w:val="24"/>
          <w:szCs w:val="24"/>
        </w:rPr>
        <w:t>curricula</w:t>
      </w:r>
      <w:proofErr w:type="spellEnd"/>
      <w:r>
        <w:rPr>
          <w:rFonts w:ascii="Times New Roman" w:hAnsi="Times New Roman" w:cs="Times New Roman"/>
          <w:sz w:val="24"/>
          <w:szCs w:val="24"/>
        </w:rPr>
        <w:t xml:space="preserve"> educativa mediante la capacitación a todo el personal. </w:t>
      </w:r>
    </w:p>
    <w:p w14:paraId="1FA89F29" w14:textId="77777777" w:rsidR="00D057DD" w:rsidRDefault="00D057DD" w:rsidP="00D057DD">
      <w:pPr>
        <w:pStyle w:val="Prrafodelista"/>
        <w:numPr>
          <w:ilvl w:val="0"/>
          <w:numId w:val="23"/>
        </w:numPr>
        <w:jc w:val="both"/>
        <w:rPr>
          <w:rFonts w:ascii="Times New Roman" w:hAnsi="Times New Roman" w:cs="Times New Roman"/>
          <w:sz w:val="24"/>
          <w:szCs w:val="24"/>
        </w:rPr>
      </w:pPr>
      <w:r>
        <w:rPr>
          <w:rFonts w:ascii="Times New Roman" w:hAnsi="Times New Roman" w:cs="Times New Roman"/>
          <w:i/>
          <w:iCs/>
          <w:sz w:val="24"/>
          <w:szCs w:val="24"/>
        </w:rPr>
        <w:t xml:space="preserve">En </w:t>
      </w:r>
      <w:r>
        <w:rPr>
          <w:rFonts w:ascii="Times New Roman" w:hAnsi="Times New Roman" w:cs="Times New Roman"/>
          <w:i/>
          <w:iCs/>
          <w:sz w:val="24"/>
          <w:szCs w:val="24"/>
          <w:lang w:val="es-MX"/>
        </w:rPr>
        <w:t>la</w:t>
      </w:r>
      <w:r>
        <w:rPr>
          <w:rFonts w:ascii="Times New Roman" w:hAnsi="Times New Roman" w:cs="Times New Roman"/>
          <w:i/>
          <w:iCs/>
          <w:sz w:val="24"/>
          <w:szCs w:val="24"/>
        </w:rPr>
        <w:t xml:space="preserve"> salud</w:t>
      </w:r>
      <w:r>
        <w:rPr>
          <w:rFonts w:ascii="Times New Roman" w:hAnsi="Times New Roman" w:cs="Times New Roman"/>
          <w:sz w:val="24"/>
          <w:szCs w:val="24"/>
        </w:rPr>
        <w:t>, la aplicación y seguimiento de metas prestacionales sobre el abordaje de violencia de género resulta de gran importancia</w:t>
      </w:r>
      <w:r>
        <w:rPr>
          <w:rFonts w:ascii="Times New Roman" w:hAnsi="Times New Roman" w:cs="Times New Roman"/>
          <w:sz w:val="24"/>
          <w:szCs w:val="24"/>
          <w:lang w:val="es-MX"/>
        </w:rPr>
        <w:t>, a</w:t>
      </w:r>
      <w:r>
        <w:rPr>
          <w:rFonts w:ascii="Times New Roman" w:hAnsi="Times New Roman" w:cs="Times New Roman"/>
          <w:sz w:val="24"/>
          <w:szCs w:val="24"/>
        </w:rPr>
        <w:t xml:space="preserve">sí como, la capacitación a la Red de </w:t>
      </w:r>
      <w:r>
        <w:rPr>
          <w:rFonts w:ascii="Times New Roman" w:hAnsi="Times New Roman" w:cs="Times New Roman"/>
          <w:sz w:val="24"/>
          <w:szCs w:val="24"/>
          <w:lang w:val="es-MX"/>
        </w:rPr>
        <w:t>e</w:t>
      </w:r>
      <w:r>
        <w:rPr>
          <w:rFonts w:ascii="Times New Roman" w:hAnsi="Times New Roman" w:cs="Times New Roman"/>
          <w:sz w:val="24"/>
          <w:szCs w:val="24"/>
        </w:rPr>
        <w:t>quipos de violencia de género de los diferentes prestadores de salud.</w:t>
      </w:r>
      <w:r>
        <w:rPr>
          <w:rFonts w:ascii="Times New Roman" w:hAnsi="Times New Roman" w:cs="Times New Roman"/>
          <w:sz w:val="24"/>
          <w:szCs w:val="24"/>
          <w:lang w:val="es-MX"/>
        </w:rPr>
        <w:t xml:space="preserve"> Estos equipos </w:t>
      </w:r>
      <w:r>
        <w:rPr>
          <w:rFonts w:ascii="Times New Roman" w:hAnsi="Times New Roman" w:cs="Times New Roman"/>
          <w:sz w:val="24"/>
          <w:szCs w:val="24"/>
        </w:rPr>
        <w:t>deben reportar la cantidad de casos detectados en los servicios de salud. Esta actividad ha sido comprometida por el MSP en el Plan Nacional de Violencia basada en Género 2022-2024 pero no ha sido cumplida, teniendo dificultades para su implementación.</w:t>
      </w:r>
    </w:p>
    <w:p w14:paraId="22EEB5E6" w14:textId="77777777" w:rsidR="00D057DD" w:rsidRDefault="00D057DD" w:rsidP="00D057DD">
      <w:pPr>
        <w:pStyle w:val="Prrafodelista"/>
        <w:numPr>
          <w:ilvl w:val="0"/>
          <w:numId w:val="23"/>
        </w:numPr>
        <w:jc w:val="both"/>
        <w:rPr>
          <w:rFonts w:ascii="Times New Roman" w:hAnsi="Times New Roman" w:cs="Times New Roman"/>
          <w:sz w:val="24"/>
          <w:szCs w:val="24"/>
        </w:rPr>
      </w:pPr>
      <w:r>
        <w:rPr>
          <w:rFonts w:ascii="Times New Roman" w:hAnsi="Times New Roman" w:cs="Times New Roman"/>
          <w:i/>
          <w:sz w:val="24"/>
          <w:szCs w:val="24"/>
        </w:rPr>
        <w:t>La atención especializada de las situaciones de violencia</w:t>
      </w:r>
      <w:r>
        <w:rPr>
          <w:rFonts w:ascii="Times New Roman" w:hAnsi="Times New Roman" w:cs="Times New Roman"/>
          <w:color w:val="C00000"/>
          <w:sz w:val="24"/>
          <w:szCs w:val="24"/>
          <w:lang w:val="es-MX"/>
        </w:rPr>
        <w:t>:</w:t>
      </w:r>
      <w:r>
        <w:rPr>
          <w:rFonts w:ascii="Times New Roman" w:hAnsi="Times New Roman" w:cs="Times New Roman"/>
          <w:color w:val="C00000"/>
          <w:sz w:val="24"/>
          <w:szCs w:val="24"/>
        </w:rPr>
        <w:t xml:space="preserve"> </w:t>
      </w:r>
      <w:r>
        <w:rPr>
          <w:rFonts w:ascii="Times New Roman" w:hAnsi="Times New Roman" w:cs="Times New Roman"/>
          <w:sz w:val="24"/>
          <w:szCs w:val="24"/>
        </w:rPr>
        <w:t>se destaca</w:t>
      </w:r>
      <w:r>
        <w:rPr>
          <w:rFonts w:ascii="Times New Roman" w:hAnsi="Times New Roman" w:cs="Times New Roman"/>
          <w:sz w:val="24"/>
          <w:szCs w:val="24"/>
          <w:lang w:val="es-MX"/>
        </w:rPr>
        <w:t xml:space="preserve"> la</w:t>
      </w:r>
      <w:r>
        <w:rPr>
          <w:rFonts w:ascii="Times New Roman" w:hAnsi="Times New Roman" w:cs="Times New Roman"/>
          <w:sz w:val="24"/>
          <w:szCs w:val="24"/>
        </w:rPr>
        <w:t xml:space="preserve"> </w:t>
      </w:r>
      <w:proofErr w:type="spellStart"/>
      <w:r>
        <w:rPr>
          <w:rFonts w:ascii="Times New Roman" w:hAnsi="Times New Roman" w:cs="Times New Roman"/>
          <w:sz w:val="24"/>
          <w:szCs w:val="24"/>
        </w:rPr>
        <w:t>continu</w:t>
      </w:r>
      <w:r>
        <w:rPr>
          <w:rFonts w:ascii="Times New Roman" w:hAnsi="Times New Roman" w:cs="Times New Roman"/>
          <w:sz w:val="24"/>
          <w:szCs w:val="24"/>
          <w:lang w:val="es-MX"/>
        </w:rPr>
        <w:t>ación</w:t>
      </w:r>
      <w:proofErr w:type="spellEnd"/>
      <w:r>
        <w:rPr>
          <w:rFonts w:ascii="Times New Roman" w:hAnsi="Times New Roman" w:cs="Times New Roman"/>
          <w:sz w:val="24"/>
          <w:szCs w:val="24"/>
        </w:rPr>
        <w:t xml:space="preserve"> </w:t>
      </w:r>
      <w:r>
        <w:rPr>
          <w:rFonts w:ascii="Times New Roman" w:hAnsi="Times New Roman" w:cs="Times New Roman"/>
          <w:sz w:val="24"/>
          <w:szCs w:val="24"/>
          <w:lang w:val="es-MX"/>
        </w:rPr>
        <w:t xml:space="preserve">de </w:t>
      </w:r>
      <w:r>
        <w:rPr>
          <w:rFonts w:ascii="Times New Roman" w:hAnsi="Times New Roman" w:cs="Times New Roman"/>
          <w:sz w:val="24"/>
          <w:szCs w:val="24"/>
        </w:rPr>
        <w:t xml:space="preserve">creación de dispositivos que brinda INMUJERES. </w:t>
      </w:r>
      <w:r>
        <w:rPr>
          <w:rFonts w:ascii="Times New Roman" w:hAnsi="Times New Roman" w:cs="Times New Roman"/>
          <w:sz w:val="24"/>
          <w:szCs w:val="24"/>
          <w:lang w:val="es-MX"/>
        </w:rPr>
        <w:t xml:space="preserve"> </w:t>
      </w:r>
    </w:p>
    <w:p w14:paraId="3AC4EF67" w14:textId="77777777" w:rsidR="00D057DD" w:rsidRDefault="00D057DD" w:rsidP="00D057DD">
      <w:pPr>
        <w:pStyle w:val="Prrafodelista"/>
        <w:ind w:leftChars="318" w:left="700" w:firstLineChars="50" w:firstLine="120"/>
        <w:jc w:val="both"/>
        <w:rPr>
          <w:rFonts w:ascii="Times New Roman" w:hAnsi="Times New Roman" w:cs="Times New Roman"/>
          <w:sz w:val="24"/>
          <w:szCs w:val="24"/>
        </w:rPr>
      </w:pPr>
      <w:r>
        <w:rPr>
          <w:rFonts w:ascii="Times New Roman" w:hAnsi="Times New Roman" w:cs="Times New Roman"/>
          <w:sz w:val="24"/>
          <w:szCs w:val="24"/>
        </w:rPr>
        <w:t xml:space="preserve">En este sentido se </w:t>
      </w:r>
      <w:proofErr w:type="gramStart"/>
      <w:r>
        <w:rPr>
          <w:rFonts w:ascii="Times New Roman" w:hAnsi="Times New Roman" w:cs="Times New Roman"/>
          <w:sz w:val="24"/>
          <w:szCs w:val="24"/>
          <w:lang w:val="es-MX"/>
        </w:rPr>
        <w:t xml:space="preserve">incrementaron </w:t>
      </w:r>
      <w:r>
        <w:rPr>
          <w:rFonts w:ascii="Times New Roman" w:hAnsi="Times New Roman" w:cs="Times New Roman"/>
          <w:sz w:val="24"/>
          <w:szCs w:val="24"/>
        </w:rPr>
        <w:t xml:space="preserve"> de</w:t>
      </w:r>
      <w:proofErr w:type="gramEnd"/>
      <w:r>
        <w:rPr>
          <w:rFonts w:ascii="Times New Roman" w:hAnsi="Times New Roman" w:cs="Times New Roman"/>
          <w:sz w:val="24"/>
          <w:szCs w:val="24"/>
        </w:rPr>
        <w:t xml:space="preserve"> 33 a 35 </w:t>
      </w:r>
      <w:r>
        <w:rPr>
          <w:rFonts w:ascii="Times New Roman" w:hAnsi="Times New Roman" w:cs="Times New Roman"/>
          <w:sz w:val="24"/>
          <w:szCs w:val="24"/>
          <w:lang w:val="es-MX"/>
        </w:rPr>
        <w:t xml:space="preserve">los </w:t>
      </w:r>
      <w:r>
        <w:rPr>
          <w:rFonts w:ascii="Times New Roman" w:hAnsi="Times New Roman" w:cs="Times New Roman"/>
          <w:sz w:val="24"/>
          <w:szCs w:val="24"/>
        </w:rPr>
        <w:t xml:space="preserve">servicios de atención a mujeres, de </w:t>
      </w:r>
      <w:r>
        <w:rPr>
          <w:rFonts w:ascii="Times New Roman" w:hAnsi="Times New Roman" w:cs="Times New Roman"/>
          <w:sz w:val="24"/>
          <w:szCs w:val="24"/>
          <w:lang w:val="es-MX"/>
        </w:rPr>
        <w:t xml:space="preserve"> </w:t>
      </w:r>
      <w:r>
        <w:rPr>
          <w:rFonts w:ascii="Times New Roman" w:hAnsi="Times New Roman" w:cs="Times New Roman"/>
          <w:sz w:val="24"/>
          <w:szCs w:val="24"/>
        </w:rPr>
        <w:t>12 a 14</w:t>
      </w:r>
      <w:r>
        <w:rPr>
          <w:rFonts w:ascii="Times New Roman" w:hAnsi="Times New Roman" w:cs="Times New Roman"/>
          <w:sz w:val="24"/>
          <w:szCs w:val="24"/>
          <w:lang w:val="es-MX"/>
        </w:rPr>
        <w:t xml:space="preserve"> los</w:t>
      </w:r>
      <w:r>
        <w:rPr>
          <w:rFonts w:ascii="Times New Roman" w:hAnsi="Times New Roman" w:cs="Times New Roman"/>
          <w:sz w:val="24"/>
          <w:szCs w:val="24"/>
        </w:rPr>
        <w:t xml:space="preserve"> servicios de atención a varones (aunque aún no se ha alcanzado los 19 servicios que informó el </w:t>
      </w:r>
      <w:r>
        <w:rPr>
          <w:rFonts w:ascii="Times New Roman" w:hAnsi="Times New Roman" w:cs="Times New Roman"/>
          <w:sz w:val="24"/>
          <w:szCs w:val="24"/>
          <w:lang w:val="es-MX"/>
        </w:rPr>
        <w:t>E</w:t>
      </w:r>
      <w:proofErr w:type="spellStart"/>
      <w:r>
        <w:rPr>
          <w:rFonts w:ascii="Times New Roman" w:hAnsi="Times New Roman" w:cs="Times New Roman"/>
          <w:sz w:val="24"/>
          <w:szCs w:val="24"/>
        </w:rPr>
        <w:t>stado</w:t>
      </w:r>
      <w:proofErr w:type="spellEnd"/>
      <w:r>
        <w:rPr>
          <w:rFonts w:ascii="Times New Roman" w:hAnsi="Times New Roman" w:cs="Times New Roman"/>
          <w:sz w:val="24"/>
          <w:szCs w:val="24"/>
        </w:rPr>
        <w:t xml:space="preserve"> que esperaba crear), se creó un nuevo Centro de Estadía Transitoria en Maldonado y se amplió el horario de atención telefónica. Lo cual implicó crecimiento presupuestal. </w:t>
      </w:r>
    </w:p>
    <w:p w14:paraId="30211AC2" w14:textId="77777777" w:rsidR="00D057DD" w:rsidRDefault="00D057DD" w:rsidP="00D057DD">
      <w:pPr>
        <w:pStyle w:val="Prrafodelista"/>
        <w:ind w:leftChars="327" w:left="719" w:firstLineChars="100" w:firstLine="240"/>
        <w:jc w:val="both"/>
        <w:rPr>
          <w:rFonts w:ascii="Times New Roman" w:hAnsi="Times New Roman" w:cs="Times New Roman"/>
          <w:sz w:val="24"/>
          <w:szCs w:val="24"/>
          <w:lang w:val="es-MX"/>
        </w:rPr>
      </w:pPr>
      <w:r>
        <w:rPr>
          <w:rFonts w:ascii="Times New Roman" w:hAnsi="Times New Roman" w:cs="Times New Roman"/>
          <w:sz w:val="24"/>
          <w:szCs w:val="24"/>
          <w:lang w:val="es-MX"/>
        </w:rPr>
        <w:t xml:space="preserve">No </w:t>
      </w:r>
      <w:proofErr w:type="gramStart"/>
      <w:r>
        <w:rPr>
          <w:rFonts w:ascii="Times New Roman" w:hAnsi="Times New Roman" w:cs="Times New Roman"/>
          <w:sz w:val="24"/>
          <w:szCs w:val="24"/>
          <w:lang w:val="es-MX"/>
        </w:rPr>
        <w:t>obstante</w:t>
      </w:r>
      <w:proofErr w:type="gramEnd"/>
      <w:r>
        <w:rPr>
          <w:rFonts w:ascii="Times New Roman" w:hAnsi="Times New Roman" w:cs="Times New Roman"/>
          <w:sz w:val="24"/>
          <w:szCs w:val="24"/>
          <w:lang w:val="es-MX"/>
        </w:rPr>
        <w:t xml:space="preserve"> se advierte que</w:t>
      </w:r>
      <w:r>
        <w:rPr>
          <w:rFonts w:ascii="Times New Roman" w:hAnsi="Times New Roman" w:cs="Times New Roman"/>
          <w:sz w:val="24"/>
          <w:szCs w:val="24"/>
        </w:rPr>
        <w:t xml:space="preserve"> la demanda de los servicios es alta y sigue siendo</w:t>
      </w:r>
      <w:r>
        <w:rPr>
          <w:rFonts w:ascii="Times New Roman" w:hAnsi="Times New Roman" w:cs="Times New Roman"/>
          <w:sz w:val="24"/>
          <w:szCs w:val="24"/>
          <w:lang w:val="es-MX"/>
        </w:rPr>
        <w:t xml:space="preserve"> </w:t>
      </w:r>
      <w:r>
        <w:rPr>
          <w:rFonts w:ascii="Times New Roman" w:hAnsi="Times New Roman" w:cs="Times New Roman"/>
          <w:sz w:val="24"/>
          <w:szCs w:val="24"/>
        </w:rPr>
        <w:t>necesario mejorar la cobertura. Para ilustrar esta afirmación</w:t>
      </w:r>
      <w:r>
        <w:rPr>
          <w:rFonts w:ascii="Times New Roman" w:hAnsi="Times New Roman" w:cs="Times New Roman"/>
          <w:sz w:val="24"/>
          <w:szCs w:val="24"/>
          <w:lang w:val="es-MX"/>
        </w:rPr>
        <w:t xml:space="preserve">, se debe atender </w:t>
      </w:r>
      <w:proofErr w:type="gramStart"/>
      <w:r>
        <w:rPr>
          <w:rFonts w:ascii="Times New Roman" w:hAnsi="Times New Roman" w:cs="Times New Roman"/>
          <w:sz w:val="24"/>
          <w:szCs w:val="24"/>
          <w:lang w:val="es-MX"/>
        </w:rPr>
        <w:t xml:space="preserve">a </w:t>
      </w:r>
      <w:r>
        <w:rPr>
          <w:rFonts w:ascii="Times New Roman" w:hAnsi="Times New Roman" w:cs="Times New Roman"/>
          <w:sz w:val="24"/>
          <w:szCs w:val="24"/>
        </w:rPr>
        <w:t xml:space="preserve"> que</w:t>
      </w:r>
      <w:proofErr w:type="gramEnd"/>
      <w:r>
        <w:rPr>
          <w:rFonts w:ascii="Times New Roman" w:hAnsi="Times New Roman" w:cs="Times New Roman"/>
          <w:sz w:val="24"/>
          <w:szCs w:val="24"/>
        </w:rPr>
        <w:t xml:space="preserve"> la Encuesta Nacional de Prevalencia en </w:t>
      </w:r>
      <w:r>
        <w:rPr>
          <w:rFonts w:ascii="Times New Roman" w:hAnsi="Times New Roman" w:cs="Times New Roman"/>
          <w:sz w:val="24"/>
          <w:szCs w:val="24"/>
          <w:lang w:val="es-MX"/>
        </w:rPr>
        <w:t>V</w:t>
      </w:r>
      <w:proofErr w:type="spellStart"/>
      <w:r>
        <w:rPr>
          <w:rFonts w:ascii="Times New Roman" w:hAnsi="Times New Roman" w:cs="Times New Roman"/>
          <w:sz w:val="24"/>
          <w:szCs w:val="24"/>
        </w:rPr>
        <w:t>iolencia</w:t>
      </w:r>
      <w:proofErr w:type="spellEnd"/>
      <w:r>
        <w:rPr>
          <w:rFonts w:ascii="Times New Roman" w:hAnsi="Times New Roman" w:cs="Times New Roman"/>
          <w:sz w:val="24"/>
          <w:szCs w:val="24"/>
        </w:rPr>
        <w:t xml:space="preserve"> de </w:t>
      </w:r>
      <w:r>
        <w:rPr>
          <w:rFonts w:ascii="Times New Roman" w:hAnsi="Times New Roman" w:cs="Times New Roman"/>
          <w:sz w:val="24"/>
          <w:szCs w:val="24"/>
          <w:lang w:val="es-MX"/>
        </w:rPr>
        <w:t>G</w:t>
      </w:r>
      <w:proofErr w:type="spellStart"/>
      <w:r>
        <w:rPr>
          <w:rFonts w:ascii="Times New Roman" w:hAnsi="Times New Roman" w:cs="Times New Roman"/>
          <w:sz w:val="24"/>
          <w:szCs w:val="24"/>
        </w:rPr>
        <w:t>énero</w:t>
      </w:r>
      <w:proofErr w:type="spellEnd"/>
      <w:r>
        <w:rPr>
          <w:rFonts w:ascii="Times New Roman" w:hAnsi="Times New Roman" w:cs="Times New Roman"/>
          <w:sz w:val="24"/>
          <w:szCs w:val="24"/>
        </w:rPr>
        <w:t>, señala que el 19.5% de las mujeres uruguayas declara haber recibido violencia por parte de su pareja o expareja en el último año de vida, lo que equivale aproximadamente a 279.000 mujeres.</w:t>
      </w:r>
      <w:r>
        <w:rPr>
          <w:rFonts w:ascii="Times New Roman" w:hAnsi="Times New Roman" w:cs="Times New Roman"/>
          <w:sz w:val="24"/>
          <w:szCs w:val="24"/>
          <w:lang w:val="es-MX"/>
        </w:rPr>
        <w:t xml:space="preserve"> En atención a lo anterior, </w:t>
      </w:r>
      <w:r>
        <w:rPr>
          <w:rFonts w:ascii="Times New Roman" w:hAnsi="Times New Roman" w:cs="Times New Roman"/>
          <w:sz w:val="24"/>
          <w:szCs w:val="24"/>
        </w:rPr>
        <w:t xml:space="preserve">INMUJERES informa que durante el 2022 el </w:t>
      </w:r>
      <w:r>
        <w:rPr>
          <w:rFonts w:ascii="Times New Roman" w:hAnsi="Times New Roman" w:cs="Times New Roman"/>
          <w:sz w:val="24"/>
          <w:szCs w:val="24"/>
        </w:rPr>
        <w:lastRenderedPageBreak/>
        <w:t>servicio telefónico atendió 10.962 llamadas y que concurrieron a los servicios de atención unas 3522 mujeres</w:t>
      </w:r>
      <w:r>
        <w:rPr>
          <w:rStyle w:val="Refdenotaalpie"/>
          <w:rFonts w:ascii="Times New Roman" w:hAnsi="Times New Roman" w:cs="Times New Roman"/>
          <w:sz w:val="24"/>
          <w:szCs w:val="24"/>
        </w:rPr>
        <w:footnoteReference w:id="27"/>
      </w:r>
      <w:r>
        <w:rPr>
          <w:rFonts w:ascii="Times New Roman" w:hAnsi="Times New Roman" w:cs="Times New Roman"/>
          <w:sz w:val="24"/>
          <w:szCs w:val="24"/>
        </w:rPr>
        <w:t>.  Es importante señalar que la prevalencia en mujeres afros resulta mayor que en las no afro (25.8% para las mujeres afro y 18.5% para mujeres no afro)</w:t>
      </w:r>
      <w:r>
        <w:rPr>
          <w:rStyle w:val="Refdenotaalpie"/>
          <w:rFonts w:ascii="Times New Roman" w:hAnsi="Times New Roman" w:cs="Times New Roman"/>
          <w:sz w:val="24"/>
          <w:szCs w:val="24"/>
        </w:rPr>
        <w:footnoteReference w:id="28"/>
      </w:r>
      <w:r>
        <w:rPr>
          <w:rFonts w:ascii="Times New Roman" w:hAnsi="Times New Roman" w:cs="Times New Roman"/>
          <w:sz w:val="24"/>
          <w:szCs w:val="24"/>
        </w:rPr>
        <w:t>.</w:t>
      </w:r>
      <w:r>
        <w:rPr>
          <w:rFonts w:ascii="Times New Roman" w:hAnsi="Times New Roman" w:cs="Times New Roman"/>
          <w:sz w:val="24"/>
          <w:szCs w:val="24"/>
          <w:lang w:val="es-MX"/>
        </w:rPr>
        <w:t xml:space="preserve"> </w:t>
      </w:r>
    </w:p>
    <w:p w14:paraId="010C643D" w14:textId="77777777" w:rsidR="00D057DD" w:rsidRDefault="00D057DD" w:rsidP="00D057DD">
      <w:pPr>
        <w:pStyle w:val="Prrafodelista"/>
        <w:ind w:leftChars="327" w:left="719" w:firstLineChars="100" w:firstLine="240"/>
        <w:jc w:val="both"/>
        <w:rPr>
          <w:rFonts w:ascii="Times New Roman" w:hAnsi="Times New Roman" w:cs="Times New Roman"/>
          <w:sz w:val="24"/>
          <w:szCs w:val="24"/>
        </w:rPr>
      </w:pPr>
      <w:r>
        <w:rPr>
          <w:rFonts w:ascii="Times New Roman" w:hAnsi="Times New Roman" w:cs="Times New Roman"/>
          <w:sz w:val="24"/>
          <w:szCs w:val="24"/>
        </w:rPr>
        <w:t>En especial</w:t>
      </w:r>
      <w:r>
        <w:rPr>
          <w:rFonts w:ascii="Times New Roman" w:hAnsi="Times New Roman" w:cs="Times New Roman"/>
          <w:sz w:val="24"/>
          <w:szCs w:val="24"/>
          <w:lang w:val="es-MX"/>
        </w:rPr>
        <w:t xml:space="preserve">, la </w:t>
      </w:r>
      <w:r>
        <w:rPr>
          <w:rFonts w:ascii="Times New Roman" w:hAnsi="Times New Roman" w:cs="Times New Roman"/>
          <w:sz w:val="24"/>
          <w:szCs w:val="24"/>
        </w:rPr>
        <w:t xml:space="preserve">INDDHH ha </w:t>
      </w:r>
      <w:r>
        <w:rPr>
          <w:rFonts w:ascii="Times New Roman" w:hAnsi="Times New Roman" w:cs="Times New Roman"/>
          <w:sz w:val="24"/>
          <w:szCs w:val="24"/>
          <w:lang w:val="es-MX"/>
        </w:rPr>
        <w:t>enfatizado</w:t>
      </w:r>
      <w:r>
        <w:rPr>
          <w:rFonts w:ascii="Times New Roman" w:hAnsi="Times New Roman" w:cs="Times New Roman"/>
          <w:sz w:val="24"/>
          <w:szCs w:val="24"/>
        </w:rPr>
        <w:t xml:space="preserve"> la importancia</w:t>
      </w:r>
      <w:r>
        <w:rPr>
          <w:rFonts w:ascii="Times New Roman" w:hAnsi="Times New Roman" w:cs="Times New Roman"/>
          <w:sz w:val="24"/>
          <w:szCs w:val="24"/>
          <w:lang w:val="es-MX"/>
        </w:rPr>
        <w:t xml:space="preserve"> de</w:t>
      </w:r>
      <w:r>
        <w:rPr>
          <w:rFonts w:ascii="Times New Roman" w:hAnsi="Times New Roman" w:cs="Times New Roman"/>
          <w:sz w:val="24"/>
          <w:szCs w:val="24"/>
        </w:rPr>
        <w:t xml:space="preserve"> </w:t>
      </w:r>
      <w:r>
        <w:rPr>
          <w:rFonts w:ascii="Times New Roman" w:hAnsi="Times New Roman" w:cs="Times New Roman"/>
          <w:sz w:val="24"/>
          <w:szCs w:val="24"/>
          <w:lang w:val="es-MX"/>
        </w:rPr>
        <w:t xml:space="preserve">ampliar la cobertura de los </w:t>
      </w:r>
      <w:r>
        <w:rPr>
          <w:rFonts w:ascii="Times New Roman" w:hAnsi="Times New Roman" w:cs="Times New Roman"/>
          <w:sz w:val="24"/>
          <w:szCs w:val="24"/>
        </w:rPr>
        <w:t>servicios fuera de las capitales departamentales</w:t>
      </w:r>
      <w:r>
        <w:rPr>
          <w:rStyle w:val="Refdenotaalpie"/>
          <w:rFonts w:ascii="Times New Roman" w:hAnsi="Times New Roman" w:cs="Times New Roman"/>
          <w:sz w:val="24"/>
          <w:szCs w:val="24"/>
        </w:rPr>
        <w:footnoteReference w:id="29"/>
      </w:r>
      <w:r>
        <w:rPr>
          <w:rFonts w:ascii="Times New Roman" w:hAnsi="Times New Roman" w:cs="Times New Roman"/>
          <w:sz w:val="24"/>
          <w:szCs w:val="24"/>
        </w:rPr>
        <w:t xml:space="preserve">. </w:t>
      </w:r>
    </w:p>
    <w:p w14:paraId="536E30E1" w14:textId="77777777" w:rsidR="00D057DD" w:rsidRDefault="00D057DD" w:rsidP="00D057DD">
      <w:pPr>
        <w:pStyle w:val="Prrafodelista"/>
        <w:ind w:leftChars="327" w:left="719" w:firstLineChars="100" w:firstLine="240"/>
        <w:jc w:val="both"/>
        <w:rPr>
          <w:rFonts w:ascii="Times New Roman" w:hAnsi="Times New Roman" w:cs="Times New Roman"/>
          <w:sz w:val="24"/>
          <w:szCs w:val="24"/>
        </w:rPr>
      </w:pPr>
      <w:r>
        <w:rPr>
          <w:rFonts w:ascii="Times New Roman" w:hAnsi="Times New Roman" w:cs="Times New Roman"/>
          <w:sz w:val="24"/>
          <w:szCs w:val="24"/>
        </w:rPr>
        <w:t xml:space="preserve">También </w:t>
      </w:r>
      <w:proofErr w:type="spellStart"/>
      <w:r>
        <w:rPr>
          <w:rFonts w:ascii="Times New Roman" w:hAnsi="Times New Roman" w:cs="Times New Roman"/>
          <w:sz w:val="24"/>
          <w:szCs w:val="24"/>
          <w:lang w:val="es-MX"/>
        </w:rPr>
        <w:t>manifiestó</w:t>
      </w:r>
      <w:proofErr w:type="spellEnd"/>
      <w:r>
        <w:rPr>
          <w:rFonts w:ascii="Times New Roman" w:hAnsi="Times New Roman" w:cs="Times New Roman"/>
          <w:sz w:val="24"/>
          <w:szCs w:val="24"/>
        </w:rPr>
        <w:t xml:space="preserve"> preocupación </w:t>
      </w:r>
      <w:r>
        <w:rPr>
          <w:rFonts w:ascii="Times New Roman" w:hAnsi="Times New Roman" w:cs="Times New Roman"/>
          <w:sz w:val="24"/>
          <w:szCs w:val="24"/>
          <w:lang w:val="es-MX"/>
        </w:rPr>
        <w:t>por la no</w:t>
      </w:r>
      <w:r>
        <w:rPr>
          <w:rFonts w:ascii="Times New Roman" w:hAnsi="Times New Roman" w:cs="Times New Roman"/>
          <w:sz w:val="24"/>
          <w:szCs w:val="24"/>
        </w:rPr>
        <w:t xml:space="preserve"> </w:t>
      </w:r>
      <w:r>
        <w:rPr>
          <w:rFonts w:ascii="Times New Roman" w:hAnsi="Times New Roman" w:cs="Times New Roman"/>
          <w:sz w:val="24"/>
          <w:szCs w:val="24"/>
          <w:lang w:val="es-MX"/>
        </w:rPr>
        <w:t>c</w:t>
      </w:r>
      <w:r>
        <w:rPr>
          <w:rFonts w:ascii="Times New Roman" w:hAnsi="Times New Roman" w:cs="Times New Roman"/>
          <w:sz w:val="24"/>
          <w:szCs w:val="24"/>
        </w:rPr>
        <w:t>rea</w:t>
      </w:r>
      <w:proofErr w:type="spellStart"/>
      <w:r>
        <w:rPr>
          <w:rFonts w:ascii="Times New Roman" w:hAnsi="Times New Roman" w:cs="Times New Roman"/>
          <w:sz w:val="24"/>
          <w:szCs w:val="24"/>
          <w:lang w:val="es-MX"/>
        </w:rPr>
        <w:t>ción</w:t>
      </w:r>
      <w:proofErr w:type="spellEnd"/>
      <w:r>
        <w:rPr>
          <w:rFonts w:ascii="Times New Roman" w:hAnsi="Times New Roman" w:cs="Times New Roman"/>
          <w:sz w:val="24"/>
          <w:szCs w:val="24"/>
          <w:lang w:val="es-MX"/>
        </w:rPr>
        <w:t xml:space="preserve"> de</w:t>
      </w:r>
      <w:r>
        <w:rPr>
          <w:rFonts w:ascii="Times New Roman" w:hAnsi="Times New Roman" w:cs="Times New Roman"/>
          <w:sz w:val="24"/>
          <w:szCs w:val="24"/>
        </w:rPr>
        <w:t xml:space="preserve"> dispositivos de apoyos específicos para la ruta de salida de mujeres en situación de discapacidad que sufren violencia en el ámbito privado, en coordinación con la Dirección de Discapacidad </w:t>
      </w:r>
      <w:r>
        <w:rPr>
          <w:rFonts w:ascii="Times New Roman" w:hAnsi="Times New Roman" w:cs="Times New Roman"/>
          <w:sz w:val="24"/>
          <w:szCs w:val="24"/>
          <w:lang w:val="es-MX"/>
        </w:rPr>
        <w:t>y</w:t>
      </w:r>
      <w:r>
        <w:rPr>
          <w:rFonts w:ascii="Times New Roman" w:hAnsi="Times New Roman" w:cs="Times New Roman"/>
          <w:sz w:val="24"/>
          <w:szCs w:val="24"/>
        </w:rPr>
        <w:t xml:space="preserve"> otras dependencias del Estado. </w:t>
      </w:r>
    </w:p>
    <w:p w14:paraId="455614D6" w14:textId="77777777" w:rsidR="00D057DD" w:rsidRDefault="00D057DD" w:rsidP="00D057DD">
      <w:pPr>
        <w:pStyle w:val="Prrafodelista"/>
        <w:numPr>
          <w:ilvl w:val="0"/>
          <w:numId w:val="23"/>
        </w:numPr>
        <w:jc w:val="both"/>
        <w:rPr>
          <w:rFonts w:ascii="Times New Roman" w:hAnsi="Times New Roman" w:cs="Times New Roman"/>
          <w:sz w:val="24"/>
          <w:szCs w:val="24"/>
        </w:rPr>
      </w:pPr>
      <w:r>
        <w:rPr>
          <w:rFonts w:ascii="Times New Roman" w:hAnsi="Times New Roman" w:cs="Times New Roman"/>
          <w:sz w:val="24"/>
          <w:szCs w:val="24"/>
        </w:rPr>
        <w:t xml:space="preserve">En </w:t>
      </w:r>
      <w:r>
        <w:rPr>
          <w:rFonts w:ascii="Times New Roman" w:hAnsi="Times New Roman" w:cs="Times New Roman"/>
          <w:i/>
          <w:sz w:val="24"/>
          <w:szCs w:val="24"/>
          <w:lang w:val="es-MX"/>
        </w:rPr>
        <w:t xml:space="preserve">la </w:t>
      </w:r>
      <w:r>
        <w:rPr>
          <w:rFonts w:ascii="Times New Roman" w:hAnsi="Times New Roman" w:cs="Times New Roman"/>
          <w:i/>
          <w:sz w:val="24"/>
          <w:szCs w:val="24"/>
        </w:rPr>
        <w:t>atención a situaciones de violencia hacia niñas, niños y adolescentes</w:t>
      </w:r>
      <w:r>
        <w:rPr>
          <w:rFonts w:ascii="Times New Roman" w:hAnsi="Times New Roman" w:cs="Times New Roman"/>
          <w:sz w:val="24"/>
          <w:szCs w:val="24"/>
        </w:rPr>
        <w:t xml:space="preserve"> se mantiene el funcionamiento de los 33 Comités de Recepción Local, </w:t>
      </w:r>
      <w:r>
        <w:rPr>
          <w:rFonts w:ascii="Times New Roman" w:hAnsi="Times New Roman" w:cs="Times New Roman"/>
          <w:sz w:val="24"/>
          <w:szCs w:val="24"/>
          <w:lang w:val="es-MX"/>
        </w:rPr>
        <w:t xml:space="preserve">observándose el </w:t>
      </w:r>
      <w:proofErr w:type="spellStart"/>
      <w:r>
        <w:rPr>
          <w:rFonts w:ascii="Times New Roman" w:hAnsi="Times New Roman" w:cs="Times New Roman"/>
          <w:sz w:val="24"/>
          <w:szCs w:val="24"/>
        </w:rPr>
        <w:t>aument</w:t>
      </w:r>
      <w:proofErr w:type="spellEnd"/>
      <w:r>
        <w:rPr>
          <w:rFonts w:ascii="Times New Roman" w:hAnsi="Times New Roman" w:cs="Times New Roman"/>
          <w:sz w:val="24"/>
          <w:szCs w:val="24"/>
          <w:lang w:val="es-MX"/>
        </w:rPr>
        <w:t>o de</w:t>
      </w:r>
      <w:r>
        <w:rPr>
          <w:rFonts w:ascii="Times New Roman" w:hAnsi="Times New Roman" w:cs="Times New Roman"/>
          <w:sz w:val="24"/>
          <w:szCs w:val="24"/>
        </w:rPr>
        <w:t xml:space="preserve"> la cantidad de casos detectados anualmente. </w:t>
      </w:r>
    </w:p>
    <w:p w14:paraId="126A26AB" w14:textId="77777777" w:rsidR="00D057DD" w:rsidRDefault="00D057DD" w:rsidP="00D057DD">
      <w:pPr>
        <w:pStyle w:val="Prrafodelista"/>
        <w:ind w:leftChars="218" w:left="480" w:firstLineChars="150" w:firstLine="360"/>
        <w:jc w:val="both"/>
        <w:rPr>
          <w:rFonts w:ascii="Times New Roman" w:hAnsi="Times New Roman" w:cs="Times New Roman"/>
          <w:sz w:val="24"/>
          <w:szCs w:val="24"/>
        </w:rPr>
      </w:pPr>
      <w:r>
        <w:rPr>
          <w:rFonts w:ascii="Times New Roman" w:hAnsi="Times New Roman" w:cs="Times New Roman"/>
          <w:sz w:val="24"/>
          <w:szCs w:val="24"/>
        </w:rPr>
        <w:t xml:space="preserve">Al igual que en los servicios de atención a mujeres mayores de edad, la demanda </w:t>
      </w:r>
      <w:r>
        <w:rPr>
          <w:rFonts w:ascii="Times New Roman" w:hAnsi="Times New Roman" w:cs="Times New Roman"/>
          <w:sz w:val="24"/>
          <w:szCs w:val="24"/>
          <w:lang w:val="es-MX"/>
        </w:rPr>
        <w:t xml:space="preserve">  </w:t>
      </w:r>
      <w:r>
        <w:rPr>
          <w:rFonts w:ascii="Times New Roman" w:hAnsi="Times New Roman" w:cs="Times New Roman"/>
          <w:sz w:val="24"/>
          <w:szCs w:val="24"/>
        </w:rPr>
        <w:t>es alta y la cobertura resulta insuficiente.</w:t>
      </w:r>
    </w:p>
    <w:p w14:paraId="0D5A2832" w14:textId="77777777" w:rsidR="00D057DD" w:rsidRDefault="00D057DD" w:rsidP="00D057DD">
      <w:pPr>
        <w:pStyle w:val="Prrafodelista"/>
        <w:ind w:leftChars="209" w:left="460" w:firstLineChars="150" w:firstLine="360"/>
        <w:jc w:val="both"/>
        <w:rPr>
          <w:rFonts w:ascii="Times New Roman" w:hAnsi="Times New Roman" w:cs="Times New Roman"/>
          <w:sz w:val="24"/>
          <w:szCs w:val="24"/>
        </w:rPr>
      </w:pPr>
      <w:r>
        <w:rPr>
          <w:rFonts w:ascii="Times New Roman" w:hAnsi="Times New Roman" w:cs="Times New Roman"/>
          <w:sz w:val="24"/>
          <w:szCs w:val="24"/>
        </w:rPr>
        <w:t xml:space="preserve"> Otro aspecto de preocupación para la INDDHH es que desde el 2020, las políticas de </w:t>
      </w:r>
      <w:proofErr w:type="spellStart"/>
      <w:r>
        <w:rPr>
          <w:rFonts w:ascii="Times New Roman" w:hAnsi="Times New Roman" w:cs="Times New Roman"/>
          <w:sz w:val="24"/>
          <w:szCs w:val="24"/>
        </w:rPr>
        <w:t>transversalización</w:t>
      </w:r>
      <w:proofErr w:type="spellEnd"/>
      <w:r>
        <w:rPr>
          <w:rFonts w:ascii="Times New Roman" w:hAnsi="Times New Roman" w:cs="Times New Roman"/>
          <w:sz w:val="24"/>
          <w:szCs w:val="24"/>
        </w:rPr>
        <w:t xml:space="preserve"> de género en INAU </w:t>
      </w:r>
      <w:r>
        <w:rPr>
          <w:rFonts w:ascii="Times New Roman" w:hAnsi="Times New Roman" w:cs="Times New Roman"/>
          <w:sz w:val="24"/>
          <w:szCs w:val="24"/>
          <w:lang w:val="es-MX"/>
        </w:rPr>
        <w:t>presentan</w:t>
      </w:r>
      <w:r>
        <w:rPr>
          <w:rFonts w:ascii="Times New Roman" w:hAnsi="Times New Roman" w:cs="Times New Roman"/>
          <w:sz w:val="24"/>
          <w:szCs w:val="24"/>
        </w:rPr>
        <w:t xml:space="preserve"> una disminución significativa en la asignación presupuestal que etiqueta el organismo</w:t>
      </w:r>
      <w:r>
        <w:rPr>
          <w:rStyle w:val="Refdenotaalpie"/>
          <w:rFonts w:ascii="Times New Roman" w:hAnsi="Times New Roman" w:cs="Times New Roman"/>
          <w:sz w:val="24"/>
          <w:szCs w:val="24"/>
        </w:rPr>
        <w:footnoteReference w:id="30"/>
      </w:r>
      <w:r>
        <w:rPr>
          <w:rFonts w:ascii="Times New Roman" w:hAnsi="Times New Roman" w:cs="Times New Roman"/>
          <w:sz w:val="24"/>
          <w:szCs w:val="24"/>
        </w:rPr>
        <w:t xml:space="preserve">. </w:t>
      </w:r>
    </w:p>
    <w:p w14:paraId="56C4B0DF" w14:textId="77777777" w:rsidR="00D057DD" w:rsidRDefault="00D057DD" w:rsidP="00D057DD">
      <w:pPr>
        <w:pStyle w:val="Prrafodelista"/>
        <w:numPr>
          <w:ilvl w:val="0"/>
          <w:numId w:val="23"/>
        </w:numPr>
        <w:jc w:val="both"/>
        <w:rPr>
          <w:rFonts w:ascii="Times New Roman" w:hAnsi="Times New Roman" w:cs="Times New Roman"/>
          <w:sz w:val="24"/>
          <w:szCs w:val="24"/>
        </w:rPr>
      </w:pPr>
      <w:r>
        <w:rPr>
          <w:rFonts w:ascii="Times New Roman" w:hAnsi="Times New Roman" w:cs="Times New Roman"/>
          <w:sz w:val="24"/>
          <w:szCs w:val="24"/>
        </w:rPr>
        <w:t xml:space="preserve">En </w:t>
      </w:r>
      <w:r>
        <w:rPr>
          <w:rFonts w:ascii="Times New Roman" w:hAnsi="Times New Roman" w:cs="Times New Roman"/>
          <w:sz w:val="24"/>
          <w:szCs w:val="24"/>
          <w:lang w:val="es-MX"/>
        </w:rPr>
        <w:t>cuanto</w:t>
      </w:r>
      <w:r>
        <w:rPr>
          <w:rFonts w:ascii="Times New Roman" w:hAnsi="Times New Roman" w:cs="Times New Roman"/>
          <w:sz w:val="24"/>
          <w:szCs w:val="24"/>
        </w:rPr>
        <w:t xml:space="preserve"> </w:t>
      </w:r>
      <w:r>
        <w:rPr>
          <w:rFonts w:ascii="Times New Roman" w:hAnsi="Times New Roman" w:cs="Times New Roman"/>
          <w:sz w:val="24"/>
          <w:szCs w:val="24"/>
          <w:lang w:val="es-MX"/>
        </w:rPr>
        <w:t>a</w:t>
      </w:r>
      <w:r>
        <w:rPr>
          <w:rFonts w:ascii="Times New Roman" w:hAnsi="Times New Roman" w:cs="Times New Roman"/>
          <w:sz w:val="24"/>
          <w:szCs w:val="24"/>
        </w:rPr>
        <w:t xml:space="preserve"> </w:t>
      </w:r>
      <w:r>
        <w:rPr>
          <w:rFonts w:ascii="Times New Roman" w:hAnsi="Times New Roman" w:cs="Times New Roman"/>
          <w:i/>
          <w:sz w:val="24"/>
          <w:szCs w:val="24"/>
        </w:rPr>
        <w:t>situaciones de maltrato hacia personas adultas mayores</w:t>
      </w:r>
      <w:r>
        <w:rPr>
          <w:rFonts w:ascii="Times New Roman" w:hAnsi="Times New Roman" w:cs="Times New Roman"/>
          <w:sz w:val="24"/>
          <w:szCs w:val="24"/>
          <w:lang w:val="es-MX"/>
        </w:rPr>
        <w:t>,</w:t>
      </w:r>
      <w:r>
        <w:rPr>
          <w:rFonts w:ascii="Times New Roman" w:hAnsi="Times New Roman" w:cs="Times New Roman"/>
          <w:sz w:val="24"/>
          <w:szCs w:val="24"/>
        </w:rPr>
        <w:t xml:space="preserve"> la INDDHH considera necesario generar mayor conocimiento y fortalecer la respuesta. </w:t>
      </w:r>
    </w:p>
    <w:p w14:paraId="52C24961" w14:textId="77777777" w:rsidR="00D057DD" w:rsidRDefault="00D057DD" w:rsidP="00D057DD">
      <w:pPr>
        <w:pStyle w:val="Prrafodelista"/>
        <w:ind w:leftChars="218" w:left="480" w:firstLineChars="250" w:firstLine="600"/>
        <w:jc w:val="both"/>
        <w:rPr>
          <w:rFonts w:ascii="Times New Roman" w:hAnsi="Times New Roman" w:cs="Times New Roman"/>
          <w:sz w:val="24"/>
          <w:szCs w:val="24"/>
        </w:rPr>
      </w:pPr>
      <w:r>
        <w:rPr>
          <w:rFonts w:ascii="Times New Roman" w:hAnsi="Times New Roman" w:cs="Times New Roman"/>
          <w:sz w:val="24"/>
          <w:szCs w:val="24"/>
        </w:rPr>
        <w:t>La Unidad de Personas Mayores de la INDDHH desarrolló el conversatorio “</w:t>
      </w:r>
      <w:r>
        <w:rPr>
          <w:rFonts w:ascii="Times New Roman" w:hAnsi="Times New Roman" w:cs="Times New Roman"/>
          <w:i/>
          <w:iCs/>
          <w:sz w:val="24"/>
          <w:szCs w:val="24"/>
          <w:lang w:val="es-MX"/>
        </w:rPr>
        <w:t>H</w:t>
      </w:r>
      <w:proofErr w:type="spellStart"/>
      <w:r>
        <w:rPr>
          <w:rFonts w:ascii="Times New Roman" w:hAnsi="Times New Roman" w:cs="Times New Roman"/>
          <w:i/>
          <w:iCs/>
          <w:sz w:val="24"/>
          <w:szCs w:val="24"/>
        </w:rPr>
        <w:t>ablemos</w:t>
      </w:r>
      <w:proofErr w:type="spellEnd"/>
      <w:r>
        <w:rPr>
          <w:rFonts w:ascii="Times New Roman" w:hAnsi="Times New Roman" w:cs="Times New Roman"/>
          <w:i/>
          <w:iCs/>
          <w:sz w:val="24"/>
          <w:szCs w:val="24"/>
        </w:rPr>
        <w:t xml:space="preserve"> del abuso y maltrato hacia las personas mayores”</w:t>
      </w:r>
      <w:r>
        <w:rPr>
          <w:rStyle w:val="Refdenotaalpie"/>
          <w:rFonts w:ascii="Times New Roman" w:hAnsi="Times New Roman" w:cs="Times New Roman"/>
          <w:i/>
          <w:iCs/>
          <w:sz w:val="24"/>
          <w:szCs w:val="24"/>
        </w:rPr>
        <w:t xml:space="preserve"> </w:t>
      </w:r>
      <w:r>
        <w:rPr>
          <w:rStyle w:val="Refdenotaalpie"/>
          <w:rFonts w:ascii="Times New Roman" w:hAnsi="Times New Roman" w:cs="Times New Roman"/>
          <w:sz w:val="24"/>
          <w:szCs w:val="24"/>
        </w:rPr>
        <w:footnoteReference w:id="31"/>
      </w:r>
      <w:r>
        <w:rPr>
          <w:rFonts w:ascii="Times New Roman" w:hAnsi="Times New Roman" w:cs="Times New Roman"/>
          <w:sz w:val="24"/>
          <w:szCs w:val="24"/>
        </w:rPr>
        <w:t xml:space="preserve">. En el análisis de las denuncias por violencia recibidas por el Ministerio del Interior se señalaba que </w:t>
      </w:r>
      <w:r>
        <w:rPr>
          <w:rFonts w:ascii="Times New Roman" w:hAnsi="Times New Roman" w:cs="Times New Roman"/>
          <w:sz w:val="24"/>
          <w:szCs w:val="24"/>
        </w:rPr>
        <w:lastRenderedPageBreak/>
        <w:t>aproximadamente un 11% de las situaciones corresponden a personas mayores de 60 años y entre ellas la mayor proporción son mujeres.</w:t>
      </w:r>
    </w:p>
    <w:p w14:paraId="0285FD70" w14:textId="77777777" w:rsidR="00D057DD" w:rsidRDefault="00D057DD" w:rsidP="00D057DD">
      <w:pPr>
        <w:pStyle w:val="Prrafodelista"/>
        <w:numPr>
          <w:ilvl w:val="0"/>
          <w:numId w:val="23"/>
        </w:numPr>
        <w:jc w:val="both"/>
        <w:rPr>
          <w:rFonts w:ascii="Times New Roman" w:hAnsi="Times New Roman" w:cs="Times New Roman"/>
          <w:sz w:val="24"/>
          <w:szCs w:val="24"/>
        </w:rPr>
      </w:pPr>
      <w:r>
        <w:rPr>
          <w:rFonts w:ascii="Times New Roman" w:hAnsi="Times New Roman" w:cs="Times New Roman"/>
          <w:sz w:val="24"/>
          <w:szCs w:val="24"/>
          <w:lang w:val="es-MX"/>
        </w:rPr>
        <w:t xml:space="preserve">En </w:t>
      </w:r>
      <w:r>
        <w:rPr>
          <w:rFonts w:ascii="Times New Roman" w:hAnsi="Times New Roman" w:cs="Times New Roman"/>
          <w:i/>
          <w:sz w:val="24"/>
          <w:szCs w:val="24"/>
          <w:lang w:val="es-MX"/>
        </w:rPr>
        <w:t>otras</w:t>
      </w:r>
      <w:r>
        <w:rPr>
          <w:rFonts w:ascii="Times New Roman" w:hAnsi="Times New Roman" w:cs="Times New Roman"/>
          <w:i/>
          <w:sz w:val="24"/>
          <w:szCs w:val="24"/>
        </w:rPr>
        <w:t xml:space="preserve"> formas de violencias</w:t>
      </w:r>
      <w:r>
        <w:rPr>
          <w:rFonts w:ascii="Times New Roman" w:hAnsi="Times New Roman" w:cs="Times New Roman"/>
          <w:i/>
          <w:sz w:val="24"/>
          <w:szCs w:val="24"/>
          <w:lang w:val="es-MX"/>
        </w:rPr>
        <w:t xml:space="preserve"> como la laboral y la </w:t>
      </w:r>
      <w:proofErr w:type="spellStart"/>
      <w:proofErr w:type="gramStart"/>
      <w:r>
        <w:rPr>
          <w:rFonts w:ascii="Times New Roman" w:hAnsi="Times New Roman" w:cs="Times New Roman"/>
          <w:i/>
          <w:sz w:val="24"/>
          <w:szCs w:val="24"/>
          <w:lang w:val="es-MX"/>
        </w:rPr>
        <w:t>obsétrica</w:t>
      </w:r>
      <w:proofErr w:type="spellEnd"/>
      <w:r>
        <w:rPr>
          <w:rFonts w:ascii="Times New Roman" w:hAnsi="Times New Roman" w:cs="Times New Roman"/>
          <w:i/>
          <w:sz w:val="24"/>
          <w:szCs w:val="24"/>
          <w:lang w:val="es-MX"/>
        </w:rPr>
        <w:t>,</w:t>
      </w:r>
      <w:r>
        <w:rPr>
          <w:rFonts w:ascii="Times New Roman" w:hAnsi="Times New Roman" w:cs="Times New Roman"/>
          <w:sz w:val="24"/>
          <w:szCs w:val="24"/>
          <w:lang w:val="es-MX"/>
        </w:rPr>
        <w:t xml:space="preserve"> </w:t>
      </w:r>
      <w:r>
        <w:rPr>
          <w:rFonts w:ascii="Times New Roman" w:hAnsi="Times New Roman" w:cs="Times New Roman"/>
          <w:sz w:val="24"/>
          <w:szCs w:val="24"/>
        </w:rPr>
        <w:t xml:space="preserve"> </w:t>
      </w:r>
      <w:r>
        <w:rPr>
          <w:rFonts w:ascii="Times New Roman" w:hAnsi="Times New Roman" w:cs="Times New Roman"/>
          <w:sz w:val="24"/>
          <w:szCs w:val="24"/>
          <w:lang w:val="es-MX"/>
        </w:rPr>
        <w:t>resulta</w:t>
      </w:r>
      <w:proofErr w:type="gramEnd"/>
      <w:r>
        <w:rPr>
          <w:rFonts w:ascii="Times New Roman" w:hAnsi="Times New Roman" w:cs="Times New Roman"/>
          <w:sz w:val="24"/>
          <w:szCs w:val="24"/>
        </w:rPr>
        <w:t xml:space="preserve"> necesario </w:t>
      </w:r>
      <w:r>
        <w:rPr>
          <w:rFonts w:ascii="Times New Roman" w:hAnsi="Times New Roman" w:cs="Times New Roman"/>
          <w:sz w:val="24"/>
          <w:szCs w:val="24"/>
          <w:lang w:val="es-MX"/>
        </w:rPr>
        <w:t xml:space="preserve">incrementar y </w:t>
      </w:r>
      <w:r>
        <w:rPr>
          <w:rFonts w:ascii="Times New Roman" w:hAnsi="Times New Roman" w:cs="Times New Roman"/>
          <w:sz w:val="24"/>
          <w:szCs w:val="24"/>
        </w:rPr>
        <w:t>mejorar</w:t>
      </w:r>
      <w:r>
        <w:rPr>
          <w:rFonts w:ascii="Times New Roman" w:hAnsi="Times New Roman" w:cs="Times New Roman"/>
          <w:sz w:val="24"/>
          <w:szCs w:val="24"/>
          <w:lang w:val="es-MX"/>
        </w:rPr>
        <w:t xml:space="preserve"> los mecanismos institucionales de respuesta en los organismos competentes, abreviando los tiempos de investigación y dotarlos de mayores recursos.</w:t>
      </w:r>
      <w:r>
        <w:rPr>
          <w:rFonts w:ascii="Times New Roman" w:hAnsi="Times New Roman" w:cs="Times New Roman"/>
          <w:sz w:val="24"/>
          <w:szCs w:val="24"/>
        </w:rPr>
        <w:t xml:space="preserve"> </w:t>
      </w:r>
    </w:p>
    <w:p w14:paraId="69585414" w14:textId="77777777" w:rsidR="00D057DD" w:rsidRDefault="00D057DD" w:rsidP="00D057DD">
      <w:pPr>
        <w:pStyle w:val="Prrafodelista"/>
        <w:numPr>
          <w:ilvl w:val="0"/>
          <w:numId w:val="23"/>
        </w:numPr>
        <w:jc w:val="both"/>
        <w:rPr>
          <w:rFonts w:ascii="Times New Roman" w:hAnsi="Times New Roman" w:cs="Times New Roman"/>
          <w:sz w:val="24"/>
          <w:szCs w:val="24"/>
        </w:rPr>
      </w:pPr>
      <w:r>
        <w:rPr>
          <w:rFonts w:ascii="Times New Roman" w:hAnsi="Times New Roman" w:cs="Times New Roman"/>
          <w:sz w:val="24"/>
          <w:szCs w:val="24"/>
          <w:lang w:val="es-MX"/>
        </w:rPr>
        <w:t xml:space="preserve">Sobre </w:t>
      </w:r>
      <w:r>
        <w:rPr>
          <w:rFonts w:ascii="Times New Roman" w:hAnsi="Times New Roman" w:cs="Times New Roman"/>
          <w:i/>
          <w:sz w:val="24"/>
          <w:szCs w:val="24"/>
          <w:lang w:val="es-MX"/>
        </w:rPr>
        <w:t>situaciones de violencia institucional de género</w:t>
      </w:r>
      <w:r>
        <w:rPr>
          <w:rFonts w:ascii="Times New Roman" w:hAnsi="Times New Roman" w:cs="Times New Roman"/>
          <w:sz w:val="24"/>
          <w:szCs w:val="24"/>
          <w:lang w:val="es-MX"/>
        </w:rPr>
        <w:t>,</w:t>
      </w:r>
      <w:r>
        <w:rPr>
          <w:rFonts w:ascii="Times New Roman" w:hAnsi="Times New Roman" w:cs="Times New Roman"/>
          <w:sz w:val="24"/>
          <w:szCs w:val="24"/>
        </w:rPr>
        <w:t xml:space="preserve"> la INDDHH desarrolla acciones para que los diferentes organismos den </w:t>
      </w:r>
      <w:r>
        <w:rPr>
          <w:rFonts w:ascii="Times New Roman" w:hAnsi="Times New Roman" w:cs="Times New Roman"/>
          <w:sz w:val="24"/>
          <w:szCs w:val="24"/>
          <w:lang w:val="es-MX"/>
        </w:rPr>
        <w:t xml:space="preserve">debida </w:t>
      </w:r>
      <w:proofErr w:type="spellStart"/>
      <w:r>
        <w:rPr>
          <w:rFonts w:ascii="Times New Roman" w:hAnsi="Times New Roman" w:cs="Times New Roman"/>
          <w:sz w:val="24"/>
          <w:szCs w:val="24"/>
        </w:rPr>
        <w:t>respuest</w:t>
      </w:r>
      <w:proofErr w:type="spellEnd"/>
      <w:r>
        <w:rPr>
          <w:rFonts w:ascii="Times New Roman" w:hAnsi="Times New Roman" w:cs="Times New Roman"/>
          <w:sz w:val="24"/>
          <w:szCs w:val="24"/>
          <w:lang w:val="es-MX"/>
        </w:rPr>
        <w:t>a, elaborando protocolos y</w:t>
      </w:r>
      <w:r>
        <w:rPr>
          <w:rFonts w:ascii="Times New Roman" w:hAnsi="Times New Roman" w:cs="Times New Roman"/>
          <w:sz w:val="24"/>
          <w:szCs w:val="24"/>
        </w:rPr>
        <w:t xml:space="preserve"> </w:t>
      </w:r>
      <w:proofErr w:type="spellStart"/>
      <w:r>
        <w:rPr>
          <w:rFonts w:ascii="Times New Roman" w:hAnsi="Times New Roman" w:cs="Times New Roman"/>
          <w:sz w:val="24"/>
          <w:szCs w:val="24"/>
        </w:rPr>
        <w:t>garanti</w:t>
      </w:r>
      <w:r>
        <w:rPr>
          <w:rFonts w:ascii="Times New Roman" w:hAnsi="Times New Roman" w:cs="Times New Roman"/>
          <w:sz w:val="24"/>
          <w:szCs w:val="24"/>
          <w:lang w:val="es-MX"/>
        </w:rPr>
        <w:t>zando</w:t>
      </w:r>
      <w:proofErr w:type="spellEnd"/>
      <w:r>
        <w:rPr>
          <w:rFonts w:ascii="Times New Roman" w:hAnsi="Times New Roman" w:cs="Times New Roman"/>
          <w:sz w:val="24"/>
          <w:szCs w:val="24"/>
        </w:rPr>
        <w:t xml:space="preserve"> </w:t>
      </w:r>
      <w:r>
        <w:rPr>
          <w:rFonts w:ascii="Times New Roman" w:hAnsi="Times New Roman" w:cs="Times New Roman"/>
          <w:sz w:val="24"/>
          <w:szCs w:val="24"/>
          <w:lang w:val="es-MX"/>
        </w:rPr>
        <w:t>su</w:t>
      </w:r>
      <w:r>
        <w:rPr>
          <w:rFonts w:ascii="Times New Roman" w:hAnsi="Times New Roman" w:cs="Times New Roman"/>
          <w:sz w:val="24"/>
          <w:szCs w:val="24"/>
        </w:rPr>
        <w:t xml:space="preserve"> aplicación. </w:t>
      </w:r>
    </w:p>
    <w:p w14:paraId="7C9E6B6A" w14:textId="77777777" w:rsidR="00D057DD" w:rsidRDefault="00D057DD" w:rsidP="00D057DD">
      <w:pPr>
        <w:pStyle w:val="Prrafodelista"/>
        <w:numPr>
          <w:ilvl w:val="0"/>
          <w:numId w:val="23"/>
        </w:numPr>
        <w:jc w:val="both"/>
        <w:rPr>
          <w:rFonts w:ascii="Times New Roman" w:hAnsi="Times New Roman" w:cs="Times New Roman"/>
          <w:sz w:val="24"/>
          <w:szCs w:val="24"/>
        </w:rPr>
      </w:pPr>
      <w:r>
        <w:rPr>
          <w:rFonts w:ascii="Times New Roman" w:hAnsi="Times New Roman" w:cs="Times New Roman"/>
          <w:sz w:val="24"/>
          <w:szCs w:val="24"/>
        </w:rPr>
        <w:t xml:space="preserve">En relación a </w:t>
      </w:r>
      <w:r>
        <w:rPr>
          <w:rFonts w:ascii="Times New Roman" w:hAnsi="Times New Roman" w:cs="Times New Roman"/>
          <w:i/>
          <w:sz w:val="24"/>
          <w:szCs w:val="24"/>
        </w:rPr>
        <w:t>la reparación</w:t>
      </w:r>
      <w:r>
        <w:rPr>
          <w:rFonts w:ascii="Times New Roman" w:hAnsi="Times New Roman" w:cs="Times New Roman"/>
          <w:sz w:val="24"/>
          <w:szCs w:val="24"/>
        </w:rPr>
        <w:t xml:space="preserve"> del daño, resulta fundamental la capacitación del funcionariado </w:t>
      </w:r>
      <w:r>
        <w:rPr>
          <w:rFonts w:ascii="Times New Roman" w:hAnsi="Times New Roman" w:cs="Times New Roman"/>
          <w:sz w:val="24"/>
          <w:szCs w:val="24"/>
          <w:lang w:val="es-MX"/>
        </w:rPr>
        <w:t xml:space="preserve">de </w:t>
      </w:r>
      <w:r>
        <w:rPr>
          <w:rFonts w:ascii="Times New Roman" w:hAnsi="Times New Roman" w:cs="Times New Roman"/>
          <w:sz w:val="24"/>
          <w:szCs w:val="24"/>
        </w:rPr>
        <w:t>los servicios de salud mental favoreciendo la identificación de los indicadores de violencia y evita</w:t>
      </w:r>
      <w:proofErr w:type="spellStart"/>
      <w:r>
        <w:rPr>
          <w:rFonts w:ascii="Times New Roman" w:hAnsi="Times New Roman" w:cs="Times New Roman"/>
          <w:sz w:val="24"/>
          <w:szCs w:val="24"/>
          <w:lang w:val="es-MX"/>
        </w:rPr>
        <w:t>ndo</w:t>
      </w:r>
      <w:proofErr w:type="spellEnd"/>
      <w:r>
        <w:rPr>
          <w:rFonts w:ascii="Times New Roman" w:hAnsi="Times New Roman" w:cs="Times New Roman"/>
          <w:sz w:val="24"/>
          <w:szCs w:val="24"/>
        </w:rPr>
        <w:t xml:space="preserve"> </w:t>
      </w:r>
      <w:r>
        <w:rPr>
          <w:rFonts w:ascii="Times New Roman" w:hAnsi="Times New Roman" w:cs="Times New Roman"/>
          <w:sz w:val="24"/>
          <w:szCs w:val="24"/>
          <w:lang w:val="es-MX"/>
        </w:rPr>
        <w:t>su</w:t>
      </w:r>
      <w:r>
        <w:rPr>
          <w:rFonts w:ascii="Times New Roman" w:hAnsi="Times New Roman" w:cs="Times New Roman"/>
          <w:sz w:val="24"/>
          <w:szCs w:val="24"/>
        </w:rPr>
        <w:t xml:space="preserve"> patologización. </w:t>
      </w:r>
    </w:p>
    <w:p w14:paraId="648BC4C8" w14:textId="77777777" w:rsidR="00D057DD" w:rsidRDefault="00D057DD" w:rsidP="00D057DD">
      <w:pPr>
        <w:jc w:val="both"/>
        <w:rPr>
          <w:rFonts w:ascii="Times New Roman" w:hAnsi="Times New Roman" w:cs="Times New Roman"/>
          <w:b/>
          <w:sz w:val="24"/>
          <w:szCs w:val="24"/>
          <w:lang w:eastAsia="zh-CN"/>
        </w:rPr>
      </w:pPr>
      <w:r>
        <w:rPr>
          <w:rFonts w:ascii="Times New Roman" w:hAnsi="Times New Roman" w:cs="Times New Roman"/>
          <w:b/>
          <w:sz w:val="24"/>
          <w:szCs w:val="24"/>
          <w:lang w:eastAsia="zh-CN"/>
        </w:rPr>
        <w:t>Trata y explotación sexual</w:t>
      </w:r>
    </w:p>
    <w:p w14:paraId="61090F7C" w14:textId="77777777" w:rsidR="00D057DD" w:rsidRDefault="00D057DD" w:rsidP="00D057DD">
      <w:pPr>
        <w:pStyle w:val="Prrafodelista"/>
        <w:numPr>
          <w:ilvl w:val="0"/>
          <w:numId w:val="20"/>
        </w:numPr>
        <w:jc w:val="both"/>
        <w:rPr>
          <w:rFonts w:ascii="Times New Roman" w:hAnsi="Times New Roman" w:cs="Times New Roman"/>
          <w:bCs/>
          <w:sz w:val="24"/>
          <w:szCs w:val="24"/>
          <w:lang w:eastAsia="zh-CN"/>
        </w:rPr>
      </w:pPr>
      <w:r>
        <w:rPr>
          <w:rFonts w:ascii="Times New Roman" w:hAnsi="Times New Roman" w:cs="Times New Roman"/>
          <w:bCs/>
          <w:sz w:val="24"/>
          <w:szCs w:val="24"/>
          <w:lang w:eastAsia="zh-CN"/>
        </w:rPr>
        <w:t>La INDDHH, no abordará este punto de manera integral</w:t>
      </w:r>
      <w:r>
        <w:rPr>
          <w:rFonts w:ascii="Times New Roman" w:hAnsi="Times New Roman" w:cs="Times New Roman"/>
          <w:bCs/>
          <w:sz w:val="24"/>
          <w:szCs w:val="24"/>
          <w:lang w:val="es-MX" w:eastAsia="zh-CN"/>
        </w:rPr>
        <w:t xml:space="preserve"> por cuestiones de espacio. Sobre esta cuestión remitimos la  lectura al  ANEXO VII</w:t>
      </w:r>
      <w:r>
        <w:rPr>
          <w:rStyle w:val="Refdenotaalpie"/>
          <w:rFonts w:ascii="Times New Roman" w:hAnsi="Times New Roman" w:cs="Times New Roman"/>
          <w:bCs/>
          <w:sz w:val="24"/>
          <w:szCs w:val="24"/>
          <w:lang w:val="es-MX" w:eastAsia="zh-CN"/>
        </w:rPr>
        <w:footnoteReference w:id="32"/>
      </w:r>
      <w:r>
        <w:rPr>
          <w:rFonts w:ascii="Times New Roman" w:hAnsi="Times New Roman" w:cs="Times New Roman"/>
          <w:bCs/>
          <w:sz w:val="24"/>
          <w:szCs w:val="24"/>
          <w:lang w:val="es-MX" w:eastAsia="zh-CN"/>
        </w:rPr>
        <w:t xml:space="preserve"> </w:t>
      </w:r>
    </w:p>
    <w:p w14:paraId="33A3F84A" w14:textId="77777777" w:rsidR="00D057DD" w:rsidRDefault="00D057DD" w:rsidP="00D057DD">
      <w:pPr>
        <w:jc w:val="both"/>
        <w:rPr>
          <w:rFonts w:ascii="Times New Roman" w:hAnsi="Times New Roman" w:cs="Times New Roman"/>
          <w:b/>
          <w:bCs/>
          <w:sz w:val="24"/>
          <w:szCs w:val="24"/>
        </w:rPr>
      </w:pPr>
      <w:r>
        <w:rPr>
          <w:rFonts w:ascii="Times New Roman" w:hAnsi="Times New Roman" w:cs="Times New Roman"/>
          <w:b/>
          <w:bCs/>
          <w:sz w:val="24"/>
          <w:szCs w:val="24"/>
        </w:rPr>
        <w:t>Participación en la vida política y pública</w:t>
      </w:r>
    </w:p>
    <w:p w14:paraId="34790C78" w14:textId="77777777" w:rsidR="00D057DD" w:rsidRDefault="00D057DD" w:rsidP="00D057DD">
      <w:pPr>
        <w:pStyle w:val="Prrafodelista"/>
        <w:numPr>
          <w:ilvl w:val="0"/>
          <w:numId w:val="20"/>
        </w:numPr>
        <w:jc w:val="both"/>
        <w:rPr>
          <w:rStyle w:val="Refdecomentario"/>
          <w:rFonts w:ascii="Times New Roman" w:hAnsi="Times New Roman" w:cs="Times New Roman"/>
          <w:sz w:val="24"/>
          <w:szCs w:val="24"/>
        </w:rPr>
      </w:pPr>
      <w:r>
        <w:rPr>
          <w:rFonts w:ascii="Times New Roman" w:hAnsi="Times New Roman" w:cs="Times New Roman"/>
          <w:sz w:val="24"/>
          <w:szCs w:val="24"/>
          <w:lang w:val="es-MX"/>
        </w:rPr>
        <w:t xml:space="preserve">El </w:t>
      </w:r>
      <w:r>
        <w:rPr>
          <w:rFonts w:ascii="Times New Roman" w:hAnsi="Times New Roman" w:cs="Times New Roman"/>
          <w:sz w:val="24"/>
          <w:szCs w:val="24"/>
        </w:rPr>
        <w:t>Parlamento tiene a estudio dos proyectos de participación política paritaria</w:t>
      </w:r>
      <w:r>
        <w:rPr>
          <w:rFonts w:ascii="Times New Roman" w:hAnsi="Times New Roman" w:cs="Times New Roman"/>
          <w:sz w:val="24"/>
          <w:szCs w:val="24"/>
          <w:lang w:val="es-MX"/>
        </w:rPr>
        <w:t xml:space="preserve">, siendo la </w:t>
      </w:r>
      <w:r>
        <w:rPr>
          <w:rFonts w:ascii="Times New Roman" w:hAnsi="Times New Roman" w:cs="Times New Roman"/>
          <w:sz w:val="24"/>
          <w:szCs w:val="24"/>
        </w:rPr>
        <w:t xml:space="preserve">segunda </w:t>
      </w:r>
      <w:r>
        <w:rPr>
          <w:rFonts w:ascii="Times New Roman" w:hAnsi="Times New Roman" w:cs="Times New Roman"/>
          <w:sz w:val="24"/>
          <w:szCs w:val="24"/>
          <w:lang w:val="es-MX"/>
        </w:rPr>
        <w:t>ocasión en</w:t>
      </w:r>
      <w:r>
        <w:rPr>
          <w:rFonts w:ascii="Times New Roman" w:hAnsi="Times New Roman" w:cs="Times New Roman"/>
          <w:sz w:val="24"/>
          <w:szCs w:val="24"/>
        </w:rPr>
        <w:t xml:space="preserve"> que se analiza reformas legislativas </w:t>
      </w:r>
      <w:r>
        <w:rPr>
          <w:rFonts w:ascii="Times New Roman" w:hAnsi="Times New Roman" w:cs="Times New Roman"/>
          <w:sz w:val="24"/>
          <w:szCs w:val="24"/>
          <w:lang w:val="es-MX"/>
        </w:rPr>
        <w:t>en este sentido</w:t>
      </w:r>
      <w:r>
        <w:rPr>
          <w:rFonts w:ascii="Times New Roman" w:hAnsi="Times New Roman" w:cs="Times New Roman"/>
          <w:sz w:val="24"/>
          <w:szCs w:val="24"/>
        </w:rPr>
        <w:t xml:space="preserve">. En </w:t>
      </w:r>
      <w:proofErr w:type="gramStart"/>
      <w:r>
        <w:rPr>
          <w:rFonts w:ascii="Times New Roman" w:hAnsi="Times New Roman" w:cs="Times New Roman"/>
          <w:sz w:val="24"/>
          <w:szCs w:val="24"/>
        </w:rPr>
        <w:t xml:space="preserve">la </w:t>
      </w:r>
      <w:r>
        <w:rPr>
          <w:rFonts w:ascii="Times New Roman" w:hAnsi="Times New Roman" w:cs="Times New Roman"/>
          <w:sz w:val="24"/>
          <w:szCs w:val="24"/>
          <w:lang w:val="es-MX"/>
        </w:rPr>
        <w:t xml:space="preserve"> </w:t>
      </w:r>
      <w:r>
        <w:rPr>
          <w:rFonts w:ascii="Times New Roman" w:hAnsi="Times New Roman" w:cs="Times New Roman"/>
          <w:sz w:val="24"/>
          <w:szCs w:val="24"/>
        </w:rPr>
        <w:t>anterior</w:t>
      </w:r>
      <w:proofErr w:type="gramEnd"/>
      <w:r>
        <w:rPr>
          <w:rFonts w:ascii="Times New Roman" w:hAnsi="Times New Roman" w:cs="Times New Roman"/>
          <w:sz w:val="24"/>
          <w:szCs w:val="24"/>
        </w:rPr>
        <w:t xml:space="preserve"> legislatura se discutió un proyecto similar que no fue aprobado. </w:t>
      </w:r>
    </w:p>
    <w:p w14:paraId="22E02C6A" w14:textId="77777777" w:rsidR="00D057DD" w:rsidRDefault="00D057DD" w:rsidP="00D057DD">
      <w:pPr>
        <w:pStyle w:val="Prrafodelista"/>
        <w:numPr>
          <w:ilvl w:val="0"/>
          <w:numId w:val="20"/>
        </w:numPr>
        <w:jc w:val="both"/>
        <w:rPr>
          <w:rStyle w:val="Refdecomentario"/>
          <w:rFonts w:ascii="Times New Roman" w:hAnsi="Times New Roman" w:cs="Times New Roman"/>
          <w:sz w:val="24"/>
          <w:szCs w:val="24"/>
        </w:rPr>
      </w:pPr>
      <w:r>
        <w:rPr>
          <w:rFonts w:ascii="Times New Roman" w:hAnsi="Times New Roman" w:cs="Times New Roman"/>
          <w:sz w:val="24"/>
          <w:szCs w:val="24"/>
        </w:rPr>
        <w:t>En la actualidad, l</w:t>
      </w:r>
      <w:r>
        <w:rPr>
          <w:rFonts w:ascii="Times New Roman" w:hAnsi="Times New Roman" w:cs="Times New Roman"/>
          <w:sz w:val="24"/>
          <w:szCs w:val="24"/>
          <w:lang w:val="es-MX"/>
        </w:rPr>
        <w:t>as</w:t>
      </w:r>
      <w:r>
        <w:rPr>
          <w:rFonts w:ascii="Times New Roman" w:hAnsi="Times New Roman" w:cs="Times New Roman"/>
          <w:sz w:val="24"/>
          <w:szCs w:val="24"/>
        </w:rPr>
        <w:t xml:space="preserve"> iniciativas presentadas tampoco contarían con las mayorías necesarias, sin perjuicio</w:t>
      </w:r>
      <w:r>
        <w:rPr>
          <w:rFonts w:ascii="Times New Roman" w:hAnsi="Times New Roman" w:cs="Times New Roman"/>
          <w:sz w:val="24"/>
          <w:szCs w:val="24"/>
          <w:lang w:val="es-MX"/>
        </w:rPr>
        <w:t xml:space="preserve"> </w:t>
      </w:r>
      <w:r>
        <w:rPr>
          <w:rFonts w:ascii="Times New Roman" w:hAnsi="Times New Roman" w:cs="Times New Roman"/>
          <w:sz w:val="24"/>
          <w:szCs w:val="24"/>
        </w:rPr>
        <w:t xml:space="preserve">que el debate se encuentra en proceso. </w:t>
      </w:r>
      <w:r>
        <w:rPr>
          <w:rFonts w:ascii="Times New Roman" w:hAnsi="Times New Roman" w:cs="Times New Roman"/>
          <w:sz w:val="24"/>
          <w:szCs w:val="24"/>
          <w:lang w:val="es-MX"/>
        </w:rPr>
        <w:t xml:space="preserve"> </w:t>
      </w:r>
    </w:p>
    <w:p w14:paraId="0D14A9AA" w14:textId="77777777" w:rsidR="00D057DD" w:rsidRDefault="00D057DD" w:rsidP="00D057DD">
      <w:pPr>
        <w:pStyle w:val="Prrafodelista"/>
        <w:numPr>
          <w:ilvl w:val="0"/>
          <w:numId w:val="20"/>
        </w:numPr>
        <w:jc w:val="both"/>
        <w:rPr>
          <w:rStyle w:val="Refdecomentario"/>
          <w:rFonts w:ascii="Times New Roman" w:hAnsi="Times New Roman" w:cs="Times New Roman"/>
          <w:sz w:val="24"/>
          <w:szCs w:val="24"/>
        </w:rPr>
      </w:pPr>
      <w:r>
        <w:rPr>
          <w:rFonts w:ascii="Times New Roman" w:hAnsi="Times New Roman" w:cs="Times New Roman"/>
          <w:sz w:val="24"/>
          <w:szCs w:val="24"/>
        </w:rPr>
        <w:t xml:space="preserve">La INDDHH </w:t>
      </w:r>
      <w:r>
        <w:rPr>
          <w:rFonts w:ascii="Times New Roman" w:hAnsi="Times New Roman" w:cs="Times New Roman"/>
          <w:sz w:val="24"/>
          <w:szCs w:val="24"/>
          <w:lang w:val="es-MX"/>
        </w:rPr>
        <w:t>envió</w:t>
      </w:r>
      <w:r>
        <w:rPr>
          <w:rFonts w:ascii="Times New Roman" w:hAnsi="Times New Roman" w:cs="Times New Roman"/>
          <w:sz w:val="24"/>
          <w:szCs w:val="24"/>
        </w:rPr>
        <w:t xml:space="preserve"> al Parlamento su opinión favorable para que se aprueben reformas que  </w:t>
      </w:r>
      <w:proofErr w:type="spellStart"/>
      <w:r>
        <w:rPr>
          <w:rFonts w:ascii="Times New Roman" w:hAnsi="Times New Roman" w:cs="Times New Roman"/>
          <w:sz w:val="24"/>
          <w:szCs w:val="24"/>
        </w:rPr>
        <w:t>efectivi</w:t>
      </w:r>
      <w:r>
        <w:rPr>
          <w:rFonts w:ascii="Times New Roman" w:hAnsi="Times New Roman" w:cs="Times New Roman"/>
          <w:sz w:val="24"/>
          <w:szCs w:val="24"/>
          <w:lang w:val="es-MX"/>
        </w:rPr>
        <w:t>cen</w:t>
      </w:r>
      <w:proofErr w:type="spellEnd"/>
      <w:r>
        <w:rPr>
          <w:rFonts w:ascii="Times New Roman" w:hAnsi="Times New Roman" w:cs="Times New Roman"/>
          <w:sz w:val="24"/>
          <w:szCs w:val="24"/>
        </w:rPr>
        <w:t xml:space="preserve"> la paridad.</w:t>
      </w:r>
      <w:r>
        <w:rPr>
          <w:rStyle w:val="Refdenotaalpie"/>
          <w:rFonts w:ascii="Times New Roman" w:hAnsi="Times New Roman" w:cs="Times New Roman"/>
          <w:sz w:val="24"/>
          <w:szCs w:val="24"/>
        </w:rPr>
        <w:footnoteReference w:id="33"/>
      </w:r>
      <w:r>
        <w:rPr>
          <w:rFonts w:ascii="Times New Roman" w:hAnsi="Times New Roman" w:cs="Times New Roman"/>
          <w:sz w:val="24"/>
          <w:szCs w:val="24"/>
        </w:rPr>
        <w:t xml:space="preserve"> </w:t>
      </w:r>
    </w:p>
    <w:p w14:paraId="397B95BF" w14:textId="77777777" w:rsidR="00996D68" w:rsidRDefault="00996D68" w:rsidP="00D057DD">
      <w:pPr>
        <w:jc w:val="both"/>
        <w:rPr>
          <w:rFonts w:ascii="Times New Roman" w:hAnsi="Times New Roman" w:cs="Times New Roman"/>
          <w:b/>
          <w:bCs/>
          <w:sz w:val="24"/>
          <w:szCs w:val="24"/>
        </w:rPr>
      </w:pPr>
    </w:p>
    <w:p w14:paraId="6CBD9959" w14:textId="31C3A41C" w:rsidR="00D057DD" w:rsidRDefault="00D057DD" w:rsidP="00D057DD">
      <w:pPr>
        <w:jc w:val="both"/>
        <w:rPr>
          <w:rFonts w:ascii="Times New Roman" w:hAnsi="Times New Roman" w:cs="Times New Roman"/>
          <w:b/>
          <w:bCs/>
          <w:sz w:val="24"/>
          <w:szCs w:val="24"/>
        </w:rPr>
      </w:pPr>
      <w:r>
        <w:rPr>
          <w:rFonts w:ascii="Times New Roman" w:hAnsi="Times New Roman" w:cs="Times New Roman"/>
          <w:b/>
          <w:bCs/>
          <w:sz w:val="24"/>
          <w:szCs w:val="24"/>
        </w:rPr>
        <w:t>Empleo</w:t>
      </w:r>
    </w:p>
    <w:p w14:paraId="40B0ED2F" w14:textId="77777777" w:rsidR="00D057DD" w:rsidRDefault="00D057DD" w:rsidP="00D057DD">
      <w:pPr>
        <w:pStyle w:val="Prrafodelista"/>
        <w:numPr>
          <w:ilvl w:val="0"/>
          <w:numId w:val="20"/>
        </w:numPr>
        <w:jc w:val="both"/>
        <w:rPr>
          <w:rFonts w:ascii="Times New Roman" w:hAnsi="Times New Roman" w:cs="Times New Roman"/>
          <w:bCs/>
          <w:sz w:val="24"/>
          <w:szCs w:val="24"/>
        </w:rPr>
      </w:pPr>
      <w:r>
        <w:rPr>
          <w:rFonts w:ascii="Times New Roman" w:hAnsi="Times New Roman" w:cs="Times New Roman"/>
          <w:bCs/>
          <w:sz w:val="24"/>
          <w:szCs w:val="24"/>
        </w:rPr>
        <w:t>En el contexto regional, Uruguay se destaca por tener niveles relativamente altos de participación laboral femenina</w:t>
      </w:r>
      <w:r>
        <w:rPr>
          <w:rFonts w:ascii="Times New Roman" w:hAnsi="Times New Roman" w:cs="Times New Roman"/>
          <w:bCs/>
          <w:sz w:val="24"/>
          <w:szCs w:val="24"/>
          <w:lang w:val="es-MX"/>
        </w:rPr>
        <w:t>.</w:t>
      </w:r>
    </w:p>
    <w:p w14:paraId="5E87F5AB" w14:textId="0FF9F716" w:rsidR="00D057DD" w:rsidRDefault="00D057DD" w:rsidP="00D057DD">
      <w:pPr>
        <w:pStyle w:val="Prrafodelista"/>
        <w:numPr>
          <w:ilvl w:val="0"/>
          <w:numId w:val="20"/>
        </w:numPr>
        <w:jc w:val="both"/>
        <w:rPr>
          <w:rFonts w:ascii="Times New Roman" w:hAnsi="Times New Roman" w:cs="Times New Roman"/>
          <w:bCs/>
          <w:sz w:val="24"/>
          <w:szCs w:val="24"/>
        </w:rPr>
      </w:pPr>
      <w:r>
        <w:rPr>
          <w:rFonts w:ascii="Times New Roman" w:hAnsi="Times New Roman" w:cs="Times New Roman"/>
          <w:bCs/>
          <w:sz w:val="24"/>
          <w:szCs w:val="24"/>
        </w:rPr>
        <w:t xml:space="preserve"> </w:t>
      </w:r>
      <w:r>
        <w:rPr>
          <w:rFonts w:ascii="Times New Roman" w:hAnsi="Times New Roman" w:cs="Times New Roman"/>
          <w:bCs/>
          <w:sz w:val="24"/>
          <w:szCs w:val="24"/>
          <w:lang w:val="es-MX"/>
        </w:rPr>
        <w:t>N</w:t>
      </w:r>
      <w:proofErr w:type="spellStart"/>
      <w:r>
        <w:rPr>
          <w:rFonts w:ascii="Times New Roman" w:hAnsi="Times New Roman" w:cs="Times New Roman"/>
          <w:bCs/>
          <w:sz w:val="24"/>
          <w:szCs w:val="24"/>
        </w:rPr>
        <w:t>o</w:t>
      </w:r>
      <w:proofErr w:type="spellEnd"/>
      <w:r>
        <w:rPr>
          <w:rFonts w:ascii="Times New Roman" w:hAnsi="Times New Roman" w:cs="Times New Roman"/>
          <w:bCs/>
          <w:sz w:val="24"/>
          <w:szCs w:val="24"/>
        </w:rPr>
        <w:t xml:space="preserve"> obstante, la brecha entre varones y mujeres no ha tenido cambios significativos en el período de examen.</w:t>
      </w:r>
    </w:p>
    <w:p w14:paraId="0388CCE8" w14:textId="32297F74" w:rsidR="00996D68" w:rsidRDefault="00996D68" w:rsidP="00996D68">
      <w:pPr>
        <w:pStyle w:val="Prrafodelista"/>
        <w:ind w:left="580"/>
        <w:jc w:val="both"/>
        <w:rPr>
          <w:rFonts w:ascii="Times New Roman" w:hAnsi="Times New Roman" w:cs="Times New Roman"/>
          <w:bCs/>
          <w:sz w:val="24"/>
          <w:szCs w:val="24"/>
        </w:rPr>
      </w:pPr>
    </w:p>
    <w:p w14:paraId="7D0B4E31" w14:textId="35C3B1D3" w:rsidR="00996D68" w:rsidRDefault="00996D68" w:rsidP="00996D68">
      <w:pPr>
        <w:pStyle w:val="Prrafodelista"/>
        <w:ind w:left="580"/>
        <w:jc w:val="both"/>
        <w:rPr>
          <w:rFonts w:ascii="Times New Roman" w:hAnsi="Times New Roman" w:cs="Times New Roman"/>
          <w:bCs/>
          <w:sz w:val="24"/>
          <w:szCs w:val="24"/>
        </w:rPr>
      </w:pPr>
    </w:p>
    <w:p w14:paraId="2F89C797" w14:textId="53BAC0D3" w:rsidR="00996D68" w:rsidRDefault="00996D68" w:rsidP="00996D68">
      <w:pPr>
        <w:pStyle w:val="Prrafodelista"/>
        <w:ind w:left="580"/>
        <w:jc w:val="both"/>
        <w:rPr>
          <w:rFonts w:ascii="Times New Roman" w:hAnsi="Times New Roman" w:cs="Times New Roman"/>
          <w:bCs/>
          <w:sz w:val="24"/>
          <w:szCs w:val="24"/>
        </w:rPr>
      </w:pPr>
    </w:p>
    <w:p w14:paraId="3E8437BE" w14:textId="715B4CBC" w:rsidR="00996D68" w:rsidRDefault="00996D68" w:rsidP="00996D68">
      <w:pPr>
        <w:pStyle w:val="Prrafodelista"/>
        <w:ind w:left="580"/>
        <w:jc w:val="both"/>
        <w:rPr>
          <w:rFonts w:ascii="Times New Roman" w:hAnsi="Times New Roman" w:cs="Times New Roman"/>
          <w:bCs/>
          <w:sz w:val="24"/>
          <w:szCs w:val="24"/>
        </w:rPr>
      </w:pPr>
    </w:p>
    <w:p w14:paraId="569BCAE5" w14:textId="77777777" w:rsidR="00996D68" w:rsidRDefault="00996D68" w:rsidP="00996D68">
      <w:pPr>
        <w:pStyle w:val="Prrafodelista"/>
        <w:ind w:left="580"/>
        <w:jc w:val="both"/>
        <w:rPr>
          <w:rFonts w:ascii="Times New Roman" w:hAnsi="Times New Roman" w:cs="Times New Roman"/>
          <w:bCs/>
          <w:sz w:val="24"/>
          <w:szCs w:val="24"/>
        </w:rPr>
      </w:pPr>
    </w:p>
    <w:p w14:paraId="20E899E8" w14:textId="77777777" w:rsidR="00D057DD" w:rsidRDefault="00D057DD" w:rsidP="00D057DD">
      <w:pPr>
        <w:pStyle w:val="Prrafodelista"/>
        <w:numPr>
          <w:ilvl w:val="0"/>
          <w:numId w:val="20"/>
        </w:numPr>
        <w:rPr>
          <w:rFonts w:ascii="Times New Roman" w:hAnsi="Times New Roman" w:cs="Times New Roman"/>
          <w:sz w:val="24"/>
          <w:szCs w:val="24"/>
        </w:rPr>
      </w:pPr>
      <w:r>
        <w:rPr>
          <w:rFonts w:ascii="Times New Roman" w:hAnsi="Times New Roman" w:cs="Times New Roman"/>
          <w:sz w:val="24"/>
          <w:szCs w:val="24"/>
        </w:rPr>
        <w:lastRenderedPageBreak/>
        <w:t>A continuación, se presenta información sobre las tasas de actividad, empleo y desempleo producida en el marco del Mirador DESCA</w:t>
      </w:r>
      <w:r>
        <w:rPr>
          <w:bCs/>
          <w:vertAlign w:val="superscript"/>
        </w:rPr>
        <w:footnoteReference w:id="34"/>
      </w:r>
      <w:r>
        <w:rPr>
          <w:rFonts w:ascii="Times New Roman" w:hAnsi="Times New Roman" w:cs="Times New Roman"/>
          <w:sz w:val="24"/>
          <w:szCs w:val="24"/>
        </w:rPr>
        <w:t xml:space="preserve">. </w:t>
      </w:r>
    </w:p>
    <w:p w14:paraId="16652BA1" w14:textId="77777777" w:rsidR="00D057DD" w:rsidRDefault="00D057DD" w:rsidP="00D057DD">
      <w:pPr>
        <w:pStyle w:val="Prrafodelista"/>
        <w:numPr>
          <w:ilvl w:val="0"/>
          <w:numId w:val="20"/>
        </w:numPr>
        <w:rPr>
          <w:rFonts w:ascii="Times New Roman" w:hAnsi="Times New Roman" w:cs="Times New Roman"/>
          <w:sz w:val="24"/>
          <w:szCs w:val="24"/>
        </w:rPr>
      </w:pPr>
      <w:r>
        <w:rPr>
          <w:rFonts w:ascii="Times New Roman" w:hAnsi="Times New Roman" w:cs="Times New Roman"/>
          <w:sz w:val="24"/>
          <w:szCs w:val="24"/>
        </w:rPr>
        <w:t xml:space="preserve">Los tres indicadores seleccionados muestran la persistencia de la brecha entre varones y mujeres. </w:t>
      </w:r>
    </w:p>
    <w:p w14:paraId="42478ADE" w14:textId="77777777" w:rsidR="00D057DD" w:rsidRDefault="00D057DD" w:rsidP="00D057DD">
      <w:pPr>
        <w:jc w:val="both"/>
        <w:rPr>
          <w:rFonts w:ascii="Times New Roman" w:hAnsi="Times New Roman" w:cs="Times New Roman"/>
          <w:b/>
          <w:bCs/>
          <w:sz w:val="24"/>
          <w:szCs w:val="24"/>
        </w:rPr>
      </w:pPr>
    </w:p>
    <w:p w14:paraId="4DA73626" w14:textId="77777777" w:rsidR="00D057DD" w:rsidRDefault="00D057DD" w:rsidP="00D057DD">
      <w:pPr>
        <w:rPr>
          <w:rFonts w:ascii="Times New Roman" w:hAnsi="Times New Roman" w:cs="Times New Roman"/>
          <w:sz w:val="24"/>
          <w:szCs w:val="24"/>
        </w:rPr>
      </w:pPr>
      <w:r>
        <w:rPr>
          <w:rFonts w:ascii="Times New Roman" w:hAnsi="Times New Roman" w:cs="Times New Roman"/>
          <w:sz w:val="24"/>
          <w:szCs w:val="24"/>
        </w:rPr>
        <w:t>Gráfico 1</w:t>
      </w:r>
    </w:p>
    <w:p w14:paraId="22D51EEE" w14:textId="77777777" w:rsidR="00D057DD" w:rsidRDefault="00D057DD" w:rsidP="00D057DD">
      <w:pPr>
        <w:rPr>
          <w:rFonts w:ascii="Times New Roman" w:hAnsi="Times New Roman" w:cs="Times New Roman"/>
          <w:sz w:val="24"/>
          <w:szCs w:val="24"/>
        </w:rPr>
      </w:pPr>
      <w:r>
        <w:rPr>
          <w:rFonts w:ascii="Times New Roman" w:hAnsi="Times New Roman" w:cs="Times New Roman"/>
          <w:noProof/>
          <w:sz w:val="24"/>
          <w:szCs w:val="24"/>
          <w:lang w:eastAsia="es-UY"/>
        </w:rPr>
        <w:drawing>
          <wp:inline distT="0" distB="0" distL="0" distR="0" wp14:anchorId="318B3ADD" wp14:editId="455E0C13">
            <wp:extent cx="5400040" cy="3194685"/>
            <wp:effectExtent l="0" t="0" r="10160" b="571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5400040" cy="3195290"/>
                    </a:xfrm>
                    <a:prstGeom prst="rect">
                      <a:avLst/>
                    </a:prstGeom>
                    <a:noFill/>
                  </pic:spPr>
                </pic:pic>
              </a:graphicData>
            </a:graphic>
          </wp:inline>
        </w:drawing>
      </w:r>
    </w:p>
    <w:p w14:paraId="6510631B" w14:textId="77777777" w:rsidR="00D057DD" w:rsidRDefault="00D057DD" w:rsidP="00D057DD">
      <w:pPr>
        <w:rPr>
          <w:rFonts w:ascii="Times New Roman" w:hAnsi="Times New Roman" w:cs="Times New Roman"/>
          <w:sz w:val="24"/>
          <w:szCs w:val="24"/>
        </w:rPr>
      </w:pPr>
    </w:p>
    <w:p w14:paraId="2A95BB36" w14:textId="77777777" w:rsidR="00996D68" w:rsidRDefault="00996D68" w:rsidP="00D057DD">
      <w:pPr>
        <w:rPr>
          <w:rFonts w:ascii="Times New Roman" w:hAnsi="Times New Roman" w:cs="Times New Roman"/>
          <w:sz w:val="24"/>
          <w:szCs w:val="24"/>
        </w:rPr>
      </w:pPr>
    </w:p>
    <w:p w14:paraId="096FE499" w14:textId="77777777" w:rsidR="00996D68" w:rsidRDefault="00996D68" w:rsidP="00D057DD">
      <w:pPr>
        <w:rPr>
          <w:rFonts w:ascii="Times New Roman" w:hAnsi="Times New Roman" w:cs="Times New Roman"/>
          <w:sz w:val="24"/>
          <w:szCs w:val="24"/>
        </w:rPr>
      </w:pPr>
    </w:p>
    <w:p w14:paraId="625C4360" w14:textId="77777777" w:rsidR="00996D68" w:rsidRDefault="00996D68" w:rsidP="00D057DD">
      <w:pPr>
        <w:rPr>
          <w:rFonts w:ascii="Times New Roman" w:hAnsi="Times New Roman" w:cs="Times New Roman"/>
          <w:sz w:val="24"/>
          <w:szCs w:val="24"/>
        </w:rPr>
      </w:pPr>
    </w:p>
    <w:p w14:paraId="5820F402" w14:textId="77777777" w:rsidR="00996D68" w:rsidRDefault="00996D68" w:rsidP="00D057DD">
      <w:pPr>
        <w:rPr>
          <w:rFonts w:ascii="Times New Roman" w:hAnsi="Times New Roman" w:cs="Times New Roman"/>
          <w:sz w:val="24"/>
          <w:szCs w:val="24"/>
        </w:rPr>
      </w:pPr>
    </w:p>
    <w:p w14:paraId="40B6EA0F" w14:textId="0891B031" w:rsidR="00D057DD" w:rsidRDefault="00D057DD" w:rsidP="00D057DD">
      <w:pPr>
        <w:rPr>
          <w:rFonts w:ascii="Times New Roman" w:hAnsi="Times New Roman" w:cs="Times New Roman"/>
          <w:sz w:val="24"/>
          <w:szCs w:val="24"/>
        </w:rPr>
      </w:pPr>
      <w:r>
        <w:rPr>
          <w:rFonts w:ascii="Times New Roman" w:hAnsi="Times New Roman" w:cs="Times New Roman"/>
          <w:sz w:val="24"/>
          <w:szCs w:val="24"/>
        </w:rPr>
        <w:lastRenderedPageBreak/>
        <w:t>Gráfico 2</w:t>
      </w:r>
    </w:p>
    <w:p w14:paraId="443E26D4" w14:textId="77777777" w:rsidR="00D057DD" w:rsidRDefault="00D057DD" w:rsidP="00D057DD">
      <w:pPr>
        <w:rPr>
          <w:rFonts w:ascii="Times New Roman" w:hAnsi="Times New Roman" w:cs="Times New Roman"/>
          <w:sz w:val="24"/>
          <w:szCs w:val="24"/>
        </w:rPr>
      </w:pPr>
      <w:r>
        <w:rPr>
          <w:rFonts w:ascii="Times New Roman" w:hAnsi="Times New Roman" w:cs="Times New Roman"/>
          <w:noProof/>
          <w:sz w:val="24"/>
          <w:szCs w:val="24"/>
          <w:lang w:eastAsia="es-UY"/>
        </w:rPr>
        <w:drawing>
          <wp:inline distT="0" distB="0" distL="0" distR="0" wp14:anchorId="4401FBEF" wp14:editId="1B2AE129">
            <wp:extent cx="5554345" cy="3462655"/>
            <wp:effectExtent l="0" t="0" r="8255" b="444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pic:cNvPicPr preferRelativeResize="0">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5554800" cy="3463200"/>
                    </a:xfrm>
                    <a:prstGeom prst="rect">
                      <a:avLst/>
                    </a:prstGeom>
                    <a:noFill/>
                  </pic:spPr>
                </pic:pic>
              </a:graphicData>
            </a:graphic>
          </wp:inline>
        </w:drawing>
      </w:r>
    </w:p>
    <w:p w14:paraId="1F6463A4" w14:textId="77777777" w:rsidR="00D057DD" w:rsidRDefault="00D057DD" w:rsidP="00D057DD">
      <w:pPr>
        <w:rPr>
          <w:rFonts w:ascii="Times New Roman" w:hAnsi="Times New Roman" w:cs="Times New Roman"/>
          <w:sz w:val="24"/>
          <w:szCs w:val="24"/>
        </w:rPr>
      </w:pPr>
    </w:p>
    <w:p w14:paraId="0AB5D01C" w14:textId="77777777" w:rsidR="00D057DD" w:rsidRDefault="00D057DD" w:rsidP="00D057DD">
      <w:pPr>
        <w:rPr>
          <w:rFonts w:ascii="Times New Roman" w:hAnsi="Times New Roman" w:cs="Times New Roman"/>
          <w:sz w:val="24"/>
          <w:szCs w:val="24"/>
        </w:rPr>
      </w:pPr>
      <w:r>
        <w:rPr>
          <w:rFonts w:ascii="Times New Roman" w:hAnsi="Times New Roman" w:cs="Times New Roman"/>
          <w:sz w:val="24"/>
          <w:szCs w:val="24"/>
        </w:rPr>
        <w:t>Gráfico 3</w:t>
      </w:r>
    </w:p>
    <w:p w14:paraId="7BFD6A41" w14:textId="77777777" w:rsidR="00D057DD" w:rsidRDefault="00D057DD" w:rsidP="00D057DD">
      <w:pPr>
        <w:rPr>
          <w:rFonts w:ascii="Times New Roman" w:hAnsi="Times New Roman" w:cs="Times New Roman"/>
          <w:sz w:val="24"/>
          <w:szCs w:val="24"/>
        </w:rPr>
      </w:pPr>
      <w:r>
        <w:rPr>
          <w:rFonts w:ascii="Times New Roman" w:hAnsi="Times New Roman" w:cs="Times New Roman"/>
          <w:noProof/>
          <w:sz w:val="24"/>
          <w:szCs w:val="24"/>
          <w:lang w:eastAsia="es-UY"/>
        </w:rPr>
        <w:drawing>
          <wp:inline distT="0" distB="0" distL="0" distR="0" wp14:anchorId="570C937F" wp14:editId="1883526B">
            <wp:extent cx="5400040" cy="3194685"/>
            <wp:effectExtent l="0" t="0" r="10160" b="571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5400040" cy="3195290"/>
                    </a:xfrm>
                    <a:prstGeom prst="rect">
                      <a:avLst/>
                    </a:prstGeom>
                    <a:noFill/>
                  </pic:spPr>
                </pic:pic>
              </a:graphicData>
            </a:graphic>
          </wp:inline>
        </w:drawing>
      </w:r>
    </w:p>
    <w:p w14:paraId="43E246A2" w14:textId="77777777" w:rsidR="00D057DD" w:rsidRDefault="00D057DD" w:rsidP="00D057DD">
      <w:pPr>
        <w:rPr>
          <w:rFonts w:ascii="Times New Roman" w:hAnsi="Times New Roman" w:cs="Times New Roman"/>
          <w:sz w:val="24"/>
          <w:szCs w:val="24"/>
        </w:rPr>
      </w:pPr>
    </w:p>
    <w:p w14:paraId="5ABC9AFA" w14:textId="77777777" w:rsidR="00D057DD" w:rsidRDefault="00D057DD" w:rsidP="00D057DD">
      <w:pPr>
        <w:rPr>
          <w:rFonts w:ascii="Times New Roman" w:hAnsi="Times New Roman" w:cs="Times New Roman"/>
          <w:sz w:val="24"/>
          <w:szCs w:val="24"/>
          <w:lang w:val="es-MX"/>
        </w:rPr>
      </w:pPr>
    </w:p>
    <w:p w14:paraId="109258C4" w14:textId="77777777" w:rsidR="00D057DD" w:rsidRDefault="00D057DD" w:rsidP="00D057DD">
      <w:pPr>
        <w:rPr>
          <w:rFonts w:ascii="Times New Roman" w:hAnsi="Times New Roman" w:cs="Times New Roman"/>
          <w:sz w:val="24"/>
          <w:szCs w:val="24"/>
          <w:lang w:val="es-MX"/>
        </w:rPr>
      </w:pPr>
    </w:p>
    <w:p w14:paraId="596418EA" w14:textId="77777777" w:rsidR="00D057DD" w:rsidRDefault="00D057DD" w:rsidP="00D057DD">
      <w:pPr>
        <w:rPr>
          <w:rFonts w:ascii="Times New Roman" w:hAnsi="Times New Roman" w:cs="Times New Roman"/>
          <w:sz w:val="24"/>
          <w:szCs w:val="24"/>
          <w:lang w:val="es-MX"/>
        </w:rPr>
      </w:pPr>
    </w:p>
    <w:p w14:paraId="701CAE4F" w14:textId="77777777" w:rsidR="00D057DD" w:rsidRDefault="00D057DD" w:rsidP="00D057DD">
      <w:pPr>
        <w:pStyle w:val="Prrafodelista"/>
        <w:numPr>
          <w:ilvl w:val="0"/>
          <w:numId w:val="20"/>
        </w:numPr>
        <w:jc w:val="both"/>
        <w:rPr>
          <w:rFonts w:ascii="Times New Roman" w:hAnsi="Times New Roman" w:cs="Times New Roman"/>
          <w:sz w:val="24"/>
          <w:szCs w:val="24"/>
        </w:rPr>
      </w:pPr>
      <w:r>
        <w:rPr>
          <w:rStyle w:val="Textoennegrita"/>
          <w:rFonts w:ascii="Times New Roman" w:hAnsi="Times New Roman" w:cs="Times New Roman"/>
          <w:color w:val="000000"/>
          <w:sz w:val="24"/>
          <w:szCs w:val="24"/>
          <w:shd w:val="clear" w:color="auto" w:fill="FFFFFF"/>
          <w:lang w:val="es-MX"/>
        </w:rPr>
        <w:t>De</w:t>
      </w:r>
      <w:proofErr w:type="spellStart"/>
      <w:r>
        <w:rPr>
          <w:rStyle w:val="Textoennegrita"/>
          <w:rFonts w:ascii="Times New Roman" w:hAnsi="Times New Roman" w:cs="Times New Roman"/>
          <w:color w:val="000000"/>
          <w:sz w:val="24"/>
          <w:szCs w:val="24"/>
          <w:shd w:val="clear" w:color="auto" w:fill="FFFFFF"/>
        </w:rPr>
        <w:t>trás</w:t>
      </w:r>
      <w:proofErr w:type="spellEnd"/>
      <w:r>
        <w:rPr>
          <w:rStyle w:val="Textoennegrita"/>
          <w:rFonts w:ascii="Times New Roman" w:hAnsi="Times New Roman" w:cs="Times New Roman"/>
          <w:color w:val="000000"/>
          <w:sz w:val="24"/>
          <w:szCs w:val="24"/>
          <w:shd w:val="clear" w:color="auto" w:fill="FFFFFF"/>
        </w:rPr>
        <w:t xml:space="preserve"> de esta brecha está la sobrecarga</w:t>
      </w:r>
      <w:r>
        <w:rPr>
          <w:rFonts w:ascii="Times New Roman" w:hAnsi="Times New Roman" w:cs="Times New Roman"/>
          <w:bCs/>
          <w:color w:val="000000"/>
          <w:sz w:val="24"/>
          <w:szCs w:val="24"/>
          <w:shd w:val="clear" w:color="auto" w:fill="FFFFFF"/>
        </w:rPr>
        <w:t xml:space="preserve"> de trabajo no remunerado y de cuidados de las mujeres y la concomitante dificultad para insertarse en el mercado laboral.</w:t>
      </w:r>
    </w:p>
    <w:p w14:paraId="1757FCB8" w14:textId="77777777" w:rsidR="00D057DD" w:rsidRDefault="00D057DD" w:rsidP="00D057DD">
      <w:pPr>
        <w:pStyle w:val="Prrafodelista"/>
        <w:numPr>
          <w:ilvl w:val="0"/>
          <w:numId w:val="20"/>
        </w:numPr>
        <w:jc w:val="both"/>
        <w:rPr>
          <w:rFonts w:ascii="Times New Roman" w:hAnsi="Times New Roman" w:cs="Times New Roman"/>
          <w:sz w:val="24"/>
          <w:szCs w:val="24"/>
        </w:rPr>
      </w:pPr>
      <w:r>
        <w:rPr>
          <w:rFonts w:ascii="Times New Roman" w:hAnsi="Times New Roman" w:cs="Times New Roman"/>
          <w:bCs/>
          <w:color w:val="000000"/>
          <w:sz w:val="24"/>
          <w:szCs w:val="24"/>
          <w:shd w:val="clear" w:color="auto" w:fill="FFFFFF"/>
        </w:rPr>
        <w:t xml:space="preserve"> Por ello, l</w:t>
      </w:r>
      <w:r>
        <w:rPr>
          <w:rFonts w:ascii="Times New Roman" w:hAnsi="Times New Roman" w:cs="Times New Roman"/>
          <w:sz w:val="24"/>
          <w:szCs w:val="24"/>
          <w:lang w:val="es-MX"/>
        </w:rPr>
        <w:t xml:space="preserve">a INDDHH entiende que el Estado debe reforzar las políticas de empleo para las mujeres impulsando una revisión de la legislación laboral en materia de licencias de maternidad, paternidad y parentales. </w:t>
      </w:r>
    </w:p>
    <w:p w14:paraId="2586E79A" w14:textId="77777777" w:rsidR="00D057DD" w:rsidRDefault="00D057DD" w:rsidP="00D057DD">
      <w:pPr>
        <w:pStyle w:val="Prrafodelista"/>
        <w:numPr>
          <w:ilvl w:val="0"/>
          <w:numId w:val="20"/>
        </w:numPr>
        <w:jc w:val="both"/>
        <w:rPr>
          <w:rFonts w:ascii="Times New Roman" w:hAnsi="Times New Roman" w:cs="Times New Roman"/>
          <w:sz w:val="24"/>
          <w:szCs w:val="24"/>
        </w:rPr>
      </w:pPr>
      <w:r>
        <w:rPr>
          <w:rFonts w:ascii="Times New Roman" w:hAnsi="Times New Roman" w:cs="Times New Roman"/>
          <w:sz w:val="24"/>
          <w:szCs w:val="24"/>
          <w:lang w:val="es-MX"/>
        </w:rPr>
        <w:t xml:space="preserve"> Sin perjuicio de considerar que </w:t>
      </w:r>
      <w:r>
        <w:rPr>
          <w:rFonts w:ascii="Times New Roman" w:hAnsi="Times New Roman" w:cs="Times New Roman"/>
          <w:sz w:val="24"/>
          <w:szCs w:val="24"/>
        </w:rPr>
        <w:t xml:space="preserve">Uruguay </w:t>
      </w:r>
      <w:r>
        <w:rPr>
          <w:rFonts w:ascii="Times New Roman" w:hAnsi="Times New Roman" w:cs="Times New Roman"/>
          <w:sz w:val="24"/>
          <w:szCs w:val="24"/>
          <w:lang w:val="es-MX"/>
        </w:rPr>
        <w:t>cuenta</w:t>
      </w:r>
      <w:r>
        <w:rPr>
          <w:rFonts w:ascii="Times New Roman" w:hAnsi="Times New Roman" w:cs="Times New Roman"/>
          <w:sz w:val="24"/>
          <w:szCs w:val="24"/>
        </w:rPr>
        <w:t xml:space="preserve"> con una matriz de regulación temprana y amplia en la temática</w:t>
      </w:r>
      <w:r>
        <w:rPr>
          <w:rFonts w:ascii="Times New Roman" w:hAnsi="Times New Roman" w:cs="Times New Roman"/>
          <w:sz w:val="24"/>
          <w:szCs w:val="24"/>
          <w:lang w:val="es-MX"/>
        </w:rPr>
        <w:t xml:space="preserve"> aún </w:t>
      </w:r>
      <w:r>
        <w:rPr>
          <w:rFonts w:ascii="Times New Roman" w:hAnsi="Times New Roman" w:cs="Times New Roman"/>
          <w:sz w:val="24"/>
          <w:szCs w:val="24"/>
        </w:rPr>
        <w:t>existen estándares no alcanzados y brechas persisten</w:t>
      </w:r>
      <w:proofErr w:type="spellStart"/>
      <w:r>
        <w:rPr>
          <w:rFonts w:ascii="Times New Roman" w:hAnsi="Times New Roman" w:cs="Times New Roman"/>
          <w:sz w:val="24"/>
          <w:szCs w:val="24"/>
          <w:lang w:val="es-MX"/>
        </w:rPr>
        <w:t>tes</w:t>
      </w:r>
      <w:proofErr w:type="spellEnd"/>
      <w:r>
        <w:rPr>
          <w:rFonts w:ascii="Times New Roman" w:hAnsi="Times New Roman" w:cs="Times New Roman"/>
          <w:sz w:val="24"/>
          <w:szCs w:val="24"/>
          <w:lang w:val="es-MX"/>
        </w:rPr>
        <w:t xml:space="preserve"> </w:t>
      </w:r>
      <w:r>
        <w:rPr>
          <w:vertAlign w:val="superscript"/>
        </w:rPr>
        <w:footnoteReference w:id="35"/>
      </w:r>
      <w:r>
        <w:rPr>
          <w:rFonts w:ascii="Times New Roman" w:hAnsi="Times New Roman" w:cs="Times New Roman"/>
          <w:sz w:val="24"/>
          <w:szCs w:val="24"/>
        </w:rPr>
        <w:t>.</w:t>
      </w:r>
    </w:p>
    <w:p w14:paraId="436FC0BC" w14:textId="77777777" w:rsidR="00D057DD" w:rsidRDefault="00D057DD" w:rsidP="00D057DD">
      <w:pPr>
        <w:pStyle w:val="Prrafodelista"/>
        <w:numPr>
          <w:ilvl w:val="0"/>
          <w:numId w:val="20"/>
        </w:numPr>
        <w:jc w:val="both"/>
        <w:rPr>
          <w:rFonts w:ascii="Times New Roman" w:hAnsi="Times New Roman" w:cs="Times New Roman"/>
          <w:sz w:val="24"/>
          <w:szCs w:val="24"/>
        </w:rPr>
      </w:pPr>
      <w:r>
        <w:rPr>
          <w:rFonts w:ascii="Times New Roman" w:hAnsi="Times New Roman" w:cs="Times New Roman"/>
          <w:sz w:val="24"/>
          <w:szCs w:val="24"/>
        </w:rPr>
        <w:t>Asimismo,</w:t>
      </w:r>
      <w:r>
        <w:rPr>
          <w:rFonts w:ascii="Times New Roman" w:hAnsi="Times New Roman" w:cs="Times New Roman"/>
          <w:sz w:val="24"/>
          <w:szCs w:val="24"/>
          <w:lang w:val="es-MX"/>
        </w:rPr>
        <w:t xml:space="preserve"> </w:t>
      </w:r>
      <w:r>
        <w:rPr>
          <w:rFonts w:ascii="Times New Roman" w:hAnsi="Times New Roman" w:cs="Times New Roman"/>
          <w:sz w:val="24"/>
          <w:szCs w:val="24"/>
        </w:rPr>
        <w:t>entiende  fundamental re</w:t>
      </w:r>
      <w:proofErr w:type="spellStart"/>
      <w:r>
        <w:rPr>
          <w:rFonts w:ascii="Times New Roman" w:hAnsi="Times New Roman" w:cs="Times New Roman"/>
          <w:sz w:val="24"/>
          <w:szCs w:val="24"/>
          <w:lang w:val="es-MX"/>
        </w:rPr>
        <w:t>spaldar</w:t>
      </w:r>
      <w:proofErr w:type="spellEnd"/>
      <w:r>
        <w:rPr>
          <w:rFonts w:ascii="Times New Roman" w:hAnsi="Times New Roman" w:cs="Times New Roman"/>
          <w:sz w:val="24"/>
          <w:szCs w:val="24"/>
        </w:rPr>
        <w:t xml:space="preserve"> el Sistema Nacional de Cuidados que, si bien es reconocido como parte de la política pública, tiene limitados recursos fiscales y varios desafíos vinculados a su creación </w:t>
      </w:r>
      <w:r>
        <w:rPr>
          <w:rFonts w:ascii="Times New Roman" w:hAnsi="Times New Roman" w:cs="Times New Roman"/>
          <w:sz w:val="24"/>
          <w:szCs w:val="24"/>
          <w:lang w:val="es-MX"/>
        </w:rPr>
        <w:t xml:space="preserve">que es </w:t>
      </w:r>
      <w:r>
        <w:rPr>
          <w:rFonts w:ascii="Times New Roman" w:hAnsi="Times New Roman" w:cs="Times New Roman"/>
          <w:sz w:val="24"/>
          <w:szCs w:val="24"/>
        </w:rPr>
        <w:t xml:space="preserve">relativamente reciente en </w:t>
      </w:r>
      <w:r>
        <w:rPr>
          <w:rFonts w:ascii="Times New Roman" w:hAnsi="Times New Roman" w:cs="Times New Roman"/>
          <w:sz w:val="24"/>
          <w:szCs w:val="24"/>
          <w:lang w:val="es-MX"/>
        </w:rPr>
        <w:t xml:space="preserve">la estructura </w:t>
      </w:r>
      <w:r>
        <w:rPr>
          <w:rFonts w:ascii="Times New Roman" w:hAnsi="Times New Roman" w:cs="Times New Roman"/>
          <w:sz w:val="24"/>
          <w:szCs w:val="24"/>
        </w:rPr>
        <w:t>estatal</w:t>
      </w:r>
      <w:r>
        <w:rPr>
          <w:rStyle w:val="Refdenotaalpie"/>
          <w:rFonts w:ascii="Times New Roman" w:hAnsi="Times New Roman" w:cs="Times New Roman"/>
          <w:sz w:val="24"/>
          <w:szCs w:val="24"/>
        </w:rPr>
        <w:footnoteReference w:id="36"/>
      </w:r>
      <w:r>
        <w:rPr>
          <w:rFonts w:ascii="Times New Roman" w:hAnsi="Times New Roman" w:cs="Times New Roman"/>
          <w:sz w:val="24"/>
          <w:szCs w:val="24"/>
        </w:rPr>
        <w:t xml:space="preserve">. </w:t>
      </w:r>
    </w:p>
    <w:p w14:paraId="3141B235" w14:textId="77777777" w:rsidR="00D057DD" w:rsidRDefault="00D057DD" w:rsidP="00D057DD">
      <w:pPr>
        <w:jc w:val="both"/>
        <w:rPr>
          <w:rFonts w:ascii="Times New Roman" w:hAnsi="Times New Roman" w:cs="Times New Roman"/>
          <w:b/>
          <w:bCs/>
          <w:sz w:val="24"/>
          <w:szCs w:val="24"/>
        </w:rPr>
      </w:pPr>
      <w:r>
        <w:rPr>
          <w:rFonts w:ascii="Times New Roman" w:hAnsi="Times New Roman" w:cs="Times New Roman"/>
          <w:b/>
          <w:bCs/>
          <w:sz w:val="24"/>
          <w:szCs w:val="24"/>
        </w:rPr>
        <w:t>Mujeres privadas de libertad</w:t>
      </w:r>
    </w:p>
    <w:p w14:paraId="405E60CA" w14:textId="77777777" w:rsidR="00D057DD" w:rsidRDefault="00D057DD" w:rsidP="00D057DD">
      <w:pPr>
        <w:pStyle w:val="Prrafodelista"/>
        <w:numPr>
          <w:ilvl w:val="0"/>
          <w:numId w:val="20"/>
        </w:numPr>
        <w:jc w:val="both"/>
        <w:rPr>
          <w:rFonts w:ascii="Times New Roman" w:hAnsi="Times New Roman" w:cs="Times New Roman"/>
          <w:sz w:val="24"/>
          <w:szCs w:val="24"/>
        </w:rPr>
      </w:pPr>
      <w:r>
        <w:rPr>
          <w:rFonts w:ascii="Times New Roman" w:hAnsi="Times New Roman" w:cs="Times New Roman"/>
          <w:sz w:val="24"/>
          <w:szCs w:val="24"/>
        </w:rPr>
        <w:t xml:space="preserve">La situación de las mujeres privadas de libertad es un tema de gran preocupación por los elevados índices de </w:t>
      </w:r>
      <w:proofErr w:type="spellStart"/>
      <w:r>
        <w:rPr>
          <w:rFonts w:ascii="Times New Roman" w:hAnsi="Times New Roman" w:cs="Times New Roman"/>
          <w:sz w:val="24"/>
          <w:szCs w:val="24"/>
        </w:rPr>
        <w:t>prisionización</w:t>
      </w:r>
      <w:proofErr w:type="spellEnd"/>
      <w:r>
        <w:rPr>
          <w:rStyle w:val="Refdenotaalpie"/>
          <w:rFonts w:ascii="Times New Roman" w:hAnsi="Times New Roman" w:cs="Times New Roman"/>
          <w:sz w:val="24"/>
          <w:szCs w:val="24"/>
        </w:rPr>
        <w:footnoteReference w:id="37"/>
      </w:r>
      <w:r>
        <w:rPr>
          <w:rFonts w:ascii="Times New Roman" w:hAnsi="Times New Roman" w:cs="Times New Roman"/>
          <w:sz w:val="24"/>
          <w:szCs w:val="24"/>
        </w:rPr>
        <w:t xml:space="preserve">.  Esta situación resulta en un deterioro del indicador de densidad y hacinamiento, especialmente para las mujeres: </w:t>
      </w:r>
      <w:r>
        <w:rPr>
          <w:rFonts w:ascii="Times New Roman" w:hAnsi="Times New Roman" w:cs="Times New Roman"/>
          <w:iCs/>
          <w:sz w:val="24"/>
          <w:szCs w:val="24"/>
        </w:rPr>
        <w:t>la densidad promedio para los varones es de 128 reclusos cada 100 plazas,  y para las mujeres de 158 por cada 100</w:t>
      </w:r>
      <w:r>
        <w:rPr>
          <w:rStyle w:val="Refdenotaalpie"/>
          <w:rFonts w:ascii="Times New Roman" w:hAnsi="Times New Roman" w:cs="Times New Roman"/>
          <w:sz w:val="24"/>
          <w:szCs w:val="24"/>
        </w:rPr>
        <w:footnoteReference w:id="38"/>
      </w:r>
      <w:r>
        <w:rPr>
          <w:rFonts w:ascii="Times New Roman" w:hAnsi="Times New Roman" w:cs="Times New Roman"/>
          <w:sz w:val="24"/>
          <w:szCs w:val="24"/>
        </w:rPr>
        <w:t>.</w:t>
      </w:r>
    </w:p>
    <w:p w14:paraId="7FB3EE6F" w14:textId="77777777" w:rsidR="00D057DD" w:rsidRDefault="00D057DD" w:rsidP="00D057DD">
      <w:pPr>
        <w:pStyle w:val="Prrafodelista"/>
        <w:numPr>
          <w:ilvl w:val="0"/>
          <w:numId w:val="20"/>
        </w:numPr>
        <w:jc w:val="both"/>
        <w:rPr>
          <w:rFonts w:ascii="Times New Roman" w:hAnsi="Times New Roman" w:cs="Times New Roman"/>
          <w:sz w:val="24"/>
          <w:szCs w:val="24"/>
        </w:rPr>
      </w:pPr>
      <w:r>
        <w:rPr>
          <w:rFonts w:ascii="Times New Roman" w:hAnsi="Times New Roman" w:cs="Times New Roman"/>
          <w:sz w:val="24"/>
          <w:szCs w:val="24"/>
        </w:rPr>
        <w:t>El MNP realiza seguimiento de las unidades penitenciarias destinadas a mujeres, constatando alto índices de hacinamiento, asilamientos prolongados y baja presencia de actividades</w:t>
      </w:r>
      <w:r>
        <w:rPr>
          <w:rStyle w:val="Refdenotaalpie"/>
          <w:rFonts w:ascii="Times New Roman" w:hAnsi="Times New Roman" w:cs="Times New Roman"/>
          <w:sz w:val="24"/>
          <w:szCs w:val="24"/>
        </w:rPr>
        <w:footnoteReference w:id="39"/>
      </w:r>
      <w:r>
        <w:rPr>
          <w:rFonts w:ascii="Times New Roman" w:hAnsi="Times New Roman" w:cs="Times New Roman"/>
          <w:sz w:val="24"/>
          <w:szCs w:val="24"/>
          <w:lang w:val="es-MX"/>
        </w:rPr>
        <w:t xml:space="preserve"> </w:t>
      </w:r>
      <w:r>
        <w:rPr>
          <w:rStyle w:val="Refdenotaalpie"/>
          <w:rFonts w:ascii="Times New Roman" w:hAnsi="Times New Roman" w:cs="Times New Roman"/>
          <w:sz w:val="24"/>
          <w:szCs w:val="24"/>
        </w:rPr>
        <w:footnoteReference w:id="40"/>
      </w:r>
      <w:r>
        <w:rPr>
          <w:rFonts w:ascii="Times New Roman" w:hAnsi="Times New Roman" w:cs="Times New Roman"/>
          <w:sz w:val="24"/>
          <w:szCs w:val="24"/>
        </w:rPr>
        <w:t xml:space="preserve">. </w:t>
      </w:r>
    </w:p>
    <w:p w14:paraId="34CF1C59" w14:textId="77777777" w:rsidR="00D057DD" w:rsidRDefault="00D057DD" w:rsidP="00D057DD">
      <w:pPr>
        <w:pStyle w:val="Prrafodelista"/>
        <w:numPr>
          <w:ilvl w:val="0"/>
          <w:numId w:val="20"/>
        </w:numPr>
        <w:jc w:val="both"/>
        <w:rPr>
          <w:rFonts w:ascii="Times New Roman" w:hAnsi="Times New Roman" w:cs="Times New Roman"/>
          <w:sz w:val="24"/>
          <w:szCs w:val="24"/>
        </w:rPr>
      </w:pPr>
      <w:r>
        <w:rPr>
          <w:rFonts w:ascii="Times New Roman" w:hAnsi="Times New Roman" w:cs="Times New Roman"/>
          <w:sz w:val="24"/>
          <w:szCs w:val="24"/>
        </w:rPr>
        <w:t xml:space="preserve">Por otra parte, la INDDHH junto al Comisionado Parlamentario ha entendido que las precarias condiciones de reclusión del nivel quinto de la Unidad n°5, el aislamiento prolongado y la falta de tratamiento psicológico integral de las mujeres con padecimiento mental agudo o crónico constituye tratos crueles inhumanos o degradantes. Recomendó </w:t>
      </w:r>
      <w:r>
        <w:rPr>
          <w:rFonts w:ascii="Times New Roman" w:hAnsi="Times New Roman" w:cs="Times New Roman"/>
          <w:sz w:val="24"/>
          <w:szCs w:val="24"/>
          <w:lang w:val="es-MX"/>
        </w:rPr>
        <w:t>g</w:t>
      </w:r>
      <w:proofErr w:type="spellStart"/>
      <w:r>
        <w:rPr>
          <w:rFonts w:ascii="Times New Roman" w:hAnsi="Times New Roman" w:cs="Times New Roman"/>
          <w:sz w:val="24"/>
          <w:szCs w:val="24"/>
        </w:rPr>
        <w:t>arantizar</w:t>
      </w:r>
      <w:proofErr w:type="spellEnd"/>
      <w:r>
        <w:rPr>
          <w:rFonts w:ascii="Times New Roman" w:hAnsi="Times New Roman" w:cs="Times New Roman"/>
          <w:sz w:val="24"/>
          <w:szCs w:val="24"/>
        </w:rPr>
        <w:t xml:space="preserve"> el acceso a los servicios especializados en salud mental, promover medidas alternativas a la prisión e impulsar el albergue de las </w:t>
      </w:r>
      <w:r>
        <w:rPr>
          <w:rFonts w:ascii="Times New Roman" w:hAnsi="Times New Roman" w:cs="Times New Roman"/>
          <w:sz w:val="24"/>
          <w:szCs w:val="24"/>
        </w:rPr>
        <w:lastRenderedPageBreak/>
        <w:t>reclusas que requieran atención de salud mental a establecimientos cuyo régimen de seguridad sea lo menos restrictivo posible, y que brinde el tratamiento adecuado</w:t>
      </w:r>
      <w:r>
        <w:rPr>
          <w:rStyle w:val="Refdenotaalpie"/>
          <w:rFonts w:ascii="Times New Roman" w:hAnsi="Times New Roman" w:cs="Times New Roman"/>
          <w:sz w:val="24"/>
          <w:szCs w:val="24"/>
        </w:rPr>
        <w:footnoteReference w:id="41"/>
      </w:r>
      <w:r>
        <w:rPr>
          <w:rFonts w:ascii="Times New Roman" w:hAnsi="Times New Roman" w:cs="Times New Roman"/>
          <w:sz w:val="24"/>
          <w:szCs w:val="24"/>
        </w:rPr>
        <w:t>.</w:t>
      </w:r>
    </w:p>
    <w:p w14:paraId="087F5E46" w14:textId="77777777" w:rsidR="00D057DD" w:rsidRDefault="00D057DD" w:rsidP="00D057DD">
      <w:pPr>
        <w:pStyle w:val="Prrafodelista"/>
        <w:numPr>
          <w:ilvl w:val="0"/>
          <w:numId w:val="20"/>
        </w:numPr>
        <w:jc w:val="both"/>
        <w:rPr>
          <w:rFonts w:ascii="Times New Roman" w:hAnsi="Times New Roman" w:cs="Times New Roman"/>
          <w:sz w:val="24"/>
          <w:szCs w:val="24"/>
        </w:rPr>
      </w:pPr>
      <w:r>
        <w:rPr>
          <w:rFonts w:ascii="Times New Roman" w:hAnsi="Times New Roman" w:cs="Times New Roman"/>
          <w:sz w:val="24"/>
          <w:szCs w:val="24"/>
        </w:rPr>
        <w:t>Asimismo, la INDDHH ha señalado la preocupación por las condiciones de privación de libertad de las mujeres embarazadas y con hijas/os a cargo. La INDDHH entiende que el Estado debe mejorar las condiciones de las Unidades que alojan a mujeres con hijas/os y revisar el marco legislativo ampliando el alcance de la prisión domiciliaria en estos casos</w:t>
      </w:r>
      <w:r>
        <w:rPr>
          <w:rStyle w:val="Refdenotaalpie"/>
          <w:rFonts w:ascii="Times New Roman" w:hAnsi="Times New Roman" w:cs="Times New Roman"/>
          <w:sz w:val="24"/>
          <w:szCs w:val="24"/>
        </w:rPr>
        <w:footnoteReference w:id="42"/>
      </w:r>
      <w:r>
        <w:rPr>
          <w:rFonts w:ascii="Times New Roman" w:hAnsi="Times New Roman" w:cs="Times New Roman"/>
          <w:sz w:val="24"/>
          <w:szCs w:val="24"/>
          <w:lang w:val="es-MX"/>
        </w:rPr>
        <w:t>.</w:t>
      </w:r>
      <w:r>
        <w:rPr>
          <w:rFonts w:ascii="Times New Roman" w:hAnsi="Times New Roman" w:cs="Times New Roman"/>
          <w:sz w:val="24"/>
          <w:szCs w:val="24"/>
        </w:rPr>
        <w:t xml:space="preserve"> </w:t>
      </w:r>
    </w:p>
    <w:p w14:paraId="1950520A" w14:textId="4496FB0B" w:rsidR="00D057DD" w:rsidRDefault="00D057DD" w:rsidP="00D057DD">
      <w:pPr>
        <w:ind w:left="60"/>
        <w:jc w:val="both"/>
        <w:rPr>
          <w:rFonts w:ascii="Times New Roman" w:hAnsi="Times New Roman" w:cs="Times New Roman"/>
          <w:b/>
          <w:bCs/>
          <w:sz w:val="24"/>
          <w:szCs w:val="24"/>
        </w:rPr>
      </w:pPr>
    </w:p>
    <w:p w14:paraId="6F29A89D" w14:textId="41FA14B4" w:rsidR="003208E7" w:rsidRPr="003208E7" w:rsidRDefault="003208E7" w:rsidP="00D057DD">
      <w:pPr>
        <w:ind w:left="60"/>
        <w:jc w:val="both"/>
        <w:rPr>
          <w:rFonts w:ascii="Times New Roman" w:hAnsi="Times New Roman" w:cs="Times New Roman"/>
          <w:bCs/>
          <w:sz w:val="24"/>
          <w:szCs w:val="24"/>
        </w:rPr>
      </w:pPr>
      <w:bookmarkStart w:id="0" w:name="_GoBack"/>
      <w:bookmarkEnd w:id="0"/>
      <w:r w:rsidRPr="003208E7">
        <w:rPr>
          <w:rFonts w:ascii="Times New Roman" w:hAnsi="Times New Roman" w:cs="Times New Roman"/>
          <w:bCs/>
          <w:sz w:val="24"/>
          <w:szCs w:val="24"/>
        </w:rPr>
        <w:t>Montevideo, 11 de setiembre de 2023</w:t>
      </w:r>
    </w:p>
    <w:p w14:paraId="31F918F4" w14:textId="3C3F2122" w:rsidR="003208E7" w:rsidRPr="003208E7" w:rsidRDefault="003208E7" w:rsidP="00D057DD">
      <w:pPr>
        <w:ind w:left="60"/>
        <w:jc w:val="both"/>
        <w:rPr>
          <w:rFonts w:ascii="Times New Roman" w:hAnsi="Times New Roman" w:cs="Times New Roman"/>
          <w:bCs/>
          <w:sz w:val="24"/>
          <w:szCs w:val="24"/>
        </w:rPr>
      </w:pPr>
    </w:p>
    <w:p w14:paraId="5CE6DCAF" w14:textId="1FACFC6B" w:rsidR="003208E7" w:rsidRPr="003208E7" w:rsidRDefault="003208E7" w:rsidP="00D057DD">
      <w:pPr>
        <w:ind w:left="60"/>
        <w:jc w:val="both"/>
        <w:rPr>
          <w:rFonts w:ascii="Times New Roman" w:hAnsi="Times New Roman" w:cs="Times New Roman"/>
          <w:bCs/>
          <w:sz w:val="24"/>
          <w:szCs w:val="24"/>
        </w:rPr>
      </w:pPr>
    </w:p>
    <w:p w14:paraId="4A5C5C5A" w14:textId="7C58E8C9" w:rsidR="003208E7" w:rsidRPr="003208E7" w:rsidRDefault="003208E7" w:rsidP="00D057DD">
      <w:pPr>
        <w:ind w:left="60"/>
        <w:jc w:val="both"/>
        <w:rPr>
          <w:rFonts w:ascii="Times New Roman" w:hAnsi="Times New Roman" w:cs="Times New Roman"/>
          <w:bCs/>
          <w:sz w:val="24"/>
          <w:szCs w:val="24"/>
        </w:rPr>
      </w:pPr>
      <w:r w:rsidRPr="003208E7">
        <w:rPr>
          <w:rFonts w:ascii="Times New Roman" w:hAnsi="Times New Roman" w:cs="Times New Roman"/>
          <w:bCs/>
          <w:sz w:val="24"/>
          <w:szCs w:val="24"/>
        </w:rPr>
        <w:t>Consejo Directivo</w:t>
      </w:r>
    </w:p>
    <w:p w14:paraId="79E750BD" w14:textId="54C7F4F2" w:rsidR="003208E7" w:rsidRPr="003208E7" w:rsidRDefault="003208E7" w:rsidP="00D057DD">
      <w:pPr>
        <w:ind w:left="60"/>
        <w:jc w:val="both"/>
        <w:rPr>
          <w:rFonts w:ascii="Times New Roman" w:hAnsi="Times New Roman" w:cs="Times New Roman"/>
          <w:bCs/>
          <w:sz w:val="24"/>
          <w:szCs w:val="24"/>
        </w:rPr>
      </w:pPr>
      <w:r w:rsidRPr="003208E7">
        <w:rPr>
          <w:rFonts w:ascii="Times New Roman" w:hAnsi="Times New Roman" w:cs="Times New Roman"/>
          <w:bCs/>
          <w:sz w:val="24"/>
          <w:szCs w:val="24"/>
        </w:rPr>
        <w:t xml:space="preserve">Institución Nacional de Derechos Humanos </w:t>
      </w:r>
    </w:p>
    <w:p w14:paraId="160CDBAE" w14:textId="5F3F55DF" w:rsidR="003208E7" w:rsidRPr="003208E7" w:rsidRDefault="003208E7" w:rsidP="00D057DD">
      <w:pPr>
        <w:ind w:left="60"/>
        <w:jc w:val="both"/>
        <w:rPr>
          <w:rFonts w:ascii="Times New Roman" w:hAnsi="Times New Roman" w:cs="Times New Roman"/>
          <w:bCs/>
          <w:sz w:val="24"/>
          <w:szCs w:val="24"/>
        </w:rPr>
      </w:pPr>
      <w:r>
        <w:rPr>
          <w:rFonts w:ascii="Times New Roman" w:hAnsi="Times New Roman" w:cs="Times New Roman"/>
          <w:bCs/>
          <w:sz w:val="24"/>
          <w:szCs w:val="24"/>
        </w:rPr>
        <w:t xml:space="preserve">y </w:t>
      </w:r>
      <w:r w:rsidRPr="003208E7">
        <w:rPr>
          <w:rFonts w:ascii="Times New Roman" w:hAnsi="Times New Roman" w:cs="Times New Roman"/>
          <w:bCs/>
          <w:sz w:val="24"/>
          <w:szCs w:val="24"/>
        </w:rPr>
        <w:t>Defensoría del Pueblo</w:t>
      </w:r>
    </w:p>
    <w:p w14:paraId="3967FC5C" w14:textId="1CD2230A" w:rsidR="00D057DD" w:rsidRPr="003208E7" w:rsidRDefault="00D057DD" w:rsidP="00D057DD">
      <w:pPr>
        <w:rPr>
          <w:rFonts w:ascii="Times New Roman" w:hAnsi="Times New Roman" w:cs="Times New Roman"/>
          <w:color w:val="4F81BD" w:themeColor="accent1"/>
          <w:sz w:val="24"/>
          <w:szCs w:val="24"/>
        </w:rPr>
      </w:pPr>
    </w:p>
    <w:p w14:paraId="65492E23" w14:textId="77777777" w:rsidR="00D057DD" w:rsidRDefault="00D057DD" w:rsidP="00D057DD">
      <w:pPr>
        <w:rPr>
          <w:rFonts w:ascii="Times New Roman" w:hAnsi="Times New Roman" w:cs="Times New Roman"/>
          <w:color w:val="4F81BD" w:themeColor="accent1"/>
          <w:sz w:val="24"/>
          <w:szCs w:val="24"/>
          <w:lang w:val="es-MX"/>
        </w:rPr>
      </w:pPr>
    </w:p>
    <w:p w14:paraId="437BD0F4" w14:textId="77777777" w:rsidR="00D057DD" w:rsidRDefault="00D057DD" w:rsidP="00D057DD">
      <w:pPr>
        <w:rPr>
          <w:rFonts w:ascii="Times New Roman" w:hAnsi="Times New Roman" w:cs="Times New Roman"/>
          <w:color w:val="4F81BD" w:themeColor="accent1"/>
          <w:sz w:val="24"/>
          <w:szCs w:val="24"/>
          <w:lang w:val="es-MX"/>
        </w:rPr>
      </w:pPr>
    </w:p>
    <w:p w14:paraId="4BBB2C63" w14:textId="77777777" w:rsidR="00A221BA" w:rsidRPr="00D057DD" w:rsidRDefault="00A221BA" w:rsidP="006F46D8">
      <w:pPr>
        <w:rPr>
          <w:lang w:val="es-MX"/>
        </w:rPr>
      </w:pPr>
    </w:p>
    <w:sectPr w:rsidR="00A221BA" w:rsidRPr="00D057DD" w:rsidSect="00996D68">
      <w:headerReference w:type="default" r:id="rId10"/>
      <w:footerReference w:type="default" r:id="rId11"/>
      <w:pgSz w:w="11906" w:h="16838"/>
      <w:pgMar w:top="2268" w:right="1588" w:bottom="851" w:left="1588" w:header="709" w:footer="42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66D0DA" w14:textId="77777777" w:rsidR="00DF3425" w:rsidRDefault="00DF3425" w:rsidP="002F225F">
      <w:pPr>
        <w:spacing w:after="0" w:line="240" w:lineRule="auto"/>
      </w:pPr>
      <w:r>
        <w:separator/>
      </w:r>
    </w:p>
  </w:endnote>
  <w:endnote w:type="continuationSeparator" w:id="0">
    <w:p w14:paraId="1F20FFAD" w14:textId="77777777" w:rsidR="00DF3425" w:rsidRDefault="00DF3425" w:rsidP="002F22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Helvetica">
    <w:panose1 w:val="020B0604020202020204"/>
    <w:charset w:val="00"/>
    <w:family w:val="swiss"/>
    <w:pitch w:val="variable"/>
    <w:sig w:usb0="E0002EFF" w:usb1="C000785B" w:usb2="00000009" w:usb3="00000000" w:csb0="000001FF" w:csb1="00000000"/>
  </w:font>
  <w:font w:name="Sancoale Slab Norm Light">
    <w:panose1 w:val="02000503050000020004"/>
    <w:charset w:val="00"/>
    <w:family w:val="modern"/>
    <w:notTrueType/>
    <w:pitch w:val="variable"/>
    <w:sig w:usb0="A00000AF" w:usb1="5000005B" w:usb2="00000000" w:usb3="00000000" w:csb0="00000193" w:csb1="00000000"/>
  </w:font>
  <w:font w:name="Sancoale Slab Norm Regular">
    <w:panose1 w:val="02000503050000020004"/>
    <w:charset w:val="00"/>
    <w:family w:val="modern"/>
    <w:notTrueType/>
    <w:pitch w:val="variable"/>
    <w:sig w:usb0="A00000AF" w:usb1="5000005B" w:usb2="00000000" w:usb3="00000000" w:csb0="00000193"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MS Mincho">
    <w:altName w:val="Yu Gothic UI"/>
    <w:panose1 w:val="02020609040205080304"/>
    <w:charset w:val="4E"/>
    <w:family w:val="auto"/>
    <w:pitch w:val="variable"/>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DengXian">
    <w:altName w:val="等线"/>
    <w:panose1 w:val="02010600030101010101"/>
    <w:charset w:val="86"/>
    <w:family w:val="modern"/>
    <w:pitch w:val="default"/>
    <w:sig w:usb0="00000000" w:usb1="00000000" w:usb2="00000010" w:usb3="00000000" w:csb0="0004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A9B0B0" w14:textId="77777777" w:rsidR="006204C8" w:rsidRDefault="006204C8">
    <w:pPr>
      <w:pStyle w:val="Piedepgina"/>
    </w:pPr>
  </w:p>
  <w:p w14:paraId="76EC29A0" w14:textId="77777777" w:rsidR="006204C8" w:rsidRDefault="006204C8" w:rsidP="008C24C2">
    <w:pPr>
      <w:pStyle w:val="Piedepgina"/>
      <w:jc w:val="center"/>
    </w:pPr>
    <w:r>
      <w:rPr>
        <w:noProof/>
        <w:lang w:val="es-UY" w:eastAsia="es-UY"/>
      </w:rPr>
      <w:drawing>
        <wp:inline distT="0" distB="0" distL="0" distR="0" wp14:anchorId="2894A9E3" wp14:editId="6A462721">
          <wp:extent cx="4950563" cy="114300"/>
          <wp:effectExtent l="0" t="0" r="2540" b="0"/>
          <wp:docPr id="2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e.emf"/>
                  <pic:cNvPicPr/>
                </pic:nvPicPr>
                <pic:blipFill>
                  <a:blip r:embed="rId1">
                    <a:extLst>
                      <a:ext uri="{28A0092B-C50C-407E-A947-70E740481C1C}">
                        <a14:useLocalDpi xmlns:a14="http://schemas.microsoft.com/office/drawing/2010/main" val="0"/>
                      </a:ext>
                    </a:extLst>
                  </a:blip>
                  <a:stretch>
                    <a:fillRect/>
                  </a:stretch>
                </pic:blipFill>
                <pic:spPr>
                  <a:xfrm>
                    <a:off x="0" y="0"/>
                    <a:ext cx="4950563" cy="114300"/>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415BDF" w14:textId="77777777" w:rsidR="00DF3425" w:rsidRDefault="00DF3425" w:rsidP="002F225F">
      <w:pPr>
        <w:spacing w:after="0" w:line="240" w:lineRule="auto"/>
      </w:pPr>
      <w:r>
        <w:separator/>
      </w:r>
    </w:p>
  </w:footnote>
  <w:footnote w:type="continuationSeparator" w:id="0">
    <w:p w14:paraId="2AEA3702" w14:textId="77777777" w:rsidR="00DF3425" w:rsidRDefault="00DF3425" w:rsidP="002F225F">
      <w:pPr>
        <w:spacing w:after="0" w:line="240" w:lineRule="auto"/>
      </w:pPr>
      <w:r>
        <w:continuationSeparator/>
      </w:r>
    </w:p>
  </w:footnote>
  <w:footnote w:id="1">
    <w:p w14:paraId="00FDA034" w14:textId="77777777" w:rsidR="00D057DD" w:rsidRDefault="00D057DD" w:rsidP="00D057DD">
      <w:pPr>
        <w:pStyle w:val="Textonotapie"/>
        <w:snapToGrid w:val="0"/>
      </w:pPr>
      <w:r>
        <w:rPr>
          <w:rStyle w:val="Refdenotaalpie"/>
        </w:rPr>
        <w:footnoteRef/>
      </w:r>
      <w:r>
        <w:t xml:space="preserve"> Actualmente la Unidad cuenta con 2 </w:t>
      </w:r>
      <w:r>
        <w:rPr>
          <w:lang w:val="es-MX"/>
        </w:rPr>
        <w:t>funcionarias</w:t>
      </w:r>
      <w:r>
        <w:t xml:space="preserve"> y tiene asignado un presupuesto anual</w:t>
      </w:r>
    </w:p>
  </w:footnote>
  <w:footnote w:id="2">
    <w:p w14:paraId="1CF78964" w14:textId="77777777" w:rsidR="00D057DD" w:rsidRDefault="00D057DD" w:rsidP="00D057DD">
      <w:pPr>
        <w:pStyle w:val="Textonotapie"/>
        <w:jc w:val="both"/>
      </w:pPr>
      <w:r>
        <w:rPr>
          <w:rStyle w:val="Refdenotaalpie"/>
        </w:rPr>
        <w:footnoteRef/>
      </w:r>
      <w:r>
        <w:t xml:space="preserve"> “La encuesta cubre variedad de temas entre los que se destacan el calendario de eventos del curso de vida, la formación de parejas, el comportamiento reproductivo, la toma de decisiones de los hogares, las relaciones intergeneracionales, la salud y el bienestar individual, las condiciones de trabajo e ingresos, las actitudes y valores frente a diferentes temas”. Ver https://cienciassociales.edu.uy/encuesta-de-generaciones-y-genero-en-uruguay/</w:t>
      </w:r>
    </w:p>
  </w:footnote>
  <w:footnote w:id="3">
    <w:p w14:paraId="5F5E7208" w14:textId="77777777" w:rsidR="00D057DD" w:rsidRDefault="00D057DD" w:rsidP="00D057DD">
      <w:pPr>
        <w:pStyle w:val="Textonotapie"/>
        <w:snapToGrid w:val="0"/>
        <w:jc w:val="both"/>
        <w:rPr>
          <w:rFonts w:ascii="Calibri" w:hAnsi="Calibri" w:cs="Calibri"/>
          <w:lang w:val="es-MX"/>
        </w:rPr>
      </w:pPr>
      <w:r>
        <w:rPr>
          <w:rStyle w:val="Refdenotaalpie"/>
        </w:rPr>
        <w:footnoteRef/>
      </w:r>
      <w:r>
        <w:t xml:space="preserve"> </w:t>
      </w:r>
      <w:r>
        <w:rPr>
          <w:rFonts w:ascii="Calibri" w:hAnsi="Calibri" w:cs="Calibri"/>
        </w:rPr>
        <w:t>https://www.impo.com.uy/bases/leyes/19580-2017</w:t>
      </w:r>
    </w:p>
  </w:footnote>
  <w:footnote w:id="4">
    <w:p w14:paraId="454984CB" w14:textId="77777777" w:rsidR="00D057DD" w:rsidRDefault="00D057DD" w:rsidP="00D057DD">
      <w:pPr>
        <w:pStyle w:val="Textonotapie"/>
        <w:jc w:val="both"/>
        <w:rPr>
          <w:rFonts w:ascii="Calibri" w:hAnsi="Calibri" w:cs="Calibri"/>
        </w:rPr>
      </w:pPr>
      <w:r>
        <w:rPr>
          <w:rStyle w:val="Refdenotaalpie"/>
          <w:rFonts w:ascii="Calibri" w:hAnsi="Calibri" w:cs="Calibri"/>
        </w:rPr>
        <w:footnoteRef/>
      </w:r>
      <w:r>
        <w:rPr>
          <w:rFonts w:ascii="Calibri" w:hAnsi="Calibri" w:cs="Calibri"/>
        </w:rPr>
        <w:t xml:space="preserve"> Tales como nivel socioeconómico, nivel educativo, etnia, raza, situación de discapacidad.</w:t>
      </w:r>
    </w:p>
  </w:footnote>
  <w:footnote w:id="5">
    <w:p w14:paraId="307846D9" w14:textId="77777777" w:rsidR="00D057DD" w:rsidRDefault="00D057DD" w:rsidP="00D057DD">
      <w:pPr>
        <w:pStyle w:val="Textocomentario"/>
        <w:spacing w:after="0"/>
        <w:jc w:val="both"/>
        <w:rPr>
          <w:rFonts w:ascii="Calibri" w:hAnsi="Calibri" w:cs="Calibri"/>
          <w:color w:val="FF0000"/>
          <w:shd w:val="clear" w:color="FFFFFF" w:fill="D9D9D9"/>
          <w:lang w:val="es-MX"/>
        </w:rPr>
      </w:pPr>
      <w:r>
        <w:rPr>
          <w:rStyle w:val="Refdenotaalpie"/>
          <w:rFonts w:ascii="Calibri" w:hAnsi="Calibri" w:cs="Calibri"/>
        </w:rPr>
        <w:footnoteRef/>
      </w:r>
      <w:r>
        <w:rPr>
          <w:rFonts w:ascii="Calibri" w:hAnsi="Calibri" w:cs="Calibri"/>
        </w:rPr>
        <w:t xml:space="preserve"> Durante el 2022, el Observatorio de Violencia de Género elaboró el diagnóstico sobre los registros administrativos del Sistema Interinstitucional de Violencia Basada en Género señalando estos aspectos y realizando recomendaciones a los organismos. /www.gub.uy/ministerio-desarrollo-social/comunicacion/comunicados/lineas-trabajo-del-observatorio-violencia-basada-genero-hacia-mujeres</w:t>
      </w:r>
    </w:p>
  </w:footnote>
  <w:footnote w:id="6">
    <w:p w14:paraId="1142CA47" w14:textId="77777777" w:rsidR="00D057DD" w:rsidRDefault="00D057DD" w:rsidP="00D057DD">
      <w:pPr>
        <w:pStyle w:val="Textonotapie"/>
        <w:snapToGrid w:val="0"/>
        <w:jc w:val="both"/>
        <w:rPr>
          <w:lang w:val="es-MX"/>
        </w:rPr>
      </w:pPr>
      <w:r>
        <w:rPr>
          <w:rStyle w:val="Refdenotaalpie"/>
        </w:rPr>
        <w:footnoteRef/>
      </w:r>
      <w:r>
        <w:t xml:space="preserve"> </w:t>
      </w:r>
      <w:r>
        <w:rPr>
          <w:lang w:val="es-MX"/>
        </w:rPr>
        <w:t xml:space="preserve"> La INDDHH recibió el 4/9/2023 respuesta por parte de la SCJ a un pedido de información realizado a los efectos de la elaboración de este Informe. En el mismo se indica que el Departamento de Estadísticas del Poder Judicial cuenta con dos cargos de sociólogo, una administrativa y una directora de departamento.</w:t>
      </w:r>
    </w:p>
  </w:footnote>
  <w:footnote w:id="7">
    <w:p w14:paraId="4A56B84B" w14:textId="77777777" w:rsidR="00D057DD" w:rsidRDefault="00D057DD" w:rsidP="00D057DD">
      <w:pPr>
        <w:spacing w:after="0"/>
        <w:rPr>
          <w:rFonts w:ascii="Calibri" w:hAnsi="Calibri" w:cs="Calibri"/>
        </w:rPr>
      </w:pPr>
      <w:r>
        <w:rPr>
          <w:rStyle w:val="Refdenotaalpie"/>
          <w:rFonts w:ascii="Calibri" w:hAnsi="Calibri" w:cs="Calibri"/>
        </w:rPr>
        <w:footnoteRef/>
      </w:r>
      <w:r>
        <w:rPr>
          <w:rFonts w:ascii="Calibri" w:hAnsi="Calibri" w:cs="Calibri"/>
        </w:rPr>
        <w:t xml:space="preserve"> https://www.gub.uy/institucion-nacional-derechos-humanos-uruguay/comunicacion/publicaciones/informe-opinion-inddhh-sobre-proyectos-ley-participacion-politica </w:t>
      </w:r>
    </w:p>
  </w:footnote>
  <w:footnote w:id="8">
    <w:p w14:paraId="7BE8FF6B" w14:textId="77777777" w:rsidR="00D057DD" w:rsidRDefault="00D057DD" w:rsidP="00D057DD">
      <w:pPr>
        <w:pStyle w:val="Textonotapie"/>
        <w:rPr>
          <w:rFonts w:ascii="Calibri" w:hAnsi="Calibri" w:cs="Calibri"/>
          <w:lang w:val="es-MX"/>
        </w:rPr>
      </w:pPr>
      <w:r>
        <w:rPr>
          <w:rStyle w:val="Refdenotaalpie"/>
          <w:rFonts w:ascii="Calibri" w:hAnsi="Calibri" w:cs="Calibri"/>
        </w:rPr>
        <w:footnoteRef/>
      </w:r>
      <w:r>
        <w:rPr>
          <w:rFonts w:ascii="Calibri" w:hAnsi="Calibri" w:cs="Calibri"/>
        </w:rPr>
        <w:t xml:space="preserve"> </w:t>
      </w:r>
      <w:r>
        <w:rPr>
          <w:rFonts w:ascii="Calibri" w:hAnsi="Calibri" w:cs="Calibri"/>
          <w:lang w:val="es-MX"/>
        </w:rPr>
        <w:t xml:space="preserve">Ver informe INDDHH sobre la LUC </w:t>
      </w:r>
      <w:hyperlink r:id="rId1" w:history="1">
        <w:r>
          <w:rPr>
            <w:rStyle w:val="Hipervnculo"/>
            <w:rFonts w:ascii="Calibri" w:hAnsi="Calibri" w:cs="Calibri"/>
            <w:lang w:val="es-MX"/>
          </w:rPr>
          <w:t>https://www.gub.uy/institucion-nacional-derechos-humanos-uruguay/sites/institucion-nacional-derechos-humanos-uruguay/files/documentos/noticias/INDDHH%20ante%20la%20Comision%20Especial%20LUC%20050520%20%283%29.pdf</w:t>
        </w:r>
      </w:hyperlink>
      <w:r>
        <w:rPr>
          <w:rFonts w:ascii="Calibri" w:hAnsi="Calibri" w:cs="Calibri"/>
          <w:lang w:val="es-MX"/>
        </w:rPr>
        <w:t xml:space="preserve"> </w:t>
      </w:r>
    </w:p>
  </w:footnote>
  <w:footnote w:id="9">
    <w:p w14:paraId="349B9479" w14:textId="77777777" w:rsidR="00D057DD" w:rsidRDefault="00D057DD" w:rsidP="00D057DD">
      <w:pPr>
        <w:pStyle w:val="Textonotapie"/>
        <w:rPr>
          <w:lang w:val="es-MX"/>
        </w:rPr>
      </w:pPr>
      <w:r>
        <w:rPr>
          <w:rStyle w:val="Refdenotaalpie"/>
        </w:rPr>
        <w:footnoteRef/>
      </w:r>
      <w:r>
        <w:t xml:space="preserve"> </w:t>
      </w:r>
      <w:r>
        <w:rPr>
          <w:lang w:val="es-MX"/>
        </w:rPr>
        <w:t xml:space="preserve">El Poder Legislativo tiene a estudio tres proyectos que buscan solucionar esta situación, pueden consultarse </w:t>
      </w:r>
      <w:hyperlink r:id="rId2" w:history="1">
        <w:r>
          <w:rPr>
            <w:rStyle w:val="Hipervnculo"/>
            <w:lang w:val="es-MX"/>
          </w:rPr>
          <w:t>https://parlamento.gub.uy/documentosyleyes/ficha-asunto/151994/tramite</w:t>
        </w:r>
      </w:hyperlink>
      <w:r>
        <w:rPr>
          <w:lang w:val="es-MX"/>
        </w:rPr>
        <w:t xml:space="preserve">; </w:t>
      </w:r>
      <w:hyperlink r:id="rId3" w:history="1">
        <w:r>
          <w:rPr>
            <w:rStyle w:val="Hipervnculo"/>
            <w:lang w:val="es-MX"/>
          </w:rPr>
          <w:t>https://parlamento.gub.uy/documentosyleyes/ficha-asunto/157615/tramite</w:t>
        </w:r>
      </w:hyperlink>
      <w:r>
        <w:rPr>
          <w:lang w:val="es-MX"/>
        </w:rPr>
        <w:t xml:space="preserve"> y </w:t>
      </w:r>
      <w:hyperlink r:id="rId4" w:history="1">
        <w:r>
          <w:rPr>
            <w:rStyle w:val="Hipervnculo"/>
            <w:lang w:val="es-MX"/>
          </w:rPr>
          <w:t>https://parlamento.gub.uy/documentosyleyes/ficha-asunto/158447/tramite</w:t>
        </w:r>
      </w:hyperlink>
      <w:r>
        <w:rPr>
          <w:lang w:val="es-MX"/>
        </w:rPr>
        <w:t xml:space="preserve"> además, el Comisionado Parlamentario para el sistema carcelario presentó un informe con un proyecto de modificación </w:t>
      </w:r>
      <w:hyperlink r:id="rId5" w:history="1">
        <w:r>
          <w:rPr>
            <w:rStyle w:val="Hipervnculo"/>
            <w:lang w:val="es-MX"/>
          </w:rPr>
          <w:t>https://parlamento.gub.uy/sites/default/files/DocumentosCPP/Informe_especial_sancion_penal_microtrafico_atencion_vulnerabilidad_social.pdf</w:t>
        </w:r>
      </w:hyperlink>
      <w:r>
        <w:rPr>
          <w:lang w:val="es-MX"/>
        </w:rPr>
        <w:t xml:space="preserve"> </w:t>
      </w:r>
    </w:p>
  </w:footnote>
  <w:footnote w:id="10">
    <w:p w14:paraId="4F9BAF50" w14:textId="77777777" w:rsidR="00D057DD" w:rsidRDefault="00D057DD" w:rsidP="00D057DD">
      <w:pPr>
        <w:spacing w:after="0" w:line="240" w:lineRule="auto"/>
        <w:jc w:val="both"/>
        <w:rPr>
          <w:sz w:val="20"/>
          <w:szCs w:val="20"/>
        </w:rPr>
      </w:pPr>
      <w:r>
        <w:rPr>
          <w:rStyle w:val="Refdenotaalpie"/>
          <w:sz w:val="20"/>
          <w:szCs w:val="20"/>
        </w:rPr>
        <w:footnoteRef/>
      </w:r>
      <w:r>
        <w:rPr>
          <w:sz w:val="20"/>
          <w:szCs w:val="20"/>
        </w:rPr>
        <w:t xml:space="preserve">https://www.gub.uy/institucion-nacional-derechos-humanos-uruguay/comunicacion/comunicados/sobre-proyecto-ley-corresponsabilidad-crianza </w:t>
      </w:r>
    </w:p>
  </w:footnote>
  <w:footnote w:id="11">
    <w:p w14:paraId="22A1633C" w14:textId="77777777" w:rsidR="00D057DD" w:rsidRDefault="00D057DD" w:rsidP="00D057DD">
      <w:pPr>
        <w:pStyle w:val="Textonotapie"/>
        <w:rPr>
          <w:color w:val="FF0000"/>
        </w:rPr>
      </w:pPr>
      <w:r>
        <w:rPr>
          <w:rStyle w:val="Refdenotaalpie"/>
        </w:rPr>
        <w:footnoteRef/>
      </w:r>
      <w:r>
        <w:t xml:space="preserve"> Ver Anexo </w:t>
      </w:r>
      <w:r>
        <w:rPr>
          <w:lang w:val="es-MX"/>
        </w:rPr>
        <w:t>I</w:t>
      </w:r>
      <w:r>
        <w:t xml:space="preserve">. </w:t>
      </w:r>
      <w:r>
        <w:rPr>
          <w:lang w:val="es-MX"/>
        </w:rPr>
        <w:t xml:space="preserve">Resoluciones de la INDDHH sobre </w:t>
      </w:r>
      <w:r>
        <w:t xml:space="preserve">violencia mediática. </w:t>
      </w:r>
    </w:p>
  </w:footnote>
  <w:footnote w:id="12">
    <w:p w14:paraId="2468C01A" w14:textId="77777777" w:rsidR="00D057DD" w:rsidRDefault="00D057DD" w:rsidP="00D057DD">
      <w:pPr>
        <w:pStyle w:val="Textonotapie"/>
        <w:snapToGrid w:val="0"/>
        <w:rPr>
          <w:lang w:val="es-MX"/>
        </w:rPr>
      </w:pPr>
      <w:r>
        <w:rPr>
          <w:rStyle w:val="Refdenotaalpie"/>
        </w:rPr>
        <w:footnoteRef/>
      </w:r>
      <w:r>
        <w:t xml:space="preserve"> </w:t>
      </w:r>
      <w:r>
        <w:rPr>
          <w:lang w:val="es-MX"/>
        </w:rPr>
        <w:t>https://www.gub.uy/institucion-nacional-derechos-humanos-uruguay/sites/institucion-nacional-derechos-humanos-uruguay/files/documentos/noticias/Informe%20entregado%20a%20Comisio%CC%81n%20de%20Industria_%20Camara%20de%20Diputados_Servicios%20de%20Difusion%20de%20Contenido%20Audiovisual_0.pdf</w:t>
      </w:r>
    </w:p>
  </w:footnote>
  <w:footnote w:id="13">
    <w:p w14:paraId="619E6DF9" w14:textId="77777777" w:rsidR="00D057DD" w:rsidRDefault="00D057DD" w:rsidP="00D057DD">
      <w:pPr>
        <w:spacing w:after="0" w:line="240" w:lineRule="auto"/>
        <w:rPr>
          <w:color w:val="FF0000"/>
          <w:sz w:val="20"/>
          <w:szCs w:val="20"/>
          <w:lang w:val="es-MX"/>
        </w:rPr>
      </w:pPr>
      <w:r>
        <w:rPr>
          <w:rStyle w:val="Refdenotaalpie"/>
          <w:sz w:val="20"/>
          <w:szCs w:val="20"/>
        </w:rPr>
        <w:footnoteRef/>
      </w:r>
      <w:r>
        <w:rPr>
          <w:sz w:val="20"/>
          <w:szCs w:val="20"/>
        </w:rPr>
        <w:t xml:space="preserve">  </w:t>
      </w:r>
      <w:hyperlink r:id="rId6" w:history="1">
        <w:r>
          <w:rPr>
            <w:rStyle w:val="Hipervnculo"/>
            <w:sz w:val="20"/>
            <w:szCs w:val="20"/>
          </w:rPr>
          <w:t>https://www.gub.uy/institucion-nacional-derechos-humanos-uruguay/sites/institucion-nacional-derechos-humanos-uruguay/files/2023-06/Exp.%20447-2023%20Creaci%C3%B3n%20GT%20Licencia%20Maternal.pdf</w:t>
        </w:r>
      </w:hyperlink>
      <w:r>
        <w:rPr>
          <w:sz w:val="20"/>
          <w:szCs w:val="20"/>
          <w:lang w:val="es-MX"/>
        </w:rPr>
        <w:t xml:space="preserve"> ( Resolución de la INDDHH sobre creación del G</w:t>
      </w:r>
      <w:proofErr w:type="spellStart"/>
      <w:r>
        <w:t>rupo</w:t>
      </w:r>
      <w:proofErr w:type="spellEnd"/>
      <w:r>
        <w:t xml:space="preserve"> de trabajo</w:t>
      </w:r>
      <w:r>
        <w:rPr>
          <w:lang w:val="es-MX"/>
        </w:rPr>
        <w:t xml:space="preserve"> para la</w:t>
      </w:r>
      <w:r>
        <w:t xml:space="preserve"> revisión de la legislación laboral para compatibilizar la vida familiar y labora</w:t>
      </w:r>
      <w:r>
        <w:rPr>
          <w:lang w:val="es-MX"/>
        </w:rPr>
        <w:t>l)</w:t>
      </w:r>
    </w:p>
  </w:footnote>
  <w:footnote w:id="14">
    <w:p w14:paraId="15EDE312" w14:textId="77777777" w:rsidR="00D057DD" w:rsidRDefault="00D057DD" w:rsidP="00D057DD">
      <w:pPr>
        <w:pStyle w:val="Textonotapie"/>
        <w:snapToGrid w:val="0"/>
        <w:rPr>
          <w:lang w:val="es-MX"/>
        </w:rPr>
      </w:pPr>
      <w:r>
        <w:rPr>
          <w:rStyle w:val="Refdenotaalpie"/>
        </w:rPr>
        <w:footnoteRef/>
      </w:r>
      <w:r>
        <w:t xml:space="preserve"> </w:t>
      </w:r>
      <w:r>
        <w:rPr>
          <w:lang w:val="es-MX"/>
        </w:rPr>
        <w:t xml:space="preserve">En el Informe citado en la nota </w:t>
      </w:r>
      <w:proofErr w:type="spellStart"/>
      <w:r>
        <w:rPr>
          <w:lang w:val="es-MX"/>
        </w:rPr>
        <w:t>pié</w:t>
      </w:r>
      <w:proofErr w:type="spellEnd"/>
      <w:r>
        <w:rPr>
          <w:lang w:val="es-MX"/>
        </w:rPr>
        <w:t xml:space="preserve"> de </w:t>
      </w:r>
      <w:proofErr w:type="spellStart"/>
      <w:r>
        <w:rPr>
          <w:lang w:val="es-MX"/>
        </w:rPr>
        <w:t>pagina</w:t>
      </w:r>
      <w:proofErr w:type="spellEnd"/>
      <w:r>
        <w:rPr>
          <w:lang w:val="es-MX"/>
        </w:rPr>
        <w:t xml:space="preserve"> Nº 5 la SCJ informa que la UEG no cuenta con recursos humanos con dedicación exclusiva, estando conformado por una Comisión Asesora de Género integrada por un Ministro de tribunal, un Defensor Público y una Oficina </w:t>
      </w:r>
      <w:proofErr w:type="gramStart"/>
      <w:r>
        <w:rPr>
          <w:lang w:val="es-MX"/>
        </w:rPr>
        <w:t>Operativa  en</w:t>
      </w:r>
      <w:proofErr w:type="gramEnd"/>
      <w:r>
        <w:rPr>
          <w:lang w:val="es-MX"/>
        </w:rPr>
        <w:t xml:space="preserve"> Género integrada por un sociólogo e integrantes de la Sección Capacitaciones de la División Recursos Humanos. </w:t>
      </w:r>
    </w:p>
  </w:footnote>
  <w:footnote w:id="15">
    <w:p w14:paraId="622CD572" w14:textId="77777777" w:rsidR="00D057DD" w:rsidRDefault="00D057DD" w:rsidP="00D057DD">
      <w:pPr>
        <w:pStyle w:val="Textonotapie"/>
        <w:jc w:val="both"/>
      </w:pPr>
      <w:r>
        <w:rPr>
          <w:rStyle w:val="Refdenotaalpie"/>
        </w:rPr>
        <w:footnoteRef/>
      </w:r>
      <w:r>
        <w:t xml:space="preserve">  Rendición de </w:t>
      </w:r>
      <w:r>
        <w:rPr>
          <w:lang w:val="es-MX"/>
        </w:rPr>
        <w:t>C</w:t>
      </w:r>
      <w:proofErr w:type="spellStart"/>
      <w:r>
        <w:t>uentas</w:t>
      </w:r>
      <w:proofErr w:type="spellEnd"/>
      <w:r>
        <w:t xml:space="preserve"> 2022</w:t>
      </w:r>
      <w:r>
        <w:rPr>
          <w:lang w:val="es-MX"/>
        </w:rPr>
        <w:t xml:space="preserve"> Anexo II</w:t>
      </w:r>
      <w:proofErr w:type="gramStart"/>
      <w:r>
        <w:rPr>
          <w:lang w:val="es-MX"/>
        </w:rPr>
        <w:t xml:space="preserve">: </w:t>
      </w:r>
      <w:r>
        <w:rPr>
          <w:lang w:val="es-ES" w:eastAsia="es-ES"/>
        </w:rPr>
        <w:t xml:space="preserve"> “</w:t>
      </w:r>
      <w:proofErr w:type="gramEnd"/>
      <w:r>
        <w:rPr>
          <w:i/>
          <w:lang w:val="es-ES" w:eastAsia="es-ES"/>
        </w:rPr>
        <w:t xml:space="preserve">Del total de las víctimas y testigos que atendió la </w:t>
      </w:r>
      <w:proofErr w:type="spellStart"/>
      <w:r>
        <w:rPr>
          <w:i/>
          <w:lang w:val="es-ES" w:eastAsia="es-ES"/>
        </w:rPr>
        <w:t>UVyT</w:t>
      </w:r>
      <w:proofErr w:type="spellEnd"/>
      <w:r>
        <w:rPr>
          <w:i/>
          <w:lang w:val="es-ES" w:eastAsia="es-ES"/>
        </w:rPr>
        <w:t xml:space="preserve"> en 2022, el 73,5% corresponde a víctimas de VBG: las víctimas de delitos sexuales representan un 56% y las de delitos tipificados como violencia doméstica, el 17%. Si tomamos como universo las víctimas atendidas bajo la categoría de VBG, la distribución muestra que el 76,7% son de delitos sexuales y el restante 23,3 % de violencia doméstica</w:t>
      </w:r>
    </w:p>
  </w:footnote>
  <w:footnote w:id="16">
    <w:p w14:paraId="6D05612F" w14:textId="77777777" w:rsidR="00D057DD" w:rsidRDefault="00D057DD" w:rsidP="00D057DD">
      <w:pPr>
        <w:pStyle w:val="Textonotapie"/>
        <w:jc w:val="both"/>
      </w:pPr>
      <w:r>
        <w:rPr>
          <w:rStyle w:val="Refdenotaalpie"/>
        </w:rPr>
        <w:footnoteRef/>
      </w:r>
      <w:r>
        <w:t xml:space="preserve"> La sede competente dependerá del tipo de procedimiento judicial. En los procesos penales, intervienen los juzgados letrados en lo Penal de la Capital, mientras que en el resto del país las sedes tienen competencia en Penal, Adolescentes y Aduanas. Luego de la reforma del proceso penal, en algunos departamentos se pasó la competencia para entender en medidas de protección en materia de violencia de género y CNA a estas sedes. Totalizando en la actualidad 39 sedes. En los procesos de adopción de medidas de protección, en la capital del país entienden las 12 sedes Especializadas en VD, VBG y CNA. En el resto del país, hay 2 sedes especializadas en Canelones (Pando), 11 j</w:t>
      </w:r>
      <w:proofErr w:type="spellStart"/>
      <w:r>
        <w:rPr>
          <w:lang w:val="es-MX"/>
        </w:rPr>
        <w:t>uzga</w:t>
      </w:r>
      <w:proofErr w:type="spellEnd"/>
      <w:r>
        <w:t xml:space="preserve">dos letrados de familia, 16 sedes </w:t>
      </w:r>
      <w:proofErr w:type="spellStart"/>
      <w:r>
        <w:t>multimateria</w:t>
      </w:r>
      <w:proofErr w:type="spellEnd"/>
      <w:r>
        <w:t xml:space="preserve"> (todas las materias), 58 sedes con competencia CGP (civil, familia, laboral) y las mencionadas con competencia penal, adolescentes y aduanas. Además, las sedes letradas de familia, laboral, civil de la capital entienden en otros procesos vinculados a situaciones de violencia de género. Las modificaciones introducidas por la Ley N° 19.580 modifica la competencia de </w:t>
      </w:r>
      <w:proofErr w:type="gramStart"/>
      <w:r>
        <w:t>los  Juzgados</w:t>
      </w:r>
      <w:proofErr w:type="gramEnd"/>
      <w:r>
        <w:t xml:space="preserve"> Letrados Especializados en Violencia Basada en Género, Doméstica y Sexual para que intervengan en medidas de protección, procesos de familia y penales.  A nivel país, hay sólo dos sedes con estas competencias que se encuentran en el departamento de</w:t>
      </w:r>
      <w:r>
        <w:rPr>
          <w:lang w:val="es-MX"/>
        </w:rPr>
        <w:t xml:space="preserve"> Maldonado</w:t>
      </w:r>
      <w:r>
        <w:t>.</w:t>
      </w:r>
    </w:p>
  </w:footnote>
  <w:footnote w:id="17">
    <w:p w14:paraId="026E4210" w14:textId="77777777" w:rsidR="00D057DD" w:rsidRDefault="00D057DD" w:rsidP="00D057DD">
      <w:pPr>
        <w:pStyle w:val="Textonotapie"/>
        <w:snapToGrid w:val="0"/>
        <w:rPr>
          <w:lang w:val="es-MX"/>
        </w:rPr>
      </w:pPr>
      <w:r>
        <w:rPr>
          <w:rStyle w:val="Refdenotaalpie"/>
        </w:rPr>
        <w:footnoteRef/>
      </w:r>
      <w:r>
        <w:t xml:space="preserve"> </w:t>
      </w:r>
      <w:r>
        <w:rPr>
          <w:lang w:val="es-MX"/>
        </w:rPr>
        <w:t xml:space="preserve">En el Informe citado en la nota pie de página Nº 5 la SCJ informa que “el Poder Judicial en su Proyecto de Rendición de Cuentas 2022 solicitó 22 cargos para la creación de un </w:t>
      </w:r>
      <w:proofErr w:type="gramStart"/>
      <w:r>
        <w:rPr>
          <w:lang w:val="es-MX"/>
        </w:rPr>
        <w:t>Juzgado  Letrado</w:t>
      </w:r>
      <w:proofErr w:type="gramEnd"/>
      <w:r>
        <w:rPr>
          <w:lang w:val="es-MX"/>
        </w:rPr>
        <w:t xml:space="preserve"> de Género en el Departamento de Paysandú y 298 cargos para el resto del país. Sin embargo, el Poder Ejecutivo no se apropió de esta iniciativa, por lo que no fue tenido en cuenta al momento de proyectar su mensaje </w:t>
      </w:r>
      <w:proofErr w:type="spellStart"/>
      <w:r>
        <w:rPr>
          <w:lang w:val="es-MX"/>
        </w:rPr>
        <w:t>prsupuestal</w:t>
      </w:r>
      <w:proofErr w:type="spellEnd"/>
      <w:r>
        <w:rPr>
          <w:lang w:val="es-MX"/>
        </w:rPr>
        <w:t xml:space="preserve">. Actualmente se está en </w:t>
      </w:r>
      <w:proofErr w:type="spellStart"/>
      <w:r>
        <w:rPr>
          <w:lang w:val="es-MX"/>
        </w:rPr>
        <w:t>estapa</w:t>
      </w:r>
      <w:proofErr w:type="spellEnd"/>
      <w:r>
        <w:rPr>
          <w:lang w:val="es-MX"/>
        </w:rPr>
        <w:t xml:space="preserve"> de negociación ante el Parlamento.”</w:t>
      </w:r>
    </w:p>
  </w:footnote>
  <w:footnote w:id="18">
    <w:p w14:paraId="5AE90833" w14:textId="77777777" w:rsidR="00D057DD" w:rsidRDefault="00D057DD" w:rsidP="00D057DD">
      <w:pPr>
        <w:pStyle w:val="Textonotapie"/>
        <w:jc w:val="both"/>
      </w:pPr>
      <w:r>
        <w:rPr>
          <w:rStyle w:val="Refdenotaalpie"/>
        </w:rPr>
        <w:footnoteRef/>
      </w:r>
      <w:r>
        <w:t xml:space="preserve"> Al respecto, cabe señalar que los juzgados de paz, con competencia de urgencia para adoptar medidas de protección en materia de VBG y CNA, han disminuido significativamente en los últimos 20 años.  La INDDHH aborda el acceso a la justicia en pueblos rurales en el informe sobre Infancias y Adolescencias en pueblos rurales disponible en https://www.gub.uy/institucion-nacional-derechos-humanos-uruguay/comunicacion/publicaciones/infancias-adolescencias-pueblos-rurales.</w:t>
      </w:r>
    </w:p>
  </w:footnote>
  <w:footnote w:id="19">
    <w:p w14:paraId="38EC62B3" w14:textId="77777777" w:rsidR="00D057DD" w:rsidRDefault="00D057DD" w:rsidP="00D057DD">
      <w:pPr>
        <w:pStyle w:val="Textonotapie"/>
        <w:jc w:val="both"/>
      </w:pPr>
      <w:r>
        <w:rPr>
          <w:rStyle w:val="Refdenotaalpie"/>
        </w:rPr>
        <w:footnoteRef/>
      </w:r>
      <w:r>
        <w:t xml:space="preserve"> Sin perjuicio de esta revisión, la INDDHH se encuentra actualmente trabajando en el desarrollo de un registro estadístico unificado que permita conocer las distintas formas de discriminación (racial, género, discapacidad, orientación sexual, religiosa y otras) desglosada por sexo y departamento del país.</w:t>
      </w:r>
    </w:p>
  </w:footnote>
  <w:footnote w:id="20">
    <w:p w14:paraId="5F933329" w14:textId="77777777" w:rsidR="00D057DD" w:rsidRDefault="00D057DD" w:rsidP="00D057DD">
      <w:pPr>
        <w:pStyle w:val="Textonotapie"/>
        <w:jc w:val="both"/>
        <w:rPr>
          <w:color w:val="4F81BD" w:themeColor="accent1"/>
          <w:lang w:val="es-MX"/>
        </w:rPr>
      </w:pPr>
      <w:r>
        <w:rPr>
          <w:rStyle w:val="Refdenotaalpie"/>
        </w:rPr>
        <w:footnoteRef/>
      </w:r>
      <w:proofErr w:type="gramStart"/>
      <w:r>
        <w:t xml:space="preserve">https://www.gub.uy/institucion-nacional-derechos-humanos-uruguay/comunicacion/publicaciones/informe-anual-asamblea-general-2022-0 </w:t>
      </w:r>
      <w:r>
        <w:rPr>
          <w:lang w:val="es-MX"/>
        </w:rPr>
        <w:t xml:space="preserve"> (</w:t>
      </w:r>
      <w:proofErr w:type="gramEnd"/>
      <w:r>
        <w:rPr>
          <w:lang w:val="es-MX"/>
        </w:rPr>
        <w:t xml:space="preserve"> págs. </w:t>
      </w:r>
      <w:r>
        <w:t>26 a 34</w:t>
      </w:r>
      <w:r>
        <w:rPr>
          <w:lang w:val="es-MX"/>
        </w:rPr>
        <w:t>)</w:t>
      </w:r>
    </w:p>
  </w:footnote>
  <w:footnote w:id="21">
    <w:p w14:paraId="2D1E8656" w14:textId="77777777" w:rsidR="00D057DD" w:rsidRDefault="00D057DD" w:rsidP="00D057DD">
      <w:pPr>
        <w:pStyle w:val="Textonotapie"/>
        <w:snapToGrid w:val="0"/>
        <w:jc w:val="both"/>
      </w:pPr>
      <w:r>
        <w:rPr>
          <w:rStyle w:val="Refdenotaalpie"/>
        </w:rPr>
        <w:footnoteRef/>
      </w:r>
      <w:r>
        <w:t xml:space="preserve"> https://www.impo.com.uy/bases/leyes/19822-2019</w:t>
      </w:r>
    </w:p>
  </w:footnote>
  <w:footnote w:id="22">
    <w:p w14:paraId="07144DF0" w14:textId="77777777" w:rsidR="00D057DD" w:rsidRDefault="00D057DD" w:rsidP="00D057DD">
      <w:pPr>
        <w:spacing w:after="0" w:line="240" w:lineRule="auto"/>
        <w:jc w:val="both"/>
        <w:rPr>
          <w:rFonts w:ascii="Times New Roman" w:hAnsi="Times New Roman" w:cs="Times New Roman"/>
          <w:sz w:val="20"/>
          <w:szCs w:val="20"/>
          <w:lang w:eastAsia="zh-CN"/>
        </w:rPr>
      </w:pPr>
      <w:r>
        <w:rPr>
          <w:rStyle w:val="Refdenotaalpie"/>
        </w:rPr>
        <w:footnoteRef/>
      </w:r>
      <w:r>
        <w:t xml:space="preserve"> </w:t>
      </w:r>
      <w:r>
        <w:rPr>
          <w:rFonts w:ascii="Calibri" w:hAnsi="Calibri" w:cs="Calibri"/>
          <w:sz w:val="20"/>
          <w:szCs w:val="20"/>
          <w:lang w:val="es-MX" w:eastAsia="zh-CN"/>
        </w:rPr>
        <w:t xml:space="preserve">Esta búsqueda </w:t>
      </w:r>
      <w:r>
        <w:rPr>
          <w:rFonts w:ascii="Calibri" w:hAnsi="Calibri" w:cs="Calibri"/>
          <w:sz w:val="20"/>
          <w:szCs w:val="20"/>
          <w:lang w:eastAsia="zh-CN"/>
        </w:rPr>
        <w:t xml:space="preserve">incluye tanto la ubicación de los restos como la investigación de las circunstancias en que se produjeron las desapariciones. En el marco del trabajo de excavaciones que se realizan, el pasado 6 de junio, el equipo de antropólogas/os hallaron restos humanos. El 22 de junio el equipo pudo confirmar que se trata del cuerpo de una mujer, siendo esta la primera vez que se encuentran restos de una mujer. Si bien, el proceso para conocer su identidad hasta ahora no arrojó resultados </w:t>
      </w:r>
      <w:proofErr w:type="gramStart"/>
      <w:r>
        <w:rPr>
          <w:rFonts w:ascii="Calibri" w:hAnsi="Calibri" w:cs="Calibri"/>
          <w:sz w:val="20"/>
          <w:szCs w:val="20"/>
          <w:lang w:eastAsia="zh-CN"/>
        </w:rPr>
        <w:t xml:space="preserve">concluyentes, </w:t>
      </w:r>
      <w:r>
        <w:rPr>
          <w:rFonts w:ascii="Calibri" w:hAnsi="Calibri" w:cs="Calibri"/>
          <w:color w:val="C00000"/>
          <w:sz w:val="20"/>
          <w:szCs w:val="20"/>
          <w:lang w:eastAsia="zh-CN"/>
        </w:rPr>
        <w:t xml:space="preserve"> </w:t>
      </w:r>
      <w:r>
        <w:rPr>
          <w:rFonts w:ascii="Calibri" w:hAnsi="Calibri" w:cs="Calibri"/>
          <w:sz w:val="20"/>
          <w:szCs w:val="20"/>
          <w:lang w:eastAsia="zh-CN"/>
        </w:rPr>
        <w:t>las</w:t>
      </w:r>
      <w:proofErr w:type="gramEnd"/>
      <w:r>
        <w:rPr>
          <w:rFonts w:ascii="Calibri" w:hAnsi="Calibri" w:cs="Calibri"/>
          <w:sz w:val="20"/>
          <w:szCs w:val="20"/>
          <w:lang w:eastAsia="zh-CN"/>
        </w:rPr>
        <w:t xml:space="preserve"> investigaciones </w:t>
      </w:r>
      <w:r>
        <w:rPr>
          <w:rFonts w:ascii="Calibri" w:hAnsi="Calibri" w:cs="Calibri"/>
          <w:sz w:val="20"/>
          <w:szCs w:val="20"/>
          <w:lang w:val="es-MX" w:eastAsia="zh-CN"/>
        </w:rPr>
        <w:t xml:space="preserve"> </w:t>
      </w:r>
      <w:r>
        <w:rPr>
          <w:rFonts w:ascii="Calibri" w:hAnsi="Calibri" w:cs="Calibri"/>
          <w:sz w:val="20"/>
          <w:szCs w:val="20"/>
          <w:lang w:eastAsia="zh-CN"/>
        </w:rPr>
        <w:t xml:space="preserve">confirmaron que se trataba de una mujer que sufrió una muerte violenta por acción de terceros, en el contexto de privación de libertad y malos tratos o torturas.   </w:t>
      </w:r>
      <w:r>
        <w:rPr>
          <w:rFonts w:ascii="Times New Roman" w:hAnsi="Times New Roman" w:cs="Times New Roman"/>
          <w:sz w:val="20"/>
          <w:szCs w:val="20"/>
          <w:lang w:eastAsia="zh-CN"/>
        </w:rPr>
        <w:t xml:space="preserve"> </w:t>
      </w:r>
    </w:p>
    <w:p w14:paraId="30FEA89C" w14:textId="77777777" w:rsidR="00D057DD" w:rsidRDefault="00D057DD" w:rsidP="00D057DD">
      <w:pPr>
        <w:spacing w:after="0" w:line="240" w:lineRule="auto"/>
        <w:jc w:val="both"/>
        <w:rPr>
          <w:rFonts w:ascii="Calibri" w:hAnsi="Calibri" w:cs="Calibri"/>
          <w:sz w:val="20"/>
          <w:szCs w:val="20"/>
        </w:rPr>
      </w:pPr>
      <w:r>
        <w:rPr>
          <w:rFonts w:ascii="Calibri" w:hAnsi="Calibri" w:cs="Calibri"/>
          <w:sz w:val="20"/>
          <w:szCs w:val="20"/>
          <w:lang w:eastAsia="zh-CN"/>
        </w:rPr>
        <w:t>Las investigaciones continúan y contemplan el análisis de género. A modo ilustrativo, este es un cuerpo que no sigue los patrones anteriores en relación a la prenda de ropas encontradas. Hay una desnudez quizás asociada a su género que está siendo valorada para determinar lo que puede haber sido su detención y el trato</w:t>
      </w:r>
      <w:r>
        <w:rPr>
          <w:rFonts w:ascii="Calibri" w:hAnsi="Calibri" w:cs="Calibri"/>
          <w:color w:val="C00000"/>
          <w:sz w:val="20"/>
          <w:szCs w:val="20"/>
          <w:lang w:eastAsia="zh-CN"/>
        </w:rPr>
        <w:t xml:space="preserve"> </w:t>
      </w:r>
      <w:r>
        <w:rPr>
          <w:rFonts w:ascii="Calibri" w:hAnsi="Calibri" w:cs="Calibri"/>
          <w:sz w:val="20"/>
          <w:szCs w:val="20"/>
          <w:lang w:val="es-MX" w:eastAsia="zh-CN"/>
        </w:rPr>
        <w:t>recibido</w:t>
      </w:r>
      <w:r>
        <w:rPr>
          <w:rFonts w:ascii="Calibri" w:hAnsi="Calibri" w:cs="Calibri"/>
          <w:sz w:val="20"/>
          <w:szCs w:val="20"/>
          <w:lang w:eastAsia="zh-CN"/>
        </w:rPr>
        <w:t>.</w:t>
      </w:r>
    </w:p>
  </w:footnote>
  <w:footnote w:id="23">
    <w:p w14:paraId="349739E5" w14:textId="77777777" w:rsidR="00D057DD" w:rsidRDefault="00D057DD" w:rsidP="00D057DD">
      <w:pPr>
        <w:pStyle w:val="Textonotapie"/>
        <w:jc w:val="both"/>
      </w:pPr>
      <w:r>
        <w:rPr>
          <w:rStyle w:val="Refdenotaalpie"/>
        </w:rPr>
        <w:footnoteRef/>
      </w:r>
      <w:r>
        <w:t xml:space="preserve"> </w:t>
      </w:r>
      <w:r>
        <w:rPr>
          <w:lang w:val="es-MX"/>
        </w:rPr>
        <w:t xml:space="preserve">ANEXO II: </w:t>
      </w:r>
      <w:r>
        <w:t xml:space="preserve"> Mapeo de Unidades Especializadas de Género. </w:t>
      </w:r>
    </w:p>
  </w:footnote>
  <w:footnote w:id="24">
    <w:p w14:paraId="2894DC23" w14:textId="77777777" w:rsidR="00D057DD" w:rsidRDefault="00D057DD" w:rsidP="00D057DD">
      <w:pPr>
        <w:pStyle w:val="Textonotapie"/>
        <w:jc w:val="both"/>
        <w:rPr>
          <w:lang w:val="zh-CN"/>
        </w:rPr>
      </w:pPr>
      <w:r>
        <w:rPr>
          <w:rStyle w:val="Refdenotaalpie"/>
        </w:rPr>
        <w:footnoteRef/>
      </w:r>
      <w:r>
        <w:t xml:space="preserve"> </w:t>
      </w:r>
      <w:r>
        <w:rPr>
          <w:lang w:val="zh-CN"/>
        </w:rPr>
        <w:t xml:space="preserve">Ver Rendición de </w:t>
      </w:r>
      <w:r>
        <w:rPr>
          <w:lang w:val="es-MX"/>
        </w:rPr>
        <w:t>C</w:t>
      </w:r>
      <w:r>
        <w:rPr>
          <w:lang w:val="zh-CN"/>
        </w:rPr>
        <w:t xml:space="preserve">uentas y </w:t>
      </w:r>
      <w:r>
        <w:rPr>
          <w:lang w:val="es-MX"/>
        </w:rPr>
        <w:t>B</w:t>
      </w:r>
      <w:r>
        <w:rPr>
          <w:lang w:val="zh-CN"/>
        </w:rPr>
        <w:t xml:space="preserve">alance </w:t>
      </w:r>
      <w:r>
        <w:rPr>
          <w:lang w:val="es-MX"/>
        </w:rPr>
        <w:t>P</w:t>
      </w:r>
      <w:r>
        <w:rPr>
          <w:lang w:val="zh-CN"/>
        </w:rPr>
        <w:t xml:space="preserve">resupuestal, 2022. Anexo II. Políticas de igualdad de Género. </w:t>
      </w:r>
    </w:p>
  </w:footnote>
  <w:footnote w:id="25">
    <w:p w14:paraId="71CDEB4D" w14:textId="77777777" w:rsidR="00D057DD" w:rsidRDefault="00D057DD" w:rsidP="00D057DD">
      <w:pPr>
        <w:pStyle w:val="Textonotapie"/>
        <w:jc w:val="both"/>
      </w:pPr>
      <w:r>
        <w:rPr>
          <w:rStyle w:val="Refdenotaalpie"/>
        </w:rPr>
        <w:footnoteRef/>
      </w:r>
      <w:r>
        <w:t xml:space="preserve"> Hasta el 2020, INMUJERES contaba con el Departamento de mujeres afrodescendientes que fue disuelto y sus recursos trasladados </w:t>
      </w:r>
      <w:proofErr w:type="gramStart"/>
      <w:r>
        <w:t>a  la</w:t>
      </w:r>
      <w:proofErr w:type="gramEnd"/>
      <w:r>
        <w:t xml:space="preserve"> División de Promoción de Políticas Públicas para Afrodescendientes del MIDES.</w:t>
      </w:r>
    </w:p>
  </w:footnote>
  <w:footnote w:id="26">
    <w:p w14:paraId="03C8D8D8" w14:textId="77777777" w:rsidR="00D057DD" w:rsidRDefault="00D057DD" w:rsidP="00D057DD">
      <w:pPr>
        <w:pStyle w:val="Textonotapie"/>
        <w:jc w:val="both"/>
      </w:pPr>
      <w:r>
        <w:rPr>
          <w:rStyle w:val="Refdenotaalpie"/>
        </w:rPr>
        <w:footnoteRef/>
      </w:r>
      <w:r>
        <w:t xml:space="preserve"> En Uruguay, el </w:t>
      </w:r>
      <w:r>
        <w:rPr>
          <w:lang w:val="es-MX"/>
        </w:rPr>
        <w:t>O</w:t>
      </w:r>
      <w:proofErr w:type="spellStart"/>
      <w:r>
        <w:t>bservatorio</w:t>
      </w:r>
      <w:proofErr w:type="spellEnd"/>
      <w:r>
        <w:t xml:space="preserve"> de </w:t>
      </w:r>
      <w:r>
        <w:rPr>
          <w:lang w:val="es-MX"/>
        </w:rPr>
        <w:t>V</w:t>
      </w:r>
      <w:proofErr w:type="spellStart"/>
      <w:r>
        <w:t>iolencia</w:t>
      </w:r>
      <w:proofErr w:type="spellEnd"/>
      <w:r>
        <w:t xml:space="preserve"> de </w:t>
      </w:r>
      <w:r>
        <w:rPr>
          <w:lang w:val="es-MX"/>
        </w:rPr>
        <w:t>G</w:t>
      </w:r>
      <w:proofErr w:type="spellStart"/>
      <w:r>
        <w:t>énero</w:t>
      </w:r>
      <w:proofErr w:type="spellEnd"/>
      <w:r>
        <w:t xml:space="preserve"> lleva un registro de la cantidad de </w:t>
      </w:r>
      <w:proofErr w:type="spellStart"/>
      <w:r>
        <w:t>femicidios</w:t>
      </w:r>
      <w:proofErr w:type="spellEnd"/>
      <w:r>
        <w:t xml:space="preserve"> a partir de la información generada por el Ministerio del interior. Además, desde la sociedad civil como forma de activismo contabiliza las muertes de mujeres a partir de la información de prensa al menos desde el año 2001. </w:t>
      </w:r>
    </w:p>
  </w:footnote>
  <w:footnote w:id="27">
    <w:p w14:paraId="4B339149" w14:textId="77777777" w:rsidR="00D057DD" w:rsidRDefault="00D057DD" w:rsidP="00D057DD">
      <w:pPr>
        <w:pStyle w:val="Textonotapie"/>
        <w:snapToGrid w:val="0"/>
        <w:jc w:val="both"/>
        <w:rPr>
          <w:lang w:val="es-MX"/>
        </w:rPr>
      </w:pPr>
      <w:r>
        <w:rPr>
          <w:rStyle w:val="Refdenotaalpie"/>
        </w:rPr>
        <w:footnoteRef/>
      </w:r>
      <w:r>
        <w:t xml:space="preserve"> </w:t>
      </w:r>
      <w:r>
        <w:rPr>
          <w:lang w:val="es-MX"/>
        </w:rPr>
        <w:t xml:space="preserve">Informe de Gestión 2022 del Consejo Nacional Consultivo por una vida libre de violencia de género hacia las mujeres. </w:t>
      </w:r>
    </w:p>
  </w:footnote>
  <w:footnote w:id="28">
    <w:p w14:paraId="14598DEA" w14:textId="77777777" w:rsidR="00D057DD" w:rsidRDefault="00D057DD" w:rsidP="00D057DD">
      <w:pPr>
        <w:pStyle w:val="Textonotapie"/>
        <w:snapToGrid w:val="0"/>
        <w:jc w:val="both"/>
        <w:rPr>
          <w:lang w:val="es-MX"/>
        </w:rPr>
      </w:pPr>
      <w:r>
        <w:rPr>
          <w:rStyle w:val="Refdenotaalpie"/>
        </w:rPr>
        <w:footnoteRef/>
      </w:r>
      <w:r>
        <w:t xml:space="preserve"> </w:t>
      </w:r>
      <w:r>
        <w:rPr>
          <w:lang w:val="es-MX"/>
        </w:rPr>
        <w:t>Segunda Encuesta Nacional de Prevalencia sobre Violencia basada en Género y Generaciones, disponible en https://www.gub.uy/ministerio-desarrollo-social/sites/ministerio-desarrollo-social/files/documentos/publicaciones/Segunda%20encuesta%C2%A0naciona.pdf</w:t>
      </w:r>
    </w:p>
  </w:footnote>
  <w:footnote w:id="29">
    <w:p w14:paraId="4AA60F2B" w14:textId="77777777" w:rsidR="00D057DD" w:rsidRDefault="00D057DD" w:rsidP="00D057DD">
      <w:pPr>
        <w:pStyle w:val="Textonotapie"/>
        <w:jc w:val="both"/>
      </w:pPr>
      <w:r>
        <w:rPr>
          <w:rStyle w:val="Refdenotaalpie"/>
        </w:rPr>
        <w:footnoteRef/>
      </w:r>
      <w:r>
        <w:t xml:space="preserve"> A modo ilustrativo, en la última declaración de la INDDHH en el marco del 25 de noviembre, se señalaba “incrementar los recursos presupuestales para que se amplíe y fortalezca el sistema de respuesta a mujeres en situación de violencia basada en género en todo el territorio”.  </w:t>
      </w:r>
    </w:p>
  </w:footnote>
  <w:footnote w:id="30">
    <w:p w14:paraId="5FA0B132" w14:textId="77777777" w:rsidR="00D057DD" w:rsidRDefault="00D057DD" w:rsidP="00D057DD">
      <w:pPr>
        <w:pStyle w:val="Textonotapie"/>
        <w:jc w:val="both"/>
      </w:pPr>
      <w:r>
        <w:rPr>
          <w:rStyle w:val="Refdenotaalpie"/>
        </w:rPr>
        <w:footnoteRef/>
      </w:r>
      <w:r>
        <w:rPr>
          <w:sz w:val="18"/>
          <w:szCs w:val="18"/>
        </w:rPr>
        <w:t xml:space="preserve"> </w:t>
      </w:r>
      <w:r>
        <w:t xml:space="preserve">En el Anexo II Políticas de Género elaborado por OPP, se informa que a partir del ejercicio 2020 se realizó un nuevo esfuerzo por discriminar la temática Género de otras, particularmente de la de Violencia, no figurando en este Informe Acciones consideradas en el período anterior (2019) que continúan vigentes en el INAU </w:t>
      </w:r>
      <w:proofErr w:type="gramStart"/>
      <w:r>
        <w:t>y</w:t>
      </w:r>
      <w:proofErr w:type="gramEnd"/>
      <w:r>
        <w:t xml:space="preserve"> por ende, contando con un corolario presupuestal en el Inciso. Por lo cual, el desfasaje entre el 2019 (cuyo presupuesto etiquetado ascendía a$ 37.234.163) y el 2020 puede explicarse por el cambio de criterio al no incluirse el presupuesto asignado a los servicios de atención de la violencia. A pesar de ello, mientras que en el 2020 se identificó un presupuesto global de $ 2.199.509, para el 2022 se etiquetó $267.500. Ello debe ser analizado considerando que, si bien aprobó la creación de la UEG en el 2021, para el 2023 plantea “El equipo técnico que trabaja para la definitiva implementación de la Unidad de Género, establece cómo principales desafíos: a) la integración de la comisión con tres miembros; y b) puesta en funcionamiento de la misma. Esto implica la integración de funcionarios/as, el establecimiento de un lugar físico donde desarrollar sus actividades y la provisión de los recursos necesarios para su funcionamiento” (Anexo II Políticas de Género, página 142 disponible en https://www.gub.uy/ministerio-economia-finanzas/sites/ministerio-economia-finanzas/files/documentos/publicaciones/tomo-ii-politicas-igualdad-genero_2.pdf).</w:t>
      </w:r>
    </w:p>
  </w:footnote>
  <w:footnote w:id="31">
    <w:p w14:paraId="32BABD6E" w14:textId="77777777" w:rsidR="00D057DD" w:rsidRDefault="00D057DD" w:rsidP="00D057DD">
      <w:pPr>
        <w:pStyle w:val="Textonotapie"/>
        <w:jc w:val="both"/>
        <w:rPr>
          <w:lang w:val="zh-CN"/>
        </w:rPr>
      </w:pPr>
      <w:r>
        <w:rPr>
          <w:rStyle w:val="Refdenotaalpie"/>
        </w:rPr>
        <w:footnoteRef/>
      </w:r>
      <w:r>
        <w:t xml:space="preserve"> Ver https://www.youtube.com/watch?v=JGPpeq8j80U</w:t>
      </w:r>
    </w:p>
  </w:footnote>
  <w:footnote w:id="32">
    <w:p w14:paraId="4101FEE0" w14:textId="77777777" w:rsidR="00D057DD" w:rsidRDefault="00D057DD" w:rsidP="00D057DD">
      <w:pPr>
        <w:pStyle w:val="Textonotapie"/>
        <w:snapToGrid w:val="0"/>
        <w:rPr>
          <w:color w:val="FF0000"/>
          <w:lang w:val="es-MX"/>
        </w:rPr>
      </w:pPr>
      <w:r>
        <w:rPr>
          <w:rStyle w:val="Refdenotaalpie"/>
        </w:rPr>
        <w:footnoteRef/>
      </w:r>
      <w:r>
        <w:rPr>
          <w:sz w:val="18"/>
          <w:szCs w:val="18"/>
        </w:rPr>
        <w:t xml:space="preserve"> </w:t>
      </w:r>
      <w:r>
        <w:rPr>
          <w:lang w:val="es-MX"/>
        </w:rPr>
        <w:t xml:space="preserve">Ver </w:t>
      </w:r>
      <w:proofErr w:type="gramStart"/>
      <w:r>
        <w:rPr>
          <w:lang w:val="es-MX"/>
        </w:rPr>
        <w:t>ANEXO  IV.</w:t>
      </w:r>
      <w:proofErr w:type="gramEnd"/>
      <w:r>
        <w:rPr>
          <w:lang w:val="es-MX"/>
        </w:rPr>
        <w:t xml:space="preserve"> Trata y Explotación sexual.</w:t>
      </w:r>
    </w:p>
  </w:footnote>
  <w:footnote w:id="33">
    <w:p w14:paraId="049BB005" w14:textId="77777777" w:rsidR="00D057DD" w:rsidRDefault="00D057DD" w:rsidP="00D057DD">
      <w:pPr>
        <w:pStyle w:val="Textonotapie"/>
        <w:rPr>
          <w:lang w:val="es-MX"/>
        </w:rPr>
      </w:pPr>
      <w:r>
        <w:rPr>
          <w:rStyle w:val="Refdenotaalpie"/>
        </w:rPr>
        <w:footnoteRef/>
      </w:r>
      <w:r>
        <w:t xml:space="preserve"> </w:t>
      </w:r>
      <w:r>
        <w:rPr>
          <w:color w:val="FF0000"/>
        </w:rPr>
        <w:t xml:space="preserve"> </w:t>
      </w:r>
      <w:proofErr w:type="gramStart"/>
      <w:r>
        <w:t>Ver</w:t>
      </w:r>
      <w:r>
        <w:rPr>
          <w:lang w:val="es-MX"/>
        </w:rPr>
        <w:t xml:space="preserve"> </w:t>
      </w:r>
      <w:r>
        <w:t xml:space="preserve"> </w:t>
      </w:r>
      <w:r>
        <w:rPr>
          <w:lang w:val="es-MX"/>
        </w:rPr>
        <w:t>link</w:t>
      </w:r>
      <w:proofErr w:type="gramEnd"/>
      <w:r>
        <w:rPr>
          <w:lang w:val="es-MX"/>
        </w:rPr>
        <w:t xml:space="preserve"> Nota 5 </w:t>
      </w:r>
    </w:p>
  </w:footnote>
  <w:footnote w:id="34">
    <w:p w14:paraId="63BC5EB8" w14:textId="77777777" w:rsidR="00D057DD" w:rsidRDefault="00D057DD" w:rsidP="00D057DD">
      <w:pPr>
        <w:spacing w:after="0"/>
        <w:jc w:val="both"/>
        <w:rPr>
          <w:sz w:val="20"/>
          <w:szCs w:val="20"/>
        </w:rPr>
      </w:pPr>
      <w:r>
        <w:rPr>
          <w:rStyle w:val="Refdenotaalpie"/>
          <w:sz w:val="20"/>
          <w:szCs w:val="20"/>
        </w:rPr>
        <w:footnoteRef/>
      </w:r>
      <w:r>
        <w:rPr>
          <w:sz w:val="20"/>
          <w:szCs w:val="20"/>
        </w:rPr>
        <w:t xml:space="preserve"> La INDDHH ha desarrollado una plataforma de indicadores de derechos humanos, http://www.miradordesca.uy, que conforma un sistema de indicadores estructurales, de proceso y resultados –siguiendo la conceptualización de organismos especializados– que incluye el monitoreo de 7 derechos en Uruguay: salud, vivienda, seguridad social, educación, trabajo, ambiente y alimentación (en preparación). Además, integra información sobre 7 poblaciones vulnerables: personas afrodescendientes; personas con discapacidad; mujeres; niñas, niños y adolescentes; personas privadas de libertad; personas migrantes; personas LGTBI. Esta plataforma de indicadores es fruto de una alianza entre la INDDHH y la Unidad de Métodos y Acceso a Datos de la Facultad de Ciencias Sociales de la Universidad de la República (UDELAR), con el apoyo de la Oficina del Alto Comisionado para los Derechos Humanos para Uruguay.</w:t>
      </w:r>
    </w:p>
    <w:p w14:paraId="4C8AADCE" w14:textId="77777777" w:rsidR="00D057DD" w:rsidRDefault="00D057DD" w:rsidP="00D057DD">
      <w:pPr>
        <w:pStyle w:val="Textonotapie"/>
        <w:jc w:val="both"/>
      </w:pPr>
    </w:p>
  </w:footnote>
  <w:footnote w:id="35">
    <w:p w14:paraId="7F3AA66D" w14:textId="77777777" w:rsidR="00D057DD" w:rsidRDefault="00D057DD" w:rsidP="00D057DD">
      <w:pPr>
        <w:pStyle w:val="Textonotapie"/>
        <w:rPr>
          <w:lang w:val="es-MX"/>
        </w:rPr>
      </w:pPr>
      <w:r>
        <w:rPr>
          <w:rStyle w:val="Refdenotaalpie"/>
        </w:rPr>
        <w:footnoteRef/>
      </w:r>
      <w:r>
        <w:t xml:space="preserve"> </w:t>
      </w:r>
      <w:r>
        <w:rPr>
          <w:lang w:val="es-MX"/>
        </w:rPr>
        <w:t xml:space="preserve">Ver Anexo II.  </w:t>
      </w:r>
    </w:p>
  </w:footnote>
  <w:footnote w:id="36">
    <w:p w14:paraId="080FA7B3" w14:textId="77777777" w:rsidR="00D057DD" w:rsidRDefault="00D057DD" w:rsidP="00D057DD">
      <w:pPr>
        <w:pStyle w:val="Textonotapie"/>
        <w:rPr>
          <w:rFonts w:ascii="Times New Roman" w:hAnsi="Times New Roman" w:cs="Times New Roman"/>
          <w:lang w:val="es-ES"/>
        </w:rPr>
      </w:pPr>
      <w:r>
        <w:rPr>
          <w:rStyle w:val="Refdenotaalpie"/>
        </w:rPr>
        <w:footnoteRef/>
      </w:r>
      <w:r>
        <w:t xml:space="preserve"> </w:t>
      </w:r>
      <w:r>
        <w:rPr>
          <w:lang w:val="es-ES"/>
        </w:rPr>
        <w:t>L</w:t>
      </w:r>
      <w:r>
        <w:rPr>
          <w:rFonts w:ascii="Times New Roman" w:hAnsi="Times New Roman" w:cs="Times New Roman"/>
          <w:lang w:val="es-ES"/>
        </w:rPr>
        <w:t>a Ley 19.353 crea en 2015 el Sistema Nacional de Cuidados.</w:t>
      </w:r>
    </w:p>
  </w:footnote>
  <w:footnote w:id="37">
    <w:p w14:paraId="5BA13A7E" w14:textId="77777777" w:rsidR="00D057DD" w:rsidRDefault="00D057DD" w:rsidP="00D057DD">
      <w:pPr>
        <w:pStyle w:val="Textonotapie"/>
        <w:snapToGrid w:val="0"/>
        <w:jc w:val="both"/>
        <w:rPr>
          <w:rFonts w:ascii="Times New Roman" w:hAnsi="Times New Roman" w:cs="Times New Roman"/>
        </w:rPr>
      </w:pPr>
      <w:r>
        <w:rPr>
          <w:rStyle w:val="Refdenotaalpie"/>
          <w:rFonts w:ascii="Times New Roman" w:hAnsi="Times New Roman" w:cs="Times New Roman"/>
        </w:rPr>
        <w:footnoteRef/>
      </w:r>
      <w:r>
        <w:rPr>
          <w:rFonts w:ascii="Times New Roman" w:hAnsi="Times New Roman" w:cs="Times New Roman"/>
        </w:rPr>
        <w:t xml:space="preserve"> En el 2022 Uruguay registró 405 personas privadas de libertad cada 100.000 habitantes mientras que el año 2019 había cerrado en 329,93, de acuerdo a datos del MNP.</w:t>
      </w:r>
    </w:p>
  </w:footnote>
  <w:footnote w:id="38">
    <w:p w14:paraId="534DE404" w14:textId="77777777" w:rsidR="00D057DD" w:rsidRDefault="00D057DD" w:rsidP="00D057DD">
      <w:pPr>
        <w:pStyle w:val="Textonotapie"/>
        <w:jc w:val="both"/>
        <w:rPr>
          <w:rFonts w:ascii="Times New Roman" w:hAnsi="Times New Roman" w:cs="Times New Roman"/>
          <w:lang w:val="zh-CN"/>
        </w:rPr>
      </w:pPr>
      <w:r>
        <w:rPr>
          <w:rStyle w:val="Refdenotaalpi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lang w:val="zh-CN"/>
        </w:rPr>
        <w:t>Informe de avance 2022 del Comisionado Parlamentario para Cárceles, disponible en https://parlamento.gub.uy/sites/default/files/DocumentosCPP/Avance_informe_2022.pdf</w:t>
      </w:r>
    </w:p>
  </w:footnote>
  <w:footnote w:id="39">
    <w:p w14:paraId="6E314B09" w14:textId="77777777" w:rsidR="00D057DD" w:rsidRDefault="00D057DD" w:rsidP="00D057DD">
      <w:pPr>
        <w:pStyle w:val="Textonotapie"/>
        <w:jc w:val="both"/>
        <w:rPr>
          <w:rFonts w:ascii="Times New Roman" w:eastAsia="DengXian" w:hAnsi="Times New Roman" w:cs="Times New Roman"/>
          <w:lang w:val="es-MX" w:eastAsia="zh-CN"/>
        </w:rPr>
      </w:pPr>
      <w:r>
        <w:rPr>
          <w:rStyle w:val="Refdenotaalpie"/>
          <w:rFonts w:ascii="Times New Roman" w:hAnsi="Times New Roman" w:cs="Times New Roman"/>
        </w:rPr>
        <w:footnoteRef/>
      </w:r>
      <w:r>
        <w:rPr>
          <w:rFonts w:ascii="Times New Roman" w:hAnsi="Times New Roman" w:cs="Times New Roman"/>
        </w:rPr>
        <w:t xml:space="preserve"> Ver Informe Anual 2022 del MNP, disponible en</w:t>
      </w:r>
      <w:r>
        <w:rPr>
          <w:rFonts w:ascii="Times New Roman" w:hAnsi="Times New Roman" w:cs="Times New Roman"/>
          <w:lang w:val="zh-CN"/>
        </w:rPr>
        <w:t xml:space="preserve"> </w:t>
      </w:r>
      <w:hyperlink r:id="rId7" w:history="1">
        <w:r>
          <w:rPr>
            <w:rStyle w:val="Hipervnculo"/>
            <w:rFonts w:ascii="Times New Roman" w:hAnsi="Times New Roman" w:cs="Times New Roman"/>
            <w:lang w:val="zh-CN"/>
          </w:rPr>
          <w:t>www.inddhh.gub.uy</w:t>
        </w:r>
      </w:hyperlink>
      <w:r>
        <w:rPr>
          <w:rFonts w:ascii="Times New Roman" w:hAnsi="Times New Roman" w:cs="Times New Roman"/>
          <w:lang w:val="zh-CN"/>
        </w:rPr>
        <w:t xml:space="preserve"> </w:t>
      </w:r>
    </w:p>
  </w:footnote>
  <w:footnote w:id="40">
    <w:p w14:paraId="74189373" w14:textId="77777777" w:rsidR="00D057DD" w:rsidRDefault="00D057DD" w:rsidP="00D057DD">
      <w:pPr>
        <w:pStyle w:val="Prrafodelista"/>
        <w:spacing w:after="0"/>
        <w:ind w:left="0"/>
        <w:jc w:val="both"/>
        <w:rPr>
          <w:rFonts w:ascii="Times New Roman" w:hAnsi="Times New Roman" w:cs="Times New Roman"/>
          <w:sz w:val="20"/>
          <w:szCs w:val="20"/>
        </w:rPr>
      </w:pPr>
      <w:r>
        <w:rPr>
          <w:rStyle w:val="Refdenotaalpie"/>
          <w:rFonts w:ascii="Times New Roman" w:hAnsi="Times New Roman" w:cs="Times New Roman"/>
          <w:sz w:val="20"/>
          <w:szCs w:val="20"/>
        </w:rPr>
        <w:footnoteRef/>
      </w:r>
      <w:r>
        <w:rPr>
          <w:rFonts w:ascii="Times New Roman" w:hAnsi="Times New Roman" w:cs="Times New Roman"/>
          <w:sz w:val="20"/>
          <w:szCs w:val="20"/>
        </w:rPr>
        <w:t xml:space="preserve"> En la Unidad 5 con un total de 390 plazas se constataron 635 mujeres privadas de libertad en 2022. A estos importantes niveles de hacinamiento, deben sumarse situaciones de aislamiento prolongado. Similares consideraciones se han realizado para el sector femenino de la Unidad 13, en donde existen escasas actividades, hay un deterioro edilicio y dificultades para el acceso al agua potable.</w:t>
      </w:r>
    </w:p>
  </w:footnote>
  <w:footnote w:id="41">
    <w:p w14:paraId="6DDD944B" w14:textId="77777777" w:rsidR="00D057DD" w:rsidRDefault="00D057DD" w:rsidP="00D057DD">
      <w:pPr>
        <w:pStyle w:val="Textonotapie"/>
        <w:jc w:val="both"/>
        <w:rPr>
          <w:rFonts w:ascii="Times New Roman" w:hAnsi="Times New Roman" w:cs="Times New Roman"/>
          <w:lang w:val="es-MX"/>
        </w:rPr>
      </w:pPr>
      <w:r>
        <w:rPr>
          <w:rStyle w:val="Refdenotaalpie"/>
          <w:rFonts w:ascii="Times New Roman" w:hAnsi="Times New Roman" w:cs="Times New Roman"/>
        </w:rPr>
        <w:footnoteRef/>
      </w:r>
      <w:r>
        <w:rPr>
          <w:rFonts w:ascii="Times New Roman" w:hAnsi="Times New Roman" w:cs="Times New Roman"/>
        </w:rPr>
        <w:t xml:space="preserve"> Ver</w:t>
      </w:r>
      <w:r>
        <w:rPr>
          <w:rFonts w:ascii="Times New Roman" w:hAnsi="Times New Roman" w:cs="Times New Roman"/>
          <w:lang w:val="es-MX"/>
        </w:rPr>
        <w:t xml:space="preserve"> Anexo IV: Informe conjunto </w:t>
      </w:r>
      <w:proofErr w:type="gramStart"/>
      <w:r>
        <w:rPr>
          <w:rFonts w:ascii="Times New Roman" w:hAnsi="Times New Roman" w:cs="Times New Roman"/>
          <w:lang w:val="es-MX"/>
        </w:rPr>
        <w:t>del  Comisionado</w:t>
      </w:r>
      <w:proofErr w:type="gramEnd"/>
      <w:r>
        <w:rPr>
          <w:rFonts w:ascii="Times New Roman" w:hAnsi="Times New Roman" w:cs="Times New Roman"/>
          <w:lang w:val="es-MX"/>
        </w:rPr>
        <w:t xml:space="preserve"> Parlamentario y el MNP  sobre condiciones de atención salud mental en población privada de libertad en el quinto nivel de Unidad Nº 5.</w:t>
      </w:r>
    </w:p>
  </w:footnote>
  <w:footnote w:id="42">
    <w:p w14:paraId="688EE247" w14:textId="77777777" w:rsidR="00D057DD" w:rsidRDefault="00D057DD" w:rsidP="00D057DD">
      <w:pPr>
        <w:pStyle w:val="Textonotapie"/>
        <w:jc w:val="both"/>
        <w:rPr>
          <w:rFonts w:ascii="Times New Roman" w:hAnsi="Times New Roman" w:cs="Times New Roman"/>
        </w:rPr>
      </w:pPr>
      <w:r>
        <w:rPr>
          <w:rStyle w:val="Refdenotaalpi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lang w:val="es-MX"/>
        </w:rPr>
        <w:t>La INDDHH</w:t>
      </w:r>
      <w:r>
        <w:rPr>
          <w:rFonts w:ascii="Times New Roman" w:hAnsi="Times New Roman" w:cs="Times New Roman"/>
        </w:rPr>
        <w:t xml:space="preserve"> realizó el 2</w:t>
      </w:r>
      <w:r>
        <w:rPr>
          <w:rFonts w:ascii="Times New Roman" w:hAnsi="Times New Roman" w:cs="Times New Roman"/>
          <w:lang w:val="es-MX"/>
        </w:rPr>
        <w:t>6</w:t>
      </w:r>
      <w:r>
        <w:rPr>
          <w:rFonts w:ascii="Times New Roman" w:hAnsi="Times New Roman" w:cs="Times New Roman"/>
        </w:rPr>
        <w:t xml:space="preserve"> de abril de 2023</w:t>
      </w:r>
      <w:r>
        <w:rPr>
          <w:rFonts w:ascii="Times New Roman" w:hAnsi="Times New Roman" w:cs="Times New Roman"/>
          <w:color w:val="4F81BD" w:themeColor="accent1"/>
        </w:rPr>
        <w:t xml:space="preserve"> </w:t>
      </w:r>
      <w:r>
        <w:rPr>
          <w:rFonts w:ascii="Times New Roman" w:hAnsi="Times New Roman" w:cs="Times New Roman"/>
        </w:rPr>
        <w:t xml:space="preserve">un seminario </w:t>
      </w:r>
      <w:r>
        <w:rPr>
          <w:rFonts w:ascii="Times New Roman" w:hAnsi="Times New Roman" w:cs="Times New Roman"/>
          <w:lang w:val="es-MX"/>
        </w:rPr>
        <w:t>“</w:t>
      </w:r>
      <w:r>
        <w:rPr>
          <w:rFonts w:ascii="Times New Roman" w:hAnsi="Times New Roman" w:cs="Times New Roman"/>
        </w:rPr>
        <w:t>Prisión domiciliaria asistida: una opción posible para garantizar los derechos de hijos e hijas de mujeres privadas de libertad</w:t>
      </w:r>
      <w:r>
        <w:rPr>
          <w:rFonts w:ascii="Times New Roman" w:hAnsi="Times New Roman" w:cs="Times New Roman"/>
          <w:lang w:val="es-MX"/>
        </w:rPr>
        <w:t>”</w:t>
      </w:r>
      <w:r>
        <w:rPr>
          <w:rFonts w:ascii="Times New Roman" w:hAnsi="Times New Roman" w:cs="Times New Roman"/>
          <w:color w:val="FF0000"/>
          <w:lang w:val="es-MX"/>
        </w:rPr>
        <w:t>.</w:t>
      </w:r>
    </w:p>
    <w:p w14:paraId="4C8BA053" w14:textId="77777777" w:rsidR="00D057DD" w:rsidRDefault="00D057DD" w:rsidP="00D057DD">
      <w:pPr>
        <w:pStyle w:val="Textonotapie"/>
        <w:snapToGrid w:val="0"/>
        <w:jc w:val="both"/>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E87F1B" w14:textId="4E1C0629" w:rsidR="006204C8" w:rsidRDefault="00957634">
    <w:pPr>
      <w:pStyle w:val="Encabezado"/>
    </w:pPr>
    <w:r w:rsidRPr="00957634">
      <w:rPr>
        <w:noProof/>
        <w:lang w:val="es-UY" w:eastAsia="es-UY"/>
      </w:rPr>
      <w:drawing>
        <wp:inline distT="0" distB="0" distL="0" distR="0" wp14:anchorId="24253BA5" wp14:editId="701BA195">
          <wp:extent cx="2394072" cy="713602"/>
          <wp:effectExtent l="0" t="0" r="0" b="0"/>
          <wp:docPr id="2" name="Imagen 2" descr="Disco Alex:Users:alex:Desktop:INDDHH:Original Manual de Marca INDDHH:ENVIAR:LOGOS Y APLICACIONES:INDDHH Horizont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 Alex:Users:alex:Desktop:INDDHH:Original Manual de Marca INDDHH:ENVIAR:LOGOS Y APLICACIONES:INDDHH Horizontal.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00437" cy="715499"/>
                  </a:xfrm>
                  <a:prstGeom prst="rect">
                    <a:avLst/>
                  </a:prstGeom>
                  <a:noFill/>
                  <a:ln>
                    <a:noFill/>
                  </a:ln>
                </pic:spPr>
              </pic:pic>
            </a:graphicData>
          </a:graphic>
        </wp:inline>
      </w:drawing>
    </w:r>
    <w:r w:rsidR="006204C8">
      <w:rPr>
        <w:noProof/>
      </w:rPr>
      <w:t xml:space="preserve">                                                                       </w:t>
    </w:r>
  </w:p>
  <w:p w14:paraId="386138FA" w14:textId="77777777" w:rsidR="006204C8" w:rsidRDefault="006204C8">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8318F043"/>
    <w:multiLevelType w:val="singleLevel"/>
    <w:tmpl w:val="8318F043"/>
    <w:lvl w:ilvl="0">
      <w:start w:val="1"/>
      <w:numFmt w:val="upperLetter"/>
      <w:suff w:val="space"/>
      <w:lvlText w:val="%1)"/>
      <w:lvlJc w:val="left"/>
    </w:lvl>
  </w:abstractNum>
  <w:abstractNum w:abstractNumId="1" w15:restartNumberingAfterBreak="0">
    <w:nsid w:val="FFFFFF89"/>
    <w:multiLevelType w:val="singleLevel"/>
    <w:tmpl w:val="A9023D9E"/>
    <w:lvl w:ilvl="0">
      <w:start w:val="1"/>
      <w:numFmt w:val="bullet"/>
      <w:pStyle w:val="Listaconvietas"/>
      <w:lvlText w:val=""/>
      <w:lvlJc w:val="left"/>
      <w:pPr>
        <w:tabs>
          <w:tab w:val="num" w:pos="2629"/>
        </w:tabs>
        <w:ind w:left="2629" w:hanging="360"/>
      </w:pPr>
      <w:rPr>
        <w:rFonts w:ascii="Symbol" w:hAnsi="Symbol" w:hint="default"/>
      </w:rPr>
    </w:lvl>
  </w:abstractNum>
  <w:abstractNum w:abstractNumId="2" w15:restartNumberingAfterBreak="0">
    <w:nsid w:val="00000001"/>
    <w:multiLevelType w:val="singleLevel"/>
    <w:tmpl w:val="00000001"/>
    <w:name w:val="WW8Num4"/>
    <w:lvl w:ilvl="0">
      <w:numFmt w:val="bullet"/>
      <w:lvlText w:val="-"/>
      <w:lvlJc w:val="left"/>
      <w:pPr>
        <w:tabs>
          <w:tab w:val="num" w:pos="0"/>
        </w:tabs>
        <w:ind w:left="720" w:hanging="360"/>
      </w:pPr>
      <w:rPr>
        <w:rFonts w:ascii="Helvetica" w:hAnsi="Helvetica" w:cs="Helvetica" w:hint="default"/>
        <w:color w:val="404040"/>
        <w:sz w:val="21"/>
        <w:lang w:val="es-UY" w:eastAsia="ar-SA"/>
      </w:rPr>
    </w:lvl>
  </w:abstractNum>
  <w:abstractNum w:abstractNumId="3" w15:restartNumberingAfterBreak="0">
    <w:nsid w:val="00000002"/>
    <w:multiLevelType w:val="multilevel"/>
    <w:tmpl w:val="00000002"/>
    <w:name w:val="WWNum5"/>
    <w:lvl w:ilvl="0">
      <w:start w:val="1"/>
      <w:numFmt w:val="lowerLetter"/>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2.%3."/>
      <w:lvlJc w:val="right"/>
      <w:pPr>
        <w:tabs>
          <w:tab w:val="num" w:pos="0"/>
        </w:tabs>
        <w:ind w:left="2520" w:hanging="180"/>
      </w:pPr>
    </w:lvl>
    <w:lvl w:ilvl="3">
      <w:start w:val="1"/>
      <w:numFmt w:val="decimal"/>
      <w:lvlText w:val="%2.%3.%4."/>
      <w:lvlJc w:val="left"/>
      <w:pPr>
        <w:tabs>
          <w:tab w:val="num" w:pos="0"/>
        </w:tabs>
        <w:ind w:left="3240" w:hanging="360"/>
      </w:pPr>
    </w:lvl>
    <w:lvl w:ilvl="4">
      <w:start w:val="1"/>
      <w:numFmt w:val="lowerLetter"/>
      <w:lvlText w:val="%2.%3.%4.%5."/>
      <w:lvlJc w:val="left"/>
      <w:pPr>
        <w:tabs>
          <w:tab w:val="num" w:pos="0"/>
        </w:tabs>
        <w:ind w:left="3960" w:hanging="360"/>
      </w:pPr>
    </w:lvl>
    <w:lvl w:ilvl="5">
      <w:start w:val="1"/>
      <w:numFmt w:val="lowerRoman"/>
      <w:lvlText w:val="%2.%3.%4.%5.%6."/>
      <w:lvlJc w:val="right"/>
      <w:pPr>
        <w:tabs>
          <w:tab w:val="num" w:pos="0"/>
        </w:tabs>
        <w:ind w:left="4680" w:hanging="180"/>
      </w:pPr>
    </w:lvl>
    <w:lvl w:ilvl="6">
      <w:start w:val="1"/>
      <w:numFmt w:val="decimal"/>
      <w:lvlText w:val="%2.%3.%4.%5.%6.%7."/>
      <w:lvlJc w:val="left"/>
      <w:pPr>
        <w:tabs>
          <w:tab w:val="num" w:pos="0"/>
        </w:tabs>
        <w:ind w:left="5400" w:hanging="360"/>
      </w:pPr>
    </w:lvl>
    <w:lvl w:ilvl="7">
      <w:start w:val="1"/>
      <w:numFmt w:val="lowerLetter"/>
      <w:lvlText w:val="%2.%3.%4.%5.%6.%7.%8."/>
      <w:lvlJc w:val="left"/>
      <w:pPr>
        <w:tabs>
          <w:tab w:val="num" w:pos="0"/>
        </w:tabs>
        <w:ind w:left="6120" w:hanging="360"/>
      </w:pPr>
    </w:lvl>
    <w:lvl w:ilvl="8">
      <w:start w:val="1"/>
      <w:numFmt w:val="lowerRoman"/>
      <w:lvlText w:val="%2.%3.%4.%5.%6.%7.%8.%9."/>
      <w:lvlJc w:val="right"/>
      <w:pPr>
        <w:tabs>
          <w:tab w:val="num" w:pos="0"/>
        </w:tabs>
        <w:ind w:left="6840" w:hanging="180"/>
      </w:pPr>
    </w:lvl>
  </w:abstractNum>
  <w:abstractNum w:abstractNumId="4" w15:restartNumberingAfterBreak="0">
    <w:nsid w:val="08BB2109"/>
    <w:multiLevelType w:val="multilevel"/>
    <w:tmpl w:val="13FCF40C"/>
    <w:lvl w:ilvl="0">
      <w:start w:val="1"/>
      <w:numFmt w:val="decimal"/>
      <w:lvlText w:val="%1."/>
      <w:lvlJc w:val="left"/>
      <w:pPr>
        <w:tabs>
          <w:tab w:val="num" w:pos="1430"/>
        </w:tabs>
        <w:ind w:left="1430" w:hanging="720"/>
      </w:pPr>
      <w:rPr>
        <w:rFonts w:hint="default"/>
        <w:b/>
        <w:bCs/>
      </w:rPr>
    </w:lvl>
    <w:lvl w:ilvl="1">
      <w:start w:val="1"/>
      <w:numFmt w:val="lowerLetter"/>
      <w:lvlText w:val="%2."/>
      <w:lvlJc w:val="left"/>
      <w:pPr>
        <w:tabs>
          <w:tab w:val="num" w:pos="2150"/>
        </w:tabs>
        <w:ind w:left="2150" w:hanging="720"/>
      </w:pPr>
      <w:rPr>
        <w:rFonts w:hint="default"/>
      </w:rPr>
    </w:lvl>
    <w:lvl w:ilvl="2">
      <w:start w:val="1"/>
      <w:numFmt w:val="decimal"/>
      <w:lvlText w:val="%3."/>
      <w:lvlJc w:val="left"/>
      <w:pPr>
        <w:tabs>
          <w:tab w:val="num" w:pos="2870"/>
        </w:tabs>
        <w:ind w:left="2870" w:hanging="720"/>
      </w:pPr>
      <w:rPr>
        <w:rFonts w:hint="default"/>
      </w:rPr>
    </w:lvl>
    <w:lvl w:ilvl="3">
      <w:start w:val="1"/>
      <w:numFmt w:val="decimal"/>
      <w:lvlText w:val="%4."/>
      <w:lvlJc w:val="left"/>
      <w:pPr>
        <w:tabs>
          <w:tab w:val="num" w:pos="3590"/>
        </w:tabs>
        <w:ind w:left="3590" w:hanging="720"/>
      </w:pPr>
      <w:rPr>
        <w:rFonts w:hint="default"/>
      </w:rPr>
    </w:lvl>
    <w:lvl w:ilvl="4">
      <w:start w:val="1"/>
      <w:numFmt w:val="decimal"/>
      <w:lvlText w:val="%5."/>
      <w:lvlJc w:val="left"/>
      <w:pPr>
        <w:tabs>
          <w:tab w:val="num" w:pos="4310"/>
        </w:tabs>
        <w:ind w:left="4310" w:hanging="720"/>
      </w:pPr>
      <w:rPr>
        <w:rFonts w:hint="default"/>
      </w:rPr>
    </w:lvl>
    <w:lvl w:ilvl="5">
      <w:start w:val="1"/>
      <w:numFmt w:val="decimal"/>
      <w:lvlText w:val="%6."/>
      <w:lvlJc w:val="left"/>
      <w:pPr>
        <w:tabs>
          <w:tab w:val="num" w:pos="5030"/>
        </w:tabs>
        <w:ind w:left="5030" w:hanging="720"/>
      </w:pPr>
      <w:rPr>
        <w:rFonts w:hint="default"/>
      </w:rPr>
    </w:lvl>
    <w:lvl w:ilvl="6">
      <w:start w:val="1"/>
      <w:numFmt w:val="decimal"/>
      <w:lvlText w:val="%7."/>
      <w:lvlJc w:val="left"/>
      <w:pPr>
        <w:tabs>
          <w:tab w:val="num" w:pos="5750"/>
        </w:tabs>
        <w:ind w:left="5750" w:hanging="720"/>
      </w:pPr>
      <w:rPr>
        <w:rFonts w:hint="default"/>
      </w:rPr>
    </w:lvl>
    <w:lvl w:ilvl="7">
      <w:start w:val="1"/>
      <w:numFmt w:val="decimal"/>
      <w:lvlText w:val="%8."/>
      <w:lvlJc w:val="left"/>
      <w:pPr>
        <w:tabs>
          <w:tab w:val="num" w:pos="6470"/>
        </w:tabs>
        <w:ind w:left="6470" w:hanging="720"/>
      </w:pPr>
      <w:rPr>
        <w:rFonts w:hint="default"/>
      </w:rPr>
    </w:lvl>
    <w:lvl w:ilvl="8">
      <w:start w:val="1"/>
      <w:numFmt w:val="decimal"/>
      <w:lvlText w:val="%9."/>
      <w:lvlJc w:val="left"/>
      <w:pPr>
        <w:tabs>
          <w:tab w:val="num" w:pos="7190"/>
        </w:tabs>
        <w:ind w:left="7190" w:hanging="720"/>
      </w:pPr>
      <w:rPr>
        <w:rFonts w:hint="default"/>
      </w:rPr>
    </w:lvl>
  </w:abstractNum>
  <w:abstractNum w:abstractNumId="5" w15:restartNumberingAfterBreak="0">
    <w:nsid w:val="0CFE1439"/>
    <w:multiLevelType w:val="multilevel"/>
    <w:tmpl w:val="0CFE1439"/>
    <w:lvl w:ilvl="0">
      <w:start w:val="1"/>
      <w:numFmt w:val="lowerRoman"/>
      <w:lvlText w:val="%1."/>
      <w:lvlJc w:val="righ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6" w15:restartNumberingAfterBreak="0">
    <w:nsid w:val="0E057665"/>
    <w:multiLevelType w:val="hybridMultilevel"/>
    <w:tmpl w:val="66D09DE0"/>
    <w:lvl w:ilvl="0" w:tplc="E334BCFA">
      <w:start w:val="1"/>
      <w:numFmt w:val="lowerLetter"/>
      <w:lvlText w:val="%1)"/>
      <w:lvlJc w:val="left"/>
      <w:pPr>
        <w:ind w:left="720" w:hanging="360"/>
      </w:pPr>
      <w:rPr>
        <w:rFonts w:cs="Sancoale Slab Norm Light" w:hint="default"/>
        <w:b w:val="0"/>
      </w:rPr>
    </w:lvl>
    <w:lvl w:ilvl="1" w:tplc="380A0019" w:tentative="1">
      <w:start w:val="1"/>
      <w:numFmt w:val="lowerLetter"/>
      <w:lvlText w:val="%2."/>
      <w:lvlJc w:val="left"/>
      <w:pPr>
        <w:ind w:left="1440" w:hanging="360"/>
      </w:pPr>
    </w:lvl>
    <w:lvl w:ilvl="2" w:tplc="380A001B" w:tentative="1">
      <w:start w:val="1"/>
      <w:numFmt w:val="lowerRoman"/>
      <w:lvlText w:val="%3."/>
      <w:lvlJc w:val="right"/>
      <w:pPr>
        <w:ind w:left="2160" w:hanging="180"/>
      </w:pPr>
    </w:lvl>
    <w:lvl w:ilvl="3" w:tplc="380A000F" w:tentative="1">
      <w:start w:val="1"/>
      <w:numFmt w:val="decimal"/>
      <w:lvlText w:val="%4."/>
      <w:lvlJc w:val="left"/>
      <w:pPr>
        <w:ind w:left="2880" w:hanging="360"/>
      </w:pPr>
    </w:lvl>
    <w:lvl w:ilvl="4" w:tplc="380A0019" w:tentative="1">
      <w:start w:val="1"/>
      <w:numFmt w:val="lowerLetter"/>
      <w:lvlText w:val="%5."/>
      <w:lvlJc w:val="left"/>
      <w:pPr>
        <w:ind w:left="3600" w:hanging="360"/>
      </w:pPr>
    </w:lvl>
    <w:lvl w:ilvl="5" w:tplc="380A001B" w:tentative="1">
      <w:start w:val="1"/>
      <w:numFmt w:val="lowerRoman"/>
      <w:lvlText w:val="%6."/>
      <w:lvlJc w:val="right"/>
      <w:pPr>
        <w:ind w:left="4320" w:hanging="180"/>
      </w:pPr>
    </w:lvl>
    <w:lvl w:ilvl="6" w:tplc="380A000F" w:tentative="1">
      <w:start w:val="1"/>
      <w:numFmt w:val="decimal"/>
      <w:lvlText w:val="%7."/>
      <w:lvlJc w:val="left"/>
      <w:pPr>
        <w:ind w:left="5040" w:hanging="360"/>
      </w:pPr>
    </w:lvl>
    <w:lvl w:ilvl="7" w:tplc="380A0019" w:tentative="1">
      <w:start w:val="1"/>
      <w:numFmt w:val="lowerLetter"/>
      <w:lvlText w:val="%8."/>
      <w:lvlJc w:val="left"/>
      <w:pPr>
        <w:ind w:left="5760" w:hanging="360"/>
      </w:pPr>
    </w:lvl>
    <w:lvl w:ilvl="8" w:tplc="380A001B" w:tentative="1">
      <w:start w:val="1"/>
      <w:numFmt w:val="lowerRoman"/>
      <w:lvlText w:val="%9."/>
      <w:lvlJc w:val="right"/>
      <w:pPr>
        <w:ind w:left="6480" w:hanging="180"/>
      </w:pPr>
    </w:lvl>
  </w:abstractNum>
  <w:abstractNum w:abstractNumId="7" w15:restartNumberingAfterBreak="0">
    <w:nsid w:val="179F722F"/>
    <w:multiLevelType w:val="hybridMultilevel"/>
    <w:tmpl w:val="A77E0A1A"/>
    <w:lvl w:ilvl="0" w:tplc="9210E8E8">
      <w:start w:val="14"/>
      <w:numFmt w:val="bullet"/>
      <w:lvlText w:val="-"/>
      <w:lvlJc w:val="left"/>
      <w:pPr>
        <w:ind w:left="927" w:hanging="360"/>
      </w:pPr>
      <w:rPr>
        <w:rFonts w:ascii="Sancoale Slab Norm Regular" w:eastAsia="Calibri" w:hAnsi="Sancoale Slab Norm Regular" w:cs="Calibri" w:hint="default"/>
        <w:i w:val="0"/>
      </w:rPr>
    </w:lvl>
    <w:lvl w:ilvl="1" w:tplc="380A0003" w:tentative="1">
      <w:start w:val="1"/>
      <w:numFmt w:val="bullet"/>
      <w:lvlText w:val="o"/>
      <w:lvlJc w:val="left"/>
      <w:pPr>
        <w:ind w:left="1647" w:hanging="360"/>
      </w:pPr>
      <w:rPr>
        <w:rFonts w:ascii="Courier New" w:hAnsi="Courier New" w:cs="Courier New" w:hint="default"/>
      </w:rPr>
    </w:lvl>
    <w:lvl w:ilvl="2" w:tplc="380A0005" w:tentative="1">
      <w:start w:val="1"/>
      <w:numFmt w:val="bullet"/>
      <w:lvlText w:val=""/>
      <w:lvlJc w:val="left"/>
      <w:pPr>
        <w:ind w:left="2367" w:hanging="360"/>
      </w:pPr>
      <w:rPr>
        <w:rFonts w:ascii="Wingdings" w:hAnsi="Wingdings" w:cs="Wingdings" w:hint="default"/>
      </w:rPr>
    </w:lvl>
    <w:lvl w:ilvl="3" w:tplc="380A0001" w:tentative="1">
      <w:start w:val="1"/>
      <w:numFmt w:val="bullet"/>
      <w:lvlText w:val=""/>
      <w:lvlJc w:val="left"/>
      <w:pPr>
        <w:ind w:left="3087" w:hanging="360"/>
      </w:pPr>
      <w:rPr>
        <w:rFonts w:ascii="Symbol" w:hAnsi="Symbol" w:cs="Symbol" w:hint="default"/>
      </w:rPr>
    </w:lvl>
    <w:lvl w:ilvl="4" w:tplc="380A0003" w:tentative="1">
      <w:start w:val="1"/>
      <w:numFmt w:val="bullet"/>
      <w:lvlText w:val="o"/>
      <w:lvlJc w:val="left"/>
      <w:pPr>
        <w:ind w:left="3807" w:hanging="360"/>
      </w:pPr>
      <w:rPr>
        <w:rFonts w:ascii="Courier New" w:hAnsi="Courier New" w:cs="Courier New" w:hint="default"/>
      </w:rPr>
    </w:lvl>
    <w:lvl w:ilvl="5" w:tplc="380A0005" w:tentative="1">
      <w:start w:val="1"/>
      <w:numFmt w:val="bullet"/>
      <w:lvlText w:val=""/>
      <w:lvlJc w:val="left"/>
      <w:pPr>
        <w:ind w:left="4527" w:hanging="360"/>
      </w:pPr>
      <w:rPr>
        <w:rFonts w:ascii="Wingdings" w:hAnsi="Wingdings" w:cs="Wingdings" w:hint="default"/>
      </w:rPr>
    </w:lvl>
    <w:lvl w:ilvl="6" w:tplc="380A0001" w:tentative="1">
      <w:start w:val="1"/>
      <w:numFmt w:val="bullet"/>
      <w:lvlText w:val=""/>
      <w:lvlJc w:val="left"/>
      <w:pPr>
        <w:ind w:left="5247" w:hanging="360"/>
      </w:pPr>
      <w:rPr>
        <w:rFonts w:ascii="Symbol" w:hAnsi="Symbol" w:cs="Symbol" w:hint="default"/>
      </w:rPr>
    </w:lvl>
    <w:lvl w:ilvl="7" w:tplc="380A0003" w:tentative="1">
      <w:start w:val="1"/>
      <w:numFmt w:val="bullet"/>
      <w:lvlText w:val="o"/>
      <w:lvlJc w:val="left"/>
      <w:pPr>
        <w:ind w:left="5967" w:hanging="360"/>
      </w:pPr>
      <w:rPr>
        <w:rFonts w:ascii="Courier New" w:hAnsi="Courier New" w:cs="Courier New" w:hint="default"/>
      </w:rPr>
    </w:lvl>
    <w:lvl w:ilvl="8" w:tplc="380A0005" w:tentative="1">
      <w:start w:val="1"/>
      <w:numFmt w:val="bullet"/>
      <w:lvlText w:val=""/>
      <w:lvlJc w:val="left"/>
      <w:pPr>
        <w:ind w:left="6687" w:hanging="360"/>
      </w:pPr>
      <w:rPr>
        <w:rFonts w:ascii="Wingdings" w:hAnsi="Wingdings" w:cs="Wingdings" w:hint="default"/>
      </w:rPr>
    </w:lvl>
  </w:abstractNum>
  <w:abstractNum w:abstractNumId="8" w15:restartNumberingAfterBreak="0">
    <w:nsid w:val="1AEE56F5"/>
    <w:multiLevelType w:val="hybridMultilevel"/>
    <w:tmpl w:val="76003DCA"/>
    <w:lvl w:ilvl="0" w:tplc="D3447F94">
      <w:start w:val="1"/>
      <w:numFmt w:val="bullet"/>
      <w:lvlText w:val="-"/>
      <w:lvlJc w:val="left"/>
      <w:pPr>
        <w:ind w:left="1070" w:hanging="360"/>
      </w:pPr>
      <w:rPr>
        <w:rFonts w:ascii="Sylfaen" w:hAnsi="Sylfaen" w:hint="default"/>
      </w:rPr>
    </w:lvl>
    <w:lvl w:ilvl="1" w:tplc="380A0003" w:tentative="1">
      <w:start w:val="1"/>
      <w:numFmt w:val="bullet"/>
      <w:lvlText w:val="o"/>
      <w:lvlJc w:val="left"/>
      <w:pPr>
        <w:ind w:left="2160" w:hanging="360"/>
      </w:pPr>
      <w:rPr>
        <w:rFonts w:ascii="Courier New" w:hAnsi="Courier New" w:cs="Courier New" w:hint="default"/>
      </w:rPr>
    </w:lvl>
    <w:lvl w:ilvl="2" w:tplc="380A0005" w:tentative="1">
      <w:start w:val="1"/>
      <w:numFmt w:val="bullet"/>
      <w:lvlText w:val=""/>
      <w:lvlJc w:val="left"/>
      <w:pPr>
        <w:ind w:left="2880" w:hanging="360"/>
      </w:pPr>
      <w:rPr>
        <w:rFonts w:ascii="Wingdings" w:hAnsi="Wingdings" w:hint="default"/>
      </w:rPr>
    </w:lvl>
    <w:lvl w:ilvl="3" w:tplc="380A0001" w:tentative="1">
      <w:start w:val="1"/>
      <w:numFmt w:val="bullet"/>
      <w:lvlText w:val=""/>
      <w:lvlJc w:val="left"/>
      <w:pPr>
        <w:ind w:left="3600" w:hanging="360"/>
      </w:pPr>
      <w:rPr>
        <w:rFonts w:ascii="Symbol" w:hAnsi="Symbol" w:hint="default"/>
      </w:rPr>
    </w:lvl>
    <w:lvl w:ilvl="4" w:tplc="380A0003" w:tentative="1">
      <w:start w:val="1"/>
      <w:numFmt w:val="bullet"/>
      <w:lvlText w:val="o"/>
      <w:lvlJc w:val="left"/>
      <w:pPr>
        <w:ind w:left="4320" w:hanging="360"/>
      </w:pPr>
      <w:rPr>
        <w:rFonts w:ascii="Courier New" w:hAnsi="Courier New" w:cs="Courier New" w:hint="default"/>
      </w:rPr>
    </w:lvl>
    <w:lvl w:ilvl="5" w:tplc="380A0005" w:tentative="1">
      <w:start w:val="1"/>
      <w:numFmt w:val="bullet"/>
      <w:lvlText w:val=""/>
      <w:lvlJc w:val="left"/>
      <w:pPr>
        <w:ind w:left="5040" w:hanging="360"/>
      </w:pPr>
      <w:rPr>
        <w:rFonts w:ascii="Wingdings" w:hAnsi="Wingdings" w:hint="default"/>
      </w:rPr>
    </w:lvl>
    <w:lvl w:ilvl="6" w:tplc="380A0001" w:tentative="1">
      <w:start w:val="1"/>
      <w:numFmt w:val="bullet"/>
      <w:lvlText w:val=""/>
      <w:lvlJc w:val="left"/>
      <w:pPr>
        <w:ind w:left="5760" w:hanging="360"/>
      </w:pPr>
      <w:rPr>
        <w:rFonts w:ascii="Symbol" w:hAnsi="Symbol" w:hint="default"/>
      </w:rPr>
    </w:lvl>
    <w:lvl w:ilvl="7" w:tplc="380A0003" w:tentative="1">
      <w:start w:val="1"/>
      <w:numFmt w:val="bullet"/>
      <w:lvlText w:val="o"/>
      <w:lvlJc w:val="left"/>
      <w:pPr>
        <w:ind w:left="6480" w:hanging="360"/>
      </w:pPr>
      <w:rPr>
        <w:rFonts w:ascii="Courier New" w:hAnsi="Courier New" w:cs="Courier New" w:hint="default"/>
      </w:rPr>
    </w:lvl>
    <w:lvl w:ilvl="8" w:tplc="380A0005" w:tentative="1">
      <w:start w:val="1"/>
      <w:numFmt w:val="bullet"/>
      <w:lvlText w:val=""/>
      <w:lvlJc w:val="left"/>
      <w:pPr>
        <w:ind w:left="7200" w:hanging="360"/>
      </w:pPr>
      <w:rPr>
        <w:rFonts w:ascii="Wingdings" w:hAnsi="Wingdings" w:hint="default"/>
      </w:rPr>
    </w:lvl>
  </w:abstractNum>
  <w:abstractNum w:abstractNumId="9" w15:restartNumberingAfterBreak="0">
    <w:nsid w:val="2145AB3F"/>
    <w:multiLevelType w:val="singleLevel"/>
    <w:tmpl w:val="2145AB3F"/>
    <w:lvl w:ilvl="0">
      <w:start w:val="1"/>
      <w:numFmt w:val="lowerLetter"/>
      <w:suff w:val="space"/>
      <w:lvlText w:val="%1)"/>
      <w:lvlJc w:val="left"/>
    </w:lvl>
  </w:abstractNum>
  <w:abstractNum w:abstractNumId="10" w15:restartNumberingAfterBreak="0">
    <w:nsid w:val="253519D4"/>
    <w:multiLevelType w:val="hybridMultilevel"/>
    <w:tmpl w:val="002E4304"/>
    <w:lvl w:ilvl="0" w:tplc="D3447F94">
      <w:start w:val="1"/>
      <w:numFmt w:val="bullet"/>
      <w:lvlText w:val="-"/>
      <w:lvlJc w:val="left"/>
      <w:pPr>
        <w:ind w:left="1145" w:hanging="360"/>
      </w:pPr>
      <w:rPr>
        <w:rFonts w:ascii="Sylfaen" w:hAnsi="Sylfaen" w:hint="default"/>
      </w:rPr>
    </w:lvl>
    <w:lvl w:ilvl="1" w:tplc="380A0003" w:tentative="1">
      <w:start w:val="1"/>
      <w:numFmt w:val="bullet"/>
      <w:lvlText w:val="o"/>
      <w:lvlJc w:val="left"/>
      <w:pPr>
        <w:ind w:left="1865" w:hanging="360"/>
      </w:pPr>
      <w:rPr>
        <w:rFonts w:ascii="Courier New" w:hAnsi="Courier New" w:cs="Courier New" w:hint="default"/>
      </w:rPr>
    </w:lvl>
    <w:lvl w:ilvl="2" w:tplc="380A0005" w:tentative="1">
      <w:start w:val="1"/>
      <w:numFmt w:val="bullet"/>
      <w:lvlText w:val=""/>
      <w:lvlJc w:val="left"/>
      <w:pPr>
        <w:ind w:left="2585" w:hanging="360"/>
      </w:pPr>
      <w:rPr>
        <w:rFonts w:ascii="Wingdings" w:hAnsi="Wingdings" w:hint="default"/>
      </w:rPr>
    </w:lvl>
    <w:lvl w:ilvl="3" w:tplc="380A0001" w:tentative="1">
      <w:start w:val="1"/>
      <w:numFmt w:val="bullet"/>
      <w:lvlText w:val=""/>
      <w:lvlJc w:val="left"/>
      <w:pPr>
        <w:ind w:left="3305" w:hanging="360"/>
      </w:pPr>
      <w:rPr>
        <w:rFonts w:ascii="Symbol" w:hAnsi="Symbol" w:hint="default"/>
      </w:rPr>
    </w:lvl>
    <w:lvl w:ilvl="4" w:tplc="380A0003" w:tentative="1">
      <w:start w:val="1"/>
      <w:numFmt w:val="bullet"/>
      <w:lvlText w:val="o"/>
      <w:lvlJc w:val="left"/>
      <w:pPr>
        <w:ind w:left="4025" w:hanging="360"/>
      </w:pPr>
      <w:rPr>
        <w:rFonts w:ascii="Courier New" w:hAnsi="Courier New" w:cs="Courier New" w:hint="default"/>
      </w:rPr>
    </w:lvl>
    <w:lvl w:ilvl="5" w:tplc="380A0005" w:tentative="1">
      <w:start w:val="1"/>
      <w:numFmt w:val="bullet"/>
      <w:lvlText w:val=""/>
      <w:lvlJc w:val="left"/>
      <w:pPr>
        <w:ind w:left="4745" w:hanging="360"/>
      </w:pPr>
      <w:rPr>
        <w:rFonts w:ascii="Wingdings" w:hAnsi="Wingdings" w:hint="default"/>
      </w:rPr>
    </w:lvl>
    <w:lvl w:ilvl="6" w:tplc="380A0001" w:tentative="1">
      <w:start w:val="1"/>
      <w:numFmt w:val="bullet"/>
      <w:lvlText w:val=""/>
      <w:lvlJc w:val="left"/>
      <w:pPr>
        <w:ind w:left="5465" w:hanging="360"/>
      </w:pPr>
      <w:rPr>
        <w:rFonts w:ascii="Symbol" w:hAnsi="Symbol" w:hint="default"/>
      </w:rPr>
    </w:lvl>
    <w:lvl w:ilvl="7" w:tplc="380A0003" w:tentative="1">
      <w:start w:val="1"/>
      <w:numFmt w:val="bullet"/>
      <w:lvlText w:val="o"/>
      <w:lvlJc w:val="left"/>
      <w:pPr>
        <w:ind w:left="6185" w:hanging="360"/>
      </w:pPr>
      <w:rPr>
        <w:rFonts w:ascii="Courier New" w:hAnsi="Courier New" w:cs="Courier New" w:hint="default"/>
      </w:rPr>
    </w:lvl>
    <w:lvl w:ilvl="8" w:tplc="380A0005" w:tentative="1">
      <w:start w:val="1"/>
      <w:numFmt w:val="bullet"/>
      <w:lvlText w:val=""/>
      <w:lvlJc w:val="left"/>
      <w:pPr>
        <w:ind w:left="6905" w:hanging="360"/>
      </w:pPr>
      <w:rPr>
        <w:rFonts w:ascii="Wingdings" w:hAnsi="Wingdings" w:hint="default"/>
      </w:rPr>
    </w:lvl>
  </w:abstractNum>
  <w:abstractNum w:abstractNumId="11" w15:restartNumberingAfterBreak="0">
    <w:nsid w:val="255C027E"/>
    <w:multiLevelType w:val="multilevel"/>
    <w:tmpl w:val="13FCF40C"/>
    <w:lvl w:ilvl="0">
      <w:start w:val="1"/>
      <w:numFmt w:val="decimal"/>
      <w:lvlText w:val="%1."/>
      <w:lvlJc w:val="left"/>
      <w:pPr>
        <w:tabs>
          <w:tab w:val="num" w:pos="1430"/>
        </w:tabs>
        <w:ind w:left="1430" w:hanging="720"/>
      </w:pPr>
      <w:rPr>
        <w:rFonts w:hint="default"/>
        <w:b/>
        <w:bCs/>
      </w:rPr>
    </w:lvl>
    <w:lvl w:ilvl="1">
      <w:start w:val="1"/>
      <w:numFmt w:val="lowerLetter"/>
      <w:lvlText w:val="%2."/>
      <w:lvlJc w:val="left"/>
      <w:pPr>
        <w:tabs>
          <w:tab w:val="num" w:pos="2150"/>
        </w:tabs>
        <w:ind w:left="2150" w:hanging="720"/>
      </w:pPr>
      <w:rPr>
        <w:rFonts w:hint="default"/>
      </w:rPr>
    </w:lvl>
    <w:lvl w:ilvl="2">
      <w:start w:val="1"/>
      <w:numFmt w:val="decimal"/>
      <w:lvlText w:val="%3."/>
      <w:lvlJc w:val="left"/>
      <w:pPr>
        <w:tabs>
          <w:tab w:val="num" w:pos="2870"/>
        </w:tabs>
        <w:ind w:left="2870" w:hanging="720"/>
      </w:pPr>
      <w:rPr>
        <w:rFonts w:hint="default"/>
      </w:rPr>
    </w:lvl>
    <w:lvl w:ilvl="3">
      <w:start w:val="1"/>
      <w:numFmt w:val="decimal"/>
      <w:lvlText w:val="%4."/>
      <w:lvlJc w:val="left"/>
      <w:pPr>
        <w:tabs>
          <w:tab w:val="num" w:pos="3590"/>
        </w:tabs>
        <w:ind w:left="3590" w:hanging="720"/>
      </w:pPr>
      <w:rPr>
        <w:rFonts w:hint="default"/>
      </w:rPr>
    </w:lvl>
    <w:lvl w:ilvl="4">
      <w:start w:val="1"/>
      <w:numFmt w:val="decimal"/>
      <w:lvlText w:val="%5."/>
      <w:lvlJc w:val="left"/>
      <w:pPr>
        <w:tabs>
          <w:tab w:val="num" w:pos="4310"/>
        </w:tabs>
        <w:ind w:left="4310" w:hanging="720"/>
      </w:pPr>
      <w:rPr>
        <w:rFonts w:hint="default"/>
      </w:rPr>
    </w:lvl>
    <w:lvl w:ilvl="5">
      <w:start w:val="1"/>
      <w:numFmt w:val="decimal"/>
      <w:lvlText w:val="%6."/>
      <w:lvlJc w:val="left"/>
      <w:pPr>
        <w:tabs>
          <w:tab w:val="num" w:pos="5030"/>
        </w:tabs>
        <w:ind w:left="5030" w:hanging="720"/>
      </w:pPr>
      <w:rPr>
        <w:rFonts w:hint="default"/>
      </w:rPr>
    </w:lvl>
    <w:lvl w:ilvl="6">
      <w:start w:val="1"/>
      <w:numFmt w:val="decimal"/>
      <w:lvlText w:val="%7."/>
      <w:lvlJc w:val="left"/>
      <w:pPr>
        <w:tabs>
          <w:tab w:val="num" w:pos="5750"/>
        </w:tabs>
        <w:ind w:left="5750" w:hanging="720"/>
      </w:pPr>
      <w:rPr>
        <w:rFonts w:hint="default"/>
      </w:rPr>
    </w:lvl>
    <w:lvl w:ilvl="7">
      <w:start w:val="1"/>
      <w:numFmt w:val="decimal"/>
      <w:lvlText w:val="%8."/>
      <w:lvlJc w:val="left"/>
      <w:pPr>
        <w:tabs>
          <w:tab w:val="num" w:pos="6470"/>
        </w:tabs>
        <w:ind w:left="6470" w:hanging="720"/>
      </w:pPr>
      <w:rPr>
        <w:rFonts w:hint="default"/>
      </w:rPr>
    </w:lvl>
    <w:lvl w:ilvl="8">
      <w:start w:val="1"/>
      <w:numFmt w:val="decimal"/>
      <w:lvlText w:val="%9."/>
      <w:lvlJc w:val="left"/>
      <w:pPr>
        <w:tabs>
          <w:tab w:val="num" w:pos="7190"/>
        </w:tabs>
        <w:ind w:left="7190" w:hanging="720"/>
      </w:pPr>
      <w:rPr>
        <w:rFonts w:hint="default"/>
      </w:rPr>
    </w:lvl>
  </w:abstractNum>
  <w:abstractNum w:abstractNumId="12" w15:restartNumberingAfterBreak="0">
    <w:nsid w:val="34B845EE"/>
    <w:multiLevelType w:val="hybridMultilevel"/>
    <w:tmpl w:val="D78E0F66"/>
    <w:lvl w:ilvl="0" w:tplc="040A0001">
      <w:start w:val="1"/>
      <w:numFmt w:val="bullet"/>
      <w:lvlText w:val=""/>
      <w:lvlJc w:val="left"/>
      <w:pPr>
        <w:ind w:left="2484" w:hanging="360"/>
      </w:pPr>
      <w:rPr>
        <w:rFonts w:ascii="Symbol" w:hAnsi="Symbol" w:hint="default"/>
      </w:rPr>
    </w:lvl>
    <w:lvl w:ilvl="1" w:tplc="040A0003" w:tentative="1">
      <w:start w:val="1"/>
      <w:numFmt w:val="bullet"/>
      <w:lvlText w:val="o"/>
      <w:lvlJc w:val="left"/>
      <w:pPr>
        <w:ind w:left="3204" w:hanging="360"/>
      </w:pPr>
      <w:rPr>
        <w:rFonts w:ascii="Courier New" w:hAnsi="Courier New" w:cs="Courier New" w:hint="default"/>
      </w:rPr>
    </w:lvl>
    <w:lvl w:ilvl="2" w:tplc="040A0005" w:tentative="1">
      <w:start w:val="1"/>
      <w:numFmt w:val="bullet"/>
      <w:lvlText w:val=""/>
      <w:lvlJc w:val="left"/>
      <w:pPr>
        <w:ind w:left="3924" w:hanging="360"/>
      </w:pPr>
      <w:rPr>
        <w:rFonts w:ascii="Wingdings" w:hAnsi="Wingdings" w:hint="default"/>
      </w:rPr>
    </w:lvl>
    <w:lvl w:ilvl="3" w:tplc="040A0001" w:tentative="1">
      <w:start w:val="1"/>
      <w:numFmt w:val="bullet"/>
      <w:lvlText w:val=""/>
      <w:lvlJc w:val="left"/>
      <w:pPr>
        <w:ind w:left="4644" w:hanging="360"/>
      </w:pPr>
      <w:rPr>
        <w:rFonts w:ascii="Symbol" w:hAnsi="Symbol" w:hint="default"/>
      </w:rPr>
    </w:lvl>
    <w:lvl w:ilvl="4" w:tplc="040A0003" w:tentative="1">
      <w:start w:val="1"/>
      <w:numFmt w:val="bullet"/>
      <w:lvlText w:val="o"/>
      <w:lvlJc w:val="left"/>
      <w:pPr>
        <w:ind w:left="5364" w:hanging="360"/>
      </w:pPr>
      <w:rPr>
        <w:rFonts w:ascii="Courier New" w:hAnsi="Courier New" w:cs="Courier New" w:hint="default"/>
      </w:rPr>
    </w:lvl>
    <w:lvl w:ilvl="5" w:tplc="040A0005" w:tentative="1">
      <w:start w:val="1"/>
      <w:numFmt w:val="bullet"/>
      <w:lvlText w:val=""/>
      <w:lvlJc w:val="left"/>
      <w:pPr>
        <w:ind w:left="6084" w:hanging="360"/>
      </w:pPr>
      <w:rPr>
        <w:rFonts w:ascii="Wingdings" w:hAnsi="Wingdings" w:hint="default"/>
      </w:rPr>
    </w:lvl>
    <w:lvl w:ilvl="6" w:tplc="040A0001" w:tentative="1">
      <w:start w:val="1"/>
      <w:numFmt w:val="bullet"/>
      <w:lvlText w:val=""/>
      <w:lvlJc w:val="left"/>
      <w:pPr>
        <w:ind w:left="6804" w:hanging="360"/>
      </w:pPr>
      <w:rPr>
        <w:rFonts w:ascii="Symbol" w:hAnsi="Symbol" w:hint="default"/>
      </w:rPr>
    </w:lvl>
    <w:lvl w:ilvl="7" w:tplc="040A0003" w:tentative="1">
      <w:start w:val="1"/>
      <w:numFmt w:val="bullet"/>
      <w:lvlText w:val="o"/>
      <w:lvlJc w:val="left"/>
      <w:pPr>
        <w:ind w:left="7524" w:hanging="360"/>
      </w:pPr>
      <w:rPr>
        <w:rFonts w:ascii="Courier New" w:hAnsi="Courier New" w:cs="Courier New" w:hint="default"/>
      </w:rPr>
    </w:lvl>
    <w:lvl w:ilvl="8" w:tplc="040A0005" w:tentative="1">
      <w:start w:val="1"/>
      <w:numFmt w:val="bullet"/>
      <w:lvlText w:val=""/>
      <w:lvlJc w:val="left"/>
      <w:pPr>
        <w:ind w:left="8244" w:hanging="360"/>
      </w:pPr>
      <w:rPr>
        <w:rFonts w:ascii="Wingdings" w:hAnsi="Wingdings" w:hint="default"/>
      </w:rPr>
    </w:lvl>
  </w:abstractNum>
  <w:abstractNum w:abstractNumId="13" w15:restartNumberingAfterBreak="0">
    <w:nsid w:val="3896183C"/>
    <w:multiLevelType w:val="hybridMultilevel"/>
    <w:tmpl w:val="C1E0567A"/>
    <w:lvl w:ilvl="0" w:tplc="D3447F94">
      <w:start w:val="1"/>
      <w:numFmt w:val="bullet"/>
      <w:lvlText w:val="-"/>
      <w:lvlJc w:val="left"/>
      <w:pPr>
        <w:ind w:left="1145" w:hanging="360"/>
      </w:pPr>
      <w:rPr>
        <w:rFonts w:ascii="Sylfaen" w:hAnsi="Sylfaen" w:hint="default"/>
      </w:rPr>
    </w:lvl>
    <w:lvl w:ilvl="1" w:tplc="380A0003" w:tentative="1">
      <w:start w:val="1"/>
      <w:numFmt w:val="bullet"/>
      <w:lvlText w:val="o"/>
      <w:lvlJc w:val="left"/>
      <w:pPr>
        <w:ind w:left="1865" w:hanging="360"/>
      </w:pPr>
      <w:rPr>
        <w:rFonts w:ascii="Courier New" w:hAnsi="Courier New" w:cs="Courier New" w:hint="default"/>
      </w:rPr>
    </w:lvl>
    <w:lvl w:ilvl="2" w:tplc="380A0005" w:tentative="1">
      <w:start w:val="1"/>
      <w:numFmt w:val="bullet"/>
      <w:lvlText w:val=""/>
      <w:lvlJc w:val="left"/>
      <w:pPr>
        <w:ind w:left="2585" w:hanging="360"/>
      </w:pPr>
      <w:rPr>
        <w:rFonts w:ascii="Wingdings" w:hAnsi="Wingdings" w:hint="default"/>
      </w:rPr>
    </w:lvl>
    <w:lvl w:ilvl="3" w:tplc="380A0001" w:tentative="1">
      <w:start w:val="1"/>
      <w:numFmt w:val="bullet"/>
      <w:lvlText w:val=""/>
      <w:lvlJc w:val="left"/>
      <w:pPr>
        <w:ind w:left="3305" w:hanging="360"/>
      </w:pPr>
      <w:rPr>
        <w:rFonts w:ascii="Symbol" w:hAnsi="Symbol" w:hint="default"/>
      </w:rPr>
    </w:lvl>
    <w:lvl w:ilvl="4" w:tplc="380A0003" w:tentative="1">
      <w:start w:val="1"/>
      <w:numFmt w:val="bullet"/>
      <w:lvlText w:val="o"/>
      <w:lvlJc w:val="left"/>
      <w:pPr>
        <w:ind w:left="4025" w:hanging="360"/>
      </w:pPr>
      <w:rPr>
        <w:rFonts w:ascii="Courier New" w:hAnsi="Courier New" w:cs="Courier New" w:hint="default"/>
      </w:rPr>
    </w:lvl>
    <w:lvl w:ilvl="5" w:tplc="380A0005" w:tentative="1">
      <w:start w:val="1"/>
      <w:numFmt w:val="bullet"/>
      <w:lvlText w:val=""/>
      <w:lvlJc w:val="left"/>
      <w:pPr>
        <w:ind w:left="4745" w:hanging="360"/>
      </w:pPr>
      <w:rPr>
        <w:rFonts w:ascii="Wingdings" w:hAnsi="Wingdings" w:hint="default"/>
      </w:rPr>
    </w:lvl>
    <w:lvl w:ilvl="6" w:tplc="380A0001" w:tentative="1">
      <w:start w:val="1"/>
      <w:numFmt w:val="bullet"/>
      <w:lvlText w:val=""/>
      <w:lvlJc w:val="left"/>
      <w:pPr>
        <w:ind w:left="5465" w:hanging="360"/>
      </w:pPr>
      <w:rPr>
        <w:rFonts w:ascii="Symbol" w:hAnsi="Symbol" w:hint="default"/>
      </w:rPr>
    </w:lvl>
    <w:lvl w:ilvl="7" w:tplc="380A0003" w:tentative="1">
      <w:start w:val="1"/>
      <w:numFmt w:val="bullet"/>
      <w:lvlText w:val="o"/>
      <w:lvlJc w:val="left"/>
      <w:pPr>
        <w:ind w:left="6185" w:hanging="360"/>
      </w:pPr>
      <w:rPr>
        <w:rFonts w:ascii="Courier New" w:hAnsi="Courier New" w:cs="Courier New" w:hint="default"/>
      </w:rPr>
    </w:lvl>
    <w:lvl w:ilvl="8" w:tplc="380A0005" w:tentative="1">
      <w:start w:val="1"/>
      <w:numFmt w:val="bullet"/>
      <w:lvlText w:val=""/>
      <w:lvlJc w:val="left"/>
      <w:pPr>
        <w:ind w:left="6905" w:hanging="360"/>
      </w:pPr>
      <w:rPr>
        <w:rFonts w:ascii="Wingdings" w:hAnsi="Wingdings" w:hint="default"/>
      </w:rPr>
    </w:lvl>
  </w:abstractNum>
  <w:abstractNum w:abstractNumId="14" w15:restartNumberingAfterBreak="0">
    <w:nsid w:val="4E722FAE"/>
    <w:multiLevelType w:val="hybridMultilevel"/>
    <w:tmpl w:val="78908A38"/>
    <w:lvl w:ilvl="0" w:tplc="F2C61B98">
      <w:start w:val="1"/>
      <w:numFmt w:val="decimal"/>
      <w:lvlText w:val="%1."/>
      <w:lvlJc w:val="left"/>
      <w:pPr>
        <w:ind w:left="720" w:hanging="360"/>
      </w:pPr>
      <w:rPr>
        <w:color w:val="auto"/>
      </w:rPr>
    </w:lvl>
    <w:lvl w:ilvl="1" w:tplc="11A08C2C">
      <w:start w:val="14"/>
      <w:numFmt w:val="bullet"/>
      <w:lvlText w:val="-"/>
      <w:lvlJc w:val="left"/>
      <w:pPr>
        <w:ind w:left="1211" w:hanging="360"/>
      </w:pPr>
      <w:rPr>
        <w:rFonts w:ascii="Sancoale Slab Norm Regular" w:eastAsiaTheme="minorHAnsi" w:hAnsi="Sancoale Slab Norm Regular" w:cstheme="minorHAnsi" w:hint="default"/>
        <w:color w:val="auto"/>
      </w:rPr>
    </w:lvl>
    <w:lvl w:ilvl="2" w:tplc="380A001B">
      <w:start w:val="1"/>
      <w:numFmt w:val="lowerRoman"/>
      <w:lvlText w:val="%3."/>
      <w:lvlJc w:val="right"/>
      <w:pPr>
        <w:ind w:left="2160" w:hanging="180"/>
      </w:pPr>
    </w:lvl>
    <w:lvl w:ilvl="3" w:tplc="380A000F">
      <w:start w:val="1"/>
      <w:numFmt w:val="decimal"/>
      <w:lvlText w:val="%4."/>
      <w:lvlJc w:val="left"/>
      <w:pPr>
        <w:ind w:left="2880" w:hanging="360"/>
      </w:pPr>
    </w:lvl>
    <w:lvl w:ilvl="4" w:tplc="380A0019" w:tentative="1">
      <w:start w:val="1"/>
      <w:numFmt w:val="lowerLetter"/>
      <w:lvlText w:val="%5."/>
      <w:lvlJc w:val="left"/>
      <w:pPr>
        <w:ind w:left="3600" w:hanging="360"/>
      </w:pPr>
    </w:lvl>
    <w:lvl w:ilvl="5" w:tplc="380A001B" w:tentative="1">
      <w:start w:val="1"/>
      <w:numFmt w:val="lowerRoman"/>
      <w:lvlText w:val="%6."/>
      <w:lvlJc w:val="right"/>
      <w:pPr>
        <w:ind w:left="4320" w:hanging="180"/>
      </w:pPr>
    </w:lvl>
    <w:lvl w:ilvl="6" w:tplc="380A000F" w:tentative="1">
      <w:start w:val="1"/>
      <w:numFmt w:val="decimal"/>
      <w:lvlText w:val="%7."/>
      <w:lvlJc w:val="left"/>
      <w:pPr>
        <w:ind w:left="5040" w:hanging="360"/>
      </w:pPr>
    </w:lvl>
    <w:lvl w:ilvl="7" w:tplc="380A0019" w:tentative="1">
      <w:start w:val="1"/>
      <w:numFmt w:val="lowerLetter"/>
      <w:lvlText w:val="%8."/>
      <w:lvlJc w:val="left"/>
      <w:pPr>
        <w:ind w:left="5760" w:hanging="360"/>
      </w:pPr>
    </w:lvl>
    <w:lvl w:ilvl="8" w:tplc="380A001B" w:tentative="1">
      <w:start w:val="1"/>
      <w:numFmt w:val="lowerRoman"/>
      <w:lvlText w:val="%9."/>
      <w:lvlJc w:val="right"/>
      <w:pPr>
        <w:ind w:left="6480" w:hanging="180"/>
      </w:pPr>
    </w:lvl>
  </w:abstractNum>
  <w:abstractNum w:abstractNumId="15" w15:restartNumberingAfterBreak="0">
    <w:nsid w:val="5CD4015C"/>
    <w:multiLevelType w:val="multilevel"/>
    <w:tmpl w:val="5CD4015C"/>
    <w:lvl w:ilvl="0">
      <w:start w:val="1"/>
      <w:numFmt w:val="decimal"/>
      <w:lvlText w:val="%1."/>
      <w:lvlJc w:val="left"/>
      <w:pPr>
        <w:ind w:left="580" w:hanging="360"/>
      </w:pPr>
      <w:rPr>
        <w:rFonts w:hint="default"/>
        <w:b w:val="0"/>
        <w:bCs w:val="0"/>
        <w:i w:val="0"/>
        <w:iCs w:val="0"/>
      </w:rPr>
    </w:lvl>
    <w:lvl w:ilvl="1">
      <w:numFmt w:val="bullet"/>
      <w:lvlText w:val="-"/>
      <w:lvlJc w:val="left"/>
      <w:pPr>
        <w:ind w:left="1440" w:hanging="360"/>
      </w:pPr>
      <w:rPr>
        <w:rFonts w:ascii="Times New Roman" w:eastAsiaTheme="minorHAnsi" w:hAnsi="Times New Roman" w:cs="Times New Roman"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5E326295"/>
    <w:multiLevelType w:val="hybridMultilevel"/>
    <w:tmpl w:val="6F94EFCC"/>
    <w:lvl w:ilvl="0" w:tplc="35BCEC5E">
      <w:numFmt w:val="bullet"/>
      <w:lvlText w:val="-"/>
      <w:lvlJc w:val="left"/>
      <w:pPr>
        <w:ind w:left="786" w:hanging="360"/>
      </w:pPr>
      <w:rPr>
        <w:rFonts w:ascii="Garamond" w:eastAsiaTheme="minorEastAsia" w:hAnsi="Garamond" w:cstheme="minorHAnsi" w:hint="default"/>
      </w:rPr>
    </w:lvl>
    <w:lvl w:ilvl="1" w:tplc="380A0003" w:tentative="1">
      <w:start w:val="1"/>
      <w:numFmt w:val="bullet"/>
      <w:lvlText w:val="o"/>
      <w:lvlJc w:val="left"/>
      <w:pPr>
        <w:ind w:left="1506" w:hanging="360"/>
      </w:pPr>
      <w:rPr>
        <w:rFonts w:ascii="Courier New" w:hAnsi="Courier New" w:cs="Courier New" w:hint="default"/>
      </w:rPr>
    </w:lvl>
    <w:lvl w:ilvl="2" w:tplc="380A0005" w:tentative="1">
      <w:start w:val="1"/>
      <w:numFmt w:val="bullet"/>
      <w:lvlText w:val=""/>
      <w:lvlJc w:val="left"/>
      <w:pPr>
        <w:ind w:left="2226" w:hanging="360"/>
      </w:pPr>
      <w:rPr>
        <w:rFonts w:ascii="Wingdings" w:hAnsi="Wingdings" w:hint="default"/>
      </w:rPr>
    </w:lvl>
    <w:lvl w:ilvl="3" w:tplc="380A0001" w:tentative="1">
      <w:start w:val="1"/>
      <w:numFmt w:val="bullet"/>
      <w:lvlText w:val=""/>
      <w:lvlJc w:val="left"/>
      <w:pPr>
        <w:ind w:left="2946" w:hanging="360"/>
      </w:pPr>
      <w:rPr>
        <w:rFonts w:ascii="Symbol" w:hAnsi="Symbol" w:hint="default"/>
      </w:rPr>
    </w:lvl>
    <w:lvl w:ilvl="4" w:tplc="380A0003" w:tentative="1">
      <w:start w:val="1"/>
      <w:numFmt w:val="bullet"/>
      <w:lvlText w:val="o"/>
      <w:lvlJc w:val="left"/>
      <w:pPr>
        <w:ind w:left="3666" w:hanging="360"/>
      </w:pPr>
      <w:rPr>
        <w:rFonts w:ascii="Courier New" w:hAnsi="Courier New" w:cs="Courier New" w:hint="default"/>
      </w:rPr>
    </w:lvl>
    <w:lvl w:ilvl="5" w:tplc="380A0005" w:tentative="1">
      <w:start w:val="1"/>
      <w:numFmt w:val="bullet"/>
      <w:lvlText w:val=""/>
      <w:lvlJc w:val="left"/>
      <w:pPr>
        <w:ind w:left="4386" w:hanging="360"/>
      </w:pPr>
      <w:rPr>
        <w:rFonts w:ascii="Wingdings" w:hAnsi="Wingdings" w:hint="default"/>
      </w:rPr>
    </w:lvl>
    <w:lvl w:ilvl="6" w:tplc="380A0001" w:tentative="1">
      <w:start w:val="1"/>
      <w:numFmt w:val="bullet"/>
      <w:lvlText w:val=""/>
      <w:lvlJc w:val="left"/>
      <w:pPr>
        <w:ind w:left="5106" w:hanging="360"/>
      </w:pPr>
      <w:rPr>
        <w:rFonts w:ascii="Symbol" w:hAnsi="Symbol" w:hint="default"/>
      </w:rPr>
    </w:lvl>
    <w:lvl w:ilvl="7" w:tplc="380A0003" w:tentative="1">
      <w:start w:val="1"/>
      <w:numFmt w:val="bullet"/>
      <w:lvlText w:val="o"/>
      <w:lvlJc w:val="left"/>
      <w:pPr>
        <w:ind w:left="5826" w:hanging="360"/>
      </w:pPr>
      <w:rPr>
        <w:rFonts w:ascii="Courier New" w:hAnsi="Courier New" w:cs="Courier New" w:hint="default"/>
      </w:rPr>
    </w:lvl>
    <w:lvl w:ilvl="8" w:tplc="380A0005" w:tentative="1">
      <w:start w:val="1"/>
      <w:numFmt w:val="bullet"/>
      <w:lvlText w:val=""/>
      <w:lvlJc w:val="left"/>
      <w:pPr>
        <w:ind w:left="6546" w:hanging="360"/>
      </w:pPr>
      <w:rPr>
        <w:rFonts w:ascii="Wingdings" w:hAnsi="Wingdings" w:hint="default"/>
      </w:rPr>
    </w:lvl>
  </w:abstractNum>
  <w:abstractNum w:abstractNumId="17" w15:restartNumberingAfterBreak="0">
    <w:nsid w:val="5F8C58FF"/>
    <w:multiLevelType w:val="hybridMultilevel"/>
    <w:tmpl w:val="1D20DC2C"/>
    <w:lvl w:ilvl="0" w:tplc="D3447F94">
      <w:start w:val="1"/>
      <w:numFmt w:val="bullet"/>
      <w:lvlText w:val="-"/>
      <w:lvlJc w:val="left"/>
      <w:pPr>
        <w:ind w:left="785" w:hanging="360"/>
      </w:pPr>
      <w:rPr>
        <w:rFonts w:ascii="Sylfaen" w:hAnsi="Sylfaen" w:hint="default"/>
        <w:color w:val="auto"/>
      </w:rPr>
    </w:lvl>
    <w:lvl w:ilvl="1" w:tplc="380A0003" w:tentative="1">
      <w:start w:val="1"/>
      <w:numFmt w:val="bullet"/>
      <w:lvlText w:val="o"/>
      <w:lvlJc w:val="left"/>
      <w:pPr>
        <w:ind w:left="1505" w:hanging="360"/>
      </w:pPr>
      <w:rPr>
        <w:rFonts w:ascii="Courier New" w:hAnsi="Courier New" w:cs="Courier New" w:hint="default"/>
      </w:rPr>
    </w:lvl>
    <w:lvl w:ilvl="2" w:tplc="380A0005" w:tentative="1">
      <w:start w:val="1"/>
      <w:numFmt w:val="bullet"/>
      <w:lvlText w:val=""/>
      <w:lvlJc w:val="left"/>
      <w:pPr>
        <w:ind w:left="2225" w:hanging="360"/>
      </w:pPr>
      <w:rPr>
        <w:rFonts w:ascii="Wingdings" w:hAnsi="Wingdings" w:cs="Wingdings" w:hint="default"/>
      </w:rPr>
    </w:lvl>
    <w:lvl w:ilvl="3" w:tplc="380A0001" w:tentative="1">
      <w:start w:val="1"/>
      <w:numFmt w:val="bullet"/>
      <w:lvlText w:val=""/>
      <w:lvlJc w:val="left"/>
      <w:pPr>
        <w:ind w:left="2945" w:hanging="360"/>
      </w:pPr>
      <w:rPr>
        <w:rFonts w:ascii="Symbol" w:hAnsi="Symbol" w:cs="Symbol" w:hint="default"/>
      </w:rPr>
    </w:lvl>
    <w:lvl w:ilvl="4" w:tplc="380A0003" w:tentative="1">
      <w:start w:val="1"/>
      <w:numFmt w:val="bullet"/>
      <w:lvlText w:val="o"/>
      <w:lvlJc w:val="left"/>
      <w:pPr>
        <w:ind w:left="3665" w:hanging="360"/>
      </w:pPr>
      <w:rPr>
        <w:rFonts w:ascii="Courier New" w:hAnsi="Courier New" w:cs="Courier New" w:hint="default"/>
      </w:rPr>
    </w:lvl>
    <w:lvl w:ilvl="5" w:tplc="380A0005" w:tentative="1">
      <w:start w:val="1"/>
      <w:numFmt w:val="bullet"/>
      <w:lvlText w:val=""/>
      <w:lvlJc w:val="left"/>
      <w:pPr>
        <w:ind w:left="4385" w:hanging="360"/>
      </w:pPr>
      <w:rPr>
        <w:rFonts w:ascii="Wingdings" w:hAnsi="Wingdings" w:cs="Wingdings" w:hint="default"/>
      </w:rPr>
    </w:lvl>
    <w:lvl w:ilvl="6" w:tplc="380A0001" w:tentative="1">
      <w:start w:val="1"/>
      <w:numFmt w:val="bullet"/>
      <w:lvlText w:val=""/>
      <w:lvlJc w:val="left"/>
      <w:pPr>
        <w:ind w:left="5105" w:hanging="360"/>
      </w:pPr>
      <w:rPr>
        <w:rFonts w:ascii="Symbol" w:hAnsi="Symbol" w:cs="Symbol" w:hint="default"/>
      </w:rPr>
    </w:lvl>
    <w:lvl w:ilvl="7" w:tplc="380A0003" w:tentative="1">
      <w:start w:val="1"/>
      <w:numFmt w:val="bullet"/>
      <w:lvlText w:val="o"/>
      <w:lvlJc w:val="left"/>
      <w:pPr>
        <w:ind w:left="5825" w:hanging="360"/>
      </w:pPr>
      <w:rPr>
        <w:rFonts w:ascii="Courier New" w:hAnsi="Courier New" w:cs="Courier New" w:hint="default"/>
      </w:rPr>
    </w:lvl>
    <w:lvl w:ilvl="8" w:tplc="380A0005" w:tentative="1">
      <w:start w:val="1"/>
      <w:numFmt w:val="bullet"/>
      <w:lvlText w:val=""/>
      <w:lvlJc w:val="left"/>
      <w:pPr>
        <w:ind w:left="6545" w:hanging="360"/>
      </w:pPr>
      <w:rPr>
        <w:rFonts w:ascii="Wingdings" w:hAnsi="Wingdings" w:cs="Wingdings" w:hint="default"/>
      </w:rPr>
    </w:lvl>
  </w:abstractNum>
  <w:abstractNum w:abstractNumId="18" w15:restartNumberingAfterBreak="0">
    <w:nsid w:val="61374B51"/>
    <w:multiLevelType w:val="hybridMultilevel"/>
    <w:tmpl w:val="6BF410AA"/>
    <w:lvl w:ilvl="0" w:tplc="11A08C2C">
      <w:start w:val="14"/>
      <w:numFmt w:val="bullet"/>
      <w:lvlText w:val="-"/>
      <w:lvlJc w:val="left"/>
      <w:pPr>
        <w:ind w:left="1211" w:hanging="360"/>
      </w:pPr>
      <w:rPr>
        <w:rFonts w:ascii="Sancoale Slab Norm Regular" w:eastAsiaTheme="minorHAnsi" w:hAnsi="Sancoale Slab Norm Regular" w:cstheme="minorHAnsi" w:hint="default"/>
        <w:color w:val="auto"/>
      </w:rPr>
    </w:lvl>
    <w:lvl w:ilvl="1" w:tplc="380A0003">
      <w:start w:val="1"/>
      <w:numFmt w:val="bullet"/>
      <w:lvlText w:val="o"/>
      <w:lvlJc w:val="left"/>
      <w:pPr>
        <w:ind w:left="1931" w:hanging="360"/>
      </w:pPr>
      <w:rPr>
        <w:rFonts w:ascii="Courier New" w:hAnsi="Courier New" w:cs="Courier New" w:hint="default"/>
      </w:rPr>
    </w:lvl>
    <w:lvl w:ilvl="2" w:tplc="380A0005" w:tentative="1">
      <w:start w:val="1"/>
      <w:numFmt w:val="bullet"/>
      <w:lvlText w:val=""/>
      <w:lvlJc w:val="left"/>
      <w:pPr>
        <w:ind w:left="2651" w:hanging="360"/>
      </w:pPr>
      <w:rPr>
        <w:rFonts w:ascii="Wingdings" w:hAnsi="Wingdings" w:hint="default"/>
      </w:rPr>
    </w:lvl>
    <w:lvl w:ilvl="3" w:tplc="380A0001" w:tentative="1">
      <w:start w:val="1"/>
      <w:numFmt w:val="bullet"/>
      <w:lvlText w:val=""/>
      <w:lvlJc w:val="left"/>
      <w:pPr>
        <w:ind w:left="3371" w:hanging="360"/>
      </w:pPr>
      <w:rPr>
        <w:rFonts w:ascii="Symbol" w:hAnsi="Symbol" w:hint="default"/>
      </w:rPr>
    </w:lvl>
    <w:lvl w:ilvl="4" w:tplc="380A0003" w:tentative="1">
      <w:start w:val="1"/>
      <w:numFmt w:val="bullet"/>
      <w:lvlText w:val="o"/>
      <w:lvlJc w:val="left"/>
      <w:pPr>
        <w:ind w:left="4091" w:hanging="360"/>
      </w:pPr>
      <w:rPr>
        <w:rFonts w:ascii="Courier New" w:hAnsi="Courier New" w:cs="Courier New" w:hint="default"/>
      </w:rPr>
    </w:lvl>
    <w:lvl w:ilvl="5" w:tplc="380A0005" w:tentative="1">
      <w:start w:val="1"/>
      <w:numFmt w:val="bullet"/>
      <w:lvlText w:val=""/>
      <w:lvlJc w:val="left"/>
      <w:pPr>
        <w:ind w:left="4811" w:hanging="360"/>
      </w:pPr>
      <w:rPr>
        <w:rFonts w:ascii="Wingdings" w:hAnsi="Wingdings" w:hint="default"/>
      </w:rPr>
    </w:lvl>
    <w:lvl w:ilvl="6" w:tplc="380A0001" w:tentative="1">
      <w:start w:val="1"/>
      <w:numFmt w:val="bullet"/>
      <w:lvlText w:val=""/>
      <w:lvlJc w:val="left"/>
      <w:pPr>
        <w:ind w:left="5531" w:hanging="360"/>
      </w:pPr>
      <w:rPr>
        <w:rFonts w:ascii="Symbol" w:hAnsi="Symbol" w:hint="default"/>
      </w:rPr>
    </w:lvl>
    <w:lvl w:ilvl="7" w:tplc="380A0003" w:tentative="1">
      <w:start w:val="1"/>
      <w:numFmt w:val="bullet"/>
      <w:lvlText w:val="o"/>
      <w:lvlJc w:val="left"/>
      <w:pPr>
        <w:ind w:left="6251" w:hanging="360"/>
      </w:pPr>
      <w:rPr>
        <w:rFonts w:ascii="Courier New" w:hAnsi="Courier New" w:cs="Courier New" w:hint="default"/>
      </w:rPr>
    </w:lvl>
    <w:lvl w:ilvl="8" w:tplc="380A0005" w:tentative="1">
      <w:start w:val="1"/>
      <w:numFmt w:val="bullet"/>
      <w:lvlText w:val=""/>
      <w:lvlJc w:val="left"/>
      <w:pPr>
        <w:ind w:left="6971" w:hanging="360"/>
      </w:pPr>
      <w:rPr>
        <w:rFonts w:ascii="Wingdings" w:hAnsi="Wingdings" w:hint="default"/>
      </w:rPr>
    </w:lvl>
  </w:abstractNum>
  <w:abstractNum w:abstractNumId="19" w15:restartNumberingAfterBreak="0">
    <w:nsid w:val="6D906C6F"/>
    <w:multiLevelType w:val="hybridMultilevel"/>
    <w:tmpl w:val="6A940880"/>
    <w:lvl w:ilvl="0" w:tplc="123ABA96">
      <w:start w:val="1"/>
      <w:numFmt w:val="bullet"/>
      <w:lvlText w:val=""/>
      <w:lvlJc w:val="left"/>
      <w:pPr>
        <w:ind w:left="720" w:hanging="360"/>
      </w:pPr>
      <w:rPr>
        <w:rFonts w:ascii="Symbol" w:hAnsi="Symbo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20" w15:restartNumberingAfterBreak="0">
    <w:nsid w:val="6F3C0F6D"/>
    <w:multiLevelType w:val="hybridMultilevel"/>
    <w:tmpl w:val="FC807130"/>
    <w:lvl w:ilvl="0" w:tplc="11A08C2C">
      <w:start w:val="14"/>
      <w:numFmt w:val="bullet"/>
      <w:lvlText w:val="-"/>
      <w:lvlJc w:val="left"/>
      <w:pPr>
        <w:ind w:left="1146" w:hanging="360"/>
      </w:pPr>
      <w:rPr>
        <w:rFonts w:ascii="Sancoale Slab Norm Regular" w:eastAsiaTheme="minorHAnsi" w:hAnsi="Sancoale Slab Norm Regular" w:cstheme="minorHAnsi" w:hint="default"/>
        <w:color w:val="auto"/>
      </w:rPr>
    </w:lvl>
    <w:lvl w:ilvl="1" w:tplc="380A0003" w:tentative="1">
      <w:start w:val="1"/>
      <w:numFmt w:val="bullet"/>
      <w:lvlText w:val="o"/>
      <w:lvlJc w:val="left"/>
      <w:pPr>
        <w:ind w:left="1866" w:hanging="360"/>
      </w:pPr>
      <w:rPr>
        <w:rFonts w:ascii="Courier New" w:hAnsi="Courier New" w:cs="Courier New" w:hint="default"/>
      </w:rPr>
    </w:lvl>
    <w:lvl w:ilvl="2" w:tplc="380A0005" w:tentative="1">
      <w:start w:val="1"/>
      <w:numFmt w:val="bullet"/>
      <w:lvlText w:val=""/>
      <w:lvlJc w:val="left"/>
      <w:pPr>
        <w:ind w:left="2586" w:hanging="360"/>
      </w:pPr>
      <w:rPr>
        <w:rFonts w:ascii="Wingdings" w:hAnsi="Wingdings" w:hint="default"/>
      </w:rPr>
    </w:lvl>
    <w:lvl w:ilvl="3" w:tplc="380A0001" w:tentative="1">
      <w:start w:val="1"/>
      <w:numFmt w:val="bullet"/>
      <w:lvlText w:val=""/>
      <w:lvlJc w:val="left"/>
      <w:pPr>
        <w:ind w:left="3306" w:hanging="360"/>
      </w:pPr>
      <w:rPr>
        <w:rFonts w:ascii="Symbol" w:hAnsi="Symbol" w:hint="default"/>
      </w:rPr>
    </w:lvl>
    <w:lvl w:ilvl="4" w:tplc="380A0003" w:tentative="1">
      <w:start w:val="1"/>
      <w:numFmt w:val="bullet"/>
      <w:lvlText w:val="o"/>
      <w:lvlJc w:val="left"/>
      <w:pPr>
        <w:ind w:left="4026" w:hanging="360"/>
      </w:pPr>
      <w:rPr>
        <w:rFonts w:ascii="Courier New" w:hAnsi="Courier New" w:cs="Courier New" w:hint="default"/>
      </w:rPr>
    </w:lvl>
    <w:lvl w:ilvl="5" w:tplc="380A0005" w:tentative="1">
      <w:start w:val="1"/>
      <w:numFmt w:val="bullet"/>
      <w:lvlText w:val=""/>
      <w:lvlJc w:val="left"/>
      <w:pPr>
        <w:ind w:left="4746" w:hanging="360"/>
      </w:pPr>
      <w:rPr>
        <w:rFonts w:ascii="Wingdings" w:hAnsi="Wingdings" w:hint="default"/>
      </w:rPr>
    </w:lvl>
    <w:lvl w:ilvl="6" w:tplc="380A0001" w:tentative="1">
      <w:start w:val="1"/>
      <w:numFmt w:val="bullet"/>
      <w:lvlText w:val=""/>
      <w:lvlJc w:val="left"/>
      <w:pPr>
        <w:ind w:left="5466" w:hanging="360"/>
      </w:pPr>
      <w:rPr>
        <w:rFonts w:ascii="Symbol" w:hAnsi="Symbol" w:hint="default"/>
      </w:rPr>
    </w:lvl>
    <w:lvl w:ilvl="7" w:tplc="380A0003" w:tentative="1">
      <w:start w:val="1"/>
      <w:numFmt w:val="bullet"/>
      <w:lvlText w:val="o"/>
      <w:lvlJc w:val="left"/>
      <w:pPr>
        <w:ind w:left="6186" w:hanging="360"/>
      </w:pPr>
      <w:rPr>
        <w:rFonts w:ascii="Courier New" w:hAnsi="Courier New" w:cs="Courier New" w:hint="default"/>
      </w:rPr>
    </w:lvl>
    <w:lvl w:ilvl="8" w:tplc="380A0005" w:tentative="1">
      <w:start w:val="1"/>
      <w:numFmt w:val="bullet"/>
      <w:lvlText w:val=""/>
      <w:lvlJc w:val="left"/>
      <w:pPr>
        <w:ind w:left="6906" w:hanging="360"/>
      </w:pPr>
      <w:rPr>
        <w:rFonts w:ascii="Wingdings" w:hAnsi="Wingdings" w:hint="default"/>
      </w:rPr>
    </w:lvl>
  </w:abstractNum>
  <w:abstractNum w:abstractNumId="21" w15:restartNumberingAfterBreak="0">
    <w:nsid w:val="74900F1F"/>
    <w:multiLevelType w:val="hybridMultilevel"/>
    <w:tmpl w:val="03BA42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798E091B"/>
    <w:multiLevelType w:val="hybridMultilevel"/>
    <w:tmpl w:val="FF52804A"/>
    <w:lvl w:ilvl="0" w:tplc="D3447F94">
      <w:start w:val="1"/>
      <w:numFmt w:val="bullet"/>
      <w:lvlText w:val="-"/>
      <w:lvlJc w:val="left"/>
      <w:pPr>
        <w:ind w:left="1429" w:hanging="360"/>
      </w:pPr>
      <w:rPr>
        <w:rFonts w:ascii="Sylfaen" w:hAnsi="Sylfaen" w:hint="default"/>
      </w:rPr>
    </w:lvl>
    <w:lvl w:ilvl="1" w:tplc="380A0003" w:tentative="1">
      <w:start w:val="1"/>
      <w:numFmt w:val="bullet"/>
      <w:lvlText w:val="o"/>
      <w:lvlJc w:val="left"/>
      <w:pPr>
        <w:ind w:left="2149" w:hanging="360"/>
      </w:pPr>
      <w:rPr>
        <w:rFonts w:ascii="Courier New" w:hAnsi="Courier New" w:cs="Courier New" w:hint="default"/>
      </w:rPr>
    </w:lvl>
    <w:lvl w:ilvl="2" w:tplc="380A0005" w:tentative="1">
      <w:start w:val="1"/>
      <w:numFmt w:val="bullet"/>
      <w:lvlText w:val=""/>
      <w:lvlJc w:val="left"/>
      <w:pPr>
        <w:ind w:left="2869" w:hanging="360"/>
      </w:pPr>
      <w:rPr>
        <w:rFonts w:ascii="Wingdings" w:hAnsi="Wingdings" w:hint="default"/>
      </w:rPr>
    </w:lvl>
    <w:lvl w:ilvl="3" w:tplc="380A0001" w:tentative="1">
      <w:start w:val="1"/>
      <w:numFmt w:val="bullet"/>
      <w:lvlText w:val=""/>
      <w:lvlJc w:val="left"/>
      <w:pPr>
        <w:ind w:left="3589" w:hanging="360"/>
      </w:pPr>
      <w:rPr>
        <w:rFonts w:ascii="Symbol" w:hAnsi="Symbol" w:hint="default"/>
      </w:rPr>
    </w:lvl>
    <w:lvl w:ilvl="4" w:tplc="380A0003" w:tentative="1">
      <w:start w:val="1"/>
      <w:numFmt w:val="bullet"/>
      <w:lvlText w:val="o"/>
      <w:lvlJc w:val="left"/>
      <w:pPr>
        <w:ind w:left="4309" w:hanging="360"/>
      </w:pPr>
      <w:rPr>
        <w:rFonts w:ascii="Courier New" w:hAnsi="Courier New" w:cs="Courier New" w:hint="default"/>
      </w:rPr>
    </w:lvl>
    <w:lvl w:ilvl="5" w:tplc="380A0005" w:tentative="1">
      <w:start w:val="1"/>
      <w:numFmt w:val="bullet"/>
      <w:lvlText w:val=""/>
      <w:lvlJc w:val="left"/>
      <w:pPr>
        <w:ind w:left="5029" w:hanging="360"/>
      </w:pPr>
      <w:rPr>
        <w:rFonts w:ascii="Wingdings" w:hAnsi="Wingdings" w:hint="default"/>
      </w:rPr>
    </w:lvl>
    <w:lvl w:ilvl="6" w:tplc="380A0001" w:tentative="1">
      <w:start w:val="1"/>
      <w:numFmt w:val="bullet"/>
      <w:lvlText w:val=""/>
      <w:lvlJc w:val="left"/>
      <w:pPr>
        <w:ind w:left="5749" w:hanging="360"/>
      </w:pPr>
      <w:rPr>
        <w:rFonts w:ascii="Symbol" w:hAnsi="Symbol" w:hint="default"/>
      </w:rPr>
    </w:lvl>
    <w:lvl w:ilvl="7" w:tplc="380A0003" w:tentative="1">
      <w:start w:val="1"/>
      <w:numFmt w:val="bullet"/>
      <w:lvlText w:val="o"/>
      <w:lvlJc w:val="left"/>
      <w:pPr>
        <w:ind w:left="6469" w:hanging="360"/>
      </w:pPr>
      <w:rPr>
        <w:rFonts w:ascii="Courier New" w:hAnsi="Courier New" w:cs="Courier New" w:hint="default"/>
      </w:rPr>
    </w:lvl>
    <w:lvl w:ilvl="8" w:tplc="380A0005" w:tentative="1">
      <w:start w:val="1"/>
      <w:numFmt w:val="bullet"/>
      <w:lvlText w:val=""/>
      <w:lvlJc w:val="left"/>
      <w:pPr>
        <w:ind w:left="7189" w:hanging="360"/>
      </w:pPr>
      <w:rPr>
        <w:rFonts w:ascii="Wingdings" w:hAnsi="Wingdings" w:hint="default"/>
      </w:rPr>
    </w:lvl>
  </w:abstractNum>
  <w:num w:numId="1">
    <w:abstractNumId w:val="11"/>
  </w:num>
  <w:num w:numId="2">
    <w:abstractNumId w:val="22"/>
  </w:num>
  <w:num w:numId="3">
    <w:abstractNumId w:val="20"/>
  </w:num>
  <w:num w:numId="4">
    <w:abstractNumId w:val="1"/>
  </w:num>
  <w:num w:numId="5">
    <w:abstractNumId w:val="8"/>
  </w:num>
  <w:num w:numId="6">
    <w:abstractNumId w:val="10"/>
  </w:num>
  <w:num w:numId="7">
    <w:abstractNumId w:val="13"/>
  </w:num>
  <w:num w:numId="8">
    <w:abstractNumId w:val="17"/>
  </w:num>
  <w:num w:numId="9">
    <w:abstractNumId w:val="14"/>
  </w:num>
  <w:num w:numId="10">
    <w:abstractNumId w:val="18"/>
  </w:num>
  <w:num w:numId="11">
    <w:abstractNumId w:val="7"/>
  </w:num>
  <w:num w:numId="12">
    <w:abstractNumId w:val="16"/>
  </w:num>
  <w:num w:numId="13">
    <w:abstractNumId w:val="4"/>
  </w:num>
  <w:num w:numId="14">
    <w:abstractNumId w:val="6"/>
  </w:num>
  <w:num w:numId="15">
    <w:abstractNumId w:val="2"/>
  </w:num>
  <w:num w:numId="16">
    <w:abstractNumId w:val="3"/>
  </w:num>
  <w:num w:numId="17">
    <w:abstractNumId w:val="19"/>
  </w:num>
  <w:num w:numId="18">
    <w:abstractNumId w:val="12"/>
  </w:num>
  <w:num w:numId="19">
    <w:abstractNumId w:val="21"/>
  </w:num>
  <w:num w:numId="20">
    <w:abstractNumId w:val="15"/>
  </w:num>
  <w:num w:numId="21">
    <w:abstractNumId w:val="5"/>
  </w:num>
  <w:num w:numId="22">
    <w:abstractNumId w:val="9"/>
  </w:num>
  <w:num w:numId="23">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2F07"/>
    <w:rsid w:val="00001E20"/>
    <w:rsid w:val="00002DC4"/>
    <w:rsid w:val="00004BC1"/>
    <w:rsid w:val="00004D2E"/>
    <w:rsid w:val="000065D7"/>
    <w:rsid w:val="00017BF0"/>
    <w:rsid w:val="00025466"/>
    <w:rsid w:val="000324C0"/>
    <w:rsid w:val="00033BA4"/>
    <w:rsid w:val="000359E4"/>
    <w:rsid w:val="00035FF3"/>
    <w:rsid w:val="000378EB"/>
    <w:rsid w:val="000408CC"/>
    <w:rsid w:val="00041D7B"/>
    <w:rsid w:val="00042A27"/>
    <w:rsid w:val="000435EF"/>
    <w:rsid w:val="00043E7D"/>
    <w:rsid w:val="00044960"/>
    <w:rsid w:val="000468D2"/>
    <w:rsid w:val="00046BF4"/>
    <w:rsid w:val="00047C42"/>
    <w:rsid w:val="000511D1"/>
    <w:rsid w:val="00053FEA"/>
    <w:rsid w:val="0005477E"/>
    <w:rsid w:val="000617C7"/>
    <w:rsid w:val="000617F3"/>
    <w:rsid w:val="0006208E"/>
    <w:rsid w:val="0006556E"/>
    <w:rsid w:val="00070E34"/>
    <w:rsid w:val="000738D1"/>
    <w:rsid w:val="0007425D"/>
    <w:rsid w:val="00075429"/>
    <w:rsid w:val="00081027"/>
    <w:rsid w:val="00081503"/>
    <w:rsid w:val="00082A2B"/>
    <w:rsid w:val="0008399E"/>
    <w:rsid w:val="000840CA"/>
    <w:rsid w:val="00085DF7"/>
    <w:rsid w:val="00094452"/>
    <w:rsid w:val="00095DA9"/>
    <w:rsid w:val="000A15A7"/>
    <w:rsid w:val="000A2101"/>
    <w:rsid w:val="000B7046"/>
    <w:rsid w:val="000C0C73"/>
    <w:rsid w:val="000C2498"/>
    <w:rsid w:val="000C4DA5"/>
    <w:rsid w:val="000D06BC"/>
    <w:rsid w:val="000D675D"/>
    <w:rsid w:val="000E182C"/>
    <w:rsid w:val="000E1E8F"/>
    <w:rsid w:val="000E5E31"/>
    <w:rsid w:val="000F0B2F"/>
    <w:rsid w:val="000F0F17"/>
    <w:rsid w:val="000F3EF7"/>
    <w:rsid w:val="00101097"/>
    <w:rsid w:val="00101695"/>
    <w:rsid w:val="0010316D"/>
    <w:rsid w:val="001053C5"/>
    <w:rsid w:val="0011276C"/>
    <w:rsid w:val="00120B5A"/>
    <w:rsid w:val="00120BEB"/>
    <w:rsid w:val="00120FFE"/>
    <w:rsid w:val="00125740"/>
    <w:rsid w:val="00125ABA"/>
    <w:rsid w:val="001366D5"/>
    <w:rsid w:val="00142BE6"/>
    <w:rsid w:val="00145D69"/>
    <w:rsid w:val="00146EC7"/>
    <w:rsid w:val="00154315"/>
    <w:rsid w:val="001543EC"/>
    <w:rsid w:val="001612D2"/>
    <w:rsid w:val="00171371"/>
    <w:rsid w:val="00174516"/>
    <w:rsid w:val="00174A15"/>
    <w:rsid w:val="00175D5D"/>
    <w:rsid w:val="00176A02"/>
    <w:rsid w:val="00180EA0"/>
    <w:rsid w:val="0018312B"/>
    <w:rsid w:val="00190DF2"/>
    <w:rsid w:val="00190FC7"/>
    <w:rsid w:val="001A05A4"/>
    <w:rsid w:val="001A47E8"/>
    <w:rsid w:val="001A6E3E"/>
    <w:rsid w:val="001B15D4"/>
    <w:rsid w:val="001B1845"/>
    <w:rsid w:val="001B53D0"/>
    <w:rsid w:val="001B79AC"/>
    <w:rsid w:val="001C4948"/>
    <w:rsid w:val="001C5319"/>
    <w:rsid w:val="001D0BDA"/>
    <w:rsid w:val="001E32BD"/>
    <w:rsid w:val="001E3A38"/>
    <w:rsid w:val="001E5E43"/>
    <w:rsid w:val="001E69F7"/>
    <w:rsid w:val="001F3541"/>
    <w:rsid w:val="001F3784"/>
    <w:rsid w:val="001F450C"/>
    <w:rsid w:val="001F6F6B"/>
    <w:rsid w:val="0020151C"/>
    <w:rsid w:val="00202358"/>
    <w:rsid w:val="00204CE9"/>
    <w:rsid w:val="002068F4"/>
    <w:rsid w:val="00214842"/>
    <w:rsid w:val="00215052"/>
    <w:rsid w:val="00222924"/>
    <w:rsid w:val="0022406B"/>
    <w:rsid w:val="002355ED"/>
    <w:rsid w:val="00241637"/>
    <w:rsid w:val="00242D28"/>
    <w:rsid w:val="0024402A"/>
    <w:rsid w:val="002449A3"/>
    <w:rsid w:val="002504C0"/>
    <w:rsid w:val="00251A3B"/>
    <w:rsid w:val="0025384D"/>
    <w:rsid w:val="00263D4F"/>
    <w:rsid w:val="00267218"/>
    <w:rsid w:val="00271384"/>
    <w:rsid w:val="00280DE7"/>
    <w:rsid w:val="0028507B"/>
    <w:rsid w:val="00292831"/>
    <w:rsid w:val="00295BDD"/>
    <w:rsid w:val="002A2173"/>
    <w:rsid w:val="002A2416"/>
    <w:rsid w:val="002A5262"/>
    <w:rsid w:val="002B0913"/>
    <w:rsid w:val="002B1C82"/>
    <w:rsid w:val="002B2278"/>
    <w:rsid w:val="002B4291"/>
    <w:rsid w:val="002C2479"/>
    <w:rsid w:val="002C7688"/>
    <w:rsid w:val="002D0AB5"/>
    <w:rsid w:val="002D187A"/>
    <w:rsid w:val="002D232F"/>
    <w:rsid w:val="002D2421"/>
    <w:rsid w:val="002D2E75"/>
    <w:rsid w:val="002D3AA1"/>
    <w:rsid w:val="002D512B"/>
    <w:rsid w:val="002D5B2F"/>
    <w:rsid w:val="002E15FA"/>
    <w:rsid w:val="002E51C0"/>
    <w:rsid w:val="002F0603"/>
    <w:rsid w:val="002F225F"/>
    <w:rsid w:val="002F5AB2"/>
    <w:rsid w:val="00302F27"/>
    <w:rsid w:val="0030474E"/>
    <w:rsid w:val="00312AE6"/>
    <w:rsid w:val="00316A54"/>
    <w:rsid w:val="00317477"/>
    <w:rsid w:val="00317C40"/>
    <w:rsid w:val="003208E7"/>
    <w:rsid w:val="00323E55"/>
    <w:rsid w:val="00326FEF"/>
    <w:rsid w:val="0032767B"/>
    <w:rsid w:val="00333530"/>
    <w:rsid w:val="00335A56"/>
    <w:rsid w:val="00341082"/>
    <w:rsid w:val="0034680A"/>
    <w:rsid w:val="00351CB1"/>
    <w:rsid w:val="00353979"/>
    <w:rsid w:val="00355841"/>
    <w:rsid w:val="00355C19"/>
    <w:rsid w:val="00357563"/>
    <w:rsid w:val="00357F1C"/>
    <w:rsid w:val="0036125E"/>
    <w:rsid w:val="00362F9C"/>
    <w:rsid w:val="003657F9"/>
    <w:rsid w:val="00377F7C"/>
    <w:rsid w:val="00383001"/>
    <w:rsid w:val="00383E0D"/>
    <w:rsid w:val="00387628"/>
    <w:rsid w:val="00387645"/>
    <w:rsid w:val="00392548"/>
    <w:rsid w:val="003A0D2B"/>
    <w:rsid w:val="003A37CE"/>
    <w:rsid w:val="003A78D4"/>
    <w:rsid w:val="003B48C3"/>
    <w:rsid w:val="003B6D3B"/>
    <w:rsid w:val="003B71A4"/>
    <w:rsid w:val="003B759B"/>
    <w:rsid w:val="003B77E2"/>
    <w:rsid w:val="003C6379"/>
    <w:rsid w:val="003C723D"/>
    <w:rsid w:val="003D028D"/>
    <w:rsid w:val="003D1CB4"/>
    <w:rsid w:val="003D3CEF"/>
    <w:rsid w:val="003D6304"/>
    <w:rsid w:val="003D6F7E"/>
    <w:rsid w:val="003E097C"/>
    <w:rsid w:val="003E1BF6"/>
    <w:rsid w:val="003E3311"/>
    <w:rsid w:val="003E681A"/>
    <w:rsid w:val="003E6FEF"/>
    <w:rsid w:val="003F32A2"/>
    <w:rsid w:val="003F45AD"/>
    <w:rsid w:val="003F45B0"/>
    <w:rsid w:val="00400136"/>
    <w:rsid w:val="0040097D"/>
    <w:rsid w:val="004027F3"/>
    <w:rsid w:val="004050D1"/>
    <w:rsid w:val="00410690"/>
    <w:rsid w:val="00411044"/>
    <w:rsid w:val="00417328"/>
    <w:rsid w:val="00421042"/>
    <w:rsid w:val="00421C48"/>
    <w:rsid w:val="00421CD8"/>
    <w:rsid w:val="0042434F"/>
    <w:rsid w:val="004244F6"/>
    <w:rsid w:val="004260DB"/>
    <w:rsid w:val="004318B4"/>
    <w:rsid w:val="00432089"/>
    <w:rsid w:val="00436EE8"/>
    <w:rsid w:val="00437CE6"/>
    <w:rsid w:val="00440395"/>
    <w:rsid w:val="00440D3A"/>
    <w:rsid w:val="00441663"/>
    <w:rsid w:val="0044493B"/>
    <w:rsid w:val="0045362B"/>
    <w:rsid w:val="0045740F"/>
    <w:rsid w:val="004608D0"/>
    <w:rsid w:val="004637A1"/>
    <w:rsid w:val="00463ED4"/>
    <w:rsid w:val="0046482C"/>
    <w:rsid w:val="00464A52"/>
    <w:rsid w:val="004655D0"/>
    <w:rsid w:val="00472A2A"/>
    <w:rsid w:val="00481ED5"/>
    <w:rsid w:val="00485001"/>
    <w:rsid w:val="004917EB"/>
    <w:rsid w:val="004962E2"/>
    <w:rsid w:val="004A38B4"/>
    <w:rsid w:val="004A45B6"/>
    <w:rsid w:val="004B0146"/>
    <w:rsid w:val="004C1B48"/>
    <w:rsid w:val="004C1CFA"/>
    <w:rsid w:val="004C3555"/>
    <w:rsid w:val="004C3EAD"/>
    <w:rsid w:val="004D033E"/>
    <w:rsid w:val="004D709C"/>
    <w:rsid w:val="004E240A"/>
    <w:rsid w:val="004F30F3"/>
    <w:rsid w:val="004F52E4"/>
    <w:rsid w:val="004F728C"/>
    <w:rsid w:val="00502F07"/>
    <w:rsid w:val="00506101"/>
    <w:rsid w:val="005066F8"/>
    <w:rsid w:val="00510CBD"/>
    <w:rsid w:val="005118CA"/>
    <w:rsid w:val="005252B6"/>
    <w:rsid w:val="00526CCF"/>
    <w:rsid w:val="005349A5"/>
    <w:rsid w:val="005375E8"/>
    <w:rsid w:val="0055156E"/>
    <w:rsid w:val="00551750"/>
    <w:rsid w:val="00562C7D"/>
    <w:rsid w:val="00566C0F"/>
    <w:rsid w:val="0056766D"/>
    <w:rsid w:val="00571A97"/>
    <w:rsid w:val="00571F2A"/>
    <w:rsid w:val="00582AF1"/>
    <w:rsid w:val="00583902"/>
    <w:rsid w:val="00584784"/>
    <w:rsid w:val="00584E75"/>
    <w:rsid w:val="00585F93"/>
    <w:rsid w:val="00587D88"/>
    <w:rsid w:val="00593A30"/>
    <w:rsid w:val="00593C2F"/>
    <w:rsid w:val="005A0F05"/>
    <w:rsid w:val="005A4073"/>
    <w:rsid w:val="005A5583"/>
    <w:rsid w:val="005B217A"/>
    <w:rsid w:val="005B3CBA"/>
    <w:rsid w:val="005C426C"/>
    <w:rsid w:val="005C50B9"/>
    <w:rsid w:val="005C5216"/>
    <w:rsid w:val="005D1632"/>
    <w:rsid w:val="005D71EA"/>
    <w:rsid w:val="005E4B58"/>
    <w:rsid w:val="005F2218"/>
    <w:rsid w:val="005F3E65"/>
    <w:rsid w:val="005F6C37"/>
    <w:rsid w:val="00600D74"/>
    <w:rsid w:val="00604105"/>
    <w:rsid w:val="00613231"/>
    <w:rsid w:val="006204C8"/>
    <w:rsid w:val="006218F0"/>
    <w:rsid w:val="00622B3C"/>
    <w:rsid w:val="0062742B"/>
    <w:rsid w:val="00631509"/>
    <w:rsid w:val="00633853"/>
    <w:rsid w:val="0063658A"/>
    <w:rsid w:val="00640803"/>
    <w:rsid w:val="00640BD8"/>
    <w:rsid w:val="006455E1"/>
    <w:rsid w:val="00651191"/>
    <w:rsid w:val="00652387"/>
    <w:rsid w:val="00652FE8"/>
    <w:rsid w:val="006542C8"/>
    <w:rsid w:val="006543FA"/>
    <w:rsid w:val="00670EB6"/>
    <w:rsid w:val="006726D9"/>
    <w:rsid w:val="00675239"/>
    <w:rsid w:val="006766E7"/>
    <w:rsid w:val="0068294A"/>
    <w:rsid w:val="0069145A"/>
    <w:rsid w:val="006925E7"/>
    <w:rsid w:val="00696EB6"/>
    <w:rsid w:val="00697830"/>
    <w:rsid w:val="006A041E"/>
    <w:rsid w:val="006A5F56"/>
    <w:rsid w:val="006B0723"/>
    <w:rsid w:val="006B6296"/>
    <w:rsid w:val="006D42DD"/>
    <w:rsid w:val="006D639A"/>
    <w:rsid w:val="006F1EB9"/>
    <w:rsid w:val="006F46D8"/>
    <w:rsid w:val="006F5798"/>
    <w:rsid w:val="006F5D73"/>
    <w:rsid w:val="007007B4"/>
    <w:rsid w:val="00701140"/>
    <w:rsid w:val="00701AB7"/>
    <w:rsid w:val="00705D4C"/>
    <w:rsid w:val="0071098F"/>
    <w:rsid w:val="007261DC"/>
    <w:rsid w:val="00726B43"/>
    <w:rsid w:val="007332BA"/>
    <w:rsid w:val="007375F4"/>
    <w:rsid w:val="00737CCE"/>
    <w:rsid w:val="00742D52"/>
    <w:rsid w:val="00743337"/>
    <w:rsid w:val="007458FB"/>
    <w:rsid w:val="00745D70"/>
    <w:rsid w:val="00746D8E"/>
    <w:rsid w:val="00747FCE"/>
    <w:rsid w:val="00767DE6"/>
    <w:rsid w:val="00767E81"/>
    <w:rsid w:val="0077124E"/>
    <w:rsid w:val="00772001"/>
    <w:rsid w:val="0077768E"/>
    <w:rsid w:val="00785322"/>
    <w:rsid w:val="00792B96"/>
    <w:rsid w:val="00794218"/>
    <w:rsid w:val="00797336"/>
    <w:rsid w:val="007A29E5"/>
    <w:rsid w:val="007A313D"/>
    <w:rsid w:val="007A4004"/>
    <w:rsid w:val="007A585D"/>
    <w:rsid w:val="007B0CA2"/>
    <w:rsid w:val="007B302D"/>
    <w:rsid w:val="007B672B"/>
    <w:rsid w:val="007B6CEF"/>
    <w:rsid w:val="007C502C"/>
    <w:rsid w:val="007D1585"/>
    <w:rsid w:val="007D1ADC"/>
    <w:rsid w:val="007D1D17"/>
    <w:rsid w:val="007D6D3C"/>
    <w:rsid w:val="007E408F"/>
    <w:rsid w:val="007F3ED8"/>
    <w:rsid w:val="007F566C"/>
    <w:rsid w:val="007F79BC"/>
    <w:rsid w:val="0080226F"/>
    <w:rsid w:val="00804643"/>
    <w:rsid w:val="0081191A"/>
    <w:rsid w:val="00815725"/>
    <w:rsid w:val="00816B84"/>
    <w:rsid w:val="00827605"/>
    <w:rsid w:val="008302AA"/>
    <w:rsid w:val="008313CF"/>
    <w:rsid w:val="00842A13"/>
    <w:rsid w:val="008467A8"/>
    <w:rsid w:val="0084693B"/>
    <w:rsid w:val="00852E2D"/>
    <w:rsid w:val="0085484B"/>
    <w:rsid w:val="00856D7A"/>
    <w:rsid w:val="00866649"/>
    <w:rsid w:val="00867BDF"/>
    <w:rsid w:val="00877377"/>
    <w:rsid w:val="008870DA"/>
    <w:rsid w:val="00893FD3"/>
    <w:rsid w:val="008A253D"/>
    <w:rsid w:val="008B1BF3"/>
    <w:rsid w:val="008B319F"/>
    <w:rsid w:val="008B50DB"/>
    <w:rsid w:val="008C24C2"/>
    <w:rsid w:val="008C7F48"/>
    <w:rsid w:val="008C7F55"/>
    <w:rsid w:val="008D17F1"/>
    <w:rsid w:val="008D1CCD"/>
    <w:rsid w:val="008D32FE"/>
    <w:rsid w:val="008D7F73"/>
    <w:rsid w:val="008E1A50"/>
    <w:rsid w:val="008E229C"/>
    <w:rsid w:val="008E74B8"/>
    <w:rsid w:val="008F0988"/>
    <w:rsid w:val="008F0CD3"/>
    <w:rsid w:val="008F5F9E"/>
    <w:rsid w:val="009026D8"/>
    <w:rsid w:val="00902913"/>
    <w:rsid w:val="0090518E"/>
    <w:rsid w:val="00922F76"/>
    <w:rsid w:val="009230F4"/>
    <w:rsid w:val="00924D6A"/>
    <w:rsid w:val="0092574A"/>
    <w:rsid w:val="00925F77"/>
    <w:rsid w:val="00927D26"/>
    <w:rsid w:val="00931371"/>
    <w:rsid w:val="009327A3"/>
    <w:rsid w:val="009327EA"/>
    <w:rsid w:val="009337C6"/>
    <w:rsid w:val="00940609"/>
    <w:rsid w:val="009441E8"/>
    <w:rsid w:val="009443BF"/>
    <w:rsid w:val="00945075"/>
    <w:rsid w:val="00946AC7"/>
    <w:rsid w:val="00947DB7"/>
    <w:rsid w:val="00957202"/>
    <w:rsid w:val="00957634"/>
    <w:rsid w:val="009679F6"/>
    <w:rsid w:val="00971CE4"/>
    <w:rsid w:val="0097770A"/>
    <w:rsid w:val="00980869"/>
    <w:rsid w:val="00986419"/>
    <w:rsid w:val="00993363"/>
    <w:rsid w:val="00993E78"/>
    <w:rsid w:val="00996D68"/>
    <w:rsid w:val="009B15EE"/>
    <w:rsid w:val="009B1985"/>
    <w:rsid w:val="009C0702"/>
    <w:rsid w:val="009C3AC5"/>
    <w:rsid w:val="009C62AA"/>
    <w:rsid w:val="009D1EE2"/>
    <w:rsid w:val="009E19F2"/>
    <w:rsid w:val="009E454F"/>
    <w:rsid w:val="009E5580"/>
    <w:rsid w:val="009E5C70"/>
    <w:rsid w:val="009F63F7"/>
    <w:rsid w:val="009F74A8"/>
    <w:rsid w:val="00A03191"/>
    <w:rsid w:val="00A06AC7"/>
    <w:rsid w:val="00A06CF0"/>
    <w:rsid w:val="00A133B1"/>
    <w:rsid w:val="00A13E61"/>
    <w:rsid w:val="00A16DC5"/>
    <w:rsid w:val="00A20DC9"/>
    <w:rsid w:val="00A221BA"/>
    <w:rsid w:val="00A2252A"/>
    <w:rsid w:val="00A2333A"/>
    <w:rsid w:val="00A259D1"/>
    <w:rsid w:val="00A2611B"/>
    <w:rsid w:val="00A30F16"/>
    <w:rsid w:val="00A31504"/>
    <w:rsid w:val="00A31CB8"/>
    <w:rsid w:val="00A32B21"/>
    <w:rsid w:val="00A40413"/>
    <w:rsid w:val="00A41434"/>
    <w:rsid w:val="00A439C1"/>
    <w:rsid w:val="00A637A9"/>
    <w:rsid w:val="00A66445"/>
    <w:rsid w:val="00A668FF"/>
    <w:rsid w:val="00A6704D"/>
    <w:rsid w:val="00A77E13"/>
    <w:rsid w:val="00A84CAC"/>
    <w:rsid w:val="00A92252"/>
    <w:rsid w:val="00A96858"/>
    <w:rsid w:val="00A973E3"/>
    <w:rsid w:val="00AA1F47"/>
    <w:rsid w:val="00AA5092"/>
    <w:rsid w:val="00AA7A45"/>
    <w:rsid w:val="00AB05D0"/>
    <w:rsid w:val="00AB1A3B"/>
    <w:rsid w:val="00AB2AC2"/>
    <w:rsid w:val="00AB2FF4"/>
    <w:rsid w:val="00AC02A1"/>
    <w:rsid w:val="00AC100C"/>
    <w:rsid w:val="00AC5342"/>
    <w:rsid w:val="00AC6E42"/>
    <w:rsid w:val="00AD1519"/>
    <w:rsid w:val="00AE2CF9"/>
    <w:rsid w:val="00AE75E7"/>
    <w:rsid w:val="00AF5A83"/>
    <w:rsid w:val="00B004E1"/>
    <w:rsid w:val="00B02A88"/>
    <w:rsid w:val="00B05949"/>
    <w:rsid w:val="00B13110"/>
    <w:rsid w:val="00B22437"/>
    <w:rsid w:val="00B27E30"/>
    <w:rsid w:val="00B27EC0"/>
    <w:rsid w:val="00B32643"/>
    <w:rsid w:val="00B4202B"/>
    <w:rsid w:val="00B42496"/>
    <w:rsid w:val="00B42C4D"/>
    <w:rsid w:val="00B464A3"/>
    <w:rsid w:val="00B47D59"/>
    <w:rsid w:val="00B52ECF"/>
    <w:rsid w:val="00B53987"/>
    <w:rsid w:val="00B55B62"/>
    <w:rsid w:val="00B56575"/>
    <w:rsid w:val="00B630E8"/>
    <w:rsid w:val="00B633D5"/>
    <w:rsid w:val="00B64015"/>
    <w:rsid w:val="00B67BC5"/>
    <w:rsid w:val="00B67ED3"/>
    <w:rsid w:val="00B735A4"/>
    <w:rsid w:val="00B76762"/>
    <w:rsid w:val="00B825F6"/>
    <w:rsid w:val="00B90057"/>
    <w:rsid w:val="00B915A4"/>
    <w:rsid w:val="00B97FFE"/>
    <w:rsid w:val="00BA6CCB"/>
    <w:rsid w:val="00BB16A3"/>
    <w:rsid w:val="00BB5173"/>
    <w:rsid w:val="00BB62C3"/>
    <w:rsid w:val="00BC0FA7"/>
    <w:rsid w:val="00BC2786"/>
    <w:rsid w:val="00BC362B"/>
    <w:rsid w:val="00BC61D6"/>
    <w:rsid w:val="00BD11F1"/>
    <w:rsid w:val="00BD4743"/>
    <w:rsid w:val="00BD6B43"/>
    <w:rsid w:val="00BE0DC2"/>
    <w:rsid w:val="00BE1A3B"/>
    <w:rsid w:val="00BE1F47"/>
    <w:rsid w:val="00BE36DA"/>
    <w:rsid w:val="00BE3723"/>
    <w:rsid w:val="00BE4FE0"/>
    <w:rsid w:val="00BE51A1"/>
    <w:rsid w:val="00BE6A15"/>
    <w:rsid w:val="00BE7E0C"/>
    <w:rsid w:val="00BF1E76"/>
    <w:rsid w:val="00BF4844"/>
    <w:rsid w:val="00BF48C7"/>
    <w:rsid w:val="00BF539A"/>
    <w:rsid w:val="00BF66A8"/>
    <w:rsid w:val="00C030E5"/>
    <w:rsid w:val="00C15E6C"/>
    <w:rsid w:val="00C17885"/>
    <w:rsid w:val="00C2210C"/>
    <w:rsid w:val="00C244DC"/>
    <w:rsid w:val="00C2706D"/>
    <w:rsid w:val="00C30061"/>
    <w:rsid w:val="00C31697"/>
    <w:rsid w:val="00C33130"/>
    <w:rsid w:val="00C332E5"/>
    <w:rsid w:val="00C42310"/>
    <w:rsid w:val="00C45697"/>
    <w:rsid w:val="00C558C3"/>
    <w:rsid w:val="00C57915"/>
    <w:rsid w:val="00C70B75"/>
    <w:rsid w:val="00C73C02"/>
    <w:rsid w:val="00C763B7"/>
    <w:rsid w:val="00C82FB7"/>
    <w:rsid w:val="00C87B8B"/>
    <w:rsid w:val="00C90F18"/>
    <w:rsid w:val="00C91F5B"/>
    <w:rsid w:val="00C939FD"/>
    <w:rsid w:val="00CA15BE"/>
    <w:rsid w:val="00CA2149"/>
    <w:rsid w:val="00CA257A"/>
    <w:rsid w:val="00CA4465"/>
    <w:rsid w:val="00CA5A5A"/>
    <w:rsid w:val="00CB1685"/>
    <w:rsid w:val="00CB607E"/>
    <w:rsid w:val="00CC2676"/>
    <w:rsid w:val="00CC5E3A"/>
    <w:rsid w:val="00CD1441"/>
    <w:rsid w:val="00CD3A76"/>
    <w:rsid w:val="00CD43E8"/>
    <w:rsid w:val="00CE2414"/>
    <w:rsid w:val="00CE4A92"/>
    <w:rsid w:val="00CF65FD"/>
    <w:rsid w:val="00D00E1D"/>
    <w:rsid w:val="00D0390E"/>
    <w:rsid w:val="00D057DD"/>
    <w:rsid w:val="00D05A93"/>
    <w:rsid w:val="00D150D5"/>
    <w:rsid w:val="00D154EE"/>
    <w:rsid w:val="00D22DC7"/>
    <w:rsid w:val="00D22ED4"/>
    <w:rsid w:val="00D247C6"/>
    <w:rsid w:val="00D2593C"/>
    <w:rsid w:val="00D300DB"/>
    <w:rsid w:val="00D368B4"/>
    <w:rsid w:val="00D61328"/>
    <w:rsid w:val="00D6205D"/>
    <w:rsid w:val="00D6467E"/>
    <w:rsid w:val="00D64A6E"/>
    <w:rsid w:val="00D67679"/>
    <w:rsid w:val="00D67A9F"/>
    <w:rsid w:val="00D73958"/>
    <w:rsid w:val="00D74B1E"/>
    <w:rsid w:val="00D75400"/>
    <w:rsid w:val="00D81CCA"/>
    <w:rsid w:val="00D870DB"/>
    <w:rsid w:val="00DA01BF"/>
    <w:rsid w:val="00DA2119"/>
    <w:rsid w:val="00DA3791"/>
    <w:rsid w:val="00DA4366"/>
    <w:rsid w:val="00DA7836"/>
    <w:rsid w:val="00DC1658"/>
    <w:rsid w:val="00DC188F"/>
    <w:rsid w:val="00DC304C"/>
    <w:rsid w:val="00DC65E8"/>
    <w:rsid w:val="00DC709A"/>
    <w:rsid w:val="00DD2658"/>
    <w:rsid w:val="00DD6974"/>
    <w:rsid w:val="00DD7889"/>
    <w:rsid w:val="00DF3425"/>
    <w:rsid w:val="00DF3B12"/>
    <w:rsid w:val="00E0159E"/>
    <w:rsid w:val="00E153A2"/>
    <w:rsid w:val="00E27843"/>
    <w:rsid w:val="00E30BED"/>
    <w:rsid w:val="00E32555"/>
    <w:rsid w:val="00E327E5"/>
    <w:rsid w:val="00E3625B"/>
    <w:rsid w:val="00E411C1"/>
    <w:rsid w:val="00E41D09"/>
    <w:rsid w:val="00E4275E"/>
    <w:rsid w:val="00E610C8"/>
    <w:rsid w:val="00E62619"/>
    <w:rsid w:val="00E64379"/>
    <w:rsid w:val="00E675B3"/>
    <w:rsid w:val="00E766BC"/>
    <w:rsid w:val="00E80943"/>
    <w:rsid w:val="00E86860"/>
    <w:rsid w:val="00E87369"/>
    <w:rsid w:val="00E87E36"/>
    <w:rsid w:val="00EA0478"/>
    <w:rsid w:val="00EA167C"/>
    <w:rsid w:val="00EA62DA"/>
    <w:rsid w:val="00EB3E02"/>
    <w:rsid w:val="00EB4C0F"/>
    <w:rsid w:val="00EB77E7"/>
    <w:rsid w:val="00EB7B9E"/>
    <w:rsid w:val="00EC1B8E"/>
    <w:rsid w:val="00EC4FBB"/>
    <w:rsid w:val="00EC54F6"/>
    <w:rsid w:val="00ED06D3"/>
    <w:rsid w:val="00ED53BB"/>
    <w:rsid w:val="00EF616F"/>
    <w:rsid w:val="00EF64B2"/>
    <w:rsid w:val="00F0300B"/>
    <w:rsid w:val="00F05512"/>
    <w:rsid w:val="00F07718"/>
    <w:rsid w:val="00F16474"/>
    <w:rsid w:val="00F204D6"/>
    <w:rsid w:val="00F2148C"/>
    <w:rsid w:val="00F22891"/>
    <w:rsid w:val="00F23C1D"/>
    <w:rsid w:val="00F3054D"/>
    <w:rsid w:val="00F30BAC"/>
    <w:rsid w:val="00F31A41"/>
    <w:rsid w:val="00F336A9"/>
    <w:rsid w:val="00F33879"/>
    <w:rsid w:val="00F42EC1"/>
    <w:rsid w:val="00F45AEA"/>
    <w:rsid w:val="00F47FFD"/>
    <w:rsid w:val="00F517CF"/>
    <w:rsid w:val="00F564EF"/>
    <w:rsid w:val="00F60037"/>
    <w:rsid w:val="00F632FE"/>
    <w:rsid w:val="00F63B15"/>
    <w:rsid w:val="00F63CB4"/>
    <w:rsid w:val="00F70FD8"/>
    <w:rsid w:val="00F72FF8"/>
    <w:rsid w:val="00F7698E"/>
    <w:rsid w:val="00F76B0F"/>
    <w:rsid w:val="00F77432"/>
    <w:rsid w:val="00F7782E"/>
    <w:rsid w:val="00F83542"/>
    <w:rsid w:val="00F83952"/>
    <w:rsid w:val="00F84185"/>
    <w:rsid w:val="00F85E0E"/>
    <w:rsid w:val="00F85F07"/>
    <w:rsid w:val="00F92681"/>
    <w:rsid w:val="00F94AA0"/>
    <w:rsid w:val="00F97A7D"/>
    <w:rsid w:val="00FA3E80"/>
    <w:rsid w:val="00FA5F97"/>
    <w:rsid w:val="00FB1B35"/>
    <w:rsid w:val="00FB23F1"/>
    <w:rsid w:val="00FC1767"/>
    <w:rsid w:val="00FC31D6"/>
    <w:rsid w:val="00FC6D92"/>
    <w:rsid w:val="00FD339A"/>
    <w:rsid w:val="00FD67B0"/>
    <w:rsid w:val="00FE31D2"/>
    <w:rsid w:val="00FE394D"/>
    <w:rsid w:val="00FF0A2A"/>
    <w:rsid w:val="00FF1696"/>
    <w:rsid w:val="00FF2E87"/>
  </w:rsids>
  <m:mathPr>
    <m:mathFont m:val="Cambria Math"/>
    <m:brkBin m:val="before"/>
    <m:brkBinSub m:val="--"/>
    <m:smallFrac m:val="0"/>
    <m:dispDef/>
    <m:lMargin m:val="0"/>
    <m:rMargin m:val="0"/>
    <m:defJc m:val="centerGroup"/>
    <m:wrapIndent m:val="1440"/>
    <m:intLim m:val="subSup"/>
    <m:naryLim m:val="undOvr"/>
  </m:mathPr>
  <w:themeFontLang w:val="es-UY"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C767439"/>
  <w15:docId w15:val="{0D97EA80-C115-416F-B900-290D1E666A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11C1"/>
  </w:style>
  <w:style w:type="paragraph" w:styleId="Ttulo3">
    <w:name w:val="heading 3"/>
    <w:basedOn w:val="Normal"/>
    <w:link w:val="Ttulo3Car"/>
    <w:uiPriority w:val="9"/>
    <w:qFormat/>
    <w:rsid w:val="00F84185"/>
    <w:pPr>
      <w:spacing w:before="100" w:beforeAutospacing="1" w:after="100" w:afterAutospacing="1" w:line="240" w:lineRule="auto"/>
      <w:outlineLvl w:val="2"/>
    </w:pPr>
    <w:rPr>
      <w:rFonts w:ascii="Times New Roman" w:eastAsia="Times New Roman" w:hAnsi="Times New Roman" w:cs="Times New Roman"/>
      <w:b/>
      <w:bCs/>
      <w:sz w:val="27"/>
      <w:szCs w:val="27"/>
      <w:lang w:val="es-UY" w:eastAsia="es-UY"/>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F225F"/>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2F225F"/>
  </w:style>
  <w:style w:type="paragraph" w:styleId="Piedepgina">
    <w:name w:val="footer"/>
    <w:basedOn w:val="Normal"/>
    <w:link w:val="PiedepginaCar"/>
    <w:uiPriority w:val="99"/>
    <w:unhideWhenUsed/>
    <w:rsid w:val="002F225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2F225F"/>
  </w:style>
  <w:style w:type="paragraph" w:styleId="Textodeglobo">
    <w:name w:val="Balloon Text"/>
    <w:basedOn w:val="Normal"/>
    <w:link w:val="TextodegloboCar"/>
    <w:uiPriority w:val="99"/>
    <w:semiHidden/>
    <w:unhideWhenUsed/>
    <w:rsid w:val="002F225F"/>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F225F"/>
    <w:rPr>
      <w:rFonts w:ascii="Tahoma" w:hAnsi="Tahoma" w:cs="Tahoma"/>
      <w:sz w:val="16"/>
      <w:szCs w:val="16"/>
    </w:rPr>
  </w:style>
  <w:style w:type="paragraph" w:styleId="Prrafodelista">
    <w:name w:val="List Paragraph"/>
    <w:basedOn w:val="Normal"/>
    <w:uiPriority w:val="34"/>
    <w:qFormat/>
    <w:rsid w:val="00B27E30"/>
    <w:pPr>
      <w:ind w:left="720"/>
      <w:contextualSpacing/>
    </w:pPr>
  </w:style>
  <w:style w:type="paragraph" w:styleId="Textonotaalfinal">
    <w:name w:val="endnote text"/>
    <w:basedOn w:val="Normal"/>
    <w:link w:val="TextonotaalfinalCar"/>
    <w:uiPriority w:val="99"/>
    <w:semiHidden/>
    <w:unhideWhenUsed/>
    <w:rsid w:val="00DC188F"/>
    <w:rPr>
      <w:rFonts w:ascii="Calibri" w:eastAsia="Times New Roman" w:hAnsi="Calibri" w:cs="Times New Roman"/>
      <w:sz w:val="20"/>
      <w:szCs w:val="20"/>
    </w:rPr>
  </w:style>
  <w:style w:type="character" w:customStyle="1" w:styleId="TextonotaalfinalCar">
    <w:name w:val="Texto nota al final Car"/>
    <w:basedOn w:val="Fuentedeprrafopredeter"/>
    <w:link w:val="Textonotaalfinal"/>
    <w:uiPriority w:val="99"/>
    <w:semiHidden/>
    <w:rsid w:val="00DC188F"/>
    <w:rPr>
      <w:rFonts w:ascii="Calibri" w:eastAsia="Times New Roman" w:hAnsi="Calibri" w:cs="Times New Roman"/>
      <w:sz w:val="20"/>
      <w:szCs w:val="20"/>
      <w:lang w:eastAsia="es-ES"/>
    </w:rPr>
  </w:style>
  <w:style w:type="character" w:styleId="Refdenotaalfinal">
    <w:name w:val="endnote reference"/>
    <w:basedOn w:val="Fuentedeprrafopredeter"/>
    <w:uiPriority w:val="99"/>
    <w:semiHidden/>
    <w:unhideWhenUsed/>
    <w:rsid w:val="00DC188F"/>
    <w:rPr>
      <w:vertAlign w:val="superscript"/>
    </w:rPr>
  </w:style>
  <w:style w:type="character" w:customStyle="1" w:styleId="object">
    <w:name w:val="object"/>
    <w:basedOn w:val="Fuentedeprrafopredeter"/>
    <w:rsid w:val="00D67679"/>
  </w:style>
  <w:style w:type="character" w:styleId="nfasis">
    <w:name w:val="Emphasis"/>
    <w:basedOn w:val="Fuentedeprrafopredeter"/>
    <w:uiPriority w:val="20"/>
    <w:qFormat/>
    <w:rsid w:val="009230F4"/>
    <w:rPr>
      <w:i/>
      <w:iCs/>
    </w:rPr>
  </w:style>
  <w:style w:type="character" w:customStyle="1" w:styleId="Ttulo3Car">
    <w:name w:val="Título 3 Car"/>
    <w:basedOn w:val="Fuentedeprrafopredeter"/>
    <w:link w:val="Ttulo3"/>
    <w:uiPriority w:val="9"/>
    <w:rsid w:val="00F84185"/>
    <w:rPr>
      <w:rFonts w:ascii="Times New Roman" w:eastAsia="Times New Roman" w:hAnsi="Times New Roman" w:cs="Times New Roman"/>
      <w:b/>
      <w:bCs/>
      <w:sz w:val="27"/>
      <w:szCs w:val="27"/>
      <w:lang w:val="es-UY" w:eastAsia="es-UY"/>
    </w:rPr>
  </w:style>
  <w:style w:type="character" w:styleId="Hipervnculo">
    <w:name w:val="Hyperlink"/>
    <w:basedOn w:val="Fuentedeprrafopredeter"/>
    <w:uiPriority w:val="99"/>
    <w:unhideWhenUsed/>
    <w:rsid w:val="00F84185"/>
    <w:rPr>
      <w:color w:val="0000FF"/>
      <w:u w:val="single"/>
    </w:rPr>
  </w:style>
  <w:style w:type="character" w:customStyle="1" w:styleId="zmsearchresult">
    <w:name w:val="zmsearchresult"/>
    <w:basedOn w:val="Fuentedeprrafopredeter"/>
    <w:rsid w:val="00F45AEA"/>
  </w:style>
  <w:style w:type="character" w:styleId="Refdecomentario">
    <w:name w:val="annotation reference"/>
    <w:basedOn w:val="Fuentedeprrafopredeter"/>
    <w:uiPriority w:val="99"/>
    <w:semiHidden/>
    <w:unhideWhenUsed/>
    <w:qFormat/>
    <w:rsid w:val="001F6F6B"/>
    <w:rPr>
      <w:sz w:val="16"/>
      <w:szCs w:val="16"/>
    </w:rPr>
  </w:style>
  <w:style w:type="paragraph" w:styleId="Textocomentario">
    <w:name w:val="annotation text"/>
    <w:basedOn w:val="Normal"/>
    <w:link w:val="TextocomentarioCar"/>
    <w:uiPriority w:val="99"/>
    <w:semiHidden/>
    <w:unhideWhenUsed/>
    <w:qFormat/>
    <w:rsid w:val="001F6F6B"/>
    <w:pPr>
      <w:spacing w:line="240" w:lineRule="auto"/>
    </w:pPr>
    <w:rPr>
      <w:sz w:val="20"/>
      <w:szCs w:val="20"/>
    </w:rPr>
  </w:style>
  <w:style w:type="character" w:customStyle="1" w:styleId="TextocomentarioCar">
    <w:name w:val="Texto comentario Car"/>
    <w:basedOn w:val="Fuentedeprrafopredeter"/>
    <w:link w:val="Textocomentario"/>
    <w:uiPriority w:val="99"/>
    <w:semiHidden/>
    <w:qFormat/>
    <w:rsid w:val="001F6F6B"/>
    <w:rPr>
      <w:sz w:val="20"/>
      <w:szCs w:val="20"/>
    </w:rPr>
  </w:style>
  <w:style w:type="paragraph" w:styleId="Asuntodelcomentario">
    <w:name w:val="annotation subject"/>
    <w:basedOn w:val="Textocomentario"/>
    <w:next w:val="Textocomentario"/>
    <w:link w:val="AsuntodelcomentarioCar"/>
    <w:uiPriority w:val="99"/>
    <w:semiHidden/>
    <w:unhideWhenUsed/>
    <w:rsid w:val="001F6F6B"/>
    <w:rPr>
      <w:b/>
      <w:bCs/>
    </w:rPr>
  </w:style>
  <w:style w:type="character" w:customStyle="1" w:styleId="AsuntodelcomentarioCar">
    <w:name w:val="Asunto del comentario Car"/>
    <w:basedOn w:val="TextocomentarioCar"/>
    <w:link w:val="Asuntodelcomentario"/>
    <w:uiPriority w:val="99"/>
    <w:semiHidden/>
    <w:rsid w:val="001F6F6B"/>
    <w:rPr>
      <w:b/>
      <w:bCs/>
      <w:sz w:val="20"/>
      <w:szCs w:val="20"/>
    </w:rPr>
  </w:style>
  <w:style w:type="paragraph" w:customStyle="1" w:styleId="xmsonormal">
    <w:name w:val="xmsonormal"/>
    <w:basedOn w:val="Normal"/>
    <w:rsid w:val="00081027"/>
    <w:pPr>
      <w:spacing w:before="100" w:beforeAutospacing="1" w:after="100" w:afterAutospacing="1" w:line="240" w:lineRule="auto"/>
    </w:pPr>
    <w:rPr>
      <w:rFonts w:ascii="Times New Roman" w:eastAsia="Times New Roman" w:hAnsi="Times New Roman" w:cs="Times New Roman"/>
      <w:sz w:val="24"/>
      <w:szCs w:val="24"/>
      <w:lang w:val="es-UY" w:eastAsia="es-UY"/>
    </w:rPr>
  </w:style>
  <w:style w:type="paragraph" w:styleId="Listaconvietas">
    <w:name w:val="List Bullet"/>
    <w:basedOn w:val="Normal"/>
    <w:uiPriority w:val="99"/>
    <w:unhideWhenUsed/>
    <w:rsid w:val="007F3ED8"/>
    <w:pPr>
      <w:numPr>
        <w:numId w:val="4"/>
      </w:numPr>
      <w:contextualSpacing/>
    </w:pPr>
  </w:style>
  <w:style w:type="character" w:styleId="Textoennegrita">
    <w:name w:val="Strong"/>
    <w:uiPriority w:val="22"/>
    <w:qFormat/>
    <w:rsid w:val="00D6467E"/>
    <w:rPr>
      <w:b/>
      <w:bCs/>
    </w:rPr>
  </w:style>
  <w:style w:type="character" w:customStyle="1" w:styleId="Refdecomentario1">
    <w:name w:val="Ref. de comentario1"/>
    <w:rsid w:val="00D6467E"/>
    <w:rPr>
      <w:sz w:val="16"/>
      <w:szCs w:val="16"/>
    </w:rPr>
  </w:style>
  <w:style w:type="paragraph" w:styleId="NormalWeb">
    <w:name w:val="Normal (Web)"/>
    <w:basedOn w:val="Normal"/>
    <w:uiPriority w:val="99"/>
    <w:unhideWhenUsed/>
    <w:rsid w:val="001E3A38"/>
    <w:pPr>
      <w:spacing w:before="100" w:beforeAutospacing="1" w:after="100" w:afterAutospacing="1" w:line="240" w:lineRule="auto"/>
    </w:pPr>
    <w:rPr>
      <w:rFonts w:ascii="Times New Roman" w:eastAsia="Times New Roman" w:hAnsi="Times New Roman" w:cs="Times New Roman"/>
      <w:sz w:val="24"/>
      <w:szCs w:val="24"/>
      <w:lang w:val="es-UY" w:eastAsia="es-UY"/>
    </w:rPr>
  </w:style>
  <w:style w:type="character" w:styleId="Refdenotaalpie">
    <w:name w:val="footnote reference"/>
    <w:uiPriority w:val="99"/>
    <w:unhideWhenUsed/>
    <w:qFormat/>
    <w:rsid w:val="002A5262"/>
    <w:rPr>
      <w:vertAlign w:val="superscript"/>
    </w:rPr>
  </w:style>
  <w:style w:type="paragraph" w:customStyle="1" w:styleId="Standard">
    <w:name w:val="Standard"/>
    <w:rsid w:val="002A5262"/>
    <w:pPr>
      <w:suppressAutoHyphens/>
      <w:autoSpaceDN w:val="0"/>
      <w:spacing w:after="0" w:line="240" w:lineRule="auto"/>
      <w:textAlignment w:val="baseline"/>
    </w:pPr>
    <w:rPr>
      <w:rFonts w:ascii="Times New Roman" w:eastAsia="Times New Roman" w:hAnsi="Times New Roman" w:cs="Times New Roman"/>
      <w:kern w:val="3"/>
      <w:sz w:val="24"/>
      <w:szCs w:val="24"/>
      <w:lang w:eastAsia="zh-CN"/>
    </w:rPr>
  </w:style>
  <w:style w:type="paragraph" w:customStyle="1" w:styleId="Prrafodelista1">
    <w:name w:val="Párrafo de lista1"/>
    <w:basedOn w:val="Normal"/>
    <w:rsid w:val="00145D69"/>
    <w:pPr>
      <w:suppressAutoHyphens/>
      <w:spacing w:after="0" w:line="100" w:lineRule="atLeast"/>
      <w:ind w:left="720"/>
    </w:pPr>
    <w:rPr>
      <w:rFonts w:ascii="Times New Roman" w:eastAsia="SimSun" w:hAnsi="Times New Roman" w:cs="Times New Roman"/>
      <w:kern w:val="1"/>
      <w:sz w:val="24"/>
      <w:szCs w:val="24"/>
      <w:lang w:val="es-UY" w:eastAsia="hi-IN" w:bidi="hi-IN"/>
    </w:rPr>
  </w:style>
  <w:style w:type="character" w:customStyle="1" w:styleId="UnresolvedMention">
    <w:name w:val="Unresolved Mention"/>
    <w:basedOn w:val="Fuentedeprrafopredeter"/>
    <w:uiPriority w:val="99"/>
    <w:semiHidden/>
    <w:unhideWhenUsed/>
    <w:rsid w:val="00440395"/>
    <w:rPr>
      <w:color w:val="605E5C"/>
      <w:shd w:val="clear" w:color="auto" w:fill="E1DFDD"/>
    </w:rPr>
  </w:style>
  <w:style w:type="character" w:styleId="Hipervnculovisitado">
    <w:name w:val="FollowedHyperlink"/>
    <w:basedOn w:val="Fuentedeprrafopredeter"/>
    <w:uiPriority w:val="99"/>
    <w:semiHidden/>
    <w:unhideWhenUsed/>
    <w:rsid w:val="00946AC7"/>
    <w:rPr>
      <w:color w:val="800080" w:themeColor="followedHyperlink"/>
      <w:u w:val="single"/>
    </w:rPr>
  </w:style>
  <w:style w:type="paragraph" w:styleId="Textonotapie">
    <w:name w:val="footnote text"/>
    <w:basedOn w:val="Normal"/>
    <w:link w:val="TextonotapieCar"/>
    <w:uiPriority w:val="99"/>
    <w:unhideWhenUsed/>
    <w:qFormat/>
    <w:rsid w:val="0044493B"/>
    <w:pPr>
      <w:spacing w:after="0" w:line="240" w:lineRule="auto"/>
    </w:pPr>
    <w:rPr>
      <w:rFonts w:eastAsiaTheme="minorHAnsi"/>
      <w:sz w:val="20"/>
      <w:szCs w:val="20"/>
      <w:lang w:val="es-UY" w:eastAsia="en-US"/>
    </w:rPr>
  </w:style>
  <w:style w:type="character" w:customStyle="1" w:styleId="TextonotapieCar">
    <w:name w:val="Texto nota pie Car"/>
    <w:basedOn w:val="Fuentedeprrafopredeter"/>
    <w:link w:val="Textonotapie"/>
    <w:uiPriority w:val="99"/>
    <w:qFormat/>
    <w:rsid w:val="0044493B"/>
    <w:rPr>
      <w:rFonts w:eastAsiaTheme="minorHAnsi"/>
      <w:sz w:val="20"/>
      <w:szCs w:val="20"/>
      <w:lang w:val="es-UY" w:eastAsia="en-US"/>
    </w:rPr>
  </w:style>
  <w:style w:type="paragraph" w:customStyle="1" w:styleId="SingleTxt">
    <w:name w:val="__Single Txt"/>
    <w:basedOn w:val="Normal"/>
    <w:qFormat/>
    <w:rsid w:val="00D057D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rFonts w:ascii="Times New Roman" w:eastAsiaTheme="minorHAnsi" w:hAnsi="Times New Roman" w:cs="Times New Roman"/>
      <w:spacing w:val="4"/>
      <w:w w:val="103"/>
      <w:kern w:val="14"/>
      <w:sz w:val="20"/>
      <w:lang w:eastAsia="en-US"/>
    </w:rPr>
  </w:style>
  <w:style w:type="paragraph" w:customStyle="1" w:styleId="TitleHCH">
    <w:name w:val="Title_H_CH"/>
    <w:basedOn w:val="Normal"/>
    <w:next w:val="SingleTxt"/>
    <w:qFormat/>
    <w:rsid w:val="00D057D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300" w:lineRule="exact"/>
      <w:ind w:left="1267" w:right="1267" w:hanging="1267"/>
      <w:outlineLvl w:val="0"/>
    </w:pPr>
    <w:rPr>
      <w:rFonts w:ascii="Times New Roman" w:eastAsiaTheme="minorHAnsi" w:hAnsi="Times New Roman" w:cs="Times New Roman"/>
      <w:b/>
      <w:spacing w:val="-2"/>
      <w:w w:val="103"/>
      <w:kern w:val="14"/>
      <w:sz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93703">
      <w:bodyDiv w:val="1"/>
      <w:marLeft w:val="0"/>
      <w:marRight w:val="0"/>
      <w:marTop w:val="0"/>
      <w:marBottom w:val="0"/>
      <w:divBdr>
        <w:top w:val="none" w:sz="0" w:space="0" w:color="auto"/>
        <w:left w:val="none" w:sz="0" w:space="0" w:color="auto"/>
        <w:bottom w:val="none" w:sz="0" w:space="0" w:color="auto"/>
        <w:right w:val="none" w:sz="0" w:space="0" w:color="auto"/>
      </w:divBdr>
    </w:div>
    <w:div w:id="399865768">
      <w:bodyDiv w:val="1"/>
      <w:marLeft w:val="0"/>
      <w:marRight w:val="0"/>
      <w:marTop w:val="0"/>
      <w:marBottom w:val="0"/>
      <w:divBdr>
        <w:top w:val="none" w:sz="0" w:space="0" w:color="auto"/>
        <w:left w:val="none" w:sz="0" w:space="0" w:color="auto"/>
        <w:bottom w:val="none" w:sz="0" w:space="0" w:color="auto"/>
        <w:right w:val="none" w:sz="0" w:space="0" w:color="auto"/>
      </w:divBdr>
    </w:div>
    <w:div w:id="414976746">
      <w:bodyDiv w:val="1"/>
      <w:marLeft w:val="0"/>
      <w:marRight w:val="0"/>
      <w:marTop w:val="0"/>
      <w:marBottom w:val="0"/>
      <w:divBdr>
        <w:top w:val="none" w:sz="0" w:space="0" w:color="auto"/>
        <w:left w:val="none" w:sz="0" w:space="0" w:color="auto"/>
        <w:bottom w:val="none" w:sz="0" w:space="0" w:color="auto"/>
        <w:right w:val="none" w:sz="0" w:space="0" w:color="auto"/>
      </w:divBdr>
    </w:div>
    <w:div w:id="519204486">
      <w:bodyDiv w:val="1"/>
      <w:marLeft w:val="0"/>
      <w:marRight w:val="0"/>
      <w:marTop w:val="0"/>
      <w:marBottom w:val="0"/>
      <w:divBdr>
        <w:top w:val="none" w:sz="0" w:space="0" w:color="auto"/>
        <w:left w:val="none" w:sz="0" w:space="0" w:color="auto"/>
        <w:bottom w:val="none" w:sz="0" w:space="0" w:color="auto"/>
        <w:right w:val="none" w:sz="0" w:space="0" w:color="auto"/>
      </w:divBdr>
    </w:div>
    <w:div w:id="598609537">
      <w:bodyDiv w:val="1"/>
      <w:marLeft w:val="0"/>
      <w:marRight w:val="0"/>
      <w:marTop w:val="0"/>
      <w:marBottom w:val="0"/>
      <w:divBdr>
        <w:top w:val="none" w:sz="0" w:space="0" w:color="auto"/>
        <w:left w:val="none" w:sz="0" w:space="0" w:color="auto"/>
        <w:bottom w:val="none" w:sz="0" w:space="0" w:color="auto"/>
        <w:right w:val="none" w:sz="0" w:space="0" w:color="auto"/>
      </w:divBdr>
    </w:div>
    <w:div w:id="736902064">
      <w:bodyDiv w:val="1"/>
      <w:marLeft w:val="0"/>
      <w:marRight w:val="0"/>
      <w:marTop w:val="0"/>
      <w:marBottom w:val="0"/>
      <w:divBdr>
        <w:top w:val="none" w:sz="0" w:space="0" w:color="auto"/>
        <w:left w:val="none" w:sz="0" w:space="0" w:color="auto"/>
        <w:bottom w:val="none" w:sz="0" w:space="0" w:color="auto"/>
        <w:right w:val="none" w:sz="0" w:space="0" w:color="auto"/>
      </w:divBdr>
    </w:div>
    <w:div w:id="1032996151">
      <w:bodyDiv w:val="1"/>
      <w:marLeft w:val="0"/>
      <w:marRight w:val="0"/>
      <w:marTop w:val="0"/>
      <w:marBottom w:val="0"/>
      <w:divBdr>
        <w:top w:val="none" w:sz="0" w:space="0" w:color="auto"/>
        <w:left w:val="none" w:sz="0" w:space="0" w:color="auto"/>
        <w:bottom w:val="none" w:sz="0" w:space="0" w:color="auto"/>
        <w:right w:val="none" w:sz="0" w:space="0" w:color="auto"/>
      </w:divBdr>
    </w:div>
    <w:div w:id="1205170088">
      <w:bodyDiv w:val="1"/>
      <w:marLeft w:val="0"/>
      <w:marRight w:val="0"/>
      <w:marTop w:val="0"/>
      <w:marBottom w:val="0"/>
      <w:divBdr>
        <w:top w:val="none" w:sz="0" w:space="0" w:color="auto"/>
        <w:left w:val="none" w:sz="0" w:space="0" w:color="auto"/>
        <w:bottom w:val="none" w:sz="0" w:space="0" w:color="auto"/>
        <w:right w:val="none" w:sz="0" w:space="0" w:color="auto"/>
      </w:divBdr>
      <w:divsChild>
        <w:div w:id="95951976">
          <w:marLeft w:val="0"/>
          <w:marRight w:val="0"/>
          <w:marTop w:val="0"/>
          <w:marBottom w:val="0"/>
          <w:divBdr>
            <w:top w:val="none" w:sz="0" w:space="0" w:color="auto"/>
            <w:left w:val="none" w:sz="0" w:space="0" w:color="auto"/>
            <w:bottom w:val="none" w:sz="0" w:space="0" w:color="auto"/>
            <w:right w:val="none" w:sz="0" w:space="0" w:color="auto"/>
          </w:divBdr>
          <w:divsChild>
            <w:div w:id="1664165113">
              <w:marLeft w:val="0"/>
              <w:marRight w:val="0"/>
              <w:marTop w:val="0"/>
              <w:marBottom w:val="0"/>
              <w:divBdr>
                <w:top w:val="none" w:sz="0" w:space="0" w:color="auto"/>
                <w:left w:val="none" w:sz="0" w:space="0" w:color="auto"/>
                <w:bottom w:val="none" w:sz="0" w:space="0" w:color="auto"/>
                <w:right w:val="none" w:sz="0" w:space="0" w:color="auto"/>
              </w:divBdr>
              <w:divsChild>
                <w:div w:id="41953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9417725">
      <w:bodyDiv w:val="1"/>
      <w:marLeft w:val="0"/>
      <w:marRight w:val="0"/>
      <w:marTop w:val="0"/>
      <w:marBottom w:val="0"/>
      <w:divBdr>
        <w:top w:val="none" w:sz="0" w:space="0" w:color="auto"/>
        <w:left w:val="none" w:sz="0" w:space="0" w:color="auto"/>
        <w:bottom w:val="none" w:sz="0" w:space="0" w:color="auto"/>
        <w:right w:val="none" w:sz="0" w:space="0" w:color="auto"/>
      </w:divBdr>
    </w:div>
    <w:div w:id="1297099732">
      <w:bodyDiv w:val="1"/>
      <w:marLeft w:val="0"/>
      <w:marRight w:val="0"/>
      <w:marTop w:val="0"/>
      <w:marBottom w:val="0"/>
      <w:divBdr>
        <w:top w:val="none" w:sz="0" w:space="0" w:color="auto"/>
        <w:left w:val="none" w:sz="0" w:space="0" w:color="auto"/>
        <w:bottom w:val="none" w:sz="0" w:space="0" w:color="auto"/>
        <w:right w:val="none" w:sz="0" w:space="0" w:color="auto"/>
      </w:divBdr>
    </w:div>
    <w:div w:id="1509635214">
      <w:bodyDiv w:val="1"/>
      <w:marLeft w:val="0"/>
      <w:marRight w:val="0"/>
      <w:marTop w:val="0"/>
      <w:marBottom w:val="0"/>
      <w:divBdr>
        <w:top w:val="none" w:sz="0" w:space="0" w:color="auto"/>
        <w:left w:val="none" w:sz="0" w:space="0" w:color="auto"/>
        <w:bottom w:val="none" w:sz="0" w:space="0" w:color="auto"/>
        <w:right w:val="none" w:sz="0" w:space="0" w:color="auto"/>
      </w:divBdr>
    </w:div>
    <w:div w:id="1560097454">
      <w:bodyDiv w:val="1"/>
      <w:marLeft w:val="0"/>
      <w:marRight w:val="0"/>
      <w:marTop w:val="0"/>
      <w:marBottom w:val="0"/>
      <w:divBdr>
        <w:top w:val="none" w:sz="0" w:space="0" w:color="auto"/>
        <w:left w:val="none" w:sz="0" w:space="0" w:color="auto"/>
        <w:bottom w:val="none" w:sz="0" w:space="0" w:color="auto"/>
        <w:right w:val="none" w:sz="0" w:space="0" w:color="auto"/>
      </w:divBdr>
      <w:divsChild>
        <w:div w:id="341320371">
          <w:marLeft w:val="0"/>
          <w:marRight w:val="0"/>
          <w:marTop w:val="0"/>
          <w:marBottom w:val="0"/>
          <w:divBdr>
            <w:top w:val="none" w:sz="0" w:space="0" w:color="auto"/>
            <w:left w:val="none" w:sz="0" w:space="0" w:color="auto"/>
            <w:bottom w:val="none" w:sz="0" w:space="0" w:color="auto"/>
            <w:right w:val="none" w:sz="0" w:space="0" w:color="auto"/>
          </w:divBdr>
        </w:div>
        <w:div w:id="863594392">
          <w:marLeft w:val="0"/>
          <w:marRight w:val="0"/>
          <w:marTop w:val="0"/>
          <w:marBottom w:val="0"/>
          <w:divBdr>
            <w:top w:val="none" w:sz="0" w:space="0" w:color="auto"/>
            <w:left w:val="none" w:sz="0" w:space="0" w:color="auto"/>
            <w:bottom w:val="none" w:sz="0" w:space="0" w:color="auto"/>
            <w:right w:val="none" w:sz="0" w:space="0" w:color="auto"/>
          </w:divBdr>
        </w:div>
        <w:div w:id="935136145">
          <w:marLeft w:val="0"/>
          <w:marRight w:val="0"/>
          <w:marTop w:val="0"/>
          <w:marBottom w:val="0"/>
          <w:divBdr>
            <w:top w:val="none" w:sz="0" w:space="0" w:color="auto"/>
            <w:left w:val="none" w:sz="0" w:space="0" w:color="auto"/>
            <w:bottom w:val="none" w:sz="0" w:space="0" w:color="auto"/>
            <w:right w:val="none" w:sz="0" w:space="0" w:color="auto"/>
          </w:divBdr>
        </w:div>
        <w:div w:id="1902054405">
          <w:marLeft w:val="0"/>
          <w:marRight w:val="0"/>
          <w:marTop w:val="0"/>
          <w:marBottom w:val="0"/>
          <w:divBdr>
            <w:top w:val="none" w:sz="0" w:space="0" w:color="auto"/>
            <w:left w:val="none" w:sz="0" w:space="0" w:color="auto"/>
            <w:bottom w:val="none" w:sz="0" w:space="0" w:color="auto"/>
            <w:right w:val="none" w:sz="0" w:space="0" w:color="auto"/>
          </w:divBdr>
        </w:div>
        <w:div w:id="1913009042">
          <w:marLeft w:val="0"/>
          <w:marRight w:val="0"/>
          <w:marTop w:val="0"/>
          <w:marBottom w:val="0"/>
          <w:divBdr>
            <w:top w:val="none" w:sz="0" w:space="0" w:color="auto"/>
            <w:left w:val="none" w:sz="0" w:space="0" w:color="auto"/>
            <w:bottom w:val="none" w:sz="0" w:space="0" w:color="auto"/>
            <w:right w:val="none" w:sz="0" w:space="0" w:color="auto"/>
          </w:divBdr>
        </w:div>
        <w:div w:id="2110083664">
          <w:marLeft w:val="0"/>
          <w:marRight w:val="0"/>
          <w:marTop w:val="0"/>
          <w:marBottom w:val="0"/>
          <w:divBdr>
            <w:top w:val="none" w:sz="0" w:space="0" w:color="auto"/>
            <w:left w:val="none" w:sz="0" w:space="0" w:color="auto"/>
            <w:bottom w:val="none" w:sz="0" w:space="0" w:color="auto"/>
            <w:right w:val="none" w:sz="0" w:space="0" w:color="auto"/>
          </w:divBdr>
        </w:div>
      </w:divsChild>
    </w:div>
    <w:div w:id="1967420496">
      <w:bodyDiv w:val="1"/>
      <w:marLeft w:val="0"/>
      <w:marRight w:val="0"/>
      <w:marTop w:val="0"/>
      <w:marBottom w:val="0"/>
      <w:divBdr>
        <w:top w:val="none" w:sz="0" w:space="0" w:color="auto"/>
        <w:left w:val="none" w:sz="0" w:space="0" w:color="auto"/>
        <w:bottom w:val="none" w:sz="0" w:space="0" w:color="auto"/>
        <w:right w:val="none" w:sz="0" w:space="0" w:color="auto"/>
      </w:divBdr>
      <w:divsChild>
        <w:div w:id="164789101">
          <w:marLeft w:val="0"/>
          <w:marRight w:val="0"/>
          <w:marTop w:val="0"/>
          <w:marBottom w:val="0"/>
          <w:divBdr>
            <w:top w:val="none" w:sz="0" w:space="0" w:color="auto"/>
            <w:left w:val="none" w:sz="0" w:space="0" w:color="auto"/>
            <w:bottom w:val="none" w:sz="0" w:space="0" w:color="auto"/>
            <w:right w:val="none" w:sz="0" w:space="0" w:color="auto"/>
          </w:divBdr>
        </w:div>
        <w:div w:id="297687199">
          <w:marLeft w:val="0"/>
          <w:marRight w:val="0"/>
          <w:marTop w:val="0"/>
          <w:marBottom w:val="0"/>
          <w:divBdr>
            <w:top w:val="none" w:sz="0" w:space="0" w:color="auto"/>
            <w:left w:val="none" w:sz="0" w:space="0" w:color="auto"/>
            <w:bottom w:val="none" w:sz="0" w:space="0" w:color="auto"/>
            <w:right w:val="none" w:sz="0" w:space="0" w:color="auto"/>
          </w:divBdr>
        </w:div>
        <w:div w:id="784033554">
          <w:marLeft w:val="0"/>
          <w:marRight w:val="0"/>
          <w:marTop w:val="0"/>
          <w:marBottom w:val="0"/>
          <w:divBdr>
            <w:top w:val="none" w:sz="0" w:space="0" w:color="auto"/>
            <w:left w:val="none" w:sz="0" w:space="0" w:color="auto"/>
            <w:bottom w:val="none" w:sz="0" w:space="0" w:color="auto"/>
            <w:right w:val="none" w:sz="0" w:space="0" w:color="auto"/>
          </w:divBdr>
        </w:div>
        <w:div w:id="1039743577">
          <w:marLeft w:val="0"/>
          <w:marRight w:val="0"/>
          <w:marTop w:val="0"/>
          <w:marBottom w:val="0"/>
          <w:divBdr>
            <w:top w:val="none" w:sz="0" w:space="0" w:color="auto"/>
            <w:left w:val="none" w:sz="0" w:space="0" w:color="auto"/>
            <w:bottom w:val="none" w:sz="0" w:space="0" w:color="auto"/>
            <w:right w:val="none" w:sz="0" w:space="0" w:color="auto"/>
          </w:divBdr>
        </w:div>
        <w:div w:id="1156267133">
          <w:marLeft w:val="0"/>
          <w:marRight w:val="0"/>
          <w:marTop w:val="0"/>
          <w:marBottom w:val="0"/>
          <w:divBdr>
            <w:top w:val="none" w:sz="0" w:space="0" w:color="auto"/>
            <w:left w:val="none" w:sz="0" w:space="0" w:color="auto"/>
            <w:bottom w:val="none" w:sz="0" w:space="0" w:color="auto"/>
            <w:right w:val="none" w:sz="0" w:space="0" w:color="auto"/>
          </w:divBdr>
        </w:div>
        <w:div w:id="1846092647">
          <w:marLeft w:val="0"/>
          <w:marRight w:val="0"/>
          <w:marTop w:val="0"/>
          <w:marBottom w:val="0"/>
          <w:divBdr>
            <w:top w:val="none" w:sz="0" w:space="0" w:color="auto"/>
            <w:left w:val="none" w:sz="0" w:space="0" w:color="auto"/>
            <w:bottom w:val="none" w:sz="0" w:space="0" w:color="auto"/>
            <w:right w:val="none" w:sz="0" w:space="0" w:color="auto"/>
          </w:divBdr>
        </w:div>
        <w:div w:id="2120643734">
          <w:marLeft w:val="0"/>
          <w:marRight w:val="0"/>
          <w:marTop w:val="0"/>
          <w:marBottom w:val="0"/>
          <w:divBdr>
            <w:top w:val="none" w:sz="0" w:space="0" w:color="auto"/>
            <w:left w:val="none" w:sz="0" w:space="0" w:color="auto"/>
            <w:bottom w:val="none" w:sz="0" w:space="0" w:color="auto"/>
            <w:right w:val="none" w:sz="0" w:space="0" w:color="auto"/>
          </w:divBdr>
          <w:divsChild>
            <w:div w:id="972446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8239590">
      <w:bodyDiv w:val="1"/>
      <w:marLeft w:val="0"/>
      <w:marRight w:val="0"/>
      <w:marTop w:val="0"/>
      <w:marBottom w:val="0"/>
      <w:divBdr>
        <w:top w:val="none" w:sz="0" w:space="0" w:color="auto"/>
        <w:left w:val="none" w:sz="0" w:space="0" w:color="auto"/>
        <w:bottom w:val="none" w:sz="0" w:space="0" w:color="auto"/>
        <w:right w:val="none" w:sz="0" w:space="0" w:color="auto"/>
      </w:divBdr>
    </w:div>
    <w:div w:id="2044206260">
      <w:bodyDiv w:val="1"/>
      <w:marLeft w:val="0"/>
      <w:marRight w:val="0"/>
      <w:marTop w:val="0"/>
      <w:marBottom w:val="0"/>
      <w:divBdr>
        <w:top w:val="none" w:sz="0" w:space="0" w:color="auto"/>
        <w:left w:val="none" w:sz="0" w:space="0" w:color="auto"/>
        <w:bottom w:val="none" w:sz="0" w:space="0" w:color="auto"/>
        <w:right w:val="none" w:sz="0" w:space="0" w:color="auto"/>
      </w:divBdr>
      <w:divsChild>
        <w:div w:id="1004671693">
          <w:marLeft w:val="0"/>
          <w:marRight w:val="0"/>
          <w:marTop w:val="0"/>
          <w:marBottom w:val="0"/>
          <w:divBdr>
            <w:top w:val="none" w:sz="0" w:space="0" w:color="auto"/>
            <w:left w:val="none" w:sz="0" w:space="0" w:color="auto"/>
            <w:bottom w:val="none" w:sz="0" w:space="0" w:color="auto"/>
            <w:right w:val="none" w:sz="0" w:space="0" w:color="auto"/>
          </w:divBdr>
        </w:div>
        <w:div w:id="1427843884">
          <w:marLeft w:val="0"/>
          <w:marRight w:val="0"/>
          <w:marTop w:val="0"/>
          <w:marBottom w:val="0"/>
          <w:divBdr>
            <w:top w:val="none" w:sz="0" w:space="0" w:color="auto"/>
            <w:left w:val="none" w:sz="0" w:space="0" w:color="auto"/>
            <w:bottom w:val="none" w:sz="0" w:space="0" w:color="auto"/>
            <w:right w:val="none" w:sz="0" w:space="0" w:color="auto"/>
          </w:divBdr>
        </w:div>
        <w:div w:id="152941631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s>
</file>

<file path=word/_rels/footer1.xml.rels><?xml version="1.0" encoding="UTF-8" standalone="yes"?>
<Relationships xmlns="http://schemas.openxmlformats.org/package/2006/relationships"><Relationship Id="rId1" Type="http://schemas.openxmlformats.org/officeDocument/2006/relationships/image" Target="media/image5.emf"/></Relationships>
</file>

<file path=word/_rels/footnotes.xml.rels><?xml version="1.0" encoding="UTF-8" standalone="yes"?>
<Relationships xmlns="http://schemas.openxmlformats.org/package/2006/relationships"><Relationship Id="rId3" Type="http://schemas.openxmlformats.org/officeDocument/2006/relationships/hyperlink" Target="https://parlamento.gub.uy/documentosyleyes/ficha-asunto/157615/tramite" TargetMode="External"/><Relationship Id="rId7" Type="http://schemas.openxmlformats.org/officeDocument/2006/relationships/hyperlink" Target="http://www.inddhh.gub.uy" TargetMode="External"/><Relationship Id="rId2" Type="http://schemas.openxmlformats.org/officeDocument/2006/relationships/hyperlink" Target="https://parlamento.gub.uy/documentosyleyes/ficha-asunto/151994/tramite" TargetMode="External"/><Relationship Id="rId1" Type="http://schemas.openxmlformats.org/officeDocument/2006/relationships/hyperlink" Target="https://www.gub.uy/institucion-nacional-derechos-humanos-uruguay/sites/institucion-nacional-derechos-humanos-uruguay/files/documentos/noticias/INDDHH%20ante%20la%20Comision%20Especial%20LUC%20050520%20%283%29.pdf" TargetMode="External"/><Relationship Id="rId6" Type="http://schemas.openxmlformats.org/officeDocument/2006/relationships/hyperlink" Target="https://www.gub.uy/institucion-nacional-derechos-humanos-uruguay/sites/institucion-nacional-derechos-humanos-uruguay/files/2023-06/Exp.%20447-2023%20Creaci%C3%B3n%20GT%20Licencia%20Maternal.pdf" TargetMode="External"/><Relationship Id="rId5" Type="http://schemas.openxmlformats.org/officeDocument/2006/relationships/hyperlink" Target="https://parlamento.gub.uy/sites/default/files/DocumentosCPP/Informe_especial_sancion_penal_microtrafico_atencion_vulnerabilidad_social.pdf" TargetMode="External"/><Relationship Id="rId4" Type="http://schemas.openxmlformats.org/officeDocument/2006/relationships/hyperlink" Target="https://parlamento.gub.uy/documentosyleyes/ficha-asunto/158447/tramit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3430</Words>
  <Characters>18866</Characters>
  <Application>Microsoft Office Word</Application>
  <DocSecurity>0</DocSecurity>
  <Lines>157</Lines>
  <Paragraphs>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Lacabanne</dc:creator>
  <cp:keywords/>
  <dc:description/>
  <cp:lastModifiedBy>Ana Laura Fernandez</cp:lastModifiedBy>
  <cp:revision>2</cp:revision>
  <cp:lastPrinted>2022-11-16T15:51:00Z</cp:lastPrinted>
  <dcterms:created xsi:type="dcterms:W3CDTF">2023-09-11T16:25:00Z</dcterms:created>
  <dcterms:modified xsi:type="dcterms:W3CDTF">2023-09-11T16:25:00Z</dcterms:modified>
</cp:coreProperties>
</file>