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3471" w:rsidRDefault="00A83471">
      <w:pPr>
        <w:spacing w:after="160" w:line="259" w:lineRule="auto"/>
        <w:rPr>
          <w:rFonts w:ascii="Times New Roman" w:eastAsia="Times New Roman" w:hAnsi="Times New Roman" w:cs="Times New Roman"/>
          <w:b/>
        </w:rPr>
      </w:pPr>
    </w:p>
    <w:p w:rsidR="00A83471" w:rsidRDefault="00A83471">
      <w:pPr>
        <w:spacing w:after="160" w:line="259" w:lineRule="auto"/>
        <w:rPr>
          <w:rFonts w:ascii="Times New Roman" w:eastAsia="Times New Roman" w:hAnsi="Times New Roman" w:cs="Times New Roman"/>
          <w:b/>
        </w:rPr>
      </w:pPr>
    </w:p>
    <w:p w:rsidR="00A83471" w:rsidRDefault="00A83471">
      <w:pPr>
        <w:spacing w:after="160" w:line="259" w:lineRule="auto"/>
        <w:rPr>
          <w:rFonts w:ascii="Times New Roman" w:eastAsia="Times New Roman" w:hAnsi="Times New Roman" w:cs="Times New Roman"/>
          <w:b/>
        </w:rPr>
      </w:pPr>
    </w:p>
    <w:p w:rsidR="00A83471" w:rsidRDefault="005D797A">
      <w:pPr>
        <w:spacing w:line="240" w:lineRule="auto"/>
        <w:jc w:val="center"/>
        <w:rPr>
          <w:rFonts w:ascii="Times New Roman" w:eastAsia="Times New Roman" w:hAnsi="Times New Roman" w:cs="Times New Roman"/>
          <w:b/>
        </w:rPr>
      </w:pPr>
      <w:r>
        <w:rPr>
          <w:rFonts w:ascii="Times New Roman" w:eastAsia="Times New Roman" w:hAnsi="Times New Roman" w:cs="Times New Roman"/>
          <w:noProof/>
        </w:rPr>
        <w:drawing>
          <wp:inline distT="0" distB="0" distL="0" distR="0">
            <wp:extent cx="1500254" cy="1356158"/>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1500254" cy="1356158"/>
                    </a:xfrm>
                    <a:prstGeom prst="rect">
                      <a:avLst/>
                    </a:prstGeom>
                    <a:ln/>
                  </pic:spPr>
                </pic:pic>
              </a:graphicData>
            </a:graphic>
          </wp:inline>
        </w:drawing>
      </w:r>
    </w:p>
    <w:p w:rsidR="00A83471" w:rsidRDefault="00A83471">
      <w:pPr>
        <w:spacing w:after="160" w:line="259" w:lineRule="auto"/>
        <w:jc w:val="center"/>
        <w:rPr>
          <w:rFonts w:ascii="Times New Roman" w:eastAsia="Times New Roman" w:hAnsi="Times New Roman" w:cs="Times New Roman"/>
          <w:b/>
        </w:rPr>
      </w:pPr>
    </w:p>
    <w:p w:rsidR="00A83471" w:rsidRDefault="005D797A">
      <w:pPr>
        <w:spacing w:after="160" w:line="259" w:lineRule="auto"/>
        <w:jc w:val="center"/>
        <w:rPr>
          <w:rFonts w:ascii="Times New Roman" w:eastAsia="Times New Roman" w:hAnsi="Times New Roman" w:cs="Times New Roman"/>
          <w:b/>
        </w:rPr>
      </w:pPr>
      <w:r>
        <w:rPr>
          <w:rFonts w:ascii="Times New Roman" w:eastAsia="Times New Roman" w:hAnsi="Times New Roman" w:cs="Times New Roman"/>
          <w:b/>
        </w:rPr>
        <w:t xml:space="preserve">Submission to the Committee on the Elimination of Discrimination against Women (CEDAW) </w:t>
      </w:r>
    </w:p>
    <w:p w:rsidR="00A83471" w:rsidRDefault="00A83471">
      <w:pPr>
        <w:spacing w:line="240" w:lineRule="auto"/>
        <w:jc w:val="center"/>
        <w:rPr>
          <w:rFonts w:ascii="Times New Roman" w:eastAsia="Times New Roman" w:hAnsi="Times New Roman" w:cs="Times New Roman"/>
          <w:b/>
        </w:rPr>
      </w:pPr>
    </w:p>
    <w:p w:rsidR="00A83471" w:rsidRDefault="005D797A">
      <w:pPr>
        <w:spacing w:line="240" w:lineRule="auto"/>
        <w:jc w:val="center"/>
        <w:rPr>
          <w:rFonts w:ascii="Times New Roman" w:eastAsia="Times New Roman" w:hAnsi="Times New Roman" w:cs="Times New Roman"/>
        </w:rPr>
      </w:pPr>
      <w:r>
        <w:rPr>
          <w:rFonts w:ascii="Times New Roman" w:eastAsia="Times New Roman" w:hAnsi="Times New Roman" w:cs="Times New Roman"/>
        </w:rPr>
        <w:t xml:space="preserve">SHADOW REPORT: HUNGARY </w:t>
      </w:r>
    </w:p>
    <w:p w:rsidR="00A83471" w:rsidRDefault="00A83471">
      <w:pPr>
        <w:spacing w:line="240" w:lineRule="auto"/>
        <w:jc w:val="center"/>
        <w:rPr>
          <w:rFonts w:ascii="Times New Roman" w:eastAsia="Times New Roman" w:hAnsi="Times New Roman" w:cs="Times New Roman"/>
        </w:rPr>
      </w:pPr>
    </w:p>
    <w:p w:rsidR="00A83471" w:rsidRDefault="005D797A">
      <w:pPr>
        <w:spacing w:line="240" w:lineRule="auto"/>
        <w:jc w:val="center"/>
        <w:rPr>
          <w:rFonts w:ascii="Times New Roman" w:eastAsia="Times New Roman" w:hAnsi="Times New Roman" w:cs="Times New Roman"/>
        </w:rPr>
      </w:pPr>
      <w:r>
        <w:rPr>
          <w:rFonts w:ascii="Times New Roman" w:eastAsia="Times New Roman" w:hAnsi="Times New Roman" w:cs="Times New Roman"/>
        </w:rPr>
        <w:t>January 9, 2023</w:t>
      </w:r>
    </w:p>
    <w:p w:rsidR="00A83471" w:rsidRDefault="00A83471">
      <w:pPr>
        <w:spacing w:line="240" w:lineRule="auto"/>
        <w:jc w:val="center"/>
        <w:rPr>
          <w:rFonts w:ascii="Times New Roman" w:eastAsia="Times New Roman" w:hAnsi="Times New Roman" w:cs="Times New Roman"/>
        </w:rPr>
      </w:pPr>
    </w:p>
    <w:p w:rsidR="00A83471" w:rsidRDefault="005D797A">
      <w:pPr>
        <w:spacing w:line="240" w:lineRule="auto"/>
        <w:jc w:val="center"/>
        <w:rPr>
          <w:rFonts w:ascii="Times New Roman" w:eastAsia="Times New Roman" w:hAnsi="Times New Roman" w:cs="Times New Roman"/>
        </w:rPr>
      </w:pPr>
      <w:r>
        <w:rPr>
          <w:rFonts w:ascii="Times New Roman" w:eastAsia="Times New Roman" w:hAnsi="Times New Roman" w:cs="Times New Roman"/>
        </w:rPr>
        <w:t>Authors: Dr</w:t>
      </w:r>
      <w:r w:rsidR="00924030">
        <w:rPr>
          <w:rFonts w:ascii="Times New Roman" w:eastAsia="Times New Roman" w:hAnsi="Times New Roman" w:cs="Times New Roman"/>
        </w:rPr>
        <w:t>.</w:t>
      </w:r>
      <w:r>
        <w:rPr>
          <w:rFonts w:ascii="Times New Roman" w:eastAsia="Times New Roman" w:hAnsi="Times New Roman" w:cs="Times New Roman"/>
        </w:rPr>
        <w:t xml:space="preserve"> Lara-Zuzan Golesorkhi, </w:t>
      </w:r>
      <w:proofErr w:type="spellStart"/>
      <w:r>
        <w:rPr>
          <w:rFonts w:ascii="Times New Roman" w:eastAsia="Times New Roman" w:hAnsi="Times New Roman" w:cs="Times New Roman"/>
        </w:rPr>
        <w:t>Isha</w:t>
      </w:r>
      <w:proofErr w:type="spellEnd"/>
      <w:r>
        <w:rPr>
          <w:rFonts w:ascii="Times New Roman" w:eastAsia="Times New Roman" w:hAnsi="Times New Roman" w:cs="Times New Roman"/>
        </w:rPr>
        <w:t xml:space="preserve"> Mandal, and Majlinda </w:t>
      </w:r>
      <w:proofErr w:type="spellStart"/>
      <w:r>
        <w:rPr>
          <w:rFonts w:ascii="Times New Roman" w:eastAsia="Times New Roman" w:hAnsi="Times New Roman" w:cs="Times New Roman"/>
        </w:rPr>
        <w:t>Behrami</w:t>
      </w:r>
      <w:proofErr w:type="spellEnd"/>
    </w:p>
    <w:p w:rsidR="00A83471" w:rsidRDefault="00A83471">
      <w:pPr>
        <w:spacing w:after="160" w:line="259" w:lineRule="auto"/>
        <w:rPr>
          <w:rFonts w:ascii="Times New Roman" w:eastAsia="Times New Roman" w:hAnsi="Times New Roman" w:cs="Times New Roman"/>
        </w:rPr>
      </w:pPr>
    </w:p>
    <w:p w:rsidR="00A83471" w:rsidRDefault="00A83471">
      <w:pPr>
        <w:spacing w:after="160" w:line="259" w:lineRule="auto"/>
        <w:rPr>
          <w:rFonts w:ascii="Times New Roman" w:eastAsia="Times New Roman" w:hAnsi="Times New Roman" w:cs="Times New Roman"/>
        </w:rPr>
      </w:pPr>
    </w:p>
    <w:p w:rsidR="00A83471" w:rsidRDefault="00A83471">
      <w:pPr>
        <w:spacing w:after="160" w:line="259" w:lineRule="auto"/>
        <w:rPr>
          <w:rFonts w:ascii="Times New Roman" w:eastAsia="Times New Roman" w:hAnsi="Times New Roman" w:cs="Times New Roman"/>
        </w:rPr>
      </w:pPr>
    </w:p>
    <w:p w:rsidR="00A83471" w:rsidRDefault="00A83471">
      <w:pPr>
        <w:spacing w:after="160" w:line="259" w:lineRule="auto"/>
        <w:rPr>
          <w:rFonts w:ascii="Times New Roman" w:eastAsia="Times New Roman" w:hAnsi="Times New Roman" w:cs="Times New Roman"/>
        </w:rPr>
      </w:pPr>
    </w:p>
    <w:p w:rsidR="00A83471" w:rsidRDefault="005D797A">
      <w:pPr>
        <w:spacing w:after="160" w:line="259"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Center for Migration, Gender and Justice (CMGJ) is a non-profit, non-governmental organization (NGO) that addresses human rights at the intersection of migration and gender through research, advocacy, and education. Within our area of expertise, this s</w:t>
      </w:r>
      <w:r>
        <w:rPr>
          <w:rFonts w:ascii="Times New Roman" w:eastAsia="Times New Roman" w:hAnsi="Times New Roman" w:cs="Times New Roman"/>
          <w:sz w:val="20"/>
          <w:szCs w:val="20"/>
        </w:rPr>
        <w:t xml:space="preserve">hadow report speaks to Hungary’s implementation of CEDAW in light of the Committee’s 84th session (6-24 February 2023). Throughout the report, the names of any alleged victims, witnesses and perpetrators have been anonymized, and no photographs of alleged </w:t>
      </w:r>
      <w:r>
        <w:rPr>
          <w:rFonts w:ascii="Times New Roman" w:eastAsia="Times New Roman" w:hAnsi="Times New Roman" w:cs="Times New Roman"/>
          <w:sz w:val="20"/>
          <w:szCs w:val="20"/>
        </w:rPr>
        <w:t xml:space="preserve">victims, witnesses or perpetrators have been included. </w:t>
      </w:r>
    </w:p>
    <w:p w:rsidR="00A83471" w:rsidRDefault="005D797A">
      <w:pPr>
        <w:spacing w:after="160" w:line="259"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We consent to the publication of the report on OHCHR’s website.</w:t>
      </w:r>
    </w:p>
    <w:p w:rsidR="00A83471" w:rsidRDefault="005D797A">
      <w:pPr>
        <w:pStyle w:val="Heading1"/>
        <w:rPr>
          <w:rFonts w:ascii="Times New Roman" w:eastAsia="Times New Roman" w:hAnsi="Times New Roman" w:cs="Times New Roman"/>
          <w:b/>
          <w:sz w:val="22"/>
          <w:szCs w:val="22"/>
        </w:rPr>
      </w:pPr>
      <w:bookmarkStart w:id="0" w:name="_ts4e34pxcb7o" w:colFirst="0" w:colLast="0"/>
      <w:bookmarkEnd w:id="0"/>
      <w:r>
        <w:br w:type="page"/>
      </w:r>
    </w:p>
    <w:p w:rsidR="00A83471" w:rsidRDefault="005D797A">
      <w:pPr>
        <w:pStyle w:val="Heading1"/>
        <w:rPr>
          <w:rFonts w:ascii="Times New Roman" w:eastAsia="Times New Roman" w:hAnsi="Times New Roman" w:cs="Times New Roman"/>
          <w:b/>
          <w:i/>
        </w:rPr>
      </w:pPr>
      <w:bookmarkStart w:id="1" w:name="_b0tvfitsc6va" w:colFirst="0" w:colLast="0"/>
      <w:bookmarkEnd w:id="1"/>
      <w:r>
        <w:rPr>
          <w:rFonts w:ascii="Times New Roman" w:eastAsia="Times New Roman" w:hAnsi="Times New Roman" w:cs="Times New Roman"/>
          <w:b/>
          <w:sz w:val="22"/>
          <w:szCs w:val="22"/>
        </w:rPr>
        <w:lastRenderedPageBreak/>
        <w:t xml:space="preserve">Gender-Based Violence and Migration in Hungary  </w:t>
      </w:r>
    </w:p>
    <w:p w:rsidR="00A83471" w:rsidRDefault="005D797A">
      <w:pPr>
        <w:jc w:val="both"/>
        <w:rPr>
          <w:rFonts w:ascii="Times New Roman" w:eastAsia="Times New Roman" w:hAnsi="Times New Roman" w:cs="Times New Roman"/>
        </w:rPr>
      </w:pPr>
      <w:r>
        <w:rPr>
          <w:rFonts w:ascii="Times New Roman" w:eastAsia="Times New Roman" w:hAnsi="Times New Roman" w:cs="Times New Roman"/>
        </w:rPr>
        <w:t xml:space="preserve">Gender-based violence (GBV) is often a cause for migration. Women and girls, as well </w:t>
      </w:r>
      <w:r>
        <w:rPr>
          <w:rFonts w:ascii="Times New Roman" w:eastAsia="Times New Roman" w:hAnsi="Times New Roman" w:cs="Times New Roman"/>
        </w:rPr>
        <w:t>as LGBTQIA+ and gender diverse persons leave their countries of origin to escape GBV and other related harmful practices. GBV, however, also occurs along migratory routes and in destination countries - not least in Hungary, where protection gaps in GBV pre</w:t>
      </w:r>
      <w:r>
        <w:rPr>
          <w:rFonts w:ascii="Times New Roman" w:eastAsia="Times New Roman" w:hAnsi="Times New Roman" w:cs="Times New Roman"/>
        </w:rPr>
        <w:t>vention, mitigation, and response persist. This is particularly pressing given the ongoing war in Ukraine and Hungary recording more than 2 million border crossings since February 2022.</w:t>
      </w:r>
      <w:r>
        <w:rPr>
          <w:rFonts w:ascii="Times New Roman" w:eastAsia="Times New Roman" w:hAnsi="Times New Roman" w:cs="Times New Roman"/>
          <w:vertAlign w:val="superscript"/>
        </w:rPr>
        <w:footnoteReference w:id="1"/>
      </w:r>
    </w:p>
    <w:p w:rsidR="00A83471" w:rsidRDefault="00A83471">
      <w:pPr>
        <w:jc w:val="both"/>
        <w:rPr>
          <w:rFonts w:ascii="Times New Roman" w:eastAsia="Times New Roman" w:hAnsi="Times New Roman" w:cs="Times New Roman"/>
        </w:rPr>
      </w:pPr>
    </w:p>
    <w:p w:rsidR="00A83471" w:rsidRDefault="005D797A">
      <w:pPr>
        <w:jc w:val="both"/>
        <w:rPr>
          <w:rFonts w:ascii="Times New Roman" w:eastAsia="Times New Roman" w:hAnsi="Times New Roman" w:cs="Times New Roman"/>
        </w:rPr>
      </w:pPr>
      <w:r>
        <w:rPr>
          <w:rFonts w:ascii="Times New Roman" w:eastAsia="Times New Roman" w:hAnsi="Times New Roman" w:cs="Times New Roman"/>
        </w:rPr>
        <w:t>Various legal-institutional frameworks have been established over ti</w:t>
      </w:r>
      <w:r>
        <w:rPr>
          <w:rFonts w:ascii="Times New Roman" w:eastAsia="Times New Roman" w:hAnsi="Times New Roman" w:cs="Times New Roman"/>
        </w:rPr>
        <w:t>me that address GBV in the context of migration, including CEDAW General Recommendation No. 32. General Recommendation No. 32 clarifies gender-related dimensions of refugee status, asylum, nationality, and statelessness of women. It supplements the 1951 Re</w:t>
      </w:r>
      <w:r>
        <w:rPr>
          <w:rFonts w:ascii="Times New Roman" w:eastAsia="Times New Roman" w:hAnsi="Times New Roman" w:cs="Times New Roman"/>
        </w:rPr>
        <w:t xml:space="preserve">fugee Convention by recommending that: </w:t>
      </w:r>
    </w:p>
    <w:p w:rsidR="00A83471" w:rsidRDefault="00A83471">
      <w:pPr>
        <w:jc w:val="both"/>
        <w:rPr>
          <w:rFonts w:ascii="Times New Roman" w:eastAsia="Times New Roman" w:hAnsi="Times New Roman" w:cs="Times New Roman"/>
        </w:rPr>
      </w:pPr>
    </w:p>
    <w:p w:rsidR="00A83471" w:rsidRDefault="005D797A">
      <w:pPr>
        <w:jc w:val="both"/>
        <w:rPr>
          <w:rFonts w:ascii="Times New Roman" w:eastAsia="Times New Roman" w:hAnsi="Times New Roman" w:cs="Times New Roman"/>
        </w:rPr>
      </w:pPr>
      <w:r>
        <w:rPr>
          <w:rFonts w:ascii="Times New Roman" w:eastAsia="Times New Roman" w:hAnsi="Times New Roman" w:cs="Times New Roman"/>
        </w:rPr>
        <w:t>“States parties apply a gender perspective when interpreting all five grounds [determining the reasons for persecution according to the Refugee Convention], use gender as a factor in recognizing membership of a particular social group for purposes of grant</w:t>
      </w:r>
      <w:r>
        <w:rPr>
          <w:rFonts w:ascii="Times New Roman" w:eastAsia="Times New Roman" w:hAnsi="Times New Roman" w:cs="Times New Roman"/>
        </w:rPr>
        <w:t>ing refugee status under the 1951 Convention and further introduce other grounds of persecution, namely sex and/or gender, into national legislation and policies relating to refugees and asylum seekers.”</w:t>
      </w:r>
      <w:r>
        <w:rPr>
          <w:rFonts w:ascii="Times New Roman" w:eastAsia="Times New Roman" w:hAnsi="Times New Roman" w:cs="Times New Roman"/>
          <w:vertAlign w:val="superscript"/>
        </w:rPr>
        <w:footnoteReference w:id="2"/>
      </w:r>
    </w:p>
    <w:p w:rsidR="00A83471" w:rsidRDefault="00A83471">
      <w:pPr>
        <w:jc w:val="both"/>
        <w:rPr>
          <w:rFonts w:ascii="Times New Roman" w:eastAsia="Times New Roman" w:hAnsi="Times New Roman" w:cs="Times New Roman"/>
        </w:rPr>
      </w:pPr>
    </w:p>
    <w:p w:rsidR="00A83471" w:rsidRDefault="005D797A">
      <w:pPr>
        <w:jc w:val="both"/>
        <w:rPr>
          <w:rFonts w:ascii="Times New Roman" w:eastAsia="Times New Roman" w:hAnsi="Times New Roman" w:cs="Times New Roman"/>
        </w:rPr>
      </w:pPr>
      <w:r>
        <w:rPr>
          <w:rFonts w:ascii="Times New Roman" w:eastAsia="Times New Roman" w:hAnsi="Times New Roman" w:cs="Times New Roman"/>
        </w:rPr>
        <w:t>Although Hungary ratified CEDAW in 1980 and accept</w:t>
      </w:r>
      <w:r>
        <w:rPr>
          <w:rFonts w:ascii="Times New Roman" w:eastAsia="Times New Roman" w:hAnsi="Times New Roman" w:cs="Times New Roman"/>
        </w:rPr>
        <w:t>ed recommendations made during its 2016 review, the provisions of the non-binding General Recommendation No. 32 have remained contested by way of Hungary’s refusal to ratify the Istanbul Convention, the main international legal framework on violence agains</w:t>
      </w:r>
      <w:r>
        <w:rPr>
          <w:rFonts w:ascii="Times New Roman" w:eastAsia="Times New Roman" w:hAnsi="Times New Roman" w:cs="Times New Roman"/>
        </w:rPr>
        <w:t>t women in Europe. In May 2020, Hungary’s parliament approved a declaration refusing to ratify the Convention for its asylum provisions (Articles 60) and the inclusion of gender as terminology.  The declaration notes that the rights of women (understood in</w:t>
      </w:r>
      <w:r>
        <w:rPr>
          <w:rFonts w:ascii="Times New Roman" w:eastAsia="Times New Roman" w:hAnsi="Times New Roman" w:cs="Times New Roman"/>
        </w:rPr>
        <w:t xml:space="preserve"> binary terms) are already protected under national law and states that recognizing GBV as a form of persecution in asylum procedures “endangers Hungarian culture, laws, traditions, and national values.”</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In response to this vote, the Justice Minister also</w:t>
      </w:r>
      <w:r>
        <w:rPr>
          <w:rFonts w:ascii="Times New Roman" w:eastAsia="Times New Roman" w:hAnsi="Times New Roman" w:cs="Times New Roman"/>
        </w:rPr>
        <w:t xml:space="preserve"> asserted that Hungary’s existing domestic-violence legislation and support systems were “more stringent” than in the EU in general.</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w:t>
      </w:r>
    </w:p>
    <w:p w:rsidR="00A83471" w:rsidRDefault="00A83471">
      <w:pPr>
        <w:jc w:val="both"/>
        <w:rPr>
          <w:rFonts w:ascii="Times New Roman" w:eastAsia="Times New Roman" w:hAnsi="Times New Roman" w:cs="Times New Roman"/>
        </w:rPr>
      </w:pPr>
    </w:p>
    <w:p w:rsidR="00A83471" w:rsidRDefault="005D797A">
      <w:pPr>
        <w:jc w:val="both"/>
        <w:rPr>
          <w:rFonts w:ascii="Times New Roman" w:eastAsia="Times New Roman" w:hAnsi="Times New Roman" w:cs="Times New Roman"/>
        </w:rPr>
      </w:pPr>
      <w:r>
        <w:rPr>
          <w:rFonts w:ascii="Times New Roman" w:eastAsia="Times New Roman" w:hAnsi="Times New Roman" w:cs="Times New Roman"/>
        </w:rPr>
        <w:t>However, according to the European Institute for Gender Equality (EIGE), 27.7% of women in Hungary have experienced phys</w:t>
      </w:r>
      <w:r>
        <w:rPr>
          <w:rFonts w:ascii="Times New Roman" w:eastAsia="Times New Roman" w:hAnsi="Times New Roman" w:cs="Times New Roman"/>
        </w:rPr>
        <w:t>ical and/or sexual violence since the age of 15.</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Based on EIGE’s Gender Equality Index, in 2019, 18% of women who experienced physical and/or sexual violence experienced it in their own homes, and at least 15% of women experienced harassment in the past f</w:t>
      </w:r>
      <w:r>
        <w:rPr>
          <w:rFonts w:ascii="Times New Roman" w:eastAsia="Times New Roman" w:hAnsi="Times New Roman" w:cs="Times New Roman"/>
        </w:rPr>
        <w:t>ive years.</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In the context of migration, these concerns are further heightened as domestic violence, amongst other forms of GBV, is a </w:t>
      </w:r>
      <w:r>
        <w:rPr>
          <w:rFonts w:ascii="Times New Roman" w:eastAsia="Times New Roman" w:hAnsi="Times New Roman" w:cs="Times New Roman"/>
        </w:rPr>
        <w:lastRenderedPageBreak/>
        <w:t>fundamental concern in reception and accommodation centers, for instance.</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As a recent assessment report by HIAS and VOICE shows, there is a lack of “good and reliable information about GBV, referral systems for GBV services, and government-led GBV services, and there are language accessibility issues” for those displaced from t</w:t>
      </w:r>
      <w:r>
        <w:rPr>
          <w:rFonts w:ascii="Times New Roman" w:eastAsia="Times New Roman" w:hAnsi="Times New Roman" w:cs="Times New Roman"/>
        </w:rPr>
        <w:t>he Russia-Ukraine war.</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Additionally, the limited affordable housing options pose further GBV risks as volunteer-led medium- to long-term housing options have been developed and implemented,  yet “the safety and security of these options is not clear, and </w:t>
      </w:r>
      <w:r>
        <w:rPr>
          <w:rFonts w:ascii="Times New Roman" w:eastAsia="Times New Roman" w:hAnsi="Times New Roman" w:cs="Times New Roman"/>
        </w:rPr>
        <w:t>protection risks remain high.”</w:t>
      </w:r>
      <w:r>
        <w:rPr>
          <w:rFonts w:ascii="Times New Roman" w:eastAsia="Times New Roman" w:hAnsi="Times New Roman" w:cs="Times New Roman"/>
          <w:vertAlign w:val="superscript"/>
        </w:rPr>
        <w:footnoteReference w:id="9"/>
      </w:r>
    </w:p>
    <w:p w:rsidR="00A83471" w:rsidRDefault="00A83471">
      <w:pPr>
        <w:jc w:val="both"/>
        <w:rPr>
          <w:rFonts w:ascii="Times New Roman" w:eastAsia="Times New Roman" w:hAnsi="Times New Roman" w:cs="Times New Roman"/>
        </w:rPr>
      </w:pPr>
    </w:p>
    <w:p w:rsidR="00A83471" w:rsidRDefault="005D797A">
      <w:pPr>
        <w:jc w:val="both"/>
        <w:rPr>
          <w:rFonts w:ascii="Times New Roman" w:eastAsia="Times New Roman" w:hAnsi="Times New Roman" w:cs="Times New Roman"/>
        </w:rPr>
      </w:pPr>
      <w:r>
        <w:rPr>
          <w:rFonts w:ascii="Times New Roman" w:eastAsia="Times New Roman" w:hAnsi="Times New Roman" w:cs="Times New Roman"/>
        </w:rPr>
        <w:t>At the time of writing, there is no specific national legislation on GBV, but some of its forms (i.e. Sexual exploitation and abuse (SEA) and domestic violence) are criminalized in the Hungarian Criminal Code.</w:t>
      </w:r>
      <w:r>
        <w:rPr>
          <w:rFonts w:ascii="Times New Roman" w:eastAsia="Times New Roman" w:hAnsi="Times New Roman" w:cs="Times New Roman"/>
          <w:vertAlign w:val="superscript"/>
        </w:rPr>
        <w:footnoteReference w:id="10"/>
      </w:r>
      <w:r>
        <w:rPr>
          <w:rFonts w:ascii="Times New Roman" w:eastAsia="Times New Roman" w:hAnsi="Times New Roman" w:cs="Times New Roman"/>
        </w:rPr>
        <w:t xml:space="preserve"> Section 212/</w:t>
      </w:r>
      <w:r>
        <w:rPr>
          <w:rFonts w:ascii="Times New Roman" w:eastAsia="Times New Roman" w:hAnsi="Times New Roman" w:cs="Times New Roman"/>
        </w:rPr>
        <w:t>A of the Criminal Code defines domestic violence and Section 222 prohibits stalking.</w:t>
      </w:r>
      <w:r>
        <w:rPr>
          <w:rFonts w:ascii="Times New Roman" w:eastAsia="Times New Roman" w:hAnsi="Times New Roman" w:cs="Times New Roman"/>
          <w:vertAlign w:val="superscript"/>
        </w:rPr>
        <w:footnoteReference w:id="11"/>
      </w:r>
      <w:r>
        <w:rPr>
          <w:rFonts w:ascii="Times New Roman" w:eastAsia="Times New Roman" w:hAnsi="Times New Roman" w:cs="Times New Roman"/>
        </w:rPr>
        <w:t xml:space="preserve"> Furthermore, recent amendments to the Code provide provisions for issuing restraining orders during criminal prosecution for up to four months or until the decision has b</w:t>
      </w:r>
      <w:r>
        <w:rPr>
          <w:rFonts w:ascii="Times New Roman" w:eastAsia="Times New Roman" w:hAnsi="Times New Roman" w:cs="Times New Roman"/>
        </w:rPr>
        <w:t>een made.</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 xml:space="preserve"> With regards to domestic violence, the Code specifies that this criminal offense requires the survivor to live or have children with the abuser in order to qualify for prosecution.</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 xml:space="preserve"> More so, the Code requires at least two separate instances of d</w:t>
      </w:r>
      <w:r>
        <w:rPr>
          <w:rFonts w:ascii="Times New Roman" w:eastAsia="Times New Roman" w:hAnsi="Times New Roman" w:cs="Times New Roman"/>
        </w:rPr>
        <w:t>omestic violence to occur within a short timeframe to trigger criminal liability and only cohabiting persons or co-parenting couples are included in the legal definition of domestic violence.</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 xml:space="preserve"> Therefore, despite having legal requirements for addressing dom</w:t>
      </w:r>
      <w:r>
        <w:rPr>
          <w:rFonts w:ascii="Times New Roman" w:eastAsia="Times New Roman" w:hAnsi="Times New Roman" w:cs="Times New Roman"/>
        </w:rPr>
        <w:t xml:space="preserve">estic violence in the Criminal Code, safety concerns remain, particularly for those displaced and living in reception and accommodation facilities. </w:t>
      </w:r>
    </w:p>
    <w:p w:rsidR="00A83471" w:rsidRDefault="00A83471">
      <w:pPr>
        <w:jc w:val="both"/>
        <w:rPr>
          <w:rFonts w:ascii="Times New Roman" w:eastAsia="Times New Roman" w:hAnsi="Times New Roman" w:cs="Times New Roman"/>
        </w:rPr>
      </w:pPr>
    </w:p>
    <w:p w:rsidR="00A83471" w:rsidRDefault="005D797A">
      <w:pPr>
        <w:jc w:val="both"/>
        <w:rPr>
          <w:rFonts w:ascii="Times New Roman" w:eastAsia="Times New Roman" w:hAnsi="Times New Roman" w:cs="Times New Roman"/>
        </w:rPr>
      </w:pPr>
      <w:r>
        <w:rPr>
          <w:rFonts w:ascii="Times New Roman" w:eastAsia="Times New Roman" w:hAnsi="Times New Roman" w:cs="Times New Roman"/>
        </w:rPr>
        <w:t xml:space="preserve">These limitations in protections from GBV for migrant women (of varied statuses) are also evident in the </w:t>
      </w:r>
    </w:p>
    <w:p w:rsidR="00A83471" w:rsidRDefault="005D797A">
      <w:pPr>
        <w:jc w:val="both"/>
        <w:rPr>
          <w:rFonts w:ascii="Times New Roman" w:eastAsia="Times New Roman" w:hAnsi="Times New Roman" w:cs="Times New Roman"/>
        </w:rPr>
      </w:pPr>
      <w:r>
        <w:rPr>
          <w:rFonts w:ascii="Times New Roman" w:eastAsia="Times New Roman" w:hAnsi="Times New Roman" w:cs="Times New Roman"/>
        </w:rPr>
        <w:t>level of accessibility to justice as public prosecution is unavailable for “smaller” criminal offences such as verbal sexual harassment, isolated situations of stalking, and public acts of indecency, among others. In these cases, survivors must appeal to p</w:t>
      </w:r>
      <w:r>
        <w:rPr>
          <w:rFonts w:ascii="Times New Roman" w:eastAsia="Times New Roman" w:hAnsi="Times New Roman" w:cs="Times New Roman"/>
        </w:rPr>
        <w:t xml:space="preserve">rivately prosecute the cases, a costly ordeal that most survivors lack the resources or will to follow through, especially if already in economically precarious situations such as women who fled the war. Another gap in the current law pertains to the fact </w:t>
      </w:r>
      <w:r>
        <w:rPr>
          <w:rFonts w:ascii="Times New Roman" w:eastAsia="Times New Roman" w:hAnsi="Times New Roman" w:cs="Times New Roman"/>
        </w:rPr>
        <w:t>that sexual violence is not included in the offense of domestic violence.</w:t>
      </w:r>
      <w:r>
        <w:rPr>
          <w:rFonts w:ascii="Times New Roman" w:eastAsia="Times New Roman" w:hAnsi="Times New Roman" w:cs="Times New Roman"/>
          <w:vertAlign w:val="superscript"/>
        </w:rPr>
        <w:footnoteReference w:id="15"/>
      </w:r>
      <w:r>
        <w:rPr>
          <w:rFonts w:ascii="Times New Roman" w:eastAsia="Times New Roman" w:hAnsi="Times New Roman" w:cs="Times New Roman"/>
        </w:rPr>
        <w:t xml:space="preserve"> Therefore, non-aggravated cases of sexual coercion and sexual violence, in the cases of intimate partner violence, for example, require a private motion, making persecution difficul</w:t>
      </w:r>
      <w:r>
        <w:rPr>
          <w:rFonts w:ascii="Times New Roman" w:eastAsia="Times New Roman" w:hAnsi="Times New Roman" w:cs="Times New Roman"/>
        </w:rPr>
        <w:t>t while other forms of seeking safety, such as in shelters for GBV survivors also remains limited.</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xml:space="preserve"> </w:t>
      </w:r>
    </w:p>
    <w:p w:rsidR="00A83471" w:rsidRDefault="00A83471">
      <w:pPr>
        <w:jc w:val="both"/>
        <w:rPr>
          <w:rFonts w:ascii="Times New Roman" w:eastAsia="Times New Roman" w:hAnsi="Times New Roman" w:cs="Times New Roman"/>
        </w:rPr>
      </w:pPr>
    </w:p>
    <w:p w:rsidR="00A83471" w:rsidRDefault="00A83471">
      <w:pPr>
        <w:jc w:val="both"/>
        <w:rPr>
          <w:rFonts w:ascii="Times New Roman" w:eastAsia="Times New Roman" w:hAnsi="Times New Roman" w:cs="Times New Roman"/>
        </w:rPr>
      </w:pPr>
    </w:p>
    <w:p w:rsidR="00A83471" w:rsidRDefault="005D797A">
      <w:pPr>
        <w:jc w:val="both"/>
        <w:rPr>
          <w:rFonts w:ascii="Times New Roman" w:eastAsia="Times New Roman" w:hAnsi="Times New Roman" w:cs="Times New Roman"/>
        </w:rPr>
      </w:pPr>
      <w:r>
        <w:rPr>
          <w:rFonts w:ascii="Times New Roman" w:eastAsia="Times New Roman" w:hAnsi="Times New Roman" w:cs="Times New Roman"/>
        </w:rPr>
        <w:lastRenderedPageBreak/>
        <w:t>In 2020, Hungary pledged to increase funding and physical shelter spaces for GBV survivors, however, NGOs indicate that support and resources for GBV sur</w:t>
      </w:r>
      <w:r>
        <w:rPr>
          <w:rFonts w:ascii="Times New Roman" w:eastAsia="Times New Roman" w:hAnsi="Times New Roman" w:cs="Times New Roman"/>
        </w:rPr>
        <w:t>vivors continues to be insufficient. According to the Ministry of Human Resources, just 98 shelter beds are available to provide immediate accommodation and complex care for abused individuals and families is available only for up to 90 days.</w:t>
      </w:r>
      <w:r>
        <w:rPr>
          <w:rFonts w:ascii="Times New Roman" w:eastAsia="Times New Roman" w:hAnsi="Times New Roman" w:cs="Times New Roman"/>
          <w:vertAlign w:val="superscript"/>
        </w:rPr>
        <w:footnoteReference w:id="17"/>
      </w:r>
      <w:r>
        <w:rPr>
          <w:rFonts w:ascii="Times New Roman" w:eastAsia="Times New Roman" w:hAnsi="Times New Roman" w:cs="Times New Roman"/>
        </w:rPr>
        <w:t xml:space="preserve"> Another 144 </w:t>
      </w:r>
      <w:r>
        <w:rPr>
          <w:rFonts w:ascii="Times New Roman" w:eastAsia="Times New Roman" w:hAnsi="Times New Roman" w:cs="Times New Roman"/>
        </w:rPr>
        <w:t>beds are reserved for women at high risk of serious harm and are allowed a maximum stay of 6 months.</w:t>
      </w:r>
      <w:r>
        <w:rPr>
          <w:rFonts w:ascii="Times New Roman" w:eastAsia="Times New Roman" w:hAnsi="Times New Roman" w:cs="Times New Roman"/>
          <w:vertAlign w:val="superscript"/>
        </w:rPr>
        <w:footnoteReference w:id="18"/>
      </w:r>
      <w:r>
        <w:rPr>
          <w:rFonts w:ascii="Times New Roman" w:eastAsia="Times New Roman" w:hAnsi="Times New Roman" w:cs="Times New Roman"/>
        </w:rPr>
        <w:t xml:space="preserve"> Even so, it has been reported that GBV survivors often have difficulty locating information on the assistance they need, and for the ones that do and ulti</w:t>
      </w:r>
      <w:r>
        <w:rPr>
          <w:rFonts w:ascii="Times New Roman" w:eastAsia="Times New Roman" w:hAnsi="Times New Roman" w:cs="Times New Roman"/>
        </w:rPr>
        <w:t>mately apply for a shelter space, survivors are often placed on the reserve list because there are insufficient beds.</w:t>
      </w:r>
      <w:r>
        <w:rPr>
          <w:rFonts w:ascii="Times New Roman" w:eastAsia="Times New Roman" w:hAnsi="Times New Roman" w:cs="Times New Roman"/>
          <w:vertAlign w:val="superscript"/>
        </w:rPr>
        <w:footnoteReference w:id="19"/>
      </w:r>
      <w:r>
        <w:rPr>
          <w:rFonts w:ascii="Times New Roman" w:eastAsia="Times New Roman" w:hAnsi="Times New Roman" w:cs="Times New Roman"/>
        </w:rPr>
        <w:t xml:space="preserve"> In the context of migration, particularly in the context of the ongoing war, concerns about this limited support and shelter space have b</w:t>
      </w:r>
      <w:r>
        <w:rPr>
          <w:rFonts w:ascii="Times New Roman" w:eastAsia="Times New Roman" w:hAnsi="Times New Roman" w:cs="Times New Roman"/>
        </w:rPr>
        <w:t>een issued, notably in regards to information on “what services the state claims to be providing to them [displaced persons] (directly or through affiliated NGOs), and how many people have accessed these services to date.”</w:t>
      </w:r>
      <w:r>
        <w:rPr>
          <w:rFonts w:ascii="Times New Roman" w:eastAsia="Times New Roman" w:hAnsi="Times New Roman" w:cs="Times New Roman"/>
          <w:vertAlign w:val="superscript"/>
        </w:rPr>
        <w:footnoteReference w:id="20"/>
      </w:r>
      <w:r>
        <w:rPr>
          <w:rFonts w:ascii="Times New Roman" w:eastAsia="Times New Roman" w:hAnsi="Times New Roman" w:cs="Times New Roman"/>
        </w:rPr>
        <w:t xml:space="preserve"> This is particularly alarming as</w:t>
      </w:r>
      <w:r>
        <w:rPr>
          <w:rFonts w:ascii="Times New Roman" w:eastAsia="Times New Roman" w:hAnsi="Times New Roman" w:cs="Times New Roman"/>
        </w:rPr>
        <w:t xml:space="preserve"> Hungary is part of the Regional Refugee Response Plan for Ukraine (RRP-Ukraine) and partners on the ground have received funding, albeit very restricted, to address GBV prevention, mitigation, and response.</w:t>
      </w:r>
    </w:p>
    <w:p w:rsidR="00A83471" w:rsidRDefault="00A83471">
      <w:pPr>
        <w:rPr>
          <w:rFonts w:ascii="Times New Roman" w:eastAsia="Times New Roman" w:hAnsi="Times New Roman" w:cs="Times New Roman"/>
          <w:i/>
        </w:rPr>
      </w:pPr>
    </w:p>
    <w:p w:rsidR="00A83471" w:rsidRDefault="005D797A">
      <w:pPr>
        <w:rPr>
          <w:rFonts w:ascii="Times New Roman" w:eastAsia="Times New Roman" w:hAnsi="Times New Roman" w:cs="Times New Roman"/>
          <w:i/>
        </w:rPr>
      </w:pPr>
      <w:r>
        <w:rPr>
          <w:rFonts w:ascii="Times New Roman" w:eastAsia="Times New Roman" w:hAnsi="Times New Roman" w:cs="Times New Roman"/>
          <w:i/>
        </w:rPr>
        <w:t>Based on the provided information, we recommend</w:t>
      </w:r>
      <w:r>
        <w:rPr>
          <w:rFonts w:ascii="Times New Roman" w:eastAsia="Times New Roman" w:hAnsi="Times New Roman" w:cs="Times New Roman"/>
          <w:i/>
        </w:rPr>
        <w:t xml:space="preserve"> that the Committee ask the Government of Hungary the following:</w:t>
      </w:r>
    </w:p>
    <w:p w:rsidR="00A83471" w:rsidRDefault="005D797A">
      <w:pPr>
        <w:numPr>
          <w:ilvl w:val="0"/>
          <w:numId w:val="1"/>
        </w:numPr>
        <w:rPr>
          <w:rFonts w:ascii="Times New Roman" w:eastAsia="Times New Roman" w:hAnsi="Times New Roman" w:cs="Times New Roman"/>
        </w:rPr>
      </w:pPr>
      <w:r>
        <w:rPr>
          <w:rFonts w:ascii="Times New Roman" w:eastAsia="Times New Roman" w:hAnsi="Times New Roman" w:cs="Times New Roman"/>
        </w:rPr>
        <w:t>What measures has the government taken to ensure that GBV survivors, including of varied migration status, have accessible information regarding resources and services available to them?</w:t>
      </w:r>
    </w:p>
    <w:p w:rsidR="00A83471" w:rsidRDefault="005D797A">
      <w:pPr>
        <w:numPr>
          <w:ilvl w:val="0"/>
          <w:numId w:val="1"/>
        </w:numPr>
        <w:rPr>
          <w:rFonts w:ascii="Times New Roman" w:eastAsia="Times New Roman" w:hAnsi="Times New Roman" w:cs="Times New Roman"/>
        </w:rPr>
      </w:pPr>
      <w:r>
        <w:rPr>
          <w:rFonts w:ascii="Times New Roman" w:eastAsia="Times New Roman" w:hAnsi="Times New Roman" w:cs="Times New Roman"/>
        </w:rPr>
        <w:t>What</w:t>
      </w:r>
      <w:r>
        <w:rPr>
          <w:rFonts w:ascii="Times New Roman" w:eastAsia="Times New Roman" w:hAnsi="Times New Roman" w:cs="Times New Roman"/>
        </w:rPr>
        <w:t xml:space="preserve"> measures has the government taken to provide awareness and training to the police, judiciary, prosecutors, immigration officials, and border security to ensure GBV is sensitively addressed in the context of migration? </w:t>
      </w:r>
    </w:p>
    <w:p w:rsidR="00A83471" w:rsidRDefault="005D797A">
      <w:pPr>
        <w:numPr>
          <w:ilvl w:val="0"/>
          <w:numId w:val="1"/>
        </w:numPr>
        <w:rPr>
          <w:rFonts w:ascii="Times New Roman" w:eastAsia="Times New Roman" w:hAnsi="Times New Roman" w:cs="Times New Roman"/>
        </w:rPr>
      </w:pPr>
      <w:r>
        <w:rPr>
          <w:rFonts w:ascii="Times New Roman" w:eastAsia="Times New Roman" w:hAnsi="Times New Roman" w:cs="Times New Roman"/>
        </w:rPr>
        <w:t>As part of the RRP-Ukraine, how does</w:t>
      </w:r>
      <w:r>
        <w:rPr>
          <w:rFonts w:ascii="Times New Roman" w:eastAsia="Times New Roman" w:hAnsi="Times New Roman" w:cs="Times New Roman"/>
        </w:rPr>
        <w:t xml:space="preserve"> the government plan to provide the necessary funding for adequate GBV operational structures, including shelters for GBV survivors and adequate accommodation?</w:t>
      </w:r>
    </w:p>
    <w:p w:rsidR="00A83471" w:rsidRDefault="00A83471">
      <w:pPr>
        <w:rPr>
          <w:rFonts w:ascii="Times New Roman" w:eastAsia="Times New Roman" w:hAnsi="Times New Roman" w:cs="Times New Roman"/>
          <w:b/>
        </w:rPr>
      </w:pPr>
    </w:p>
    <w:p w:rsidR="00A83471" w:rsidRDefault="005D797A">
      <w:pPr>
        <w:rPr>
          <w:rFonts w:ascii="Times New Roman" w:eastAsia="Times New Roman" w:hAnsi="Times New Roman" w:cs="Times New Roman"/>
          <w:b/>
        </w:rPr>
      </w:pPr>
      <w:r>
        <w:rPr>
          <w:rFonts w:ascii="Times New Roman" w:eastAsia="Times New Roman" w:hAnsi="Times New Roman" w:cs="Times New Roman"/>
          <w:b/>
        </w:rPr>
        <w:t xml:space="preserve">The absence of </w:t>
      </w:r>
      <w:r>
        <w:rPr>
          <w:rFonts w:ascii="Times New Roman" w:eastAsia="Times New Roman" w:hAnsi="Times New Roman" w:cs="Times New Roman"/>
          <w:b/>
        </w:rPr>
        <w:t>‘</w:t>
      </w:r>
      <w:r>
        <w:rPr>
          <w:rFonts w:ascii="Times New Roman" w:eastAsia="Times New Roman" w:hAnsi="Times New Roman" w:cs="Times New Roman"/>
          <w:b/>
        </w:rPr>
        <w:t>gender</w:t>
      </w:r>
      <w:r>
        <w:rPr>
          <w:rFonts w:ascii="Times New Roman" w:eastAsia="Times New Roman" w:hAnsi="Times New Roman" w:cs="Times New Roman"/>
          <w:b/>
        </w:rPr>
        <w:t>’</w:t>
      </w:r>
      <w:r>
        <w:rPr>
          <w:rFonts w:ascii="Times New Roman" w:eastAsia="Times New Roman" w:hAnsi="Times New Roman" w:cs="Times New Roman"/>
          <w:b/>
        </w:rPr>
        <w:t xml:space="preserve"> - as concept - from the legal framework on GBV </w:t>
      </w:r>
      <w:r>
        <w:rPr>
          <w:rFonts w:ascii="Times New Roman" w:eastAsia="Times New Roman" w:hAnsi="Times New Roman" w:cs="Times New Roman"/>
          <w:b/>
        </w:rPr>
        <w:t xml:space="preserve">and its significance to </w:t>
      </w:r>
      <w:r>
        <w:rPr>
          <w:rFonts w:ascii="Times New Roman" w:eastAsia="Times New Roman" w:hAnsi="Times New Roman" w:cs="Times New Roman"/>
          <w:b/>
        </w:rPr>
        <w:t>migration</w:t>
      </w:r>
      <w:r>
        <w:rPr>
          <w:rFonts w:ascii="Times New Roman" w:eastAsia="Times New Roman" w:hAnsi="Times New Roman" w:cs="Times New Roman"/>
          <w:b/>
        </w:rPr>
        <w:t xml:space="preserve"> (Art. 1, 2, 3)</w:t>
      </w:r>
    </w:p>
    <w:p w:rsidR="00A83471" w:rsidRDefault="00A83471">
      <w:pPr>
        <w:rPr>
          <w:rFonts w:ascii="Times New Roman" w:eastAsia="Times New Roman" w:hAnsi="Times New Roman" w:cs="Times New Roman"/>
          <w:b/>
        </w:rPr>
      </w:pPr>
    </w:p>
    <w:p w:rsidR="00A83471" w:rsidRDefault="005D797A">
      <w:pPr>
        <w:jc w:val="both"/>
        <w:rPr>
          <w:rFonts w:ascii="Times New Roman" w:eastAsia="Times New Roman" w:hAnsi="Times New Roman" w:cs="Times New Roman"/>
        </w:rPr>
      </w:pPr>
      <w:r>
        <w:rPr>
          <w:rFonts w:ascii="Times New Roman" w:eastAsia="Times New Roman" w:hAnsi="Times New Roman" w:cs="Times New Roman"/>
        </w:rPr>
        <w:t>In 2020, the Hungarian Parliament banned the legal recognition of gender.</w:t>
      </w:r>
      <w:r>
        <w:rPr>
          <w:rFonts w:ascii="Times New Roman" w:eastAsia="Times New Roman" w:hAnsi="Times New Roman" w:cs="Times New Roman"/>
          <w:vertAlign w:val="superscript"/>
        </w:rPr>
        <w:footnoteReference w:id="21"/>
      </w:r>
      <w:r>
        <w:rPr>
          <w:rFonts w:ascii="Times New Roman" w:eastAsia="Times New Roman" w:hAnsi="Times New Roman" w:cs="Times New Roman"/>
        </w:rPr>
        <w:t xml:space="preserve"> The law stipulates that an individual’s ‘sex at birth’ should appear on the national registry of birth, death and marriage, not allowing any later changes.</w:t>
      </w:r>
      <w:r>
        <w:rPr>
          <w:rFonts w:ascii="Times New Roman" w:eastAsia="Times New Roman" w:hAnsi="Times New Roman" w:cs="Times New Roman"/>
          <w:vertAlign w:val="superscript"/>
        </w:rPr>
        <w:footnoteReference w:id="22"/>
      </w:r>
      <w:r>
        <w:rPr>
          <w:rFonts w:ascii="Times New Roman" w:eastAsia="Times New Roman" w:hAnsi="Times New Roman" w:cs="Times New Roman"/>
        </w:rPr>
        <w:t xml:space="preserve"> In 2021, Hungary proposed additional restrictions regarding LGBTIQ-related media content and LGBTIQ-related topics provided in educational institutions.</w:t>
      </w:r>
      <w:r>
        <w:rPr>
          <w:rFonts w:ascii="Times New Roman" w:eastAsia="Times New Roman" w:hAnsi="Times New Roman" w:cs="Times New Roman"/>
          <w:vertAlign w:val="superscript"/>
        </w:rPr>
        <w:footnoteReference w:id="23"/>
      </w:r>
      <w:r>
        <w:rPr>
          <w:rFonts w:ascii="Calibri" w:eastAsia="Calibri" w:hAnsi="Calibri" w:cs="Calibri"/>
        </w:rPr>
        <w:t xml:space="preserve"> </w:t>
      </w:r>
      <w:r>
        <w:rPr>
          <w:rFonts w:ascii="Times New Roman" w:eastAsia="Times New Roman" w:hAnsi="Times New Roman" w:cs="Times New Roman"/>
        </w:rPr>
        <w:t xml:space="preserve">More specifically, </w:t>
      </w:r>
      <w:r>
        <w:rPr>
          <w:rFonts w:ascii="Times New Roman" w:eastAsia="Times New Roman" w:hAnsi="Times New Roman" w:cs="Times New Roman"/>
        </w:rPr>
        <w:t xml:space="preserve">in June 2021, the Hungarian Parliament adopted a law that banned the education, promotion, or portrayal of </w:t>
      </w:r>
      <w:r>
        <w:rPr>
          <w:rFonts w:ascii="Times New Roman" w:eastAsia="Times New Roman" w:hAnsi="Times New Roman" w:cs="Times New Roman"/>
        </w:rPr>
        <w:lastRenderedPageBreak/>
        <w:t>homosexuality and gender reassignment among minors below the age of 18.</w:t>
      </w:r>
      <w:r>
        <w:rPr>
          <w:rFonts w:ascii="Times New Roman" w:eastAsia="Times New Roman" w:hAnsi="Times New Roman" w:cs="Times New Roman"/>
          <w:vertAlign w:val="superscript"/>
        </w:rPr>
        <w:footnoteReference w:id="24"/>
      </w:r>
      <w:r>
        <w:rPr>
          <w:rFonts w:ascii="Times New Roman" w:eastAsia="Times New Roman" w:hAnsi="Times New Roman" w:cs="Times New Roman"/>
        </w:rPr>
        <w:t xml:space="preserve"> These developments are situated within a complex legal-institutional framewo</w:t>
      </w:r>
      <w:r>
        <w:rPr>
          <w:rFonts w:ascii="Times New Roman" w:eastAsia="Times New Roman" w:hAnsi="Times New Roman" w:cs="Times New Roman"/>
        </w:rPr>
        <w:t xml:space="preserve">rk regarding grounds for protection from discrimination. </w:t>
      </w:r>
    </w:p>
    <w:p w:rsidR="00A83471" w:rsidRDefault="00A83471">
      <w:pPr>
        <w:jc w:val="both"/>
        <w:rPr>
          <w:rFonts w:ascii="Times New Roman" w:eastAsia="Times New Roman" w:hAnsi="Times New Roman" w:cs="Times New Roman"/>
        </w:rPr>
      </w:pPr>
    </w:p>
    <w:p w:rsidR="00A83471" w:rsidRDefault="005D797A">
      <w:pPr>
        <w:jc w:val="both"/>
        <w:rPr>
          <w:rFonts w:ascii="Times New Roman" w:eastAsia="Times New Roman" w:hAnsi="Times New Roman" w:cs="Times New Roman"/>
        </w:rPr>
      </w:pPr>
      <w:r>
        <w:rPr>
          <w:rFonts w:ascii="Times New Roman" w:eastAsia="Times New Roman" w:hAnsi="Times New Roman" w:cs="Times New Roman"/>
        </w:rPr>
        <w:t>Formerly, the Constitution of Hungary (Act XX of 1949) prohibited discrimination on grounds of gender.</w:t>
      </w:r>
      <w:r>
        <w:rPr>
          <w:rFonts w:ascii="Times New Roman" w:eastAsia="Times New Roman" w:hAnsi="Times New Roman" w:cs="Times New Roman"/>
          <w:vertAlign w:val="superscript"/>
        </w:rPr>
        <w:footnoteReference w:id="25"/>
      </w:r>
      <w:r>
        <w:rPr>
          <w:rFonts w:ascii="Times New Roman" w:eastAsia="Times New Roman" w:hAnsi="Times New Roman" w:cs="Times New Roman"/>
        </w:rPr>
        <w:t xml:space="preserve"> Article 15 of Hungary’s current Constitution, however, only guarantees fundamental rights to </w:t>
      </w:r>
      <w:r>
        <w:rPr>
          <w:rFonts w:ascii="Times New Roman" w:eastAsia="Times New Roman" w:hAnsi="Times New Roman" w:cs="Times New Roman"/>
        </w:rPr>
        <w:t xml:space="preserve">all without any discrimination based on “race, </w:t>
      </w:r>
      <w:proofErr w:type="spellStart"/>
      <w:r>
        <w:rPr>
          <w:rFonts w:ascii="Times New Roman" w:eastAsia="Times New Roman" w:hAnsi="Times New Roman" w:cs="Times New Roman"/>
        </w:rPr>
        <w:t>colour</w:t>
      </w:r>
      <w:proofErr w:type="spellEnd"/>
      <w:r>
        <w:rPr>
          <w:rFonts w:ascii="Times New Roman" w:eastAsia="Times New Roman" w:hAnsi="Times New Roman" w:cs="Times New Roman"/>
        </w:rPr>
        <w:t>, sex, disability, language, religion, political or other opinion, national or social origin, property, birth or any other status”.</w:t>
      </w:r>
      <w:r>
        <w:rPr>
          <w:rFonts w:ascii="Times New Roman" w:eastAsia="Times New Roman" w:hAnsi="Times New Roman" w:cs="Times New Roman"/>
          <w:vertAlign w:val="superscript"/>
        </w:rPr>
        <w:footnoteReference w:id="26"/>
      </w:r>
      <w:r>
        <w:rPr>
          <w:rFonts w:ascii="Times New Roman" w:eastAsia="Times New Roman" w:hAnsi="Times New Roman" w:cs="Times New Roman"/>
        </w:rPr>
        <w:t xml:space="preserve"> These legal amendments of recent years show that international non-dis</w:t>
      </w:r>
      <w:r>
        <w:rPr>
          <w:rFonts w:ascii="Times New Roman" w:eastAsia="Times New Roman" w:hAnsi="Times New Roman" w:cs="Times New Roman"/>
        </w:rPr>
        <w:t>crimination principles, including as established by CEDAW, are not respected. In this context, testimonies based on lived experiences provide further insights:</w:t>
      </w:r>
    </w:p>
    <w:p w:rsidR="00A83471" w:rsidRDefault="00A83471">
      <w:pPr>
        <w:jc w:val="both"/>
        <w:rPr>
          <w:rFonts w:ascii="Times New Roman" w:eastAsia="Times New Roman" w:hAnsi="Times New Roman" w:cs="Times New Roman"/>
        </w:rPr>
      </w:pPr>
    </w:p>
    <w:p w:rsidR="00A83471" w:rsidRDefault="005D797A">
      <w:pPr>
        <w:jc w:val="both"/>
        <w:rPr>
          <w:rFonts w:ascii="Times New Roman" w:eastAsia="Times New Roman" w:hAnsi="Times New Roman" w:cs="Times New Roman"/>
        </w:rPr>
      </w:pPr>
      <w:r>
        <w:rPr>
          <w:rFonts w:ascii="Times New Roman" w:eastAsia="Times New Roman" w:hAnsi="Times New Roman" w:cs="Times New Roman"/>
        </w:rPr>
        <w:t>A trans woman from Hungary, for instance, reveals the challenges she faces daily because her le</w:t>
      </w:r>
      <w:r>
        <w:rPr>
          <w:rFonts w:ascii="Times New Roman" w:eastAsia="Times New Roman" w:hAnsi="Times New Roman" w:cs="Times New Roman"/>
        </w:rPr>
        <w:t>gal documents do not reflect her gender identity.</w:t>
      </w:r>
      <w:r>
        <w:rPr>
          <w:rFonts w:ascii="Times New Roman" w:eastAsia="Times New Roman" w:hAnsi="Times New Roman" w:cs="Times New Roman"/>
          <w:vertAlign w:val="superscript"/>
        </w:rPr>
        <w:footnoteReference w:id="27"/>
      </w:r>
      <w:r>
        <w:rPr>
          <w:rFonts w:ascii="Times New Roman" w:eastAsia="Times New Roman" w:hAnsi="Times New Roman" w:cs="Times New Roman"/>
        </w:rPr>
        <w:t xml:space="preserve"> Since the latter is unconstitutional, it undermines the “right to self-identity” of trans and intersex people.</w:t>
      </w:r>
      <w:r>
        <w:rPr>
          <w:rFonts w:ascii="Times New Roman" w:eastAsia="Times New Roman" w:hAnsi="Times New Roman" w:cs="Times New Roman"/>
          <w:vertAlign w:val="superscript"/>
        </w:rPr>
        <w:footnoteReference w:id="28"/>
      </w:r>
      <w:r>
        <w:rPr>
          <w:rFonts w:ascii="Times New Roman" w:eastAsia="Times New Roman" w:hAnsi="Times New Roman" w:cs="Times New Roman"/>
        </w:rPr>
        <w:t xml:space="preserve"> In its opinion on these recent legal amendments, the Venice Commission concluded that Hungary</w:t>
      </w:r>
      <w:r>
        <w:rPr>
          <w:rFonts w:ascii="Times New Roman" w:eastAsia="Times New Roman" w:hAnsi="Times New Roman" w:cs="Times New Roman"/>
        </w:rPr>
        <w:t>’s provisions “are incompatible with international human rights standards.”</w:t>
      </w:r>
      <w:r>
        <w:rPr>
          <w:rFonts w:ascii="Times New Roman" w:eastAsia="Times New Roman" w:hAnsi="Times New Roman" w:cs="Times New Roman"/>
          <w:vertAlign w:val="superscript"/>
        </w:rPr>
        <w:footnoteReference w:id="29"/>
      </w:r>
      <w:r>
        <w:rPr>
          <w:rFonts w:ascii="Times New Roman" w:eastAsia="Times New Roman" w:hAnsi="Times New Roman" w:cs="Times New Roman"/>
        </w:rPr>
        <w:t xml:space="preserve"> More so, according to the European Court of Human Rights (ECtHR), gender identity falls under the right to respect for private and family life as per Article 8 of the European Con</w:t>
      </w:r>
      <w:r>
        <w:rPr>
          <w:rFonts w:ascii="Times New Roman" w:eastAsia="Times New Roman" w:hAnsi="Times New Roman" w:cs="Times New Roman"/>
        </w:rPr>
        <w:t>vention on Human Rights (ECHR). The ECtHR also states that trans and intersex people should be provided with human rights protection to private and family lives, including the right to change their sex.</w:t>
      </w:r>
      <w:r>
        <w:rPr>
          <w:rFonts w:ascii="Times New Roman" w:eastAsia="Times New Roman" w:hAnsi="Times New Roman" w:cs="Times New Roman"/>
          <w:vertAlign w:val="superscript"/>
        </w:rPr>
        <w:footnoteReference w:id="30"/>
      </w:r>
      <w:r>
        <w:rPr>
          <w:rFonts w:ascii="Times New Roman" w:eastAsia="Times New Roman" w:hAnsi="Times New Roman" w:cs="Times New Roman"/>
        </w:rPr>
        <w:t xml:space="preserve"> Hungary is subject to the </w:t>
      </w:r>
      <w:proofErr w:type="gramStart"/>
      <w:r>
        <w:rPr>
          <w:rFonts w:ascii="Times New Roman" w:eastAsia="Times New Roman" w:hAnsi="Times New Roman" w:cs="Times New Roman"/>
        </w:rPr>
        <w:t>Convention,</w:t>
      </w:r>
      <w:proofErr w:type="gramEnd"/>
      <w:r>
        <w:rPr>
          <w:rFonts w:ascii="Times New Roman" w:eastAsia="Times New Roman" w:hAnsi="Times New Roman" w:cs="Times New Roman"/>
        </w:rPr>
        <w:t xml:space="preserve"> however, it fa</w:t>
      </w:r>
      <w:r>
        <w:rPr>
          <w:rFonts w:ascii="Times New Roman" w:eastAsia="Times New Roman" w:hAnsi="Times New Roman" w:cs="Times New Roman"/>
        </w:rPr>
        <w:t xml:space="preserve">lls short in addressing said human rights in its domestic legislation. </w:t>
      </w:r>
    </w:p>
    <w:p w:rsidR="00A83471" w:rsidRDefault="00A83471">
      <w:pPr>
        <w:jc w:val="both"/>
        <w:rPr>
          <w:rFonts w:ascii="Times New Roman" w:eastAsia="Times New Roman" w:hAnsi="Times New Roman" w:cs="Times New Roman"/>
          <w:b/>
          <w:i/>
        </w:rPr>
      </w:pPr>
    </w:p>
    <w:p w:rsidR="00A83471" w:rsidRDefault="005D797A">
      <w:pPr>
        <w:jc w:val="both"/>
        <w:rPr>
          <w:rFonts w:ascii="Times New Roman" w:eastAsia="Times New Roman" w:hAnsi="Times New Roman" w:cs="Times New Roman"/>
        </w:rPr>
      </w:pPr>
      <w:r>
        <w:rPr>
          <w:rFonts w:ascii="Times New Roman" w:eastAsia="Times New Roman" w:hAnsi="Times New Roman" w:cs="Times New Roman"/>
        </w:rPr>
        <w:t>The noted challenges posed by Hungary’s restrictive understanding of gender are particularly pressing in the context of migration, not least with regards to gender-based asylum claims</w:t>
      </w:r>
      <w:r>
        <w:rPr>
          <w:rFonts w:ascii="Times New Roman" w:eastAsia="Times New Roman" w:hAnsi="Times New Roman" w:cs="Times New Roman"/>
        </w:rPr>
        <w:t xml:space="preserve"> which are binding for EU member states under the Qualification Directive 2011/95/EU.</w:t>
      </w:r>
      <w:r>
        <w:rPr>
          <w:rFonts w:ascii="Times New Roman" w:eastAsia="Times New Roman" w:hAnsi="Times New Roman" w:cs="Times New Roman"/>
          <w:vertAlign w:val="superscript"/>
        </w:rPr>
        <w:footnoteReference w:id="31"/>
      </w:r>
      <w:r>
        <w:rPr>
          <w:rFonts w:ascii="Times New Roman" w:eastAsia="Times New Roman" w:hAnsi="Times New Roman" w:cs="Times New Roman"/>
        </w:rPr>
        <w:t xml:space="preserve"> Hungary has a record of systematically failing to protect these rights for LGBTQIA+ and gender-diverse persons seeking protection. This is reflected, for instance, in th</w:t>
      </w:r>
      <w:r>
        <w:rPr>
          <w:rFonts w:ascii="Times New Roman" w:eastAsia="Times New Roman" w:hAnsi="Times New Roman" w:cs="Times New Roman"/>
        </w:rPr>
        <w:t xml:space="preserve">e 2018 ruling in the European Court of Justice (ECJ) in the case of </w:t>
      </w:r>
      <w:r>
        <w:rPr>
          <w:rFonts w:ascii="Times New Roman" w:eastAsia="Times New Roman" w:hAnsi="Times New Roman" w:cs="Times New Roman"/>
          <w:i/>
        </w:rPr>
        <w:t xml:space="preserve">F v </w:t>
      </w:r>
      <w:proofErr w:type="spellStart"/>
      <w:r>
        <w:rPr>
          <w:rFonts w:ascii="Times New Roman" w:eastAsia="Times New Roman" w:hAnsi="Times New Roman" w:cs="Times New Roman"/>
          <w:i/>
        </w:rPr>
        <w:t>Bevándorlási</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és</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Állampolgársági</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Hivatal</w:t>
      </w:r>
      <w:proofErr w:type="spellEnd"/>
      <w:r>
        <w:rPr>
          <w:rFonts w:ascii="Times New Roman" w:eastAsia="Times New Roman" w:hAnsi="Times New Roman" w:cs="Times New Roman"/>
          <w:i/>
        </w:rPr>
        <w:t>,</w:t>
      </w:r>
      <w:r>
        <w:rPr>
          <w:rFonts w:ascii="Times New Roman" w:eastAsia="Times New Roman" w:hAnsi="Times New Roman" w:cs="Times New Roman"/>
        </w:rPr>
        <w:t xml:space="preserve"> where Hungary was found to have violated the right to dignity and perpetuated torture and degrading treatment under the ECHR by subjecting a ga</w:t>
      </w:r>
      <w:r>
        <w:rPr>
          <w:rFonts w:ascii="Times New Roman" w:eastAsia="Times New Roman" w:hAnsi="Times New Roman" w:cs="Times New Roman"/>
        </w:rPr>
        <w:t>y asylum-seeker (‘F’) to Projective Personality Test.</w:t>
      </w:r>
      <w:r>
        <w:rPr>
          <w:rFonts w:ascii="Times New Roman" w:eastAsia="Times New Roman" w:hAnsi="Times New Roman" w:cs="Times New Roman"/>
          <w:vertAlign w:val="superscript"/>
        </w:rPr>
        <w:footnoteReference w:id="32"/>
      </w:r>
    </w:p>
    <w:p w:rsidR="00A83471" w:rsidRDefault="00A83471">
      <w:pPr>
        <w:spacing w:before="240" w:after="240"/>
        <w:jc w:val="both"/>
        <w:rPr>
          <w:rFonts w:ascii="Times New Roman" w:eastAsia="Times New Roman" w:hAnsi="Times New Roman" w:cs="Times New Roman"/>
        </w:rPr>
      </w:pPr>
    </w:p>
    <w:p w:rsidR="00924030" w:rsidRDefault="005D797A">
      <w:pPr>
        <w:spacing w:before="240" w:after="240"/>
        <w:jc w:val="both"/>
        <w:rPr>
          <w:rFonts w:ascii="Times New Roman" w:eastAsia="Times New Roman" w:hAnsi="Times New Roman" w:cs="Times New Roman"/>
        </w:rPr>
      </w:pPr>
      <w:r>
        <w:rPr>
          <w:rFonts w:ascii="Times New Roman" w:eastAsia="Times New Roman" w:hAnsi="Times New Roman" w:cs="Times New Roman"/>
        </w:rPr>
        <w:lastRenderedPageBreak/>
        <w:t>Although the exact number of LGBTQIA+ and gender-diverse persons seeking protection in Hungary remains unknown due to lack of data, NGOs have been providing necessary resources and services. The story of a trans man fleeing Ukraine in February 2022 demonst</w:t>
      </w:r>
      <w:r>
        <w:rPr>
          <w:rFonts w:ascii="Times New Roman" w:eastAsia="Times New Roman" w:hAnsi="Times New Roman" w:cs="Times New Roman"/>
        </w:rPr>
        <w:t>rates how they had to reach out to NGOs working with trans people to feel safe and find shelter during their short stay in Hungary.</w:t>
      </w:r>
      <w:r>
        <w:rPr>
          <w:rFonts w:ascii="Times New Roman" w:eastAsia="Times New Roman" w:hAnsi="Times New Roman" w:cs="Times New Roman"/>
          <w:vertAlign w:val="superscript"/>
        </w:rPr>
        <w:footnoteReference w:id="33"/>
      </w:r>
      <w:r>
        <w:rPr>
          <w:rFonts w:ascii="Times New Roman" w:eastAsia="Times New Roman" w:hAnsi="Times New Roman" w:cs="Times New Roman"/>
        </w:rPr>
        <w:t xml:space="preserve"> This </w:t>
      </w:r>
      <w:r>
        <w:rPr>
          <w:rFonts w:ascii="Times New Roman" w:eastAsia="Times New Roman" w:hAnsi="Times New Roman" w:cs="Times New Roman"/>
        </w:rPr>
        <w:t xml:space="preserve">uncertainty and insecurity, even in </w:t>
      </w:r>
      <w:r w:rsidR="00924030">
        <w:rPr>
          <w:rFonts w:ascii="Times New Roman" w:eastAsia="Times New Roman" w:hAnsi="Times New Roman" w:cs="Times New Roman"/>
        </w:rPr>
        <w:t>a</w:t>
      </w:r>
      <w:r>
        <w:rPr>
          <w:rFonts w:ascii="Times New Roman" w:eastAsia="Times New Roman" w:hAnsi="Times New Roman" w:cs="Times New Roman"/>
        </w:rPr>
        <w:t xml:space="preserve"> destination country, heightens the marginalization of LGBTQIA+ and gender-div</w:t>
      </w:r>
      <w:r>
        <w:rPr>
          <w:rFonts w:ascii="Times New Roman" w:eastAsia="Times New Roman" w:hAnsi="Times New Roman" w:cs="Times New Roman"/>
        </w:rPr>
        <w:t xml:space="preserve">erse displaced persons. In this context, NGOs have pointed out that Hungary lacks </w:t>
      </w:r>
      <w:r w:rsidR="00924030">
        <w:rPr>
          <w:rFonts w:ascii="Times New Roman" w:eastAsia="Times New Roman" w:hAnsi="Times New Roman" w:cs="Times New Roman"/>
        </w:rPr>
        <w:t xml:space="preserve">dedicated </w:t>
      </w:r>
      <w:r>
        <w:rPr>
          <w:rFonts w:ascii="Times New Roman" w:eastAsia="Times New Roman" w:hAnsi="Times New Roman" w:cs="Times New Roman"/>
        </w:rPr>
        <w:t>reception and accommodation facilities to address the specific needs and challenges of LGBTQIA+ and gender-diverse persons seeking protection.</w:t>
      </w:r>
      <w:r>
        <w:rPr>
          <w:rFonts w:ascii="Times New Roman" w:eastAsia="Times New Roman" w:hAnsi="Times New Roman" w:cs="Times New Roman"/>
          <w:vertAlign w:val="superscript"/>
        </w:rPr>
        <w:footnoteReference w:id="34"/>
      </w:r>
      <w:r>
        <w:rPr>
          <w:rFonts w:ascii="Times New Roman" w:eastAsia="Times New Roman" w:hAnsi="Times New Roman" w:cs="Times New Roman"/>
        </w:rPr>
        <w:t xml:space="preserve"> </w:t>
      </w:r>
    </w:p>
    <w:p w:rsidR="00A83471" w:rsidRDefault="005D797A">
      <w:pPr>
        <w:spacing w:before="240" w:after="240"/>
        <w:jc w:val="both"/>
        <w:rPr>
          <w:rFonts w:ascii="Times New Roman" w:eastAsia="Times New Roman" w:hAnsi="Times New Roman" w:cs="Times New Roman"/>
          <w:color w:val="1D1C1D"/>
        </w:rPr>
      </w:pPr>
      <w:r>
        <w:rPr>
          <w:rFonts w:ascii="Times New Roman" w:eastAsia="Times New Roman" w:hAnsi="Times New Roman" w:cs="Times New Roman"/>
        </w:rPr>
        <w:t xml:space="preserve">This is at odds with </w:t>
      </w:r>
      <w:r>
        <w:rPr>
          <w:rFonts w:ascii="Times New Roman" w:eastAsia="Times New Roman" w:hAnsi="Times New Roman" w:cs="Times New Roman"/>
        </w:rPr>
        <w:t>the reply to the list of questions posed to Hungary in which it was emphasized that gender identity will be considered in these matters; it</w:t>
      </w:r>
      <w:r w:rsidR="00924030">
        <w:rPr>
          <w:rFonts w:ascii="Times New Roman" w:eastAsia="Times New Roman" w:hAnsi="Times New Roman" w:cs="Times New Roman"/>
        </w:rPr>
        <w:t xml:space="preserve">, however, affirms </w:t>
      </w:r>
      <w:r>
        <w:rPr>
          <w:rFonts w:ascii="Times New Roman" w:eastAsia="Times New Roman" w:hAnsi="Times New Roman" w:cs="Times New Roman"/>
        </w:rPr>
        <w:t xml:space="preserve">the </w:t>
      </w:r>
      <w:r>
        <w:rPr>
          <w:rFonts w:ascii="Times New Roman" w:eastAsia="Times New Roman" w:hAnsi="Times New Roman" w:cs="Times New Roman"/>
          <w:color w:val="1D1C1D"/>
        </w:rPr>
        <w:t>amendments made to the Hungarian Criminal Code which now prohibits NGOs from assisting</w:t>
      </w:r>
      <w:r>
        <w:rPr>
          <w:rFonts w:ascii="Times New Roman" w:eastAsia="Times New Roman" w:hAnsi="Times New Roman" w:cs="Times New Roman"/>
          <w:color w:val="1D1C1D"/>
        </w:rPr>
        <w:t xml:space="preserve"> “illegal migrants,” including those making gender-based persecution claims.</w:t>
      </w:r>
      <w:r w:rsidR="00924030">
        <w:rPr>
          <w:rFonts w:ascii="Times New Roman" w:eastAsia="Times New Roman" w:hAnsi="Times New Roman" w:cs="Times New Roman"/>
          <w:color w:val="1D1C1D"/>
        </w:rPr>
        <w:t xml:space="preserve"> To this end</w:t>
      </w:r>
      <w:r>
        <w:rPr>
          <w:rFonts w:ascii="Times New Roman" w:eastAsia="Times New Roman" w:hAnsi="Times New Roman" w:cs="Times New Roman"/>
          <w:color w:val="1D1C1D"/>
        </w:rPr>
        <w:t xml:space="preserve">, the Court of Justice of the European Union (CJEU) published a judgment that criminalizing NGO assistance to asylum seekers violates EU law. </w:t>
      </w:r>
      <w:r>
        <w:rPr>
          <w:rFonts w:ascii="Times New Roman" w:eastAsia="Times New Roman" w:hAnsi="Times New Roman" w:cs="Times New Roman"/>
        </w:rPr>
        <w:t xml:space="preserve">This is particularly </w:t>
      </w:r>
      <w:r>
        <w:rPr>
          <w:rFonts w:ascii="Times New Roman" w:eastAsia="Times New Roman" w:hAnsi="Times New Roman" w:cs="Times New Roman"/>
        </w:rPr>
        <w:t>alarming as Hungary is part of the RRP-Ukraine, yet GBV prevention, mitigation, and response remains without consideration to sexual orientation and gender identity (SOGI) from the side of the government.</w:t>
      </w:r>
    </w:p>
    <w:p w:rsidR="00A83471" w:rsidRDefault="005D797A">
      <w:pPr>
        <w:rPr>
          <w:rFonts w:ascii="Times New Roman" w:eastAsia="Times New Roman" w:hAnsi="Times New Roman" w:cs="Times New Roman"/>
          <w:i/>
        </w:rPr>
      </w:pPr>
      <w:r>
        <w:rPr>
          <w:rFonts w:ascii="Times New Roman" w:eastAsia="Times New Roman" w:hAnsi="Times New Roman" w:cs="Times New Roman"/>
          <w:i/>
        </w:rPr>
        <w:t>Based on the provided information, we recommend tha</w:t>
      </w:r>
      <w:r>
        <w:rPr>
          <w:rFonts w:ascii="Times New Roman" w:eastAsia="Times New Roman" w:hAnsi="Times New Roman" w:cs="Times New Roman"/>
          <w:i/>
        </w:rPr>
        <w:t>t the Committee ask the Government of Hungary the following:</w:t>
      </w:r>
    </w:p>
    <w:p w:rsidR="00A83471" w:rsidRDefault="00A83471">
      <w:pPr>
        <w:rPr>
          <w:rFonts w:ascii="Times New Roman" w:eastAsia="Times New Roman" w:hAnsi="Times New Roman" w:cs="Times New Roman"/>
        </w:rPr>
      </w:pPr>
    </w:p>
    <w:p w:rsidR="00A83471" w:rsidRDefault="005D797A">
      <w:pPr>
        <w:numPr>
          <w:ilvl w:val="0"/>
          <w:numId w:val="2"/>
        </w:numPr>
        <w:rPr>
          <w:rFonts w:ascii="Times New Roman" w:eastAsia="Times New Roman" w:hAnsi="Times New Roman" w:cs="Times New Roman"/>
        </w:rPr>
      </w:pPr>
      <w:r>
        <w:rPr>
          <w:rFonts w:ascii="Times New Roman" w:eastAsia="Times New Roman" w:hAnsi="Times New Roman" w:cs="Times New Roman"/>
        </w:rPr>
        <w:t>How is the government working to address the specific challenges and needs of LGBTQIA+ and gender-diverse persons seeking protection?</w:t>
      </w:r>
    </w:p>
    <w:p w:rsidR="00A83471" w:rsidRDefault="005D797A">
      <w:pPr>
        <w:numPr>
          <w:ilvl w:val="0"/>
          <w:numId w:val="2"/>
        </w:numPr>
        <w:rPr>
          <w:rFonts w:ascii="Times New Roman" w:eastAsia="Times New Roman" w:hAnsi="Times New Roman" w:cs="Times New Roman"/>
        </w:rPr>
      </w:pPr>
      <w:r>
        <w:rPr>
          <w:rFonts w:ascii="Times New Roman" w:eastAsia="Times New Roman" w:hAnsi="Times New Roman" w:cs="Times New Roman"/>
        </w:rPr>
        <w:t>What is the government’s response towards the CJEU’s judgmen</w:t>
      </w:r>
      <w:r>
        <w:rPr>
          <w:rFonts w:ascii="Times New Roman" w:eastAsia="Times New Roman" w:hAnsi="Times New Roman" w:cs="Times New Roman"/>
        </w:rPr>
        <w:t xml:space="preserve">t that criminalizing NGO assistance to asylum seekers violates the EU law, particularly given the gendered dimensions therein (i.e. </w:t>
      </w:r>
      <w:r>
        <w:rPr>
          <w:rFonts w:ascii="Times New Roman" w:eastAsia="Times New Roman" w:hAnsi="Times New Roman" w:cs="Times New Roman"/>
          <w:color w:val="1D1C1D"/>
        </w:rPr>
        <w:t>gender-based persecution claims)</w:t>
      </w:r>
      <w:r>
        <w:rPr>
          <w:rFonts w:ascii="Times New Roman" w:eastAsia="Times New Roman" w:hAnsi="Times New Roman" w:cs="Times New Roman"/>
        </w:rPr>
        <w:t>?</w:t>
      </w:r>
    </w:p>
    <w:p w:rsidR="00A83471" w:rsidRDefault="005D797A">
      <w:pPr>
        <w:pStyle w:val="Heading1"/>
        <w:rPr>
          <w:rFonts w:ascii="Times New Roman" w:eastAsia="Times New Roman" w:hAnsi="Times New Roman" w:cs="Times New Roman"/>
          <w:b/>
          <w:sz w:val="22"/>
          <w:szCs w:val="22"/>
        </w:rPr>
      </w:pPr>
      <w:bookmarkStart w:id="2" w:name="_7ud9t0i5czu2" w:colFirst="0" w:colLast="0"/>
      <w:bookmarkEnd w:id="2"/>
      <w:r>
        <w:rPr>
          <w:rFonts w:ascii="Times New Roman" w:eastAsia="Times New Roman" w:hAnsi="Times New Roman" w:cs="Times New Roman"/>
          <w:b/>
          <w:sz w:val="22"/>
          <w:szCs w:val="22"/>
        </w:rPr>
        <w:t>References</w:t>
      </w:r>
    </w:p>
    <w:p w:rsidR="00A83471" w:rsidRDefault="005D797A">
      <w:pPr>
        <w:spacing w:before="280" w:after="280"/>
        <w:jc w:val="both"/>
        <w:rPr>
          <w:rFonts w:ascii="Times New Roman" w:eastAsia="Times New Roman" w:hAnsi="Times New Roman" w:cs="Times New Roman"/>
          <w:color w:val="282323"/>
          <w:sz w:val="20"/>
          <w:szCs w:val="20"/>
        </w:rPr>
      </w:pPr>
      <w:r>
        <w:rPr>
          <w:rFonts w:ascii="Times New Roman" w:eastAsia="Times New Roman" w:hAnsi="Times New Roman" w:cs="Times New Roman"/>
          <w:color w:val="282323"/>
          <w:sz w:val="20"/>
          <w:szCs w:val="20"/>
        </w:rPr>
        <w:t xml:space="preserve">Amnesty International. 2020. </w:t>
      </w:r>
      <w:r>
        <w:rPr>
          <w:rFonts w:ascii="Times New Roman" w:eastAsia="Times New Roman" w:hAnsi="Times New Roman" w:cs="Times New Roman"/>
          <w:i/>
          <w:color w:val="282323"/>
          <w:sz w:val="20"/>
          <w:szCs w:val="20"/>
        </w:rPr>
        <w:t xml:space="preserve">The Reality for Trans People in Hungary. </w:t>
      </w:r>
      <w:hyperlink r:id="rId8">
        <w:r>
          <w:rPr>
            <w:rFonts w:ascii="Times New Roman" w:eastAsia="Times New Roman" w:hAnsi="Times New Roman" w:cs="Times New Roman"/>
            <w:color w:val="1155CC"/>
            <w:sz w:val="20"/>
            <w:szCs w:val="20"/>
            <w:u w:val="single"/>
          </w:rPr>
          <w:t>THE REALITY FOR TRANS PEOPLE IN HUNGARY (amnesty.org)</w:t>
        </w:r>
      </w:hyperlink>
    </w:p>
    <w:p w:rsidR="00A83471" w:rsidRDefault="005D797A">
      <w:pPr>
        <w:spacing w:before="280" w:after="280"/>
        <w:jc w:val="both"/>
        <w:rPr>
          <w:rFonts w:ascii="Times New Roman" w:eastAsia="Times New Roman" w:hAnsi="Times New Roman" w:cs="Times New Roman"/>
          <w:color w:val="282323"/>
          <w:sz w:val="20"/>
          <w:szCs w:val="20"/>
        </w:rPr>
      </w:pPr>
      <w:r>
        <w:rPr>
          <w:rFonts w:ascii="Times New Roman" w:eastAsia="Times New Roman" w:hAnsi="Times New Roman" w:cs="Times New Roman"/>
          <w:color w:val="282323"/>
          <w:sz w:val="20"/>
          <w:szCs w:val="20"/>
        </w:rPr>
        <w:t xml:space="preserve">Amnesty International. 2021. </w:t>
      </w:r>
      <w:r>
        <w:rPr>
          <w:rFonts w:ascii="Times New Roman" w:eastAsia="Times New Roman" w:hAnsi="Times New Roman" w:cs="Times New Roman"/>
          <w:i/>
          <w:color w:val="282323"/>
          <w:sz w:val="20"/>
          <w:szCs w:val="20"/>
        </w:rPr>
        <w:t>Hungary: The Russian-style propaganda law violates human rights</w:t>
      </w:r>
      <w:r>
        <w:rPr>
          <w:rFonts w:ascii="Times New Roman" w:eastAsia="Times New Roman" w:hAnsi="Times New Roman" w:cs="Times New Roman"/>
          <w:i/>
          <w:color w:val="282323"/>
          <w:sz w:val="20"/>
          <w:szCs w:val="20"/>
        </w:rPr>
        <w:t xml:space="preserve"> and threatens LGBTI people. </w:t>
      </w:r>
      <w:hyperlink r:id="rId9">
        <w:r>
          <w:rPr>
            <w:rFonts w:ascii="Times New Roman" w:eastAsia="Times New Roman" w:hAnsi="Times New Roman" w:cs="Times New Roman"/>
            <w:color w:val="1155CC"/>
            <w:sz w:val="20"/>
            <w:szCs w:val="20"/>
            <w:u w:val="single"/>
          </w:rPr>
          <w:t>Amnesty Public Statement</w:t>
        </w:r>
      </w:hyperlink>
    </w:p>
    <w:p w:rsidR="00A83471" w:rsidRDefault="005D797A">
      <w:pPr>
        <w:spacing w:line="324" w:lineRule="auto"/>
        <w:rPr>
          <w:rFonts w:ascii="Times New Roman" w:eastAsia="Times New Roman" w:hAnsi="Times New Roman" w:cs="Times New Roman"/>
          <w:color w:val="282323"/>
          <w:sz w:val="18"/>
          <w:szCs w:val="18"/>
        </w:rPr>
      </w:pPr>
      <w:r>
        <w:rPr>
          <w:rFonts w:ascii="Times New Roman" w:eastAsia="Times New Roman" w:hAnsi="Times New Roman" w:cs="Times New Roman"/>
          <w:sz w:val="20"/>
          <w:szCs w:val="20"/>
        </w:rPr>
        <w:t xml:space="preserve">Asylum Information Database | European Council on Refugees and Exiles. Hungarian Helsinki Committee, </w:t>
      </w:r>
      <w:r>
        <w:rPr>
          <w:rFonts w:ascii="Times New Roman" w:eastAsia="Times New Roman" w:hAnsi="Times New Roman" w:cs="Times New Roman"/>
          <w:i/>
          <w:sz w:val="20"/>
          <w:szCs w:val="20"/>
        </w:rPr>
        <w:t>Cou</w:t>
      </w:r>
      <w:r>
        <w:rPr>
          <w:rFonts w:ascii="Times New Roman" w:eastAsia="Times New Roman" w:hAnsi="Times New Roman" w:cs="Times New Roman"/>
          <w:i/>
          <w:sz w:val="20"/>
          <w:szCs w:val="20"/>
        </w:rPr>
        <w:t>ntry Report:</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Special Reception Needs of Vulnerable Groups</w:t>
      </w:r>
      <w:r>
        <w:rPr>
          <w:rFonts w:ascii="Times New Roman" w:eastAsia="Times New Roman" w:hAnsi="Times New Roman" w:cs="Times New Roman"/>
          <w:sz w:val="20"/>
          <w:szCs w:val="20"/>
        </w:rPr>
        <w:t xml:space="preserve">. </w:t>
      </w:r>
      <w:hyperlink r:id="rId10">
        <w:r>
          <w:rPr>
            <w:rFonts w:ascii="Times New Roman" w:eastAsia="Times New Roman" w:hAnsi="Times New Roman" w:cs="Times New Roman"/>
            <w:color w:val="1155CC"/>
            <w:sz w:val="20"/>
            <w:szCs w:val="20"/>
            <w:u w:val="single"/>
          </w:rPr>
          <w:t>https://asylumineurope.org/reports/country/hungary/reception-co</w:t>
        </w:r>
        <w:r>
          <w:rPr>
            <w:rFonts w:ascii="Times New Roman" w:eastAsia="Times New Roman" w:hAnsi="Times New Roman" w:cs="Times New Roman"/>
            <w:color w:val="1155CC"/>
            <w:sz w:val="20"/>
            <w:szCs w:val="20"/>
            <w:u w:val="single"/>
          </w:rPr>
          <w:t>nditions/special-reception-needs-vulnerable-groups/</w:t>
        </w:r>
      </w:hyperlink>
    </w:p>
    <w:p w:rsidR="00A83471" w:rsidRDefault="005D797A">
      <w:pPr>
        <w:spacing w:before="280" w:after="280"/>
        <w:jc w:val="both"/>
        <w:rPr>
          <w:rFonts w:ascii="Times New Roman" w:eastAsia="Times New Roman" w:hAnsi="Times New Roman" w:cs="Times New Roman"/>
          <w:color w:val="282323"/>
          <w:sz w:val="20"/>
          <w:szCs w:val="20"/>
        </w:rPr>
      </w:pPr>
      <w:r>
        <w:rPr>
          <w:rFonts w:ascii="Times New Roman" w:eastAsia="Times New Roman" w:hAnsi="Times New Roman" w:cs="Times New Roman"/>
          <w:color w:val="282323"/>
          <w:sz w:val="20"/>
          <w:szCs w:val="20"/>
        </w:rPr>
        <w:lastRenderedPageBreak/>
        <w:t xml:space="preserve">CEDAW. 2020. </w:t>
      </w:r>
      <w:r>
        <w:rPr>
          <w:rFonts w:ascii="Times New Roman" w:eastAsia="Times New Roman" w:hAnsi="Times New Roman" w:cs="Times New Roman"/>
          <w:i/>
          <w:color w:val="282323"/>
          <w:sz w:val="20"/>
          <w:szCs w:val="20"/>
        </w:rPr>
        <w:t xml:space="preserve">Consideration of reports submitted by States parties under article 18 of the Convention: Hungary. </w:t>
      </w:r>
      <w:r>
        <w:rPr>
          <w:rFonts w:ascii="Times New Roman" w:eastAsia="Times New Roman" w:hAnsi="Times New Roman" w:cs="Times New Roman"/>
          <w:color w:val="282323"/>
          <w:sz w:val="20"/>
          <w:szCs w:val="20"/>
        </w:rPr>
        <w:t>CEDAW/C/HUN/9</w:t>
      </w:r>
    </w:p>
    <w:p w:rsidR="00A83471" w:rsidRDefault="005D797A">
      <w:pPr>
        <w:spacing w:before="280" w:after="280"/>
        <w:jc w:val="both"/>
        <w:rPr>
          <w:rFonts w:ascii="Times New Roman" w:eastAsia="Times New Roman" w:hAnsi="Times New Roman" w:cs="Times New Roman"/>
          <w:color w:val="282323"/>
          <w:sz w:val="20"/>
          <w:szCs w:val="20"/>
        </w:rPr>
      </w:pPr>
      <w:r>
        <w:rPr>
          <w:rFonts w:ascii="Times New Roman" w:eastAsia="Times New Roman" w:hAnsi="Times New Roman" w:cs="Times New Roman"/>
          <w:color w:val="282323"/>
          <w:sz w:val="20"/>
          <w:szCs w:val="20"/>
        </w:rPr>
        <w:t xml:space="preserve">Council of Europe. 2021. </w:t>
      </w:r>
      <w:r>
        <w:rPr>
          <w:rFonts w:ascii="Times New Roman" w:eastAsia="Times New Roman" w:hAnsi="Times New Roman" w:cs="Times New Roman"/>
          <w:i/>
          <w:color w:val="282323"/>
          <w:sz w:val="20"/>
          <w:szCs w:val="20"/>
        </w:rPr>
        <w:t>Venice Commission: On the Constitutional Amendments ad</w:t>
      </w:r>
      <w:r>
        <w:rPr>
          <w:rFonts w:ascii="Times New Roman" w:eastAsia="Times New Roman" w:hAnsi="Times New Roman" w:cs="Times New Roman"/>
          <w:i/>
          <w:color w:val="282323"/>
          <w:sz w:val="20"/>
          <w:szCs w:val="20"/>
        </w:rPr>
        <w:t xml:space="preserve">opted by the Hungarian Parliament in December 2020. </w:t>
      </w:r>
      <w:hyperlink r:id="rId11">
        <w:r>
          <w:rPr>
            <w:rFonts w:ascii="Times New Roman" w:eastAsia="Times New Roman" w:hAnsi="Times New Roman" w:cs="Times New Roman"/>
            <w:i/>
            <w:color w:val="1155CC"/>
            <w:sz w:val="20"/>
            <w:szCs w:val="20"/>
            <w:u w:val="single"/>
          </w:rPr>
          <w:t>default.aspx (coe.int)</w:t>
        </w:r>
      </w:hyperlink>
    </w:p>
    <w:p w:rsidR="00A83471" w:rsidRDefault="005D797A">
      <w:pPr>
        <w:spacing w:before="280" w:after="280"/>
        <w:jc w:val="both"/>
        <w:rPr>
          <w:rFonts w:ascii="Times New Roman" w:eastAsia="Times New Roman" w:hAnsi="Times New Roman" w:cs="Times New Roman"/>
          <w:color w:val="282323"/>
          <w:sz w:val="20"/>
          <w:szCs w:val="20"/>
        </w:rPr>
      </w:pPr>
      <w:r>
        <w:rPr>
          <w:rFonts w:ascii="Times New Roman" w:eastAsia="Times New Roman" w:hAnsi="Times New Roman" w:cs="Times New Roman"/>
          <w:color w:val="282323"/>
          <w:sz w:val="20"/>
          <w:szCs w:val="20"/>
        </w:rPr>
        <w:t xml:space="preserve">European Commission. 2022. </w:t>
      </w:r>
      <w:r>
        <w:rPr>
          <w:rFonts w:ascii="Times New Roman" w:eastAsia="Times New Roman" w:hAnsi="Times New Roman" w:cs="Times New Roman"/>
          <w:i/>
          <w:color w:val="282323"/>
          <w:sz w:val="20"/>
          <w:szCs w:val="20"/>
        </w:rPr>
        <w:t xml:space="preserve">Country Report Hungary on Non-discrimination. </w:t>
      </w:r>
      <w:hyperlink r:id="rId12">
        <w:r>
          <w:rPr>
            <w:rFonts w:ascii="Times New Roman" w:eastAsia="Times New Roman" w:hAnsi="Times New Roman" w:cs="Times New Roman"/>
            <w:color w:val="1155CC"/>
            <w:sz w:val="20"/>
            <w:szCs w:val="20"/>
            <w:u w:val="single"/>
          </w:rPr>
          <w:t xml:space="preserve">Non-discrimination Law in 36 European Countries: Transposition and implementation at national level of Council Directives 2000/43 and 2000/78 </w:t>
        </w:r>
        <w:r>
          <w:rPr>
            <w:rFonts w:ascii="Times New Roman" w:eastAsia="Times New Roman" w:hAnsi="Times New Roman" w:cs="Times New Roman"/>
            <w:color w:val="1155CC"/>
            <w:sz w:val="20"/>
            <w:szCs w:val="20"/>
            <w:u w:val="single"/>
          </w:rPr>
          <w:t>- State of affairs 1 January 2022 (equalitylaw.eu)</w:t>
        </w:r>
      </w:hyperlink>
    </w:p>
    <w:p w:rsidR="00A83471" w:rsidRDefault="005D797A">
      <w:pPr>
        <w:spacing w:before="280" w:after="280"/>
        <w:jc w:val="both"/>
        <w:rPr>
          <w:rFonts w:ascii="Times New Roman" w:eastAsia="Times New Roman" w:hAnsi="Times New Roman" w:cs="Times New Roman"/>
          <w:color w:val="282323"/>
          <w:sz w:val="20"/>
          <w:szCs w:val="20"/>
        </w:rPr>
      </w:pPr>
      <w:r>
        <w:rPr>
          <w:rFonts w:ascii="Times New Roman" w:eastAsia="Times New Roman" w:hAnsi="Times New Roman" w:cs="Times New Roman"/>
          <w:color w:val="282323"/>
          <w:sz w:val="20"/>
          <w:szCs w:val="20"/>
        </w:rPr>
        <w:t xml:space="preserve">European Institute for Gender Equality. 2019. </w:t>
      </w:r>
      <w:r>
        <w:rPr>
          <w:rFonts w:ascii="Times New Roman" w:eastAsia="Times New Roman" w:hAnsi="Times New Roman" w:cs="Times New Roman"/>
          <w:i/>
          <w:color w:val="282323"/>
          <w:sz w:val="20"/>
          <w:szCs w:val="20"/>
        </w:rPr>
        <w:t xml:space="preserve">Gender Equality Index. </w:t>
      </w:r>
      <w:hyperlink r:id="rId13">
        <w:r>
          <w:rPr>
            <w:rFonts w:ascii="Times New Roman" w:eastAsia="Times New Roman" w:hAnsi="Times New Roman" w:cs="Times New Roman"/>
            <w:i/>
            <w:color w:val="1155CC"/>
            <w:sz w:val="20"/>
            <w:szCs w:val="20"/>
            <w:u w:val="single"/>
          </w:rPr>
          <w:t>Hungary | Violence | 2021 | Gender Equality Inde</w:t>
        </w:r>
        <w:r>
          <w:rPr>
            <w:rFonts w:ascii="Times New Roman" w:eastAsia="Times New Roman" w:hAnsi="Times New Roman" w:cs="Times New Roman"/>
            <w:i/>
            <w:color w:val="1155CC"/>
            <w:sz w:val="20"/>
            <w:szCs w:val="20"/>
            <w:u w:val="single"/>
          </w:rPr>
          <w:t>x | European Institute for Gender Equality (europa.eu)</w:t>
        </w:r>
      </w:hyperlink>
    </w:p>
    <w:p w:rsidR="00A83471" w:rsidRDefault="005D797A">
      <w:pPr>
        <w:spacing w:before="280" w:after="280"/>
        <w:jc w:val="both"/>
        <w:rPr>
          <w:rFonts w:ascii="Times New Roman" w:eastAsia="Times New Roman" w:hAnsi="Times New Roman" w:cs="Times New Roman"/>
          <w:sz w:val="20"/>
          <w:szCs w:val="20"/>
        </w:rPr>
      </w:pPr>
      <w:r>
        <w:rPr>
          <w:rFonts w:ascii="Times New Roman" w:eastAsia="Times New Roman" w:hAnsi="Times New Roman" w:cs="Times New Roman"/>
          <w:color w:val="282323"/>
          <w:sz w:val="20"/>
          <w:szCs w:val="20"/>
        </w:rPr>
        <w:t xml:space="preserve">Hungary Criminal Code. </w:t>
      </w:r>
      <w:hyperlink r:id="rId14">
        <w:r>
          <w:rPr>
            <w:rFonts w:ascii="Times New Roman" w:eastAsia="Times New Roman" w:hAnsi="Times New Roman" w:cs="Times New Roman"/>
            <w:color w:val="1155CC"/>
            <w:sz w:val="20"/>
            <w:szCs w:val="20"/>
            <w:u w:val="single"/>
          </w:rPr>
          <w:t>National Practice - Criminal Cod</w:t>
        </w:r>
        <w:r>
          <w:rPr>
            <w:rFonts w:ascii="Times New Roman" w:eastAsia="Times New Roman" w:hAnsi="Times New Roman" w:cs="Times New Roman"/>
            <w:color w:val="1155CC"/>
            <w:sz w:val="20"/>
            <w:szCs w:val="20"/>
            <w:u w:val="single"/>
          </w:rPr>
          <w:t>e of the Republic of Hungary, as amended by the Act C of 2012 on the Criminal Code (Act C of 2012 on the Criminal Code) (icrc.org)</w:t>
        </w:r>
      </w:hyperlink>
    </w:p>
    <w:p w:rsidR="00A83471" w:rsidRDefault="005D797A">
      <w:pPr>
        <w:spacing w:before="280" w:after="280"/>
        <w:jc w:val="both"/>
        <w:rPr>
          <w:rFonts w:ascii="Times New Roman" w:eastAsia="Times New Roman" w:hAnsi="Times New Roman" w:cs="Times New Roman"/>
          <w:sz w:val="20"/>
          <w:szCs w:val="20"/>
        </w:rPr>
      </w:pPr>
      <w:r>
        <w:rPr>
          <w:rFonts w:ascii="Times New Roman" w:eastAsia="Times New Roman" w:hAnsi="Times New Roman" w:cs="Times New Roman"/>
          <w:color w:val="282323"/>
          <w:sz w:val="20"/>
          <w:szCs w:val="20"/>
        </w:rPr>
        <w:t xml:space="preserve">HIAS &amp; VOICE. 2022. </w:t>
      </w:r>
      <w:r>
        <w:rPr>
          <w:rFonts w:ascii="Times New Roman" w:eastAsia="Times New Roman" w:hAnsi="Times New Roman" w:cs="Times New Roman"/>
          <w:i/>
          <w:color w:val="282323"/>
          <w:sz w:val="20"/>
          <w:szCs w:val="20"/>
        </w:rPr>
        <w:t>Hungary Assessment Report - Waiting for the sky to close: The unprecedented crisis facing women and girls</w:t>
      </w:r>
      <w:r>
        <w:rPr>
          <w:rFonts w:ascii="Times New Roman" w:eastAsia="Times New Roman" w:hAnsi="Times New Roman" w:cs="Times New Roman"/>
          <w:i/>
          <w:color w:val="282323"/>
          <w:sz w:val="20"/>
          <w:szCs w:val="20"/>
        </w:rPr>
        <w:t xml:space="preserve"> fleeing Ukraine. </w:t>
      </w:r>
      <w:hyperlink r:id="rId15">
        <w:r>
          <w:rPr>
            <w:rFonts w:ascii="Times New Roman" w:eastAsia="Times New Roman" w:hAnsi="Times New Roman" w:cs="Times New Roman"/>
            <w:color w:val="1155CC"/>
            <w:sz w:val="20"/>
            <w:szCs w:val="20"/>
            <w:u w:val="single"/>
          </w:rPr>
          <w:t>HUNGARY_REPORT.pdf (voiceamplified.org)</w:t>
        </w:r>
      </w:hyperlink>
    </w:p>
    <w:p w:rsidR="00A83471" w:rsidRDefault="005D797A">
      <w:pPr>
        <w:spacing w:before="280" w:after="280"/>
        <w:jc w:val="both"/>
        <w:rPr>
          <w:rFonts w:ascii="Times New Roman" w:eastAsia="Times New Roman" w:hAnsi="Times New Roman" w:cs="Times New Roman"/>
          <w:color w:val="1155CC"/>
          <w:sz w:val="20"/>
          <w:szCs w:val="20"/>
          <w:u w:val="single"/>
        </w:rPr>
      </w:pPr>
      <w:r>
        <w:rPr>
          <w:rFonts w:ascii="Times New Roman" w:eastAsia="Times New Roman" w:hAnsi="Times New Roman" w:cs="Times New Roman"/>
          <w:color w:val="282323"/>
          <w:sz w:val="20"/>
          <w:szCs w:val="20"/>
        </w:rPr>
        <w:t xml:space="preserve">ILGA. 2020. </w:t>
      </w:r>
      <w:r>
        <w:rPr>
          <w:rFonts w:ascii="Times New Roman" w:eastAsia="Times New Roman" w:hAnsi="Times New Roman" w:cs="Times New Roman"/>
          <w:i/>
          <w:color w:val="282323"/>
          <w:sz w:val="20"/>
          <w:szCs w:val="20"/>
        </w:rPr>
        <w:t>Hungary rolls back legal protections, putting trans and intersex people at risk.</w:t>
      </w:r>
      <w:r>
        <w:rPr>
          <w:rFonts w:ascii="Times New Roman" w:eastAsia="Times New Roman" w:hAnsi="Times New Roman" w:cs="Times New Roman"/>
          <w:color w:val="282323"/>
          <w:sz w:val="20"/>
          <w:szCs w:val="20"/>
        </w:rPr>
        <w:t xml:space="preserve"> </w:t>
      </w:r>
      <w:hyperlink r:id="rId16">
        <w:r>
          <w:rPr>
            <w:rFonts w:ascii="Times New Roman" w:eastAsia="Times New Roman" w:hAnsi="Times New Roman" w:cs="Times New Roman"/>
            <w:color w:val="1155CC"/>
            <w:sz w:val="20"/>
            <w:szCs w:val="20"/>
            <w:u w:val="single"/>
          </w:rPr>
          <w:t>Hungary puts trans and intersex people at risk (ilga-europe.org)</w:t>
        </w:r>
      </w:hyperlink>
    </w:p>
    <w:p w:rsidR="00530CC6" w:rsidRDefault="00530CC6">
      <w:pPr>
        <w:spacing w:before="280" w:after="280"/>
        <w:jc w:val="both"/>
        <w:rPr>
          <w:rFonts w:ascii="Times New Roman" w:eastAsia="Times New Roman" w:hAnsi="Times New Roman" w:cs="Times New Roman"/>
          <w:sz w:val="20"/>
          <w:szCs w:val="20"/>
        </w:rPr>
      </w:pPr>
      <w:r w:rsidRPr="00530CC6">
        <w:rPr>
          <w:rFonts w:ascii="Times New Roman" w:eastAsia="Times New Roman" w:hAnsi="Times New Roman" w:cs="Times New Roman"/>
          <w:sz w:val="20"/>
          <w:szCs w:val="20"/>
        </w:rPr>
        <w:t xml:space="preserve">IOM. 2019. Mapping Report on Legal Frameworks and Assistance Available to Migrant Victims of Sexual and Gender-Based Violence (SGBV). Protect Project, Brussels. Available from </w:t>
      </w:r>
      <w:hyperlink r:id="rId17" w:history="1">
        <w:r w:rsidRPr="00CD4CE1">
          <w:rPr>
            <w:rStyle w:val="Hyperlink"/>
            <w:rFonts w:ascii="Times New Roman" w:eastAsia="Times New Roman" w:hAnsi="Times New Roman" w:cs="Times New Roman"/>
            <w:sz w:val="20"/>
            <w:szCs w:val="20"/>
          </w:rPr>
          <w:t>https://eea.iom.int/protect-preventing-sexual-and-gender-based-violence-against-migrants-and-strengthening-support-victims</w:t>
        </w:r>
      </w:hyperlink>
      <w:r>
        <w:rPr>
          <w:rFonts w:ascii="Times New Roman" w:eastAsia="Times New Roman" w:hAnsi="Times New Roman" w:cs="Times New Roman"/>
          <w:sz w:val="20"/>
          <w:szCs w:val="20"/>
        </w:rPr>
        <w:t xml:space="preserve"> </w:t>
      </w:r>
      <w:bookmarkStart w:id="3" w:name="_GoBack"/>
      <w:bookmarkEnd w:id="3"/>
    </w:p>
    <w:p w:rsidR="00A83471" w:rsidRDefault="005D797A">
      <w:pPr>
        <w:spacing w:before="280" w:after="280"/>
        <w:jc w:val="both"/>
        <w:rPr>
          <w:rFonts w:ascii="Times New Roman" w:eastAsia="Times New Roman" w:hAnsi="Times New Roman" w:cs="Times New Roman"/>
          <w:sz w:val="20"/>
          <w:szCs w:val="20"/>
        </w:rPr>
      </w:pPr>
      <w:proofErr w:type="spellStart"/>
      <w:r>
        <w:rPr>
          <w:rFonts w:ascii="Times New Roman" w:eastAsia="Times New Roman" w:hAnsi="Times New Roman" w:cs="Times New Roman"/>
          <w:color w:val="282323"/>
          <w:sz w:val="20"/>
          <w:szCs w:val="20"/>
        </w:rPr>
        <w:t>Keygnaert</w:t>
      </w:r>
      <w:proofErr w:type="spellEnd"/>
      <w:r>
        <w:rPr>
          <w:rFonts w:ascii="Times New Roman" w:eastAsia="Times New Roman" w:hAnsi="Times New Roman" w:cs="Times New Roman"/>
          <w:color w:val="282323"/>
          <w:sz w:val="20"/>
          <w:szCs w:val="20"/>
        </w:rPr>
        <w:t xml:space="preserve">, I., Dias, S., </w:t>
      </w:r>
      <w:proofErr w:type="spellStart"/>
      <w:r>
        <w:rPr>
          <w:rFonts w:ascii="Times New Roman" w:eastAsia="Times New Roman" w:hAnsi="Times New Roman" w:cs="Times New Roman"/>
          <w:color w:val="282323"/>
          <w:sz w:val="20"/>
          <w:szCs w:val="20"/>
        </w:rPr>
        <w:t>Degomme</w:t>
      </w:r>
      <w:proofErr w:type="spellEnd"/>
      <w:r>
        <w:rPr>
          <w:rFonts w:ascii="Times New Roman" w:eastAsia="Times New Roman" w:hAnsi="Times New Roman" w:cs="Times New Roman"/>
          <w:color w:val="282323"/>
          <w:sz w:val="20"/>
          <w:szCs w:val="20"/>
        </w:rPr>
        <w:t xml:space="preserve">, O., </w:t>
      </w:r>
      <w:proofErr w:type="spellStart"/>
      <w:r>
        <w:rPr>
          <w:rFonts w:ascii="Times New Roman" w:eastAsia="Times New Roman" w:hAnsi="Times New Roman" w:cs="Times New Roman"/>
          <w:color w:val="282323"/>
          <w:sz w:val="20"/>
          <w:szCs w:val="20"/>
        </w:rPr>
        <w:t>Devillé</w:t>
      </w:r>
      <w:proofErr w:type="spellEnd"/>
      <w:r>
        <w:rPr>
          <w:rFonts w:ascii="Times New Roman" w:eastAsia="Times New Roman" w:hAnsi="Times New Roman" w:cs="Times New Roman"/>
          <w:color w:val="282323"/>
          <w:sz w:val="20"/>
          <w:szCs w:val="20"/>
        </w:rPr>
        <w:t xml:space="preserve">, W., Kennedy, P., </w:t>
      </w:r>
      <w:proofErr w:type="spellStart"/>
      <w:r>
        <w:rPr>
          <w:rFonts w:ascii="Times New Roman" w:eastAsia="Times New Roman" w:hAnsi="Times New Roman" w:cs="Times New Roman"/>
          <w:color w:val="282323"/>
          <w:sz w:val="20"/>
          <w:szCs w:val="20"/>
        </w:rPr>
        <w:t>Kovats</w:t>
      </w:r>
      <w:proofErr w:type="spellEnd"/>
      <w:r>
        <w:rPr>
          <w:rFonts w:ascii="Times New Roman" w:eastAsia="Times New Roman" w:hAnsi="Times New Roman" w:cs="Times New Roman"/>
          <w:color w:val="282323"/>
          <w:sz w:val="20"/>
          <w:szCs w:val="20"/>
        </w:rPr>
        <w:t>, A.</w:t>
      </w:r>
      <w:r>
        <w:rPr>
          <w:rFonts w:ascii="Times New Roman" w:eastAsia="Times New Roman" w:hAnsi="Times New Roman" w:cs="Times New Roman"/>
          <w:color w:val="282323"/>
          <w:sz w:val="20"/>
          <w:szCs w:val="20"/>
        </w:rPr>
        <w:t xml:space="preserve"> De Meyer, S., </w:t>
      </w:r>
      <w:proofErr w:type="spellStart"/>
      <w:r>
        <w:rPr>
          <w:rFonts w:ascii="Times New Roman" w:eastAsia="Times New Roman" w:hAnsi="Times New Roman" w:cs="Times New Roman"/>
          <w:color w:val="282323"/>
          <w:sz w:val="20"/>
          <w:szCs w:val="20"/>
        </w:rPr>
        <w:t>Vettenbur</w:t>
      </w:r>
      <w:proofErr w:type="spellEnd"/>
      <w:r>
        <w:rPr>
          <w:rFonts w:ascii="Times New Roman" w:eastAsia="Times New Roman" w:hAnsi="Times New Roman" w:cs="Times New Roman"/>
          <w:color w:val="282323"/>
          <w:sz w:val="20"/>
          <w:szCs w:val="20"/>
        </w:rPr>
        <w:t xml:space="preserve">, N., </w:t>
      </w:r>
      <w:proofErr w:type="spellStart"/>
      <w:r>
        <w:rPr>
          <w:rFonts w:ascii="Times New Roman" w:eastAsia="Times New Roman" w:hAnsi="Times New Roman" w:cs="Times New Roman"/>
          <w:color w:val="282323"/>
          <w:sz w:val="20"/>
          <w:szCs w:val="20"/>
        </w:rPr>
        <w:t>Roelens</w:t>
      </w:r>
      <w:proofErr w:type="spellEnd"/>
      <w:r>
        <w:rPr>
          <w:rFonts w:ascii="Times New Roman" w:eastAsia="Times New Roman" w:hAnsi="Times New Roman" w:cs="Times New Roman"/>
          <w:color w:val="282323"/>
          <w:sz w:val="20"/>
          <w:szCs w:val="20"/>
        </w:rPr>
        <w:t xml:space="preserve">, K., </w:t>
      </w:r>
      <w:proofErr w:type="spellStart"/>
      <w:r>
        <w:rPr>
          <w:rFonts w:ascii="Times New Roman" w:eastAsia="Times New Roman" w:hAnsi="Times New Roman" w:cs="Times New Roman"/>
          <w:color w:val="282323"/>
          <w:sz w:val="20"/>
          <w:szCs w:val="20"/>
        </w:rPr>
        <w:t>Temmerman</w:t>
      </w:r>
      <w:proofErr w:type="spellEnd"/>
      <w:r>
        <w:rPr>
          <w:rFonts w:ascii="Times New Roman" w:eastAsia="Times New Roman" w:hAnsi="Times New Roman" w:cs="Times New Roman"/>
          <w:color w:val="282323"/>
          <w:sz w:val="20"/>
          <w:szCs w:val="20"/>
        </w:rPr>
        <w:t xml:space="preserve">, M. “Sexual and gender-based violence in the European asylum and reception sector?” 2015. </w:t>
      </w:r>
      <w:r>
        <w:rPr>
          <w:rFonts w:ascii="Times New Roman" w:eastAsia="Times New Roman" w:hAnsi="Times New Roman" w:cs="Times New Roman"/>
          <w:i/>
          <w:color w:val="282323"/>
          <w:sz w:val="20"/>
          <w:szCs w:val="20"/>
        </w:rPr>
        <w:t>European Journal of Public Health</w:t>
      </w:r>
      <w:r>
        <w:rPr>
          <w:rFonts w:ascii="Times New Roman" w:eastAsia="Times New Roman" w:hAnsi="Times New Roman" w:cs="Times New Roman"/>
          <w:color w:val="282323"/>
          <w:sz w:val="20"/>
          <w:szCs w:val="20"/>
        </w:rPr>
        <w:t>, Volume 25, Issue 1, February 2015, Pages 90–96.</w:t>
      </w:r>
    </w:p>
    <w:p w:rsidR="00A83471" w:rsidRDefault="005D797A">
      <w:pPr>
        <w:spacing w:before="280" w:after="280"/>
        <w:jc w:val="both"/>
        <w:rPr>
          <w:rFonts w:ascii="Times New Roman" w:eastAsia="Times New Roman" w:hAnsi="Times New Roman" w:cs="Times New Roman"/>
          <w:color w:val="282323"/>
          <w:sz w:val="20"/>
          <w:szCs w:val="20"/>
        </w:rPr>
      </w:pPr>
      <w:r>
        <w:rPr>
          <w:rFonts w:ascii="Times New Roman" w:eastAsia="Times New Roman" w:hAnsi="Times New Roman" w:cs="Times New Roman"/>
          <w:color w:val="282323"/>
          <w:sz w:val="20"/>
          <w:szCs w:val="20"/>
        </w:rPr>
        <w:t xml:space="preserve">Ministry of Justice. 2021. </w:t>
      </w:r>
      <w:r>
        <w:rPr>
          <w:rFonts w:ascii="Times New Roman" w:eastAsia="Times New Roman" w:hAnsi="Times New Roman" w:cs="Times New Roman"/>
          <w:i/>
          <w:color w:val="282323"/>
          <w:sz w:val="20"/>
          <w:szCs w:val="20"/>
        </w:rPr>
        <w:t>The</w:t>
      </w:r>
      <w:r>
        <w:rPr>
          <w:rFonts w:ascii="Times New Roman" w:eastAsia="Times New Roman" w:hAnsi="Times New Roman" w:cs="Times New Roman"/>
          <w:i/>
          <w:color w:val="282323"/>
          <w:sz w:val="20"/>
          <w:szCs w:val="20"/>
        </w:rPr>
        <w:t xml:space="preserve"> Fundamental Law of Hungary.</w:t>
      </w:r>
      <w:r>
        <w:rPr>
          <w:rFonts w:ascii="Times New Roman" w:eastAsia="Times New Roman" w:hAnsi="Times New Roman" w:cs="Times New Roman"/>
          <w:color w:val="282323"/>
          <w:sz w:val="20"/>
          <w:szCs w:val="20"/>
        </w:rPr>
        <w:t xml:space="preserve"> </w:t>
      </w:r>
      <w:hyperlink r:id="rId18">
        <w:r>
          <w:rPr>
            <w:rFonts w:ascii="Times New Roman" w:eastAsia="Times New Roman" w:hAnsi="Times New Roman" w:cs="Times New Roman"/>
            <w:color w:val="1155CC"/>
            <w:sz w:val="20"/>
            <w:szCs w:val="20"/>
            <w:u w:val="single"/>
          </w:rPr>
          <w:t>The Fundamental Law of Hungary (parlament.hu)</w:t>
        </w:r>
      </w:hyperlink>
    </w:p>
    <w:p w:rsidR="00A83471" w:rsidRDefault="005D797A">
      <w:pPr>
        <w:spacing w:before="280" w:after="280"/>
        <w:jc w:val="both"/>
        <w:rPr>
          <w:rFonts w:ascii="Times New Roman" w:eastAsia="Times New Roman" w:hAnsi="Times New Roman" w:cs="Times New Roman"/>
          <w:color w:val="282323"/>
          <w:sz w:val="20"/>
          <w:szCs w:val="20"/>
        </w:rPr>
      </w:pPr>
      <w:r>
        <w:rPr>
          <w:rFonts w:ascii="Times New Roman" w:eastAsia="Times New Roman" w:hAnsi="Times New Roman" w:cs="Times New Roman"/>
          <w:color w:val="282323"/>
          <w:sz w:val="20"/>
          <w:szCs w:val="20"/>
        </w:rPr>
        <w:t xml:space="preserve">NANE Women’s Rights Association. 2021. </w:t>
      </w:r>
      <w:r>
        <w:rPr>
          <w:rFonts w:ascii="Times New Roman" w:eastAsia="Times New Roman" w:hAnsi="Times New Roman" w:cs="Times New Roman"/>
          <w:i/>
          <w:color w:val="282323"/>
          <w:sz w:val="20"/>
          <w:szCs w:val="20"/>
        </w:rPr>
        <w:t xml:space="preserve">Hungary: Stakeholder </w:t>
      </w:r>
      <w:r>
        <w:rPr>
          <w:rFonts w:ascii="Times New Roman" w:eastAsia="Times New Roman" w:hAnsi="Times New Roman" w:cs="Times New Roman"/>
          <w:i/>
          <w:color w:val="282323"/>
          <w:sz w:val="20"/>
          <w:szCs w:val="20"/>
        </w:rPr>
        <w:t xml:space="preserve">report for the United Nations Universal Periodic Review. </w:t>
      </w:r>
      <w:r>
        <w:rPr>
          <w:rFonts w:ascii="Times New Roman" w:eastAsia="Times New Roman" w:hAnsi="Times New Roman" w:cs="Times New Roman"/>
          <w:color w:val="282323"/>
          <w:sz w:val="20"/>
          <w:szCs w:val="20"/>
        </w:rPr>
        <w:t xml:space="preserve">The Advocates for Human Rights. </w:t>
      </w:r>
      <w:hyperlink r:id="rId19">
        <w:r>
          <w:rPr>
            <w:rFonts w:ascii="Times New Roman" w:eastAsia="Times New Roman" w:hAnsi="Times New Roman" w:cs="Times New Roman"/>
            <w:color w:val="1155CC"/>
            <w:sz w:val="20"/>
            <w:szCs w:val="20"/>
            <w:u w:val="single"/>
          </w:rPr>
          <w:t>*hungary_upr_vaw_stakeholder_report.pdf (theadvocatesforhumanrights.org)</w:t>
        </w:r>
      </w:hyperlink>
    </w:p>
    <w:p w:rsidR="00A83471" w:rsidRDefault="005D797A">
      <w:pPr>
        <w:spacing w:before="280" w:after="280"/>
        <w:jc w:val="both"/>
        <w:rPr>
          <w:rFonts w:ascii="Times New Roman" w:eastAsia="Times New Roman" w:hAnsi="Times New Roman" w:cs="Times New Roman"/>
          <w:color w:val="282323"/>
          <w:sz w:val="20"/>
          <w:szCs w:val="20"/>
        </w:rPr>
      </w:pPr>
      <w:r>
        <w:rPr>
          <w:rFonts w:ascii="Times New Roman" w:eastAsia="Times New Roman" w:hAnsi="Times New Roman" w:cs="Times New Roman"/>
          <w:color w:val="282323"/>
          <w:sz w:val="20"/>
          <w:szCs w:val="20"/>
        </w:rPr>
        <w:t xml:space="preserve">OHCHR. 1949. </w:t>
      </w:r>
      <w:r>
        <w:rPr>
          <w:rFonts w:ascii="Times New Roman" w:eastAsia="Times New Roman" w:hAnsi="Times New Roman" w:cs="Times New Roman"/>
          <w:i/>
          <w:color w:val="282323"/>
          <w:sz w:val="20"/>
          <w:szCs w:val="20"/>
        </w:rPr>
        <w:t>The Constitution of the Republic of Hungary.</w:t>
      </w:r>
      <w:r>
        <w:rPr>
          <w:rFonts w:ascii="Times New Roman" w:eastAsia="Times New Roman" w:hAnsi="Times New Roman" w:cs="Times New Roman"/>
          <w:color w:val="282323"/>
          <w:sz w:val="20"/>
          <w:szCs w:val="20"/>
        </w:rPr>
        <w:t xml:space="preserve"> </w:t>
      </w:r>
      <w:hyperlink r:id="rId20">
        <w:r>
          <w:rPr>
            <w:rFonts w:ascii="Times New Roman" w:eastAsia="Times New Roman" w:hAnsi="Times New Roman" w:cs="Times New Roman"/>
            <w:color w:val="1155CC"/>
            <w:sz w:val="20"/>
            <w:szCs w:val="20"/>
            <w:u w:val="single"/>
          </w:rPr>
          <w:t xml:space="preserve">Microsoft Word - A02 - Act XX of </w:t>
        </w:r>
        <w:r>
          <w:rPr>
            <w:rFonts w:ascii="Times New Roman" w:eastAsia="Times New Roman" w:hAnsi="Times New Roman" w:cs="Times New Roman"/>
            <w:color w:val="1155CC"/>
            <w:sz w:val="20"/>
            <w:szCs w:val="20"/>
            <w:u w:val="single"/>
          </w:rPr>
          <w:t>1949 on the Constitution.doc (ohchr.org)</w:t>
        </w:r>
      </w:hyperlink>
    </w:p>
    <w:p w:rsidR="00A83471" w:rsidRDefault="005D797A">
      <w:pPr>
        <w:spacing w:before="280" w:after="280"/>
        <w:jc w:val="both"/>
        <w:rPr>
          <w:rFonts w:ascii="Times New Roman" w:eastAsia="Times New Roman" w:hAnsi="Times New Roman" w:cs="Times New Roman"/>
          <w:color w:val="282323"/>
          <w:sz w:val="20"/>
          <w:szCs w:val="20"/>
        </w:rPr>
      </w:pPr>
      <w:r>
        <w:rPr>
          <w:rFonts w:ascii="Times New Roman" w:eastAsia="Times New Roman" w:hAnsi="Times New Roman" w:cs="Times New Roman"/>
          <w:color w:val="282323"/>
          <w:sz w:val="20"/>
          <w:szCs w:val="20"/>
        </w:rPr>
        <w:t xml:space="preserve">OHCHR. 2016. </w:t>
      </w:r>
      <w:r>
        <w:rPr>
          <w:rFonts w:ascii="Times New Roman" w:eastAsia="Times New Roman" w:hAnsi="Times New Roman" w:cs="Times New Roman"/>
          <w:i/>
          <w:color w:val="282323"/>
          <w:sz w:val="20"/>
          <w:szCs w:val="20"/>
        </w:rPr>
        <w:t xml:space="preserve">Report of the Working Group on the Universal Periodic Review: Hungary. </w:t>
      </w:r>
      <w:hyperlink r:id="rId21">
        <w:r>
          <w:rPr>
            <w:rFonts w:ascii="Times New Roman" w:eastAsia="Times New Roman" w:hAnsi="Times New Roman" w:cs="Times New Roman"/>
            <w:color w:val="1155CC"/>
            <w:sz w:val="20"/>
            <w:szCs w:val="20"/>
            <w:u w:val="single"/>
          </w:rPr>
          <w:t>OHCHR | Universal Periodic Review Third Cycle -</w:t>
        </w:r>
        <w:r>
          <w:rPr>
            <w:rFonts w:ascii="Times New Roman" w:eastAsia="Times New Roman" w:hAnsi="Times New Roman" w:cs="Times New Roman"/>
            <w:color w:val="1155CC"/>
            <w:sz w:val="20"/>
            <w:szCs w:val="20"/>
            <w:u w:val="single"/>
          </w:rPr>
          <w:t xml:space="preserve"> Hungary - Reference Documents</w:t>
        </w:r>
      </w:hyperlink>
    </w:p>
    <w:p w:rsidR="00A83471" w:rsidRDefault="005D797A">
      <w:pPr>
        <w:spacing w:before="280" w:after="280"/>
        <w:jc w:val="both"/>
        <w:rPr>
          <w:rFonts w:ascii="Times New Roman" w:eastAsia="Times New Roman" w:hAnsi="Times New Roman" w:cs="Times New Roman"/>
          <w:color w:val="282323"/>
          <w:sz w:val="20"/>
          <w:szCs w:val="20"/>
        </w:rPr>
      </w:pPr>
      <w:r>
        <w:rPr>
          <w:rFonts w:ascii="Times New Roman" w:eastAsia="Times New Roman" w:hAnsi="Times New Roman" w:cs="Times New Roman"/>
          <w:color w:val="282323"/>
          <w:sz w:val="20"/>
          <w:szCs w:val="20"/>
        </w:rPr>
        <w:t xml:space="preserve">Oliveira, C., </w:t>
      </w:r>
      <w:proofErr w:type="spellStart"/>
      <w:r>
        <w:rPr>
          <w:rFonts w:ascii="Times New Roman" w:eastAsia="Times New Roman" w:hAnsi="Times New Roman" w:cs="Times New Roman"/>
          <w:color w:val="282323"/>
          <w:sz w:val="20"/>
          <w:szCs w:val="20"/>
        </w:rPr>
        <w:t>Keygnaert</w:t>
      </w:r>
      <w:proofErr w:type="spellEnd"/>
      <w:r>
        <w:rPr>
          <w:rFonts w:ascii="Times New Roman" w:eastAsia="Times New Roman" w:hAnsi="Times New Roman" w:cs="Times New Roman"/>
          <w:color w:val="282323"/>
          <w:sz w:val="20"/>
          <w:szCs w:val="20"/>
        </w:rPr>
        <w:t xml:space="preserve">, I., Martins, O., Rosario, M. Dias, </w:t>
      </w:r>
      <w:proofErr w:type="spellStart"/>
      <w:proofErr w:type="gramStart"/>
      <w:r>
        <w:rPr>
          <w:rFonts w:ascii="Times New Roman" w:eastAsia="Times New Roman" w:hAnsi="Times New Roman" w:cs="Times New Roman"/>
          <w:color w:val="282323"/>
          <w:sz w:val="20"/>
          <w:szCs w:val="20"/>
        </w:rPr>
        <w:t>S.“</w:t>
      </w:r>
      <w:proofErr w:type="gramEnd"/>
      <w:r>
        <w:rPr>
          <w:rFonts w:ascii="Times New Roman" w:eastAsia="Times New Roman" w:hAnsi="Times New Roman" w:cs="Times New Roman"/>
          <w:color w:val="282323"/>
          <w:sz w:val="20"/>
          <w:szCs w:val="20"/>
        </w:rPr>
        <w:t>Assessing</w:t>
      </w:r>
      <w:proofErr w:type="spellEnd"/>
      <w:r>
        <w:rPr>
          <w:rFonts w:ascii="Times New Roman" w:eastAsia="Times New Roman" w:hAnsi="Times New Roman" w:cs="Times New Roman"/>
          <w:color w:val="282323"/>
          <w:sz w:val="20"/>
          <w:szCs w:val="20"/>
        </w:rPr>
        <w:t xml:space="preserve"> reported cases of sexual and gender-based violence, causes and preventive strategies, in European asylum reception facilities.” 2018. </w:t>
      </w:r>
      <w:r>
        <w:rPr>
          <w:rFonts w:ascii="Times New Roman" w:eastAsia="Times New Roman" w:hAnsi="Times New Roman" w:cs="Times New Roman"/>
          <w:i/>
          <w:color w:val="282323"/>
          <w:sz w:val="20"/>
          <w:szCs w:val="20"/>
        </w:rPr>
        <w:t xml:space="preserve">Globalization and </w:t>
      </w:r>
      <w:r>
        <w:rPr>
          <w:rFonts w:ascii="Times New Roman" w:eastAsia="Times New Roman" w:hAnsi="Times New Roman" w:cs="Times New Roman"/>
          <w:i/>
          <w:color w:val="282323"/>
          <w:sz w:val="20"/>
          <w:szCs w:val="20"/>
        </w:rPr>
        <w:t xml:space="preserve">Health </w:t>
      </w:r>
      <w:r>
        <w:rPr>
          <w:rFonts w:ascii="Times New Roman" w:eastAsia="Times New Roman" w:hAnsi="Times New Roman" w:cs="Times New Roman"/>
          <w:color w:val="282323"/>
          <w:sz w:val="20"/>
          <w:szCs w:val="20"/>
        </w:rPr>
        <w:t>13 (2018) 1, Pages 48-58.</w:t>
      </w:r>
    </w:p>
    <w:p w:rsidR="00A83471" w:rsidRDefault="005D797A">
      <w:pPr>
        <w:spacing w:before="280" w:after="280"/>
        <w:jc w:val="both"/>
        <w:rPr>
          <w:rFonts w:ascii="Times New Roman" w:eastAsia="Times New Roman" w:hAnsi="Times New Roman" w:cs="Times New Roman"/>
          <w:sz w:val="20"/>
          <w:szCs w:val="20"/>
        </w:rPr>
      </w:pPr>
      <w:r>
        <w:rPr>
          <w:rFonts w:ascii="Times New Roman" w:eastAsia="Times New Roman" w:hAnsi="Times New Roman" w:cs="Times New Roman"/>
          <w:color w:val="282323"/>
          <w:sz w:val="20"/>
          <w:szCs w:val="20"/>
        </w:rPr>
        <w:lastRenderedPageBreak/>
        <w:t>Refugee Law Initiative (RLI). 2020.</w:t>
      </w:r>
      <w:r>
        <w:rPr>
          <w:rFonts w:ascii="Times New Roman" w:eastAsia="Times New Roman" w:hAnsi="Times New Roman" w:cs="Times New Roman"/>
          <w:i/>
          <w:color w:val="282323"/>
          <w:sz w:val="20"/>
          <w:szCs w:val="20"/>
        </w:rPr>
        <w:t xml:space="preserve"> Hungary: An unsafe haven for LGBTI+ asylum seekers?</w:t>
      </w:r>
      <w:r>
        <w:rPr>
          <w:rFonts w:ascii="Times New Roman" w:eastAsia="Times New Roman" w:hAnsi="Times New Roman" w:cs="Times New Roman"/>
          <w:sz w:val="20"/>
          <w:szCs w:val="20"/>
        </w:rPr>
        <w:t xml:space="preserve"> Gursimran </w:t>
      </w:r>
      <w:proofErr w:type="spellStart"/>
      <w:r>
        <w:rPr>
          <w:rFonts w:ascii="Times New Roman" w:eastAsia="Times New Roman" w:hAnsi="Times New Roman" w:cs="Times New Roman"/>
          <w:sz w:val="20"/>
          <w:szCs w:val="20"/>
        </w:rPr>
        <w:t>Bakshi</w:t>
      </w:r>
      <w:proofErr w:type="spellEnd"/>
      <w:r>
        <w:rPr>
          <w:rFonts w:ascii="Times New Roman" w:eastAsia="Times New Roman" w:hAnsi="Times New Roman" w:cs="Times New Roman"/>
          <w:sz w:val="20"/>
          <w:szCs w:val="20"/>
        </w:rPr>
        <w:t xml:space="preserve">. Available from </w:t>
      </w:r>
      <w:hyperlink r:id="rId22">
        <w:r>
          <w:rPr>
            <w:rFonts w:ascii="Times New Roman" w:eastAsia="Times New Roman" w:hAnsi="Times New Roman" w:cs="Times New Roman"/>
            <w:color w:val="0563C1"/>
            <w:sz w:val="20"/>
            <w:szCs w:val="20"/>
            <w:u w:val="single"/>
          </w:rPr>
          <w:t>https://rli.blogs.sas.ac.uk/2020/09/22/hungary-an-unsafe-haven-for-lgbtqi-asylum-seekers/</w:t>
        </w:r>
      </w:hyperlink>
      <w:r>
        <w:rPr>
          <w:rFonts w:ascii="Times New Roman" w:eastAsia="Times New Roman" w:hAnsi="Times New Roman" w:cs="Times New Roman"/>
          <w:sz w:val="20"/>
          <w:szCs w:val="20"/>
        </w:rPr>
        <w:t xml:space="preserve"> </w:t>
      </w:r>
    </w:p>
    <w:p w:rsidR="00A83471" w:rsidRDefault="005D797A">
      <w:pPr>
        <w:spacing w:before="280" w:after="28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Guardian. 2020. </w:t>
      </w:r>
      <w:r>
        <w:rPr>
          <w:rFonts w:ascii="Times New Roman" w:eastAsia="Times New Roman" w:hAnsi="Times New Roman" w:cs="Times New Roman"/>
          <w:i/>
          <w:sz w:val="20"/>
          <w:szCs w:val="20"/>
        </w:rPr>
        <w:t xml:space="preserve">Hungary’s Parliament Blocks Domestic Violence Treaty. </w:t>
      </w:r>
      <w:r>
        <w:rPr>
          <w:rFonts w:ascii="Times New Roman" w:eastAsia="Times New Roman" w:hAnsi="Times New Roman" w:cs="Times New Roman"/>
          <w:sz w:val="20"/>
          <w:szCs w:val="20"/>
        </w:rPr>
        <w:t xml:space="preserve"> </w:t>
      </w:r>
      <w:hyperlink r:id="rId23">
        <w:r>
          <w:rPr>
            <w:rFonts w:ascii="Times New Roman" w:eastAsia="Times New Roman" w:hAnsi="Times New Roman" w:cs="Times New Roman"/>
            <w:color w:val="1155CC"/>
            <w:sz w:val="20"/>
            <w:szCs w:val="20"/>
            <w:u w:val="single"/>
          </w:rPr>
          <w:t>Hungary's parliament blocks domestic violence treaty | Hungary | The Guardian</w:t>
        </w:r>
      </w:hyperlink>
    </w:p>
    <w:p w:rsidR="00A83471" w:rsidRDefault="005D797A">
      <w:pPr>
        <w:spacing w:before="280" w:after="280"/>
        <w:jc w:val="both"/>
        <w:rPr>
          <w:rFonts w:ascii="Times New Roman" w:eastAsia="Times New Roman" w:hAnsi="Times New Roman" w:cs="Times New Roman"/>
          <w:color w:val="282323"/>
          <w:sz w:val="20"/>
          <w:szCs w:val="20"/>
        </w:rPr>
      </w:pPr>
      <w:r>
        <w:rPr>
          <w:rFonts w:ascii="Times New Roman" w:eastAsia="Times New Roman" w:hAnsi="Times New Roman" w:cs="Times New Roman"/>
          <w:sz w:val="20"/>
          <w:szCs w:val="20"/>
        </w:rPr>
        <w:t xml:space="preserve">The Advocates for Human Rights. 2021. </w:t>
      </w:r>
      <w:r>
        <w:rPr>
          <w:rFonts w:ascii="Times New Roman" w:eastAsia="Times New Roman" w:hAnsi="Times New Roman" w:cs="Times New Roman"/>
          <w:i/>
          <w:sz w:val="20"/>
          <w:szCs w:val="20"/>
        </w:rPr>
        <w:t xml:space="preserve">Stakeholder report for the United Nations Universal Periodic Review. </w:t>
      </w:r>
      <w:hyperlink r:id="rId24">
        <w:r>
          <w:rPr>
            <w:rFonts w:ascii="Times New Roman" w:eastAsia="Times New Roman" w:hAnsi="Times New Roman" w:cs="Times New Roman"/>
            <w:color w:val="1155CC"/>
            <w:sz w:val="20"/>
            <w:szCs w:val="20"/>
            <w:u w:val="single"/>
          </w:rPr>
          <w:t>*hungary_upr_vaw_stakeholder_report.pdf (theadvocatesforhumanrights.org)</w:t>
        </w:r>
      </w:hyperlink>
    </w:p>
    <w:p w:rsidR="00A83471" w:rsidRDefault="005D797A">
      <w:pPr>
        <w:spacing w:before="280" w:after="280"/>
        <w:jc w:val="both"/>
        <w:rPr>
          <w:rFonts w:ascii="Times New Roman" w:eastAsia="Times New Roman" w:hAnsi="Times New Roman" w:cs="Times New Roman"/>
          <w:color w:val="282323"/>
          <w:sz w:val="20"/>
          <w:szCs w:val="20"/>
        </w:rPr>
      </w:pPr>
      <w:r>
        <w:rPr>
          <w:rFonts w:ascii="Times New Roman" w:eastAsia="Times New Roman" w:hAnsi="Times New Roman" w:cs="Times New Roman"/>
          <w:color w:val="282323"/>
          <w:sz w:val="20"/>
          <w:szCs w:val="20"/>
        </w:rPr>
        <w:t xml:space="preserve">TIME. 2022. </w:t>
      </w:r>
      <w:r>
        <w:rPr>
          <w:rFonts w:ascii="Times New Roman" w:eastAsia="Times New Roman" w:hAnsi="Times New Roman" w:cs="Times New Roman"/>
          <w:i/>
          <w:color w:val="282323"/>
          <w:sz w:val="20"/>
          <w:szCs w:val="20"/>
        </w:rPr>
        <w:t xml:space="preserve">After fleeing Ukraine, LGBTQ refugees search for safety in countries hostile to their rights. </w:t>
      </w:r>
      <w:hyperlink r:id="rId25">
        <w:r>
          <w:rPr>
            <w:rFonts w:ascii="Times New Roman" w:eastAsia="Times New Roman" w:hAnsi="Times New Roman" w:cs="Times New Roman"/>
            <w:color w:val="1155CC"/>
            <w:sz w:val="20"/>
            <w:szCs w:val="20"/>
            <w:u w:val="single"/>
          </w:rPr>
          <w:t>LGBTQ Ukrainians Flee to Countries Hostile to Their Rights | Time</w:t>
        </w:r>
      </w:hyperlink>
    </w:p>
    <w:p w:rsidR="00A83471" w:rsidRDefault="005D797A">
      <w:pPr>
        <w:spacing w:before="280" w:after="280"/>
        <w:jc w:val="both"/>
        <w:rPr>
          <w:rFonts w:ascii="Times New Roman" w:eastAsia="Times New Roman" w:hAnsi="Times New Roman" w:cs="Times New Roman"/>
          <w:color w:val="282323"/>
          <w:sz w:val="20"/>
          <w:szCs w:val="20"/>
        </w:rPr>
      </w:pPr>
      <w:r>
        <w:rPr>
          <w:rFonts w:ascii="Times New Roman" w:eastAsia="Times New Roman" w:hAnsi="Times New Roman" w:cs="Times New Roman"/>
          <w:color w:val="282323"/>
          <w:sz w:val="20"/>
          <w:szCs w:val="20"/>
        </w:rPr>
        <w:t xml:space="preserve">UNHCR. 2023. </w:t>
      </w:r>
      <w:r>
        <w:rPr>
          <w:rFonts w:ascii="Times New Roman" w:eastAsia="Times New Roman" w:hAnsi="Times New Roman" w:cs="Times New Roman"/>
          <w:i/>
          <w:color w:val="282323"/>
          <w:sz w:val="20"/>
          <w:szCs w:val="20"/>
        </w:rPr>
        <w:t>Operatio</w:t>
      </w:r>
      <w:r>
        <w:rPr>
          <w:rFonts w:ascii="Times New Roman" w:eastAsia="Times New Roman" w:hAnsi="Times New Roman" w:cs="Times New Roman"/>
          <w:i/>
          <w:color w:val="282323"/>
          <w:sz w:val="20"/>
          <w:szCs w:val="20"/>
        </w:rPr>
        <w:t xml:space="preserve">nal Data Portal: Ukraine Refugee Situation. </w:t>
      </w:r>
      <w:hyperlink r:id="rId26">
        <w:r>
          <w:rPr>
            <w:rFonts w:ascii="Times New Roman" w:eastAsia="Times New Roman" w:hAnsi="Times New Roman" w:cs="Times New Roman"/>
            <w:color w:val="1155CC"/>
            <w:sz w:val="20"/>
            <w:szCs w:val="20"/>
            <w:u w:val="single"/>
          </w:rPr>
          <w:t>Situation Ukraine Refugee Situation (unhcr.org)</w:t>
        </w:r>
      </w:hyperlink>
    </w:p>
    <w:p w:rsidR="00A83471" w:rsidRDefault="00A83471">
      <w:pPr>
        <w:rPr>
          <w:rFonts w:ascii="Times New Roman" w:eastAsia="Times New Roman" w:hAnsi="Times New Roman" w:cs="Times New Roman"/>
        </w:rPr>
      </w:pPr>
    </w:p>
    <w:p w:rsidR="00A83471" w:rsidRDefault="00A83471">
      <w:pPr>
        <w:rPr>
          <w:rFonts w:ascii="Times New Roman" w:eastAsia="Times New Roman" w:hAnsi="Times New Roman" w:cs="Times New Roman"/>
        </w:rPr>
      </w:pPr>
    </w:p>
    <w:p w:rsidR="00A83471" w:rsidRDefault="00A83471">
      <w:pPr>
        <w:rPr>
          <w:rFonts w:ascii="Times New Roman" w:eastAsia="Times New Roman" w:hAnsi="Times New Roman" w:cs="Times New Roman"/>
        </w:rPr>
      </w:pPr>
    </w:p>
    <w:p w:rsidR="00A83471" w:rsidRDefault="00A83471">
      <w:pPr>
        <w:spacing w:after="160" w:line="259" w:lineRule="auto"/>
        <w:rPr>
          <w:rFonts w:ascii="Times New Roman" w:eastAsia="Times New Roman" w:hAnsi="Times New Roman" w:cs="Times New Roman"/>
        </w:rPr>
      </w:pPr>
    </w:p>
    <w:sectPr w:rsidR="00A83471">
      <w:headerReference w:type="default" r:id="rId27"/>
      <w:footerReference w:type="default" r:id="rId28"/>
      <w:footerReference w:type="first" r:id="rId2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797A" w:rsidRDefault="005D797A">
      <w:pPr>
        <w:spacing w:line="240" w:lineRule="auto"/>
      </w:pPr>
      <w:r>
        <w:separator/>
      </w:r>
    </w:p>
  </w:endnote>
  <w:endnote w:type="continuationSeparator" w:id="0">
    <w:p w:rsidR="005D797A" w:rsidRDefault="005D79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3471" w:rsidRDefault="005D797A">
    <w:pPr>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Email: </w:t>
    </w:r>
    <w:hyperlink r:id="rId1">
      <w:r>
        <w:rPr>
          <w:rFonts w:ascii="Times New Roman" w:eastAsia="Times New Roman" w:hAnsi="Times New Roman" w:cs="Times New Roman"/>
          <w:sz w:val="16"/>
          <w:szCs w:val="16"/>
        </w:rPr>
        <w:t>info@migrationgenderjustice.com</w:t>
      </w:r>
    </w:hyperlink>
  </w:p>
  <w:p w:rsidR="00A83471" w:rsidRDefault="005D797A">
    <w:pPr>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Website: </w:t>
    </w:r>
    <w:hyperlink r:id="rId2">
      <w:r>
        <w:rPr>
          <w:rFonts w:ascii="Times New Roman" w:eastAsia="Times New Roman" w:hAnsi="Times New Roman" w:cs="Times New Roman"/>
          <w:sz w:val="16"/>
          <w:szCs w:val="16"/>
        </w:rPr>
        <w:t>www.migrationgenderjustice.com</w:t>
      </w:r>
    </w:hyperlink>
  </w:p>
  <w:p w:rsidR="00A83471" w:rsidRDefault="005D797A">
    <w:pPr>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Facebook: @</w:t>
    </w:r>
    <w:proofErr w:type="spellStart"/>
    <w:r>
      <w:rPr>
        <w:rFonts w:ascii="Times New Roman" w:eastAsia="Times New Roman" w:hAnsi="Times New Roman" w:cs="Times New Roman"/>
        <w:sz w:val="16"/>
        <w:szCs w:val="16"/>
      </w:rPr>
      <w:t>migrationgenderjustice</w:t>
    </w:r>
    <w:proofErr w:type="spellEnd"/>
  </w:p>
  <w:p w:rsidR="00A83471" w:rsidRDefault="005D797A">
    <w:pPr>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Instagram/Twitter: @</w:t>
    </w:r>
    <w:proofErr w:type="spellStart"/>
    <w:r>
      <w:rPr>
        <w:rFonts w:ascii="Times New Roman" w:eastAsia="Times New Roman" w:hAnsi="Times New Roman" w:cs="Times New Roman"/>
        <w:sz w:val="16"/>
        <w:szCs w:val="16"/>
      </w:rPr>
      <w:t>cmgj_ngo</w:t>
    </w:r>
    <w:proofErr w:type="spellEnd"/>
  </w:p>
  <w:p w:rsidR="00A83471" w:rsidRDefault="005D797A">
    <w:pPr>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LinkedIn: Center for Migration, Gender, and Justice</w:t>
    </w:r>
  </w:p>
  <w:p w:rsidR="00A83471" w:rsidRDefault="00A83471"/>
  <w:p w:rsidR="00A83471" w:rsidRDefault="005D797A">
    <w:pPr>
      <w:jc w:val="right"/>
    </w:pPr>
    <w:r>
      <w:fldChar w:fldCharType="begin"/>
    </w:r>
    <w:r>
      <w:instrText>PAGE</w:instrText>
    </w:r>
    <w:r w:rsidR="00924030">
      <w:fldChar w:fldCharType="separate"/>
    </w:r>
    <w:r w:rsidR="00924030">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3471" w:rsidRDefault="00A8347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797A" w:rsidRDefault="005D797A">
      <w:pPr>
        <w:spacing w:line="240" w:lineRule="auto"/>
      </w:pPr>
      <w:r>
        <w:separator/>
      </w:r>
    </w:p>
  </w:footnote>
  <w:footnote w:type="continuationSeparator" w:id="0">
    <w:p w:rsidR="005D797A" w:rsidRDefault="005D797A">
      <w:pPr>
        <w:spacing w:line="240" w:lineRule="auto"/>
      </w:pPr>
      <w:r>
        <w:continuationSeparator/>
      </w:r>
    </w:p>
  </w:footnote>
  <w:footnote w:id="1">
    <w:p w:rsidR="00A83471" w:rsidRDefault="005D797A">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UNHCR, </w:t>
      </w:r>
      <w:r w:rsidR="00D14EC9">
        <w:rPr>
          <w:rFonts w:ascii="Times New Roman" w:eastAsia="Times New Roman" w:hAnsi="Times New Roman" w:cs="Times New Roman"/>
          <w:sz w:val="20"/>
          <w:szCs w:val="20"/>
        </w:rPr>
        <w:t>2023</w:t>
      </w:r>
      <w:r>
        <w:rPr>
          <w:rFonts w:ascii="Times New Roman" w:eastAsia="Times New Roman" w:hAnsi="Times New Roman" w:cs="Times New Roman"/>
          <w:sz w:val="20"/>
          <w:szCs w:val="20"/>
        </w:rPr>
        <w:t>.</w:t>
      </w:r>
    </w:p>
  </w:footnote>
  <w:footnote w:id="2">
    <w:p w:rsidR="00A83471" w:rsidRDefault="005D797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Refworld</w:t>
      </w:r>
      <w:proofErr w:type="spellEnd"/>
      <w:r>
        <w:rPr>
          <w:rFonts w:ascii="Times New Roman" w:eastAsia="Times New Roman" w:hAnsi="Times New Roman" w:cs="Times New Roman"/>
          <w:sz w:val="20"/>
          <w:szCs w:val="20"/>
        </w:rPr>
        <w:t>, 2014.</w:t>
      </w:r>
    </w:p>
  </w:footnote>
  <w:footnote w:id="3">
    <w:p w:rsidR="00A83471" w:rsidRDefault="005D797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Guardian. 2020.</w:t>
      </w:r>
    </w:p>
  </w:footnote>
  <w:footnote w:id="4">
    <w:p w:rsidR="00A83471" w:rsidRDefault="005D797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5">
    <w:p w:rsidR="00A83471" w:rsidRDefault="005D797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European Institute for Gender Equality. 2015.</w:t>
      </w:r>
    </w:p>
  </w:footnote>
  <w:footnote w:id="6">
    <w:p w:rsidR="00A83471" w:rsidRDefault="005D797A">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Gender Equality Index. 2019. </w:t>
      </w:r>
    </w:p>
  </w:footnote>
  <w:footnote w:id="7">
    <w:p w:rsidR="00A83471" w:rsidRDefault="005D797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Keygnaert</w:t>
      </w:r>
      <w:proofErr w:type="spellEnd"/>
      <w:r>
        <w:rPr>
          <w:rFonts w:ascii="Times New Roman" w:eastAsia="Times New Roman" w:hAnsi="Times New Roman" w:cs="Times New Roman"/>
          <w:sz w:val="20"/>
          <w:szCs w:val="20"/>
        </w:rPr>
        <w:t xml:space="preserve"> et al., 2012; Oliveira et al., 2018. </w:t>
      </w:r>
    </w:p>
  </w:footnote>
  <w:footnote w:id="8">
    <w:p w:rsidR="00A83471" w:rsidRDefault="005D797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HIAS &amp; VOICE, 2022.</w:t>
      </w:r>
    </w:p>
  </w:footnote>
  <w:footnote w:id="9">
    <w:p w:rsidR="00A83471" w:rsidRDefault="005D797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10">
    <w:p w:rsidR="00A83471" w:rsidRDefault="005D797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IOM, 2019.</w:t>
      </w:r>
    </w:p>
  </w:footnote>
  <w:footnote w:id="11">
    <w:p w:rsidR="00A83471" w:rsidRDefault="005D797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Hungary Criminal Code. 2013. §212/A; § 222</w:t>
      </w:r>
    </w:p>
  </w:footnote>
  <w:footnote w:id="12">
    <w:p w:rsidR="00A83471" w:rsidRDefault="005D797A">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CEDAW, 2020</w:t>
      </w:r>
    </w:p>
  </w:footnote>
  <w:footnote w:id="13">
    <w:p w:rsidR="00A83471" w:rsidRDefault="005D797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Hungary Criminal Code. 2013. §212/A</w:t>
      </w:r>
    </w:p>
  </w:footnote>
  <w:footnote w:id="14">
    <w:p w:rsidR="00A83471" w:rsidRDefault="005D797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15">
    <w:p w:rsidR="00A83471" w:rsidRDefault="005D797A">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Hungary Criminal Code. 2012. §197</w:t>
      </w:r>
    </w:p>
  </w:footnote>
  <w:footnote w:id="16">
    <w:p w:rsidR="00A83471" w:rsidRDefault="005D797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Hungary Criminal Code. 2013. §207</w:t>
      </w:r>
    </w:p>
  </w:footnote>
  <w:footnote w:id="17">
    <w:p w:rsidR="00A83471" w:rsidRDefault="005D797A">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CEDAW, 2020</w:t>
      </w:r>
      <w:r w:rsidR="00924030">
        <w:rPr>
          <w:rFonts w:ascii="Times New Roman" w:eastAsia="Times New Roman" w:hAnsi="Times New Roman" w:cs="Times New Roman"/>
          <w:sz w:val="20"/>
          <w:szCs w:val="20"/>
        </w:rPr>
        <w:t>.</w:t>
      </w:r>
    </w:p>
  </w:footnote>
  <w:footnote w:id="18">
    <w:p w:rsidR="00A83471" w:rsidRDefault="005D797A">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The Advocates for Human Rights, 2021.</w:t>
      </w:r>
    </w:p>
  </w:footnote>
  <w:footnote w:id="19">
    <w:p w:rsidR="00A83471" w:rsidRPr="00924030" w:rsidRDefault="005D797A">
      <w:pPr>
        <w:spacing w:line="240" w:lineRule="auto"/>
        <w:rPr>
          <w:rFonts w:ascii="Times New Roman" w:eastAsia="Times New Roman" w:hAnsi="Times New Roman" w:cs="Times New Roman"/>
          <w:sz w:val="20"/>
          <w:szCs w:val="20"/>
        </w:rPr>
      </w:pPr>
      <w:r w:rsidRPr="00924030">
        <w:rPr>
          <w:sz w:val="20"/>
          <w:szCs w:val="20"/>
          <w:vertAlign w:val="superscript"/>
        </w:rPr>
        <w:footnoteRef/>
      </w:r>
      <w:r w:rsidRPr="00924030">
        <w:rPr>
          <w:sz w:val="20"/>
          <w:szCs w:val="20"/>
        </w:rPr>
        <w:t xml:space="preserve"> </w:t>
      </w:r>
      <w:r w:rsidRPr="00924030">
        <w:rPr>
          <w:rFonts w:ascii="Times New Roman" w:eastAsia="Times New Roman" w:hAnsi="Times New Roman" w:cs="Times New Roman"/>
          <w:sz w:val="20"/>
          <w:szCs w:val="20"/>
        </w:rPr>
        <w:t xml:space="preserve">Ibid, NANE. </w:t>
      </w:r>
      <w:r w:rsidRPr="00924030">
        <w:rPr>
          <w:rFonts w:ascii="Times New Roman" w:eastAsia="Times New Roman" w:hAnsi="Times New Roman" w:cs="Times New Roman"/>
          <w:sz w:val="20"/>
          <w:szCs w:val="20"/>
        </w:rPr>
        <w:t>The number of availab</w:t>
      </w:r>
      <w:r w:rsidRPr="00924030">
        <w:rPr>
          <w:rFonts w:ascii="Times New Roman" w:eastAsia="Times New Roman" w:hAnsi="Times New Roman" w:cs="Times New Roman"/>
          <w:sz w:val="20"/>
          <w:szCs w:val="20"/>
        </w:rPr>
        <w:t xml:space="preserve">le beds in Hungarian GBV </w:t>
      </w:r>
      <w:proofErr w:type="gramStart"/>
      <w:r w:rsidRPr="00924030">
        <w:rPr>
          <w:rFonts w:ascii="Times New Roman" w:eastAsia="Times New Roman" w:hAnsi="Times New Roman" w:cs="Times New Roman"/>
          <w:sz w:val="20"/>
          <w:szCs w:val="20"/>
        </w:rPr>
        <w:t>survivors</w:t>
      </w:r>
      <w:proofErr w:type="gramEnd"/>
      <w:r w:rsidRPr="00924030">
        <w:rPr>
          <w:rFonts w:ascii="Times New Roman" w:eastAsia="Times New Roman" w:hAnsi="Times New Roman" w:cs="Times New Roman"/>
          <w:sz w:val="20"/>
          <w:szCs w:val="20"/>
        </w:rPr>
        <w:t xml:space="preserve"> shelters is severely inadequate compared to the recommended provision of 1 bed per 10,000 citizens as mandated by the Council of Europe</w:t>
      </w:r>
    </w:p>
  </w:footnote>
  <w:footnote w:id="20">
    <w:p w:rsidR="00A83471" w:rsidRDefault="005D797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HIAS &amp; Voice, 2022.</w:t>
      </w:r>
    </w:p>
  </w:footnote>
  <w:footnote w:id="21">
    <w:p w:rsidR="00A83471" w:rsidRDefault="005D797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COE, 2021.</w:t>
      </w:r>
    </w:p>
  </w:footnote>
  <w:footnote w:id="22">
    <w:p w:rsidR="00A83471" w:rsidRDefault="005D797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European Commission, 2022.</w:t>
      </w:r>
    </w:p>
  </w:footnote>
  <w:footnote w:id="23">
    <w:p w:rsidR="00A83471" w:rsidRDefault="005D797A">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Ibid.</w:t>
      </w:r>
    </w:p>
  </w:footnote>
  <w:footnote w:id="24">
    <w:p w:rsidR="00A83471" w:rsidRDefault="005D797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Amnesty International, 2021.</w:t>
      </w:r>
    </w:p>
  </w:footnote>
  <w:footnote w:id="25">
    <w:p w:rsidR="00A83471" w:rsidRDefault="005D797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OHCHR, 1949.</w:t>
      </w:r>
    </w:p>
  </w:footnote>
  <w:footnote w:id="26">
    <w:p w:rsidR="00A83471" w:rsidRDefault="005D797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Ministry of Justice, 2021.</w:t>
      </w:r>
    </w:p>
  </w:footnote>
  <w:footnote w:id="27">
    <w:p w:rsidR="00A83471" w:rsidRDefault="005D797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Amnesty International, 2020.</w:t>
      </w:r>
    </w:p>
  </w:footnote>
  <w:footnote w:id="28">
    <w:p w:rsidR="00A83471" w:rsidRDefault="005D797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 </w:t>
      </w:r>
      <w:r>
        <w:rPr>
          <w:rFonts w:ascii="Times New Roman" w:eastAsia="Times New Roman" w:hAnsi="Times New Roman" w:cs="Times New Roman"/>
          <w:sz w:val="20"/>
          <w:szCs w:val="20"/>
        </w:rPr>
        <w:t>European Commission</w:t>
      </w:r>
    </w:p>
  </w:footnote>
  <w:footnote w:id="29">
    <w:p w:rsidR="00A83471" w:rsidRDefault="005D797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Ibid</w:t>
      </w:r>
      <w:r>
        <w:rPr>
          <w:rFonts w:ascii="Times New Roman" w:eastAsia="Times New Roman" w:hAnsi="Times New Roman" w:cs="Times New Roman"/>
          <w:sz w:val="20"/>
          <w:szCs w:val="20"/>
        </w:rPr>
        <w:t>.</w:t>
      </w:r>
    </w:p>
  </w:footnote>
  <w:footnote w:id="30">
    <w:p w:rsidR="00A83471" w:rsidRDefault="005D797A">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ILGA Europe, 2020</w:t>
      </w:r>
      <w:r w:rsidR="00924030">
        <w:rPr>
          <w:rFonts w:ascii="Times New Roman" w:eastAsia="Times New Roman" w:hAnsi="Times New Roman" w:cs="Times New Roman"/>
          <w:sz w:val="20"/>
          <w:szCs w:val="20"/>
        </w:rPr>
        <w:t>.</w:t>
      </w:r>
    </w:p>
  </w:footnote>
  <w:footnote w:id="31">
    <w:p w:rsidR="00A83471" w:rsidRDefault="005D797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Refugee Law Initiative (RLI), 2020</w:t>
      </w:r>
      <w:r w:rsidR="00924030">
        <w:rPr>
          <w:rFonts w:ascii="Times New Roman" w:eastAsia="Times New Roman" w:hAnsi="Times New Roman" w:cs="Times New Roman"/>
          <w:sz w:val="20"/>
          <w:szCs w:val="20"/>
        </w:rPr>
        <w:t>.</w:t>
      </w:r>
    </w:p>
  </w:footnote>
  <w:footnote w:id="32">
    <w:p w:rsidR="00A83471" w:rsidRDefault="005D797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 </w:t>
      </w:r>
    </w:p>
  </w:footnote>
  <w:footnote w:id="33">
    <w:p w:rsidR="00A83471" w:rsidRDefault="005D797A">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TIME, 2022.</w:t>
      </w:r>
    </w:p>
  </w:footnote>
  <w:footnote w:id="34">
    <w:p w:rsidR="00A83471" w:rsidRDefault="005D797A">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Hungarian Helsinki Committee, 2022</w:t>
      </w:r>
      <w:r w:rsidR="00D14EC9">
        <w:rPr>
          <w:rFonts w:ascii="Times New Roman" w:eastAsia="Times New Roman" w:hAnsi="Times New Roman" w:cs="Times New Roman"/>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3471" w:rsidRDefault="00A8347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4C501E"/>
    <w:multiLevelType w:val="multilevel"/>
    <w:tmpl w:val="BC98BA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5117F6C"/>
    <w:multiLevelType w:val="multilevel"/>
    <w:tmpl w:val="4FF246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471"/>
    <w:rsid w:val="00530CC6"/>
    <w:rsid w:val="005D797A"/>
    <w:rsid w:val="00924030"/>
    <w:rsid w:val="00A83471"/>
    <w:rsid w:val="00D14E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C0B90D8"/>
  <w15:docId w15:val="{DE44B075-3FC9-1D4C-8527-AE4200A5F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530CC6"/>
    <w:rPr>
      <w:color w:val="0000FF" w:themeColor="hyperlink"/>
      <w:u w:val="single"/>
    </w:rPr>
  </w:style>
  <w:style w:type="character" w:styleId="UnresolvedMention">
    <w:name w:val="Unresolved Mention"/>
    <w:basedOn w:val="DefaultParagraphFont"/>
    <w:uiPriority w:val="99"/>
    <w:semiHidden/>
    <w:unhideWhenUsed/>
    <w:rsid w:val="00530C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amnesty.org/en/latest/campaigns/2020/06/the-reality-for-trans-people-in-hungary/" TargetMode="External"/><Relationship Id="rId13" Type="http://schemas.openxmlformats.org/officeDocument/2006/relationships/hyperlink" Target="https://eige.europa.eu/gender-equality-index/2021/domain/violence/HU" TargetMode="External"/><Relationship Id="rId18" Type="http://schemas.openxmlformats.org/officeDocument/2006/relationships/hyperlink" Target="https://www.parlament.hu/documents/125505/138409/Fundamental+law/73811993-c377-428d-9808-ee03d6fb8178" TargetMode="External"/><Relationship Id="rId26" Type="http://schemas.openxmlformats.org/officeDocument/2006/relationships/hyperlink" Target="https://data.unhcr.org/en/situations/ukraine/location?secret=unhcrrestricted" TargetMode="External"/><Relationship Id="rId3" Type="http://schemas.openxmlformats.org/officeDocument/2006/relationships/settings" Target="settings.xml"/><Relationship Id="rId21" Type="http://schemas.openxmlformats.org/officeDocument/2006/relationships/hyperlink" Target="https://www.ohchr.org/en/hr-bodies/upr/uprhuun-contributions-s39" TargetMode="External"/><Relationship Id="rId7" Type="http://schemas.openxmlformats.org/officeDocument/2006/relationships/image" Target="media/image1.jpg"/><Relationship Id="rId12" Type="http://schemas.openxmlformats.org/officeDocument/2006/relationships/hyperlink" Target="https://www.equalitylaw.eu/downloads/5732-hungary-country-report-non-discrimination-2022-1-63-mb" TargetMode="External"/><Relationship Id="rId17" Type="http://schemas.openxmlformats.org/officeDocument/2006/relationships/hyperlink" Target="https://eea.iom.int/protect-preventing-sexual-and-gender-based-violence-against-migrants-and-strengthening-support-victims" TargetMode="External"/><Relationship Id="rId25" Type="http://schemas.openxmlformats.org/officeDocument/2006/relationships/hyperlink" Target="https://time.com/6156672/lgbtq-ukraine-refugees-russia/" TargetMode="External"/><Relationship Id="rId2" Type="http://schemas.openxmlformats.org/officeDocument/2006/relationships/styles" Target="styles.xml"/><Relationship Id="rId16" Type="http://schemas.openxmlformats.org/officeDocument/2006/relationships/hyperlink" Target="https://ilga-europe.org/press-release/hungary-rolls-back-legal-protections-puts-trans-intersex-people-at-risk/" TargetMode="External"/><Relationship Id="rId20" Type="http://schemas.openxmlformats.org/officeDocument/2006/relationships/hyperlink" Target="https://www2.ohchr.org/english/bodies/cescr/docs/E.C.12.HUN.3-Annex2.pdf"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enice.coe.int/webforms/documents/default.aspx?pdffile=CDL-AD(2021)029-e" TargetMode="External"/><Relationship Id="rId24" Type="http://schemas.openxmlformats.org/officeDocument/2006/relationships/hyperlink" Target="https://www.theadvocatesforhumanrights.org/Res/hungary_upr_vaw_stakeholder_report.pdf" TargetMode="External"/><Relationship Id="rId5" Type="http://schemas.openxmlformats.org/officeDocument/2006/relationships/footnotes" Target="footnotes.xml"/><Relationship Id="rId15" Type="http://schemas.openxmlformats.org/officeDocument/2006/relationships/hyperlink" Target="https://voiceamplified.org/wp-content/uploads/2022/05/HUNGARY_REPORT.pdf" TargetMode="External"/><Relationship Id="rId23" Type="http://schemas.openxmlformats.org/officeDocument/2006/relationships/hyperlink" Target="https://www.theguardian.com/world/2020/may/05/hungarys-parliament-blocks-domestic-violence-treaty" TargetMode="External"/><Relationship Id="rId28" Type="http://schemas.openxmlformats.org/officeDocument/2006/relationships/footer" Target="footer1.xml"/><Relationship Id="rId10" Type="http://schemas.openxmlformats.org/officeDocument/2006/relationships/hyperlink" Target="https://asylumineurope.org/reports/country/hungary/reception-conditions/special-reception-needs-vulnerable-groups/" TargetMode="External"/><Relationship Id="rId19" Type="http://schemas.openxmlformats.org/officeDocument/2006/relationships/hyperlink" Target="https://www.theadvocatesforhumanrights.org/Res/hungary_upr_vaw_stakeholder_report.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mnesty.org/en/wp-content/uploads/2021/07/EUR2744922021ENGLISH.pdf" TargetMode="External"/><Relationship Id="rId14" Type="http://schemas.openxmlformats.org/officeDocument/2006/relationships/hyperlink" Target="https://ihl-databases.icrc.org/en/national-practice/criminal-code-republic-hungary-amended-act-c-2012-criminal-code-act-c-2012" TargetMode="External"/><Relationship Id="rId22" Type="http://schemas.openxmlformats.org/officeDocument/2006/relationships/hyperlink" Target="https://rli.blogs.sas.ac.uk/2020/09/22/hungary-an-unsafe-haven-for-lgbtqi-asylum-seekers/" TargetMode="External"/><Relationship Id="rId27" Type="http://schemas.openxmlformats.org/officeDocument/2006/relationships/header" Target="header1.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migrationgenderjustice.com" TargetMode="External"/><Relationship Id="rId1" Type="http://schemas.openxmlformats.org/officeDocument/2006/relationships/hyperlink" Target="mailto:info@migrationgenderjusti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2958</Words>
  <Characters>16864</Characters>
  <Application>Microsoft Office Word</Application>
  <DocSecurity>0</DocSecurity>
  <Lines>140</Lines>
  <Paragraphs>39</Paragraphs>
  <ScaleCrop>false</ScaleCrop>
  <Company/>
  <LinksUpToDate>false</LinksUpToDate>
  <CharactersWithSpaces>19783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Lara-Zuzan Golesorkhi</cp:lastModifiedBy>
  <cp:revision>4</cp:revision>
  <dcterms:created xsi:type="dcterms:W3CDTF">2023-01-09T18:08:00Z</dcterms:created>
  <dcterms:modified xsi:type="dcterms:W3CDTF">2023-01-09T18:09:00Z</dcterms:modified>
</cp:coreProperties>
</file>