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43272" w14:textId="3D481D37" w:rsidR="003121A1" w:rsidRPr="00EF1CFF" w:rsidRDefault="007E0EFF" w:rsidP="003121A1">
      <w:pPr>
        <w:spacing w:line="240" w:lineRule="auto"/>
        <w:jc w:val="center"/>
      </w:pPr>
      <w:r>
        <w:rPr>
          <w:noProof/>
          <w:color w:val="2B579A"/>
          <w:shd w:val="clear" w:color="auto" w:fill="E6E6E6"/>
        </w:rPr>
        <w:drawing>
          <wp:inline distT="0" distB="0" distL="0" distR="0" wp14:anchorId="59D2E7C1" wp14:editId="1780A50A">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ED03D38" w14:textId="77777777" w:rsidR="003121A1" w:rsidRPr="00EF1CFF" w:rsidRDefault="003121A1" w:rsidP="003121A1">
      <w:pPr>
        <w:spacing w:line="240" w:lineRule="auto"/>
        <w:jc w:val="center"/>
      </w:pPr>
    </w:p>
    <w:p w14:paraId="55C96635" w14:textId="582B35E7" w:rsidR="003121A1" w:rsidRPr="00EF1CFF" w:rsidRDefault="003121A1" w:rsidP="003121A1">
      <w:pPr>
        <w:jc w:val="center"/>
        <w:rPr>
          <w:b/>
          <w:bCs/>
        </w:rPr>
      </w:pPr>
      <w:r w:rsidRPr="00EF1CFF">
        <w:rPr>
          <w:b/>
          <w:bCs/>
        </w:rPr>
        <w:t>Human Rights Watch Submission</w:t>
      </w:r>
    </w:p>
    <w:p w14:paraId="2A62E96E" w14:textId="2FA291D7" w:rsidR="003121A1" w:rsidRPr="00EF1CFF" w:rsidRDefault="003121A1" w:rsidP="003121A1">
      <w:pPr>
        <w:jc w:val="center"/>
        <w:rPr>
          <w:b/>
          <w:bCs/>
        </w:rPr>
      </w:pPr>
      <w:r w:rsidRPr="00EF1CFF">
        <w:rPr>
          <w:b/>
          <w:bCs/>
        </w:rPr>
        <w:t xml:space="preserve">to the </w:t>
      </w:r>
      <w:r w:rsidRPr="00EF1CFF">
        <w:rPr>
          <w:rFonts w:eastAsia="MetaPro-Norm" w:cs="MetaPro-Norm"/>
          <w:b/>
          <w:bCs/>
        </w:rPr>
        <w:t xml:space="preserve">United Nations Committee on the Elimination of Discrimination </w:t>
      </w:r>
      <w:r w:rsidR="00F753A3">
        <w:rPr>
          <w:rFonts w:eastAsia="MetaPro-Norm" w:cs="MetaPro-Norm"/>
          <w:b/>
          <w:bCs/>
        </w:rPr>
        <w:t>a</w:t>
      </w:r>
      <w:r w:rsidRPr="00EF1CFF">
        <w:rPr>
          <w:rFonts w:eastAsia="MetaPro-Norm" w:cs="MetaPro-Norm"/>
          <w:b/>
          <w:bCs/>
        </w:rPr>
        <w:t>gainst Women</w:t>
      </w:r>
    </w:p>
    <w:p w14:paraId="2FA1E333" w14:textId="77777777" w:rsidR="003121A1" w:rsidRPr="00EF1CFF" w:rsidRDefault="003121A1" w:rsidP="003121A1">
      <w:pPr>
        <w:jc w:val="center"/>
        <w:rPr>
          <w:b/>
          <w:bCs/>
        </w:rPr>
      </w:pPr>
      <w:r w:rsidRPr="00EF1CFF">
        <w:rPr>
          <w:b/>
          <w:bCs/>
        </w:rPr>
        <w:t>Review of Thailand</w:t>
      </w:r>
    </w:p>
    <w:p w14:paraId="7095E4E1" w14:textId="77777777" w:rsidR="003121A1" w:rsidRPr="00EF1CFF" w:rsidRDefault="003121A1" w:rsidP="003121A1">
      <w:pPr>
        <w:jc w:val="center"/>
        <w:rPr>
          <w:b/>
          <w:bCs/>
        </w:rPr>
      </w:pPr>
      <w:r w:rsidRPr="00EF1CFF">
        <w:rPr>
          <w:b/>
          <w:bCs/>
        </w:rPr>
        <w:t>85th Pre-Session</w:t>
      </w:r>
    </w:p>
    <w:p w14:paraId="417A8546" w14:textId="77777777" w:rsidR="003121A1" w:rsidRPr="00EF1CFF" w:rsidRDefault="003121A1" w:rsidP="003121A1">
      <w:pPr>
        <w:jc w:val="center"/>
        <w:rPr>
          <w:b/>
          <w:bCs/>
        </w:rPr>
      </w:pPr>
      <w:r w:rsidRPr="00EF1CFF">
        <w:rPr>
          <w:b/>
          <w:bCs/>
        </w:rPr>
        <w:t>October 2022</w:t>
      </w:r>
    </w:p>
    <w:p w14:paraId="145799E3" w14:textId="77777777" w:rsidR="003121A1" w:rsidRPr="00EF1CFF" w:rsidRDefault="003121A1" w:rsidP="003121A1">
      <w:pPr>
        <w:jc w:val="center"/>
        <w:rPr>
          <w:b/>
          <w:bCs/>
        </w:rPr>
      </w:pPr>
    </w:p>
    <w:p w14:paraId="7FB74991" w14:textId="5A225206" w:rsidR="003121A1" w:rsidRPr="001B6E81" w:rsidRDefault="003121A1" w:rsidP="003121A1">
      <w:pPr>
        <w:rPr>
          <w:b/>
          <w:bCs/>
        </w:rPr>
      </w:pPr>
      <w:r w:rsidRPr="00EF1CFF">
        <w:t>We write in advance of the 8</w:t>
      </w:r>
      <w:r>
        <w:t>5th</w:t>
      </w:r>
      <w:r w:rsidRPr="00EF1CFF">
        <w:t xml:space="preserve"> pre-session of the Committee on the Elimination of Discrimination against Women and its adoption of a list of issues prior to reporting regarding </w:t>
      </w:r>
      <w:r>
        <w:t>Thailand</w:t>
      </w:r>
      <w:r w:rsidRPr="00EF1CFF">
        <w:t>’s compliance</w:t>
      </w:r>
      <w:r>
        <w:t xml:space="preserve"> </w:t>
      </w:r>
      <w:r w:rsidRPr="00EF1CFF">
        <w:t xml:space="preserve">with the Convention on the Elimination of All Forms of Discrimination against Women. This submission </w:t>
      </w:r>
      <w:r w:rsidR="00F24A9F" w:rsidRPr="00F24A9F">
        <w:t>addresses articles 1</w:t>
      </w:r>
      <w:r w:rsidR="00F24A9F">
        <w:t xml:space="preserve"> and </w:t>
      </w:r>
      <w:r w:rsidR="00F24A9F" w:rsidRPr="00F24A9F">
        <w:t>10</w:t>
      </w:r>
      <w:r w:rsidR="00F24A9F">
        <w:t xml:space="preserve"> </w:t>
      </w:r>
      <w:r w:rsidR="00F24A9F" w:rsidRPr="00F24A9F">
        <w:t>of the Convention</w:t>
      </w:r>
      <w:r w:rsidR="00F24A9F">
        <w:t xml:space="preserve"> and </w:t>
      </w:r>
      <w:r w:rsidRPr="00EF1CFF">
        <w:t>includes information on</w:t>
      </w:r>
      <w:r w:rsidR="007A7874">
        <w:t xml:space="preserve"> protection of education from attack</w:t>
      </w:r>
      <w:r w:rsidR="001B6E81">
        <w:t xml:space="preserve">, </w:t>
      </w:r>
      <w:r w:rsidR="007A7874">
        <w:t>a</w:t>
      </w:r>
      <w:r w:rsidR="007A7874" w:rsidRPr="007A7874">
        <w:t xml:space="preserve">ccess to </w:t>
      </w:r>
      <w:r w:rsidR="007A7874">
        <w:t>e</w:t>
      </w:r>
      <w:r w:rsidR="007A7874" w:rsidRPr="007A7874">
        <w:t xml:space="preserve">ducation </w:t>
      </w:r>
      <w:r w:rsidR="007A7874">
        <w:t>d</w:t>
      </w:r>
      <w:r w:rsidR="007A7874" w:rsidRPr="007A7874">
        <w:t xml:space="preserve">uring the Covid-19 </w:t>
      </w:r>
      <w:r w:rsidR="007A7874">
        <w:t>p</w:t>
      </w:r>
      <w:r w:rsidR="007A7874" w:rsidRPr="007A7874">
        <w:t>andemic</w:t>
      </w:r>
      <w:r w:rsidR="007C3160">
        <w:t xml:space="preserve"> </w:t>
      </w:r>
      <w:r w:rsidR="007A7874">
        <w:t>for lesbian, bisexual, transgender, and nonbinary students</w:t>
      </w:r>
      <w:r w:rsidR="001B6E81">
        <w:t xml:space="preserve">, and </w:t>
      </w:r>
      <w:r w:rsidR="001B6E81" w:rsidRPr="001B6E81">
        <w:t>discrimination against transgender people based on gender identity.</w:t>
      </w:r>
    </w:p>
    <w:p w14:paraId="358E310B" w14:textId="77777777" w:rsidR="003121A1" w:rsidRDefault="003121A1" w:rsidP="003121A1"/>
    <w:p w14:paraId="2AFC4618" w14:textId="77777777" w:rsidR="003121A1" w:rsidRPr="007B3CEE" w:rsidRDefault="003121A1" w:rsidP="003121A1">
      <w:pPr>
        <w:rPr>
          <w:b/>
          <w:bCs/>
        </w:rPr>
      </w:pPr>
      <w:r w:rsidRPr="007B3CEE">
        <w:rPr>
          <w:b/>
          <w:bCs/>
        </w:rPr>
        <w:t>Protection of Education from Attack (article 10)</w:t>
      </w:r>
    </w:p>
    <w:p w14:paraId="6ED81298" w14:textId="77777777" w:rsidR="00965E18" w:rsidRDefault="00965E18" w:rsidP="003121A1"/>
    <w:p w14:paraId="6901A702" w14:textId="6A256E37" w:rsidR="00036DBC" w:rsidRDefault="00DB3253" w:rsidP="003121A1">
      <w:r w:rsidRPr="00DB3253">
        <w:t xml:space="preserve">Since January 2004, </w:t>
      </w:r>
      <w:r w:rsidR="00B93A7F">
        <w:t xml:space="preserve">an </w:t>
      </w:r>
      <w:r w:rsidRPr="00DB3253">
        <w:t>ethnic Malay Muslim insurge</w:t>
      </w:r>
      <w:r w:rsidR="00B93A7F">
        <w:t xml:space="preserve">ncy </w:t>
      </w:r>
      <w:r w:rsidRPr="00DB3253">
        <w:t>affiliated</w:t>
      </w:r>
      <w:r w:rsidR="003136B3">
        <w:t xml:space="preserve"> </w:t>
      </w:r>
      <w:r w:rsidRPr="00DB3253">
        <w:t xml:space="preserve">with the Barisan Revolusi Nasional (BRN) </w:t>
      </w:r>
      <w:r w:rsidR="00B93A7F">
        <w:t xml:space="preserve">armed group </w:t>
      </w:r>
      <w:r w:rsidRPr="00DB3253">
        <w:t>ha</w:t>
      </w:r>
      <w:r w:rsidR="00B93A7F">
        <w:t>s</w:t>
      </w:r>
      <w:r w:rsidRPr="00DB3253">
        <w:t xml:space="preserve"> </w:t>
      </w:r>
      <w:r w:rsidR="00B93A7F">
        <w:t>attacked</w:t>
      </w:r>
      <w:r w:rsidRPr="00DB3253">
        <w:t xml:space="preserve"> numerous schools, killing and wounding</w:t>
      </w:r>
      <w:r>
        <w:t xml:space="preserve"> </w:t>
      </w:r>
      <w:r w:rsidRPr="00DB3253">
        <w:t>students, teachers, and other education personnel. The insurgents consider school officials</w:t>
      </w:r>
      <w:r>
        <w:t xml:space="preserve"> </w:t>
      </w:r>
      <w:r w:rsidRPr="00DB3253">
        <w:t xml:space="preserve">to be </w:t>
      </w:r>
      <w:r w:rsidR="00B93A7F">
        <w:t>representative</w:t>
      </w:r>
      <w:r w:rsidRPr="00DB3253">
        <w:t xml:space="preserve"> of the Thai Buddhist state’s occupation of Malay Muslim territory. They have frequently targeted security personnel assigned to provide students and teachers safe passage to and from school or protecting the school grounds.</w:t>
      </w:r>
      <w:r w:rsidR="00276254">
        <w:rPr>
          <w:rStyle w:val="FootnoteReference"/>
        </w:rPr>
        <w:footnoteReference w:id="2"/>
      </w:r>
      <w:r>
        <w:t xml:space="preserve"> </w:t>
      </w:r>
    </w:p>
    <w:p w14:paraId="103A1F7C" w14:textId="20D68E26" w:rsidR="0010173E" w:rsidRDefault="0010173E" w:rsidP="003121A1"/>
    <w:p w14:paraId="621800D3" w14:textId="4C3AB97D" w:rsidR="0010173E" w:rsidRDefault="0010173E" w:rsidP="003121A1">
      <w:r>
        <w:t xml:space="preserve">In January 2020, the BRN armed group signed </w:t>
      </w:r>
      <w:r w:rsidR="00B93A7F">
        <w:t>Geneva Call’s</w:t>
      </w:r>
      <w:r>
        <w:t xml:space="preserve"> Deed of Commitment for the Protection of Children from the Effects of Armed Conflict, which includes protections for education and a commitment to not recruit children during military operations.</w:t>
      </w:r>
      <w:r>
        <w:rPr>
          <w:rStyle w:val="FootnoteReference"/>
        </w:rPr>
        <w:footnoteReference w:id="3"/>
      </w:r>
      <w:r w:rsidR="00FC21BE">
        <w:t xml:space="preserve"> </w:t>
      </w:r>
      <w:r w:rsidR="00B93A7F">
        <w:t xml:space="preserve">The </w:t>
      </w:r>
      <w:r w:rsidR="00FC21BE">
        <w:t xml:space="preserve">armed conflict </w:t>
      </w:r>
      <w:r w:rsidR="00B93A7F">
        <w:t xml:space="preserve">has </w:t>
      </w:r>
      <w:r w:rsidR="00B93A7F">
        <w:lastRenderedPageBreak/>
        <w:t xml:space="preserve">persisted </w:t>
      </w:r>
      <w:r w:rsidR="00FC21BE">
        <w:t>in Thailand’s southern Pattani, Yala, Narathiwat, and Songkhla provinces</w:t>
      </w:r>
      <w:r w:rsidR="00B93A7F">
        <w:t xml:space="preserve">, </w:t>
      </w:r>
      <w:r w:rsidR="00FC21BE">
        <w:t>despite peace dialogues and decreasing violence in recent years.</w:t>
      </w:r>
      <w:r w:rsidR="00FC21BE">
        <w:rPr>
          <w:rStyle w:val="FootnoteReference"/>
        </w:rPr>
        <w:footnoteReference w:id="4"/>
      </w:r>
    </w:p>
    <w:p w14:paraId="6603CA68" w14:textId="3A78E34E" w:rsidR="00D76948" w:rsidRDefault="00D76948" w:rsidP="003121A1"/>
    <w:p w14:paraId="4AB4F3EA" w14:textId="7B617271" w:rsidR="00D76948" w:rsidRDefault="002D57B7" w:rsidP="003121A1">
      <w:r>
        <w:t>During</w:t>
      </w:r>
      <w:r w:rsidR="009A0664">
        <w:t xml:space="preserve"> </w:t>
      </w:r>
      <w:r w:rsidR="00AD47BD">
        <w:t>initial lockdowns in 2020</w:t>
      </w:r>
      <w:r w:rsidR="00D9345E">
        <w:t xml:space="preserve"> in response to the Covid-19 pandemic, </w:t>
      </w:r>
      <w:r w:rsidR="008455D2">
        <w:t xml:space="preserve">the Global Coalition to Protect Education from Attack (GCPEA) </w:t>
      </w:r>
      <w:r w:rsidR="007146C0">
        <w:t>noted a reduction in attacks on education</w:t>
      </w:r>
      <w:r w:rsidR="18887112">
        <w:t xml:space="preserve"> in Thailand</w:t>
      </w:r>
      <w:r w:rsidR="007146C0">
        <w:t>. A</w:t>
      </w:r>
      <w:r w:rsidR="004073C9">
        <w:t xml:space="preserve">fter several months without reported incidents, </w:t>
      </w:r>
      <w:r w:rsidR="007146C0">
        <w:t xml:space="preserve">however, </w:t>
      </w:r>
      <w:r w:rsidR="004073C9">
        <w:t>attacks on education increased in the months following the reopening of schools in July 2020.</w:t>
      </w:r>
    </w:p>
    <w:p w14:paraId="1D710D74" w14:textId="151DD464" w:rsidR="00211081" w:rsidRDefault="00211081" w:rsidP="003121A1"/>
    <w:p w14:paraId="3469AB1D" w14:textId="5429E1EB" w:rsidR="00211081" w:rsidRPr="00415120" w:rsidRDefault="00415120" w:rsidP="003121A1">
      <w:pPr>
        <w:rPr>
          <w:b/>
          <w:bCs/>
          <w:i/>
          <w:iCs/>
        </w:rPr>
      </w:pPr>
      <w:r w:rsidRPr="00415120">
        <w:rPr>
          <w:b/>
          <w:bCs/>
          <w:i/>
          <w:iCs/>
        </w:rPr>
        <w:t>Attacks on schools</w:t>
      </w:r>
    </w:p>
    <w:p w14:paraId="3F300871" w14:textId="3F5E02D5" w:rsidR="00036DBC" w:rsidRDefault="001A2C45" w:rsidP="003121A1">
      <w:r>
        <w:t>From</w:t>
      </w:r>
      <w:r w:rsidR="0049041C">
        <w:t xml:space="preserve"> 2017</w:t>
      </w:r>
      <w:r w:rsidR="004920F4">
        <w:t xml:space="preserve"> to 2021</w:t>
      </w:r>
      <w:r w:rsidR="0049041C">
        <w:t>, GCPEA</w:t>
      </w:r>
      <w:r w:rsidR="008455D2">
        <w:t xml:space="preserve"> </w:t>
      </w:r>
      <w:r w:rsidR="002C44ED">
        <w:t>identified</w:t>
      </w:r>
      <w:r w:rsidR="0049041C">
        <w:t xml:space="preserve"> </w:t>
      </w:r>
      <w:r w:rsidR="00FC515F">
        <w:t>14</w:t>
      </w:r>
      <w:r w:rsidR="0049041C">
        <w:t xml:space="preserve"> attacks on schools</w:t>
      </w:r>
      <w:r w:rsidR="00FC515F">
        <w:t>, many of which routinely involved explosive weapons.</w:t>
      </w:r>
      <w:r w:rsidR="00952CAB">
        <w:rPr>
          <w:rStyle w:val="FootnoteReference"/>
        </w:rPr>
        <w:footnoteReference w:id="5"/>
      </w:r>
      <w:r w:rsidR="00C64840">
        <w:t xml:space="preserve"> </w:t>
      </w:r>
      <w:r w:rsidR="0049041C">
        <w:t xml:space="preserve">Some </w:t>
      </w:r>
      <w:r w:rsidR="00FA1862">
        <w:t>examples of attacks include:</w:t>
      </w:r>
    </w:p>
    <w:p w14:paraId="3BF43431" w14:textId="2CEEE887" w:rsidR="002C44ED" w:rsidRDefault="002C44ED" w:rsidP="002C44ED">
      <w:pPr>
        <w:numPr>
          <w:ilvl w:val="0"/>
          <w:numId w:val="12"/>
        </w:numPr>
      </w:pPr>
      <w:r w:rsidRPr="004E1F29">
        <w:t xml:space="preserve">On January 8, </w:t>
      </w:r>
      <w:r>
        <w:t xml:space="preserve">2019, </w:t>
      </w:r>
      <w:r w:rsidRPr="004E1F29">
        <w:t xml:space="preserve">insurgents detonated a bomb outside Thairath Wittaya School 52 in Pattani province’s Yarang district, severely wounding a 12-year-old student, </w:t>
      </w:r>
      <w:r w:rsidR="009C114E">
        <w:t>N. N.</w:t>
      </w:r>
      <w:r w:rsidRPr="004E1F29">
        <w:t>, and a soldier assigned to guard the school.</w:t>
      </w:r>
      <w:r>
        <w:rPr>
          <w:rStyle w:val="FootnoteReference"/>
        </w:rPr>
        <w:footnoteReference w:id="6"/>
      </w:r>
    </w:p>
    <w:p w14:paraId="63746C7C" w14:textId="22A0FEA9" w:rsidR="002C44ED" w:rsidRDefault="002C44ED" w:rsidP="002C44ED">
      <w:pPr>
        <w:numPr>
          <w:ilvl w:val="0"/>
          <w:numId w:val="12"/>
        </w:numPr>
      </w:pPr>
      <w:r>
        <w:t xml:space="preserve">On September 16, 2019, </w:t>
      </w:r>
      <w:r w:rsidR="00055524">
        <w:t xml:space="preserve">unidentified </w:t>
      </w:r>
      <w:r>
        <w:t>members of a non-state armed group reportedly detonated an improvised explosive device (IED) at the entrance of a school in Khok Pho district, Pattani province. The explosion reportedly injured members of a teacher security convoy, who then exchanged fire with the attackers. According to local media sources, no teachers or students were injured.</w:t>
      </w:r>
      <w:r>
        <w:rPr>
          <w:rStyle w:val="FootnoteReference"/>
        </w:rPr>
        <w:footnoteReference w:id="7"/>
      </w:r>
    </w:p>
    <w:p w14:paraId="4BFD3621" w14:textId="0931ED0C" w:rsidR="0049041C" w:rsidRDefault="0049041C" w:rsidP="003121A1"/>
    <w:p w14:paraId="5B5FA92B" w14:textId="10A077DD" w:rsidR="00523684" w:rsidRPr="00523684" w:rsidRDefault="00523684" w:rsidP="003121A1">
      <w:pPr>
        <w:rPr>
          <w:b/>
          <w:bCs/>
          <w:i/>
          <w:iCs/>
        </w:rPr>
      </w:pPr>
      <w:r w:rsidRPr="00523684">
        <w:rPr>
          <w:b/>
          <w:bCs/>
          <w:i/>
          <w:iCs/>
        </w:rPr>
        <w:t xml:space="preserve">Attacks on </w:t>
      </w:r>
      <w:r w:rsidR="00654E34">
        <w:rPr>
          <w:b/>
          <w:bCs/>
          <w:i/>
          <w:iCs/>
        </w:rPr>
        <w:t xml:space="preserve">school </w:t>
      </w:r>
      <w:r w:rsidRPr="00523684">
        <w:rPr>
          <w:b/>
          <w:bCs/>
          <w:i/>
          <w:iCs/>
        </w:rPr>
        <w:t>students</w:t>
      </w:r>
      <w:r w:rsidR="00654E34">
        <w:rPr>
          <w:b/>
          <w:bCs/>
          <w:i/>
          <w:iCs/>
        </w:rPr>
        <w:t>, teachers, and staff</w:t>
      </w:r>
    </w:p>
    <w:p w14:paraId="5316E9AE" w14:textId="455AFF06" w:rsidR="0034429B" w:rsidRDefault="001A2C45" w:rsidP="003121A1">
      <w:r>
        <w:t xml:space="preserve">GCPEA </w:t>
      </w:r>
      <w:r w:rsidR="33CC0FCD">
        <w:t>documented</w:t>
      </w:r>
      <w:r w:rsidR="00055524">
        <w:t xml:space="preserve"> from 2017 to 2021</w:t>
      </w:r>
      <w:r w:rsidR="00C45DCF">
        <w:t xml:space="preserve"> approximately</w:t>
      </w:r>
      <w:r w:rsidR="004920F4">
        <w:t xml:space="preserve"> </w:t>
      </w:r>
      <w:r w:rsidR="00C45DCF">
        <w:t xml:space="preserve">26 incidents of attacks on </w:t>
      </w:r>
      <w:r w:rsidR="005C4B5B">
        <w:t>school students, teachers, and staff. Many attacks involved the targeting of police or volunteer defense guards tasked with protecting</w:t>
      </w:r>
      <w:r w:rsidR="006C3997">
        <w:t xml:space="preserve"> schools, as well as</w:t>
      </w:r>
      <w:r w:rsidR="005C4B5B">
        <w:t xml:space="preserve"> teachers</w:t>
      </w:r>
      <w:r w:rsidR="006C3997">
        <w:t xml:space="preserve"> and </w:t>
      </w:r>
      <w:r w:rsidR="005C4B5B">
        <w:t>students,</w:t>
      </w:r>
      <w:r w:rsidR="006C3997">
        <w:t xml:space="preserve"> which put them at risk.</w:t>
      </w:r>
      <w:r w:rsidR="006C3997">
        <w:rPr>
          <w:rStyle w:val="FootnoteReference"/>
        </w:rPr>
        <w:footnoteReference w:id="8"/>
      </w:r>
      <w:r w:rsidR="00BA2A98">
        <w:t xml:space="preserve"> </w:t>
      </w:r>
    </w:p>
    <w:p w14:paraId="3F1D7A7B" w14:textId="77777777" w:rsidR="0034429B" w:rsidRDefault="0034429B" w:rsidP="003121A1"/>
    <w:p w14:paraId="793A679B" w14:textId="310F9D97" w:rsidR="00523684" w:rsidRDefault="00BA2A98" w:rsidP="003121A1">
      <w:r>
        <w:lastRenderedPageBreak/>
        <w:t>Some examples of attacks include:</w:t>
      </w:r>
    </w:p>
    <w:p w14:paraId="296DBF12" w14:textId="1DD589DC" w:rsidR="00BA2A98" w:rsidRDefault="00BA2A98" w:rsidP="00BA2A98">
      <w:pPr>
        <w:numPr>
          <w:ilvl w:val="0"/>
          <w:numId w:val="12"/>
        </w:numPr>
      </w:pPr>
      <w:r>
        <w:t xml:space="preserve">On September 19, 2019, unidentified armed individuals reportedly fired on security guards at Baan Siyoh School, while teachers and students arrived at the school, in Yaha district, Yala </w:t>
      </w:r>
      <w:r w:rsidR="00055524">
        <w:t>p</w:t>
      </w:r>
      <w:r>
        <w:t xml:space="preserve">rovince, according to </w:t>
      </w:r>
      <w:r w:rsidR="00055524">
        <w:t xml:space="preserve">the </w:t>
      </w:r>
      <w:r w:rsidRPr="003B4B8D">
        <w:rPr>
          <w:i/>
          <w:iCs/>
        </w:rPr>
        <w:t>Daily News</w:t>
      </w:r>
      <w:r>
        <w:t>. No injuries were reported; however, the attack allegedly left the school with several bullet holes in the perimeter wall.</w:t>
      </w:r>
      <w:r w:rsidR="00AE7F16">
        <w:rPr>
          <w:rStyle w:val="FootnoteReference"/>
        </w:rPr>
        <w:footnoteReference w:id="9"/>
      </w:r>
      <w:r w:rsidR="00AE7F16">
        <w:t xml:space="preserve"> </w:t>
      </w:r>
      <w:r>
        <w:t>The UN reported that an IED attack occurred 50 meters from the school on February 6, 2018.</w:t>
      </w:r>
      <w:r w:rsidR="00AE7F16">
        <w:rPr>
          <w:rStyle w:val="FootnoteReference"/>
        </w:rPr>
        <w:footnoteReference w:id="10"/>
      </w:r>
    </w:p>
    <w:p w14:paraId="1BDB4863" w14:textId="149161C8" w:rsidR="000749A1" w:rsidRDefault="00555783" w:rsidP="00BA2A98">
      <w:pPr>
        <w:numPr>
          <w:ilvl w:val="0"/>
          <w:numId w:val="12"/>
        </w:numPr>
      </w:pPr>
      <w:r>
        <w:t>Local media reported that on January 10, 2019, unidentified armed individuals allegedly shot and killed four defense volunteers inside Bukoh school, in Yarang district, Pattani province, during school hours. The UN reported to media sources that at least one child was injured, and many others were at risk of psychological harm after witnessing the violent event.</w:t>
      </w:r>
      <w:r>
        <w:rPr>
          <w:rStyle w:val="FootnoteReference"/>
        </w:rPr>
        <w:footnoteReference w:id="11"/>
      </w:r>
    </w:p>
    <w:p w14:paraId="275B605B" w14:textId="6EDBC090" w:rsidR="00463AD2" w:rsidRDefault="00463AD2" w:rsidP="00463AD2">
      <w:pPr>
        <w:numPr>
          <w:ilvl w:val="0"/>
          <w:numId w:val="12"/>
        </w:numPr>
      </w:pPr>
      <w:r>
        <w:t xml:space="preserve">On August 13, 2020, alleged non-state armed group members detonated an IED along the road leading to Pakaluesong Primary School in Nong Chik district, Pattani province, targeting soldiers as they escorted teachers and students to the school. According to media outlets </w:t>
      </w:r>
      <w:r w:rsidRPr="003B4B8D">
        <w:rPr>
          <w:i/>
          <w:iCs/>
        </w:rPr>
        <w:t>Benar News</w:t>
      </w:r>
      <w:r>
        <w:t xml:space="preserve"> and </w:t>
      </w:r>
      <w:r w:rsidRPr="003B4B8D">
        <w:rPr>
          <w:i/>
          <w:iCs/>
        </w:rPr>
        <w:t>Bangkok Post</w:t>
      </w:r>
      <w:r>
        <w:t>, one soldier was killed while others were wounded.</w:t>
      </w:r>
      <w:r w:rsidR="00F52D10">
        <w:rPr>
          <w:rStyle w:val="FootnoteReference"/>
        </w:rPr>
        <w:footnoteReference w:id="12"/>
      </w:r>
    </w:p>
    <w:p w14:paraId="2860DF18" w14:textId="52AF5DF0" w:rsidR="00463AD2" w:rsidRDefault="00463AD2" w:rsidP="00463AD2">
      <w:pPr>
        <w:numPr>
          <w:ilvl w:val="0"/>
          <w:numId w:val="12"/>
        </w:numPr>
      </w:pPr>
      <w:r>
        <w:t xml:space="preserve">On the same day, in a reportedly coordinated attack with the above-mentioned incident, an alleged non-state armed group detonated an IED along the road leading to Kalisa Primary School in Rangae district, Narathiwat province. Local media reported that the explosion targeted and killed one soldier and injured at least three others while they were guarding teachers </w:t>
      </w:r>
      <w:r w:rsidR="0034429B">
        <w:t>on</w:t>
      </w:r>
      <w:r>
        <w:t xml:space="preserve"> </w:t>
      </w:r>
      <w:r w:rsidR="0034429B">
        <w:t xml:space="preserve">the </w:t>
      </w:r>
      <w:r>
        <w:t>route to school.</w:t>
      </w:r>
      <w:r w:rsidR="000A3FC6">
        <w:rPr>
          <w:rStyle w:val="FootnoteReference"/>
        </w:rPr>
        <w:footnoteReference w:id="13"/>
      </w:r>
      <w:r>
        <w:t xml:space="preserve"> The two attacks on August 13, 2020, were </w:t>
      </w:r>
      <w:r>
        <w:lastRenderedPageBreak/>
        <w:t>reportedly the first such attacks since schools in the southern provinces reopened for in-person classes after Covid-19 closures.</w:t>
      </w:r>
      <w:r w:rsidR="000A3FC6">
        <w:rPr>
          <w:rStyle w:val="FootnoteReference"/>
        </w:rPr>
        <w:footnoteReference w:id="14"/>
      </w:r>
    </w:p>
    <w:p w14:paraId="5DE932EB" w14:textId="28A1496C" w:rsidR="00645A9B" w:rsidRDefault="00645A9B" w:rsidP="003121A1"/>
    <w:p w14:paraId="311AE760" w14:textId="30D6ED52" w:rsidR="00B10343" w:rsidRDefault="00B10343" w:rsidP="00B10343">
      <w:r w:rsidRPr="00EF1CFF">
        <w:t>Attacks on students and schools</w:t>
      </w:r>
      <w:r w:rsidR="0034429B">
        <w:t xml:space="preserve"> </w:t>
      </w:r>
      <w:r w:rsidRPr="00EF1CFF">
        <w:t>disproportionately affect</w:t>
      </w:r>
      <w:r>
        <w:t xml:space="preserve"> </w:t>
      </w:r>
      <w:r w:rsidRPr="00EF1CFF">
        <w:t>girls, who are sometimes the focus of targeted attacks and are more likely to be kept out of school</w:t>
      </w:r>
      <w:r>
        <w:t xml:space="preserve"> </w:t>
      </w:r>
      <w:r w:rsidRPr="00EF1CFF">
        <w:t>due to security concerns, as recognized by this Committee in its General Recommendation No. 30.</w:t>
      </w:r>
      <w:r>
        <w:rPr>
          <w:rStyle w:val="FootnoteReference"/>
        </w:rPr>
        <w:footnoteReference w:id="15"/>
      </w:r>
    </w:p>
    <w:p w14:paraId="4E8A7798" w14:textId="77777777" w:rsidR="00B10343" w:rsidRDefault="00B10343" w:rsidP="003121A1"/>
    <w:p w14:paraId="551E553E" w14:textId="14D70639" w:rsidR="00645A9B" w:rsidRDefault="00645A9B" w:rsidP="003121A1">
      <w:r>
        <w:t>The Safe Schools Declaration is an inter-governmental political commitment that provides countries the opportunity to express political support for the protection of students, teachers, and schools during times of armed conflict</w:t>
      </w:r>
      <w:r w:rsidR="00DA7B40">
        <w:rPr>
          <w:rStyle w:val="FootnoteReference"/>
        </w:rPr>
        <w:footnoteReference w:id="16"/>
      </w:r>
      <w:r w:rsidR="00055524">
        <w:t>;</w:t>
      </w:r>
      <w:r>
        <w:t xml:space="preserve"> the importance of the continuation of education during armed conflict; and the implementation of the Guidelines for Protecting Schools and Universities from Military Use during Armed Conflict.</w:t>
      </w:r>
      <w:r w:rsidR="00DA7B40">
        <w:rPr>
          <w:rStyle w:val="FootnoteReference"/>
        </w:rPr>
        <w:footnoteReference w:id="17"/>
      </w:r>
      <w:r w:rsidR="00AC6633">
        <w:t xml:space="preserve"> </w:t>
      </w:r>
      <w:r w:rsidR="00AC6633" w:rsidRPr="00AC6633">
        <w:t>A</w:t>
      </w:r>
      <w:r w:rsidR="002A6B46">
        <w:t>t time of writing</w:t>
      </w:r>
      <w:r w:rsidR="00AC6633" w:rsidRPr="00AC6633">
        <w:t xml:space="preserve">, 114 countries have endorsed the Safe Schools Declaration. </w:t>
      </w:r>
      <w:r w:rsidR="0034429B">
        <w:t>The UN Secretary-General has explicitly called upon Thailand to endorse the Declaration</w:t>
      </w:r>
      <w:r w:rsidR="003B4B8D">
        <w:t>.</w:t>
      </w:r>
      <w:r w:rsidR="008553E0">
        <w:rPr>
          <w:rStyle w:val="FootnoteReference"/>
        </w:rPr>
        <w:footnoteReference w:id="18"/>
      </w:r>
      <w:r w:rsidR="0034429B">
        <w:t xml:space="preserve"> </w:t>
      </w:r>
      <w:r w:rsidR="00055524">
        <w:t>H</w:t>
      </w:r>
      <w:r w:rsidR="00AC6633" w:rsidRPr="00AC6633">
        <w:t xml:space="preserve">owever, </w:t>
      </w:r>
      <w:r w:rsidR="00AC6633">
        <w:t xml:space="preserve">Thailand </w:t>
      </w:r>
      <w:r w:rsidR="00AC6633" w:rsidRPr="00AC6633">
        <w:t>has not done so.</w:t>
      </w:r>
      <w:r w:rsidR="00E33703">
        <w:rPr>
          <w:rStyle w:val="FootnoteReference"/>
        </w:rPr>
        <w:footnoteReference w:id="19"/>
      </w:r>
    </w:p>
    <w:p w14:paraId="1FA0332F" w14:textId="5FD84B8B" w:rsidR="004623BE" w:rsidRDefault="004623BE" w:rsidP="003121A1"/>
    <w:p w14:paraId="5430E3CA" w14:textId="114F03AC" w:rsidR="00E36714" w:rsidRPr="0020797E" w:rsidRDefault="00E36714" w:rsidP="00E36714">
      <w:pPr>
        <w:spacing w:line="252" w:lineRule="auto"/>
        <w:rPr>
          <w:i/>
          <w:iCs/>
        </w:rPr>
      </w:pPr>
      <w:r w:rsidRPr="0020797E">
        <w:rPr>
          <w:i/>
          <w:iCs/>
        </w:rPr>
        <w:t xml:space="preserve">Human Rights Watch recommends that the Committee ask the government of </w:t>
      </w:r>
      <w:r>
        <w:rPr>
          <w:i/>
          <w:iCs/>
        </w:rPr>
        <w:t>Thailand</w:t>
      </w:r>
      <w:r w:rsidRPr="0020797E">
        <w:rPr>
          <w:i/>
          <w:iCs/>
        </w:rPr>
        <w:t>:</w:t>
      </w:r>
    </w:p>
    <w:p w14:paraId="5CF2FB20" w14:textId="63C02C84" w:rsidR="00E36714" w:rsidRDefault="007A7874" w:rsidP="004623BE">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eastAsia="Times New Roman" w:hAnsi="MetaPro-Norm"/>
        </w:rPr>
      </w:pPr>
      <w:r>
        <w:rPr>
          <w:rFonts w:ascii="MetaPro-Norm" w:eastAsia="Times New Roman" w:hAnsi="MetaPro-Norm"/>
        </w:rPr>
        <w:t xml:space="preserve">Have any </w:t>
      </w:r>
      <w:r w:rsidR="003833B4" w:rsidRPr="003833B4">
        <w:rPr>
          <w:rFonts w:ascii="MetaPro-Norm" w:eastAsia="Times New Roman" w:hAnsi="MetaPro-Norm"/>
        </w:rPr>
        <w:t xml:space="preserve">individuals </w:t>
      </w:r>
      <w:r>
        <w:rPr>
          <w:rFonts w:ascii="MetaPro-Norm" w:eastAsia="Times New Roman" w:hAnsi="MetaPro-Norm"/>
        </w:rPr>
        <w:t>been investigated</w:t>
      </w:r>
      <w:r w:rsidR="003833B4" w:rsidRPr="003833B4">
        <w:rPr>
          <w:rFonts w:ascii="MetaPro-Norm" w:eastAsia="Times New Roman" w:hAnsi="MetaPro-Norm"/>
        </w:rPr>
        <w:t xml:space="preserve"> for attacks on schools</w:t>
      </w:r>
      <w:r w:rsidR="005C1E44">
        <w:rPr>
          <w:rFonts w:ascii="MetaPro-Norm" w:eastAsia="Times New Roman" w:hAnsi="MetaPro-Norm"/>
        </w:rPr>
        <w:t>, students, teachers, and staff</w:t>
      </w:r>
      <w:r w:rsidR="003833B4" w:rsidRPr="003833B4">
        <w:rPr>
          <w:rFonts w:ascii="MetaPro-Norm" w:eastAsia="Times New Roman" w:hAnsi="MetaPro-Norm"/>
        </w:rPr>
        <w:t xml:space="preserve"> during the reporting period?</w:t>
      </w:r>
      <w:r>
        <w:rPr>
          <w:rFonts w:ascii="MetaPro-Norm" w:eastAsia="Times New Roman" w:hAnsi="MetaPro-Norm"/>
        </w:rPr>
        <w:t xml:space="preserve"> If so, how many, and what have been the outcomes of such investigations?</w:t>
      </w:r>
    </w:p>
    <w:p w14:paraId="5E78BDEF" w14:textId="047D6002" w:rsidR="008553E0" w:rsidRDefault="008553E0" w:rsidP="004623BE">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eastAsia="Times New Roman" w:hAnsi="MetaPro-Norm"/>
        </w:rPr>
      </w:pPr>
      <w:r>
        <w:rPr>
          <w:rFonts w:ascii="MetaPro-Norm" w:eastAsia="Times New Roman" w:hAnsi="MetaPro-Norm"/>
        </w:rPr>
        <w:t xml:space="preserve">Human Rights Watch documented the use of schools for military purposes by </w:t>
      </w:r>
      <w:r w:rsidR="00582306">
        <w:rPr>
          <w:rFonts w:ascii="MetaPro-Norm" w:eastAsia="Times New Roman" w:hAnsi="MetaPro-Norm"/>
        </w:rPr>
        <w:t>government security forces in 2010</w:t>
      </w:r>
      <w:r w:rsidR="00075BD1">
        <w:rPr>
          <w:rFonts w:ascii="MetaPro-Norm" w:eastAsia="Times New Roman" w:hAnsi="MetaPro-Norm"/>
        </w:rPr>
        <w:t xml:space="preserve">, including using schools </w:t>
      </w:r>
      <w:r w:rsidR="00055524">
        <w:rPr>
          <w:rFonts w:ascii="MetaPro-Norm" w:eastAsia="Times New Roman" w:hAnsi="MetaPro-Norm"/>
        </w:rPr>
        <w:t xml:space="preserve">for military purposes </w:t>
      </w:r>
      <w:r w:rsidR="00075BD1">
        <w:rPr>
          <w:rFonts w:ascii="MetaPro-Norm" w:eastAsia="Times New Roman" w:hAnsi="MetaPro-Norm"/>
        </w:rPr>
        <w:t>alongside girl students.</w:t>
      </w:r>
      <w:r w:rsidR="00582306">
        <w:rPr>
          <w:rStyle w:val="FootnoteReference"/>
        </w:rPr>
        <w:footnoteReference w:id="20"/>
      </w:r>
      <w:r w:rsidR="00582306">
        <w:rPr>
          <w:rFonts w:ascii="MetaPro-Norm" w:eastAsia="Times New Roman" w:hAnsi="MetaPro-Norm"/>
        </w:rPr>
        <w:t xml:space="preserve"> Have government security forces </w:t>
      </w:r>
      <w:r w:rsidR="00055524">
        <w:rPr>
          <w:rFonts w:ascii="MetaPro-Norm" w:eastAsia="Times New Roman" w:hAnsi="MetaPro-Norm"/>
        </w:rPr>
        <w:t xml:space="preserve">continued </w:t>
      </w:r>
      <w:r w:rsidR="00582306">
        <w:rPr>
          <w:rFonts w:ascii="MetaPro-Norm" w:eastAsia="Times New Roman" w:hAnsi="MetaPro-Norm"/>
        </w:rPr>
        <w:t>this practice? If so, why did they do so? If so, were any changes made in armed forces policy, orders, or trainings to minimize or end this tactic?</w:t>
      </w:r>
    </w:p>
    <w:p w14:paraId="111ACA93" w14:textId="77777777" w:rsidR="002A6B46" w:rsidRPr="00821720" w:rsidRDefault="002A6B46" w:rsidP="004623BE"/>
    <w:p w14:paraId="5D3058D5" w14:textId="7CD2478A" w:rsidR="004623BE" w:rsidRDefault="004623BE" w:rsidP="004623BE">
      <w:pPr>
        <w:rPr>
          <w:i/>
          <w:iCs/>
        </w:rPr>
      </w:pPr>
      <w:r w:rsidRPr="00CC3BFC">
        <w:rPr>
          <w:i/>
          <w:iCs/>
        </w:rPr>
        <w:lastRenderedPageBreak/>
        <w:t xml:space="preserve">Human Rights Watch recommends that the </w:t>
      </w:r>
      <w:r>
        <w:rPr>
          <w:i/>
          <w:iCs/>
        </w:rPr>
        <w:t>C</w:t>
      </w:r>
      <w:r w:rsidRPr="00CC3BFC">
        <w:rPr>
          <w:i/>
          <w:iCs/>
        </w:rPr>
        <w:t xml:space="preserve">ommittee call on the government of </w:t>
      </w:r>
      <w:r>
        <w:rPr>
          <w:i/>
          <w:iCs/>
        </w:rPr>
        <w:t>Thailand</w:t>
      </w:r>
      <w:r w:rsidRPr="00CC3BFC">
        <w:rPr>
          <w:i/>
          <w:iCs/>
        </w:rPr>
        <w:t xml:space="preserve"> to:</w:t>
      </w:r>
    </w:p>
    <w:p w14:paraId="2A0F68B4" w14:textId="7B0DD350" w:rsidR="00E33703" w:rsidRPr="00E33703" w:rsidRDefault="00E33703" w:rsidP="00E33703">
      <w:pPr>
        <w:numPr>
          <w:ilvl w:val="0"/>
          <w:numId w:val="11"/>
        </w:numPr>
      </w:pPr>
      <w:r w:rsidRPr="00E33703">
        <w:t xml:space="preserve">Endorse </w:t>
      </w:r>
      <w:r w:rsidR="00055524">
        <w:t xml:space="preserve">and implement </w:t>
      </w:r>
      <w:r w:rsidRPr="00E33703">
        <w:t>the Safe Schools Declaration.</w:t>
      </w:r>
    </w:p>
    <w:p w14:paraId="07D6F98D" w14:textId="3107A83D" w:rsidR="004623BE" w:rsidRDefault="004623BE" w:rsidP="003121A1"/>
    <w:p w14:paraId="0DCE016F" w14:textId="2D7556A7" w:rsidR="00611EB8" w:rsidRPr="007B3CEE" w:rsidRDefault="00611EB8" w:rsidP="003121A1">
      <w:pPr>
        <w:rPr>
          <w:b/>
          <w:bCs/>
        </w:rPr>
      </w:pPr>
      <w:r w:rsidRPr="007B3CEE">
        <w:rPr>
          <w:b/>
          <w:bCs/>
        </w:rPr>
        <w:t xml:space="preserve">Access to Education During Covid-19 </w:t>
      </w:r>
      <w:r w:rsidR="00802A55">
        <w:rPr>
          <w:b/>
          <w:bCs/>
        </w:rPr>
        <w:t>School Closures</w:t>
      </w:r>
      <w:r w:rsidR="00802A55" w:rsidRPr="007B3CEE">
        <w:rPr>
          <w:b/>
          <w:bCs/>
        </w:rPr>
        <w:t xml:space="preserve"> </w:t>
      </w:r>
      <w:r w:rsidR="007974B1" w:rsidRPr="007B3CEE">
        <w:rPr>
          <w:b/>
          <w:bCs/>
        </w:rPr>
        <w:t>(article</w:t>
      </w:r>
      <w:r w:rsidR="00B9590D" w:rsidRPr="007B3CEE">
        <w:rPr>
          <w:b/>
          <w:bCs/>
        </w:rPr>
        <w:t>s 1,</w:t>
      </w:r>
      <w:r w:rsidR="007974B1" w:rsidRPr="007B3CEE">
        <w:rPr>
          <w:b/>
          <w:bCs/>
        </w:rPr>
        <w:t xml:space="preserve"> 10)</w:t>
      </w:r>
    </w:p>
    <w:p w14:paraId="7F784169" w14:textId="29869BE0" w:rsidR="004E7E95" w:rsidRDefault="004E7E95" w:rsidP="0035583E"/>
    <w:p w14:paraId="00F2C35E" w14:textId="3EF1A081" w:rsidR="00C85F23" w:rsidRDefault="00EF2903" w:rsidP="00C85F23">
      <w:r>
        <w:t xml:space="preserve">From </w:t>
      </w:r>
      <w:r w:rsidR="000C4C22">
        <w:t>March 2020</w:t>
      </w:r>
      <w:r>
        <w:t xml:space="preserve"> to </w:t>
      </w:r>
      <w:r w:rsidR="002E415E">
        <w:t>March 2022,</w:t>
      </w:r>
      <w:r w:rsidR="001F6600">
        <w:t xml:space="preserve"> </w:t>
      </w:r>
      <w:r w:rsidR="00075BD1">
        <w:t>in response to the Covid</w:t>
      </w:r>
      <w:r w:rsidR="00D400D4">
        <w:t>-19</w:t>
      </w:r>
      <w:r w:rsidR="00075BD1">
        <w:t xml:space="preserve"> pandemic, </w:t>
      </w:r>
      <w:r w:rsidR="000C4C22">
        <w:t xml:space="preserve">Thai </w:t>
      </w:r>
      <w:r w:rsidR="001F6600">
        <w:t xml:space="preserve">schools were </w:t>
      </w:r>
      <w:r w:rsidR="002E415E">
        <w:t xml:space="preserve">fully closed for </w:t>
      </w:r>
      <w:r w:rsidR="009068E0">
        <w:t>16 weeks and partially open for 53</w:t>
      </w:r>
      <w:r w:rsidR="00075BD1">
        <w:t xml:space="preserve"> weeks</w:t>
      </w:r>
      <w:r w:rsidR="000A70E9">
        <w:t>.</w:t>
      </w:r>
      <w:r w:rsidR="004A051E">
        <w:rPr>
          <w:rStyle w:val="FootnoteReference"/>
        </w:rPr>
        <w:footnoteReference w:id="21"/>
      </w:r>
      <w:r w:rsidR="00C85F23">
        <w:t xml:space="preserve"> According to UNICEF, s</w:t>
      </w:r>
      <w:r w:rsidR="00C85F23" w:rsidRPr="00C85F23">
        <w:t xml:space="preserve">chool closures in 2020 affected almost </w:t>
      </w:r>
      <w:r w:rsidR="00D400D4">
        <w:t>nine</w:t>
      </w:r>
      <w:r w:rsidR="00C85F23" w:rsidRPr="00C85F23">
        <w:t xml:space="preserve"> million children age</w:t>
      </w:r>
      <w:r w:rsidR="00D400D4">
        <w:t>s</w:t>
      </w:r>
      <w:r w:rsidR="00C85F23" w:rsidRPr="00C85F23">
        <w:t xml:space="preserve"> 3</w:t>
      </w:r>
      <w:r w:rsidR="00D400D4">
        <w:t xml:space="preserve"> to </w:t>
      </w:r>
      <w:r w:rsidR="00C85F23" w:rsidRPr="00C85F23">
        <w:t>17, and early learning cent</w:t>
      </w:r>
      <w:r w:rsidR="00C85F23">
        <w:t>er</w:t>
      </w:r>
      <w:r w:rsidR="00C85F23" w:rsidRPr="00C85F23">
        <w:t xml:space="preserve"> closures affected 86 percent of children age</w:t>
      </w:r>
      <w:r w:rsidR="00D400D4">
        <w:t>s</w:t>
      </w:r>
      <w:r w:rsidR="00C85F23" w:rsidRPr="00C85F23">
        <w:t xml:space="preserve"> 36</w:t>
      </w:r>
      <w:r w:rsidR="00D400D4">
        <w:t xml:space="preserve"> to </w:t>
      </w:r>
      <w:r w:rsidR="00C85F23" w:rsidRPr="00C85F23">
        <w:t>59 months.</w:t>
      </w:r>
      <w:r w:rsidR="00C85F23">
        <w:rPr>
          <w:rStyle w:val="FootnoteReference"/>
        </w:rPr>
        <w:footnoteReference w:id="22"/>
      </w:r>
      <w:r w:rsidR="0003027E">
        <w:t xml:space="preserve"> In May 2022, the </w:t>
      </w:r>
      <w:r w:rsidR="00B949A9">
        <w:t>education ministry</w:t>
      </w:r>
      <w:r w:rsidR="0003027E">
        <w:t xml:space="preserve"> announced </w:t>
      </w:r>
      <w:r w:rsidR="00E521D7">
        <w:t>most schools would reopen</w:t>
      </w:r>
      <w:r w:rsidR="00B949A9">
        <w:t xml:space="preserve">, but that </w:t>
      </w:r>
      <w:r w:rsidR="00B949A9" w:rsidRPr="00B949A9">
        <w:t>children</w:t>
      </w:r>
      <w:r w:rsidR="00B949A9">
        <w:t xml:space="preserve"> would still have the option to </w:t>
      </w:r>
      <w:r w:rsidR="00B949A9" w:rsidRPr="00B949A9">
        <w:t>attend online classes</w:t>
      </w:r>
      <w:r w:rsidR="00B949A9">
        <w:t>.</w:t>
      </w:r>
      <w:r w:rsidR="00E556C1">
        <w:rPr>
          <w:rStyle w:val="FootnoteReference"/>
        </w:rPr>
        <w:footnoteReference w:id="23"/>
      </w:r>
    </w:p>
    <w:p w14:paraId="6BC2B779" w14:textId="28057AFE" w:rsidR="001B1EBB" w:rsidRDefault="001B1EBB" w:rsidP="00C85F23"/>
    <w:p w14:paraId="7D2B86FE" w14:textId="3D155A81" w:rsidR="00732EE9" w:rsidRDefault="001B1EBB" w:rsidP="0035583E">
      <w:r>
        <w:t xml:space="preserve">In </w:t>
      </w:r>
      <w:r w:rsidR="00A15338">
        <w:t>July</w:t>
      </w:r>
      <w:r>
        <w:t xml:space="preserve"> 2020, Human Rights Watch interviewed six students in Thailand</w:t>
      </w:r>
      <w:r w:rsidR="541D0069">
        <w:t>:</w:t>
      </w:r>
      <w:r>
        <w:t xml:space="preserve"> one of whom </w:t>
      </w:r>
      <w:r w:rsidR="00356BD6">
        <w:t>was</w:t>
      </w:r>
      <w:r>
        <w:t xml:space="preserve"> bisexual</w:t>
      </w:r>
      <w:r w:rsidR="793CC8D5">
        <w:t>; two were</w:t>
      </w:r>
      <w:r w:rsidR="2C2CFCD9">
        <w:t xml:space="preserve"> </w:t>
      </w:r>
      <w:r>
        <w:t>tomboy</w:t>
      </w:r>
      <w:r w:rsidR="7EB9BF1D">
        <w:t xml:space="preserve">s, including one </w:t>
      </w:r>
      <w:r>
        <w:t>lesbian</w:t>
      </w:r>
      <w:r w:rsidR="71C2C7CD">
        <w:t xml:space="preserve"> girl;</w:t>
      </w:r>
      <w:r>
        <w:t xml:space="preserve"> one </w:t>
      </w:r>
      <w:r w:rsidR="6AFB3741">
        <w:t xml:space="preserve">was </w:t>
      </w:r>
      <w:r>
        <w:t>nonbinary</w:t>
      </w:r>
      <w:r w:rsidR="70AB6CDD">
        <w:t>;</w:t>
      </w:r>
      <w:r>
        <w:t xml:space="preserve"> and two </w:t>
      </w:r>
      <w:r w:rsidR="156E7924">
        <w:t xml:space="preserve">were </w:t>
      </w:r>
      <w:r>
        <w:t>trans</w:t>
      </w:r>
      <w:r w:rsidR="00D400D4">
        <w:t>gender</w:t>
      </w:r>
      <w:r>
        <w:t>.</w:t>
      </w:r>
      <w:r w:rsidR="000C02F3">
        <w:rPr>
          <w:rStyle w:val="FootnoteReference"/>
        </w:rPr>
        <w:footnoteReference w:id="24"/>
      </w:r>
      <w:r>
        <w:t xml:space="preserve"> </w:t>
      </w:r>
      <w:r w:rsidR="005306AD">
        <w:t>S</w:t>
      </w:r>
      <w:r>
        <w:t xml:space="preserve">tudents </w:t>
      </w:r>
      <w:r w:rsidR="00D400D4">
        <w:t>said that di</w:t>
      </w:r>
      <w:r w:rsidR="00445607">
        <w:t>s</w:t>
      </w:r>
      <w:r w:rsidR="00001F5A">
        <w:t>tance learning</w:t>
      </w:r>
      <w:r w:rsidR="00D71018">
        <w:t xml:space="preserve"> </w:t>
      </w:r>
      <w:r w:rsidR="00CC2FD4">
        <w:t xml:space="preserve">negatively </w:t>
      </w:r>
      <w:r w:rsidR="00D71018">
        <w:t>impacted their education</w:t>
      </w:r>
      <w:r w:rsidR="00DA5A53">
        <w:t xml:space="preserve">, while at the same time providing respite from </w:t>
      </w:r>
      <w:r w:rsidR="00CC2FD4">
        <w:t xml:space="preserve">bullying and </w:t>
      </w:r>
      <w:r w:rsidR="00DA5A53">
        <w:t>discrimination they experienced at school before the pandemic.</w:t>
      </w:r>
    </w:p>
    <w:p w14:paraId="53BF677C" w14:textId="77777777" w:rsidR="003650C2" w:rsidRDefault="003650C2" w:rsidP="0035583E"/>
    <w:p w14:paraId="468186F0" w14:textId="0BEFA92B" w:rsidR="003650C2" w:rsidRDefault="00BA2B89" w:rsidP="0035583E">
      <w:r>
        <w:t>Educational institutions in Thailand reinforce rigid social gender norms. Transgender students in Thai schools face harassment, bullying, and discrimination, all of which is undergirded by the enforcement of appearance standards that force students to dress according to their sex assigned at birth. From early years and even at most universities, the enforcement of school uniform regulations has acted as a barrier</w:t>
      </w:r>
      <w:r w:rsidR="55F3DDBC">
        <w:t>,</w:t>
      </w:r>
      <w:r>
        <w:t xml:space="preserve"> and a source of stress and humiliation</w:t>
      </w:r>
      <w:r w:rsidR="5B1AAC85">
        <w:t>,</w:t>
      </w:r>
      <w:r>
        <w:t xml:space="preserve"> for transgender students.</w:t>
      </w:r>
      <w:r w:rsidR="00F80001">
        <w:rPr>
          <w:rStyle w:val="FootnoteReference"/>
        </w:rPr>
        <w:footnoteReference w:id="25"/>
      </w:r>
    </w:p>
    <w:p w14:paraId="3034C45D" w14:textId="77777777" w:rsidR="00CC2FD4" w:rsidRDefault="00CC2FD4" w:rsidP="0035583E"/>
    <w:p w14:paraId="780C697E" w14:textId="6B6DDF54" w:rsidR="00816444" w:rsidRDefault="00816444" w:rsidP="0035583E">
      <w:r>
        <w:t xml:space="preserve">Students described how distance learning was delivered in various formats. </w:t>
      </w:r>
      <w:r w:rsidR="00EE0397">
        <w:t>J.</w:t>
      </w:r>
      <w:r w:rsidR="00D400D4">
        <w:t>J.</w:t>
      </w:r>
      <w:r w:rsidR="00EE0397">
        <w:t>, a 16-year-old tomboy</w:t>
      </w:r>
      <w:r w:rsidR="336F7302">
        <w:t xml:space="preserve"> and </w:t>
      </w:r>
      <w:r w:rsidR="00EE0397">
        <w:t xml:space="preserve">lesbian girl, </w:t>
      </w:r>
      <w:r w:rsidR="00184F9B">
        <w:t xml:space="preserve">said Google Classrooms was used for distance learning, but that </w:t>
      </w:r>
      <w:r w:rsidR="006B04E1">
        <w:t xml:space="preserve">“it was </w:t>
      </w:r>
      <w:r w:rsidR="006B04E1">
        <w:lastRenderedPageBreak/>
        <w:t>very complicated</w:t>
      </w:r>
      <w:r w:rsidR="00C948AD">
        <w:t xml:space="preserve">” </w:t>
      </w:r>
      <w:r w:rsidR="000B447F">
        <w:t xml:space="preserve">because some students needed to “figure the technical things out,” and some teachers </w:t>
      </w:r>
      <w:r w:rsidR="00F015D0">
        <w:t>didn’t “</w:t>
      </w:r>
      <w:r w:rsidR="00F015D0" w:rsidRPr="00F015D0">
        <w:t>even know how to use the application</w:t>
      </w:r>
      <w:r w:rsidR="00F015D0">
        <w:t>,” and so a “lot of time has been wasted.”</w:t>
      </w:r>
      <w:r w:rsidR="00F015D0">
        <w:rPr>
          <w:rStyle w:val="FootnoteReference"/>
        </w:rPr>
        <w:footnoteReference w:id="26"/>
      </w:r>
      <w:r w:rsidR="008E1966">
        <w:t xml:space="preserve"> </w:t>
      </w:r>
      <w:r w:rsidR="0025052F">
        <w:t>E.</w:t>
      </w:r>
      <w:r w:rsidR="00D400D4">
        <w:t>E.,</w:t>
      </w:r>
      <w:r w:rsidR="0025052F">
        <w:t xml:space="preserve"> a 17-year-old </w:t>
      </w:r>
      <w:r w:rsidR="00B43070">
        <w:t xml:space="preserve">student who uses she/her pronouns and describes herself as a tomboy, </w:t>
      </w:r>
      <w:r w:rsidR="00263CA5">
        <w:t xml:space="preserve">said teachers would send PowerPoint presentations to study and then do assignments, </w:t>
      </w:r>
      <w:r w:rsidR="00E7677D">
        <w:t>and that teachers</w:t>
      </w:r>
      <w:r w:rsidR="00FB1911">
        <w:t xml:space="preserve"> were</w:t>
      </w:r>
      <w:r w:rsidR="00FB1911" w:rsidRPr="00FB1911">
        <w:rPr>
          <w:b/>
          <w:bCs/>
        </w:rPr>
        <w:t xml:space="preserve"> </w:t>
      </w:r>
      <w:r w:rsidR="00FB1911" w:rsidRPr="00FB1911">
        <w:t>“happy to take questions via text message but it [was] not quite as effective</w:t>
      </w:r>
      <w:r w:rsidR="00BC2FBE">
        <w:t xml:space="preserve"> … and responses are not thorough.”</w:t>
      </w:r>
      <w:r w:rsidR="00403761">
        <w:rPr>
          <w:rStyle w:val="FootnoteReference"/>
        </w:rPr>
        <w:footnoteReference w:id="27"/>
      </w:r>
    </w:p>
    <w:p w14:paraId="72459FAF" w14:textId="77777777" w:rsidR="00816444" w:rsidRDefault="00816444" w:rsidP="0035583E"/>
    <w:p w14:paraId="6960B350" w14:textId="5ADE59F6" w:rsidR="00E34652" w:rsidRDefault="00E34652" w:rsidP="0035583E">
      <w:r>
        <w:t>M</w:t>
      </w:r>
      <w:r w:rsidR="002D6F61">
        <w:t xml:space="preserve">any students shared concerns they were falling behind in learning and were worried about how this would </w:t>
      </w:r>
      <w:r w:rsidR="00175027">
        <w:t>impact</w:t>
      </w:r>
      <w:r w:rsidR="002D6F61">
        <w:t xml:space="preserve"> </w:t>
      </w:r>
      <w:r w:rsidR="003B61CC">
        <w:t>their ability to enter university</w:t>
      </w:r>
      <w:r w:rsidR="008B21E0">
        <w:t>, start jobs</w:t>
      </w:r>
      <w:r w:rsidR="00175027">
        <w:t xml:space="preserve">, or learn new material when classes resumed. </w:t>
      </w:r>
      <w:r w:rsidR="00375224">
        <w:t>N.</w:t>
      </w:r>
      <w:r w:rsidR="00D400D4">
        <w:t>N.</w:t>
      </w:r>
      <w:r w:rsidR="00375224">
        <w:t xml:space="preserve">, a 17-year-old trans girl, </w:t>
      </w:r>
      <w:r w:rsidR="00784712">
        <w:t>said</w:t>
      </w:r>
      <w:r w:rsidR="004E340D">
        <w:t xml:space="preserve"> </w:t>
      </w:r>
      <w:r w:rsidR="006972E4">
        <w:t>that</w:t>
      </w:r>
      <w:r w:rsidR="000F41F9">
        <w:t xml:space="preserve"> </w:t>
      </w:r>
      <w:r w:rsidR="008F3ACC">
        <w:t>internships</w:t>
      </w:r>
      <w:r w:rsidR="00784712">
        <w:t>—</w:t>
      </w:r>
      <w:r w:rsidR="00175027">
        <w:t xml:space="preserve">necessary in </w:t>
      </w:r>
      <w:r w:rsidR="008F3ACC">
        <w:t>vocational school</w:t>
      </w:r>
      <w:r w:rsidR="00784712">
        <w:t>—were cancelled during the</w:t>
      </w:r>
      <w:r w:rsidR="00D649E7">
        <w:t xml:space="preserve"> pandemic</w:t>
      </w:r>
      <w:r w:rsidR="0021386B">
        <w:t xml:space="preserve">. </w:t>
      </w:r>
      <w:r w:rsidR="008E651D">
        <w:t>“</w:t>
      </w:r>
      <w:r w:rsidR="008E651D" w:rsidRPr="008E651D">
        <w:t>The internship is very important for vocational students</w:t>
      </w:r>
      <w:r w:rsidR="00075BD1">
        <w:t>—</w:t>
      </w:r>
      <w:r w:rsidR="008E651D" w:rsidRPr="008E651D">
        <w:t>it’s like a ticket to a job in the future</w:t>
      </w:r>
      <w:r w:rsidR="008E651D">
        <w:t>,” she said. “</w:t>
      </w:r>
      <w:r w:rsidR="008E651D" w:rsidRPr="008E651D">
        <w:t>If there’s no internship</w:t>
      </w:r>
      <w:r w:rsidR="00175027">
        <w:t>,</w:t>
      </w:r>
      <w:r w:rsidR="008E651D" w:rsidRPr="008E651D">
        <w:t xml:space="preserve"> I can’t learn my course or get a job.</w:t>
      </w:r>
      <w:r w:rsidR="008E651D">
        <w:t>”</w:t>
      </w:r>
      <w:r w:rsidR="006933E9">
        <w:rPr>
          <w:rStyle w:val="FootnoteReference"/>
        </w:rPr>
        <w:footnoteReference w:id="28"/>
      </w:r>
    </w:p>
    <w:p w14:paraId="53A42E95" w14:textId="5C9BDA60" w:rsidR="00584BD0" w:rsidRDefault="00584BD0" w:rsidP="0035583E"/>
    <w:p w14:paraId="416DEDCA" w14:textId="3F9130A3" w:rsidR="00F85888" w:rsidRPr="00F85888" w:rsidRDefault="00C3544F" w:rsidP="00F85888">
      <w:pPr>
        <w:rPr>
          <w:b/>
        </w:rPr>
      </w:pPr>
      <w:r>
        <w:t>E</w:t>
      </w:r>
      <w:r w:rsidR="00584BD0">
        <w:t>fforts to catch up on lost learning</w:t>
      </w:r>
      <w:r>
        <w:t xml:space="preserve"> were </w:t>
      </w:r>
      <w:r w:rsidR="00291775">
        <w:t xml:space="preserve">inconsistent for students. </w:t>
      </w:r>
      <w:r w:rsidR="00E818AE">
        <w:t>J.</w:t>
      </w:r>
      <w:r w:rsidR="00D400D4">
        <w:t>J. said</w:t>
      </w:r>
      <w:r w:rsidR="0042783F">
        <w:t xml:space="preserve">: </w:t>
      </w:r>
      <w:r w:rsidR="00D61AB6" w:rsidRPr="00D61AB6">
        <w:t>“There was an announcement that all online classes would be re-taught again</w:t>
      </w:r>
      <w:r w:rsidR="00784712">
        <w:t xml:space="preserve">…. </w:t>
      </w:r>
      <w:r w:rsidR="00D61AB6" w:rsidRPr="00D61AB6">
        <w:t>So that means more content. But now we go to school only every other day, so it’s less time and more material</w:t>
      </w:r>
      <w:r w:rsidR="00075BD1">
        <w:t>—</w:t>
      </w:r>
      <w:r w:rsidR="00D61AB6" w:rsidRPr="00D61AB6">
        <w:t>that’s a lot of pressure.”</w:t>
      </w:r>
      <w:r w:rsidR="00F10C20">
        <w:rPr>
          <w:rStyle w:val="FootnoteReference"/>
        </w:rPr>
        <w:footnoteReference w:id="29"/>
      </w:r>
      <w:r w:rsidR="002911D0">
        <w:t xml:space="preserve"> </w:t>
      </w:r>
      <w:r w:rsidR="00D400D4">
        <w:t xml:space="preserve">However, </w:t>
      </w:r>
      <w:r w:rsidR="00AD1569">
        <w:t>N.</w:t>
      </w:r>
      <w:r w:rsidR="00D400D4">
        <w:t>N.</w:t>
      </w:r>
      <w:r w:rsidR="00F85888">
        <w:t xml:space="preserve"> said that </w:t>
      </w:r>
      <w:r w:rsidR="0044629B">
        <w:t>when schools reopened</w:t>
      </w:r>
      <w:r w:rsidR="00F85888">
        <w:t xml:space="preserve">, </w:t>
      </w:r>
      <w:r w:rsidR="00F85888" w:rsidRPr="00F85888">
        <w:t>“we just went back as if nothing happened</w:t>
      </w:r>
      <w:r w:rsidR="00075BD1">
        <w:t>—</w:t>
      </w:r>
      <w:r w:rsidR="00F85888" w:rsidRPr="00F85888">
        <w:t>there’s been no make-up activities.”</w:t>
      </w:r>
      <w:r w:rsidR="00F14148">
        <w:rPr>
          <w:rStyle w:val="FootnoteReference"/>
        </w:rPr>
        <w:footnoteReference w:id="30"/>
      </w:r>
    </w:p>
    <w:p w14:paraId="01BFBD01" w14:textId="33C2846A" w:rsidR="00B11A38" w:rsidRDefault="00B11A38" w:rsidP="0035583E"/>
    <w:p w14:paraId="0E4711CA" w14:textId="6CE9A08A" w:rsidR="009E2239" w:rsidRPr="00A83ED0" w:rsidRDefault="00B11A38" w:rsidP="0035583E">
      <w:r>
        <w:t xml:space="preserve">Students </w:t>
      </w:r>
      <w:r w:rsidR="00D400D4">
        <w:t xml:space="preserve">said that when </w:t>
      </w:r>
      <w:r>
        <w:t xml:space="preserve">they or their peers </w:t>
      </w:r>
      <w:r w:rsidR="00046848">
        <w:t>did not have</w:t>
      </w:r>
      <w:r>
        <w:t xml:space="preserve"> access to laptops</w:t>
      </w:r>
      <w:r w:rsidR="00852F26">
        <w:t xml:space="preserve">, </w:t>
      </w:r>
      <w:r w:rsidR="00D400D4">
        <w:t xml:space="preserve">they </w:t>
      </w:r>
      <w:r w:rsidR="00046848">
        <w:t xml:space="preserve">were forced to rely on mobile devices, or had </w:t>
      </w:r>
      <w:r w:rsidR="00852F26">
        <w:t>internet connectivity</w:t>
      </w:r>
      <w:r w:rsidR="00046848">
        <w:t xml:space="preserve"> issues, all of which made learning difficult</w:t>
      </w:r>
      <w:r w:rsidR="00852F26">
        <w:t xml:space="preserve">. </w:t>
      </w:r>
      <w:r w:rsidR="00A51CF3">
        <w:t>E.</w:t>
      </w:r>
      <w:r w:rsidR="00D400D4">
        <w:t xml:space="preserve">E. said </w:t>
      </w:r>
      <w:r w:rsidR="00BB0AF1">
        <w:t xml:space="preserve">that her school hadn’t offered help with </w:t>
      </w:r>
      <w:r w:rsidR="002C2B1F">
        <w:t>internet fees or laptops</w:t>
      </w:r>
      <w:r w:rsidR="001D593B">
        <w:t xml:space="preserve">, and that </w:t>
      </w:r>
      <w:r w:rsidR="00691C6B">
        <w:t>“every student has to find their own way.”</w:t>
      </w:r>
      <w:r w:rsidR="00E57DCC">
        <w:rPr>
          <w:rStyle w:val="FootnoteReference"/>
        </w:rPr>
        <w:footnoteReference w:id="31"/>
      </w:r>
      <w:r w:rsidR="00BE2008">
        <w:t xml:space="preserve"> </w:t>
      </w:r>
      <w:r w:rsidR="00E147D8">
        <w:t xml:space="preserve">J.N., a 17-year-old nonbinary student, </w:t>
      </w:r>
      <w:r w:rsidR="00BE2008">
        <w:t>said</w:t>
      </w:r>
      <w:r w:rsidR="00087D6B">
        <w:t>: “</w:t>
      </w:r>
      <w:r w:rsidR="000060C0" w:rsidRPr="00A83ED0">
        <w:t>I don’t have any computer at home and that is the situation for many of my classmates, so an offline option is necessary for us or we can’t get anything done. We all have mobile phones but it’s not the same as a laptop for doing assignments.</w:t>
      </w:r>
      <w:r w:rsidR="00087D6B">
        <w:t>”</w:t>
      </w:r>
      <w:r w:rsidR="00087D6B">
        <w:rPr>
          <w:rStyle w:val="FootnoteReference"/>
        </w:rPr>
        <w:footnoteReference w:id="32"/>
      </w:r>
      <w:r w:rsidR="00DD44A0">
        <w:t xml:space="preserve"> </w:t>
      </w:r>
      <w:r w:rsidR="00006CBE">
        <w:t>P.</w:t>
      </w:r>
      <w:r w:rsidR="00D400D4">
        <w:t>P.</w:t>
      </w:r>
      <w:r w:rsidR="00006CBE">
        <w:t xml:space="preserve">, a 17-year-old trans girl, </w:t>
      </w:r>
      <w:r w:rsidR="00F3370C">
        <w:t>described the impact on her learning:</w:t>
      </w:r>
      <w:r w:rsidR="009E2239" w:rsidRPr="00A83ED0">
        <w:t xml:space="preserve"> </w:t>
      </w:r>
      <w:r w:rsidR="00F3370C">
        <w:t>“</w:t>
      </w:r>
      <w:r w:rsidR="009E2239" w:rsidRPr="00A83ED0">
        <w:t xml:space="preserve">There were a lot of internet connectivity problems … </w:t>
      </w:r>
      <w:r w:rsidR="00A83ED0" w:rsidRPr="00A83ED0">
        <w:t>There was a direct impact on my grades</w:t>
      </w:r>
      <w:r w:rsidR="00A51411">
        <w:t>—</w:t>
      </w:r>
      <w:r w:rsidR="00A83ED0" w:rsidRPr="00A83ED0">
        <w:t>I didn’t do as well. We all find it hard to focus.”</w:t>
      </w:r>
      <w:r w:rsidR="009D0DC8">
        <w:rPr>
          <w:rStyle w:val="FootnoteReference"/>
        </w:rPr>
        <w:footnoteReference w:id="33"/>
      </w:r>
    </w:p>
    <w:p w14:paraId="2C193A45" w14:textId="5EDD38CA" w:rsidR="00CA761C" w:rsidRDefault="00CA761C" w:rsidP="0035583E"/>
    <w:p w14:paraId="67D88169" w14:textId="735EAAED" w:rsidR="00CA761C" w:rsidRDefault="00CA761C" w:rsidP="0035583E">
      <w:r>
        <w:t xml:space="preserve">Because of distance learning, </w:t>
      </w:r>
      <w:r w:rsidR="00006CBE">
        <w:t xml:space="preserve">J.N. </w:t>
      </w:r>
      <w:r>
        <w:t>work</w:t>
      </w:r>
      <w:r w:rsidR="004C3F8D">
        <w:t>ed</w:t>
      </w:r>
      <w:r>
        <w:t xml:space="preserve"> to </w:t>
      </w:r>
      <w:r w:rsidR="004C3F8D">
        <w:t xml:space="preserve">help </w:t>
      </w:r>
      <w:r>
        <w:t>their family</w:t>
      </w:r>
      <w:r w:rsidR="00035D86">
        <w:t xml:space="preserve">: </w:t>
      </w:r>
      <w:r w:rsidR="00035D86" w:rsidRPr="00035D86">
        <w:t>“</w:t>
      </w:r>
      <w:r w:rsidR="00425FE7" w:rsidRPr="00035D86">
        <w:t>Sometimes I couldn’t attend the online classes because my family owns small local shops and I had to help them</w:t>
      </w:r>
      <w:r w:rsidR="00035D86" w:rsidRPr="00035D86">
        <w:t xml:space="preserve"> …</w:t>
      </w:r>
      <w:r w:rsidR="00425FE7" w:rsidRPr="00035D86">
        <w:t xml:space="preserve"> I’m not sure if they would have asked me to work in the shop if I physically needed to be in school though.</w:t>
      </w:r>
      <w:r w:rsidR="00035D86" w:rsidRPr="00035D86">
        <w:t>”</w:t>
      </w:r>
      <w:r w:rsidR="00E62B86">
        <w:rPr>
          <w:rStyle w:val="FootnoteReference"/>
        </w:rPr>
        <w:footnoteReference w:id="34"/>
      </w:r>
    </w:p>
    <w:p w14:paraId="29D5225A" w14:textId="709396FB" w:rsidR="00B11A38" w:rsidRDefault="00B11A38" w:rsidP="0035583E"/>
    <w:p w14:paraId="3712FBD1" w14:textId="40B06486" w:rsidR="00732EE9" w:rsidRPr="00732EE9" w:rsidRDefault="00732EE9" w:rsidP="0035583E">
      <w:pPr>
        <w:rPr>
          <w:b/>
          <w:bCs/>
          <w:i/>
          <w:iCs/>
        </w:rPr>
      </w:pPr>
      <w:r w:rsidRPr="00732EE9">
        <w:rPr>
          <w:b/>
          <w:bCs/>
          <w:i/>
          <w:iCs/>
        </w:rPr>
        <w:t>Remote Learning for LGBT Students</w:t>
      </w:r>
    </w:p>
    <w:p w14:paraId="4A0D3974" w14:textId="496EC6C5" w:rsidR="00732EE9" w:rsidRDefault="00C27145" w:rsidP="0035583E">
      <w:r w:rsidRPr="00C27145">
        <w:t xml:space="preserve">School shutdowns </w:t>
      </w:r>
      <w:r w:rsidR="00B85DA4">
        <w:t xml:space="preserve">affected </w:t>
      </w:r>
      <w:r w:rsidRPr="00C27145">
        <w:t xml:space="preserve">lesbian, bisexual, transgender, and gender-diverse </w:t>
      </w:r>
      <w:r w:rsidR="00B85DA4">
        <w:t>students</w:t>
      </w:r>
      <w:r w:rsidR="005C207C">
        <w:t xml:space="preserve"> in Thailand</w:t>
      </w:r>
      <w:r w:rsidR="00B85DA4">
        <w:t xml:space="preserve"> in different ways</w:t>
      </w:r>
      <w:r w:rsidRPr="00C27145">
        <w:t>.</w:t>
      </w:r>
      <w:r w:rsidR="000D4492">
        <w:t xml:space="preserve"> </w:t>
      </w:r>
    </w:p>
    <w:p w14:paraId="0128C090" w14:textId="13700B50" w:rsidR="000121C5" w:rsidRDefault="000121C5" w:rsidP="0035583E"/>
    <w:p w14:paraId="769BB956" w14:textId="15AB529D" w:rsidR="006219C8" w:rsidRDefault="00D80E8B" w:rsidP="0035583E">
      <w:r>
        <w:t xml:space="preserve">Some students told Human Rights Watch </w:t>
      </w:r>
      <w:r w:rsidR="007A7F64">
        <w:t>that</w:t>
      </w:r>
      <w:r w:rsidR="000121C5">
        <w:t xml:space="preserve"> </w:t>
      </w:r>
      <w:r w:rsidR="002338B1" w:rsidRPr="00410524">
        <w:t xml:space="preserve">being away from school </w:t>
      </w:r>
      <w:r w:rsidR="00404E4F">
        <w:t xml:space="preserve">during remote learning </w:t>
      </w:r>
      <w:r w:rsidR="002338B1" w:rsidRPr="00410524">
        <w:t>meant they were away from bullying and mistreatment from teachers.</w:t>
      </w:r>
      <w:r w:rsidR="0034239D">
        <w:rPr>
          <w:rStyle w:val="FootnoteReference"/>
        </w:rPr>
        <w:footnoteReference w:id="35"/>
      </w:r>
      <w:r w:rsidR="002338B1">
        <w:t xml:space="preserve"> A 19-year-old bisexual woman told us </w:t>
      </w:r>
      <w:r w:rsidR="002229AD">
        <w:t xml:space="preserve">that “teachers cannot accept the way that they [tomboys] are,” and described an incident where a teacher pulled the hair of </w:t>
      </w:r>
      <w:r w:rsidR="00164311">
        <w:t xml:space="preserve">a </w:t>
      </w:r>
      <w:r w:rsidR="002229AD">
        <w:t>friend who identified as a tomboy, a</w:t>
      </w:r>
      <w:r w:rsidR="009712EC">
        <w:t>nd asked</w:t>
      </w:r>
      <w:r w:rsidR="00A510DA">
        <w:t>: “W</w:t>
      </w:r>
      <w:r w:rsidR="00A510DA" w:rsidRPr="007524BC">
        <w:t xml:space="preserve">hy did you cut </w:t>
      </w:r>
      <w:r w:rsidR="00445607">
        <w:t>[</w:t>
      </w:r>
      <w:r w:rsidR="00FC396C">
        <w:t>your</w:t>
      </w:r>
      <w:r w:rsidR="00445607">
        <w:t>]</w:t>
      </w:r>
      <w:r w:rsidR="00A510DA" w:rsidRPr="007524BC">
        <w:t xml:space="preserve"> hair like a boy, why don’t you act feminine or like a girl, why is it necessary for you to be so masculine</w:t>
      </w:r>
      <w:r w:rsidR="00A510DA">
        <w:t>?”</w:t>
      </w:r>
      <w:r w:rsidR="00A510DA">
        <w:rPr>
          <w:rStyle w:val="FootnoteReference"/>
        </w:rPr>
        <w:footnoteReference w:id="36"/>
      </w:r>
      <w:r w:rsidR="00884237">
        <w:t xml:space="preserve"> Another student </w:t>
      </w:r>
      <w:r w:rsidR="00AC43AA">
        <w:t>said</w:t>
      </w:r>
      <w:r w:rsidR="00884237">
        <w:t xml:space="preserve"> that</w:t>
      </w:r>
      <w:r w:rsidR="00136325">
        <w:t xml:space="preserve"> </w:t>
      </w:r>
      <w:r w:rsidR="00477227">
        <w:t>teachers “have assumptions that gender diverse students will perform badly at school</w:t>
      </w:r>
      <w:r w:rsidR="00700173">
        <w:t>.</w:t>
      </w:r>
      <w:r w:rsidR="00AC43AA">
        <w:t>”</w:t>
      </w:r>
      <w:r w:rsidR="009712EC" w:rsidRPr="009712EC">
        <w:rPr>
          <w:rStyle w:val="FootnoteReference"/>
        </w:rPr>
        <w:t xml:space="preserve"> </w:t>
      </w:r>
      <w:r w:rsidR="009712EC">
        <w:rPr>
          <w:rStyle w:val="FootnoteReference"/>
        </w:rPr>
        <w:footnoteReference w:id="37"/>
      </w:r>
      <w:r w:rsidR="00AC43AA">
        <w:t xml:space="preserve"> </w:t>
      </w:r>
      <w:r w:rsidR="00700173">
        <w:t xml:space="preserve">The student </w:t>
      </w:r>
      <w:r w:rsidR="00073015">
        <w:t>said</w:t>
      </w:r>
      <w:r w:rsidR="00700173">
        <w:t xml:space="preserve"> </w:t>
      </w:r>
      <w:r w:rsidR="00110E54">
        <w:t>that due to having short hair, a teacher could</w:t>
      </w:r>
      <w:r w:rsidR="003D4DA3">
        <w:t xml:space="preserve"> </w:t>
      </w:r>
      <w:r w:rsidR="00110E54">
        <w:t>n</w:t>
      </w:r>
      <w:r w:rsidR="003D4DA3">
        <w:t>o</w:t>
      </w:r>
      <w:r w:rsidR="00110E54">
        <w:t>t believe the student was in the class</w:t>
      </w:r>
      <w:r w:rsidR="003D4DA3">
        <w:t xml:space="preserve"> for children excelling in their studies</w:t>
      </w:r>
      <w:r w:rsidR="00110E54">
        <w:t>, and “</w:t>
      </w:r>
      <w:r w:rsidR="00700173" w:rsidRPr="00C74B7C">
        <w:t>because of the way I looked I would never survive in science and math.</w:t>
      </w:r>
      <w:r w:rsidR="00073015">
        <w:t>”</w:t>
      </w:r>
      <w:r w:rsidR="009712EC">
        <w:rPr>
          <w:rStyle w:val="FootnoteReference"/>
        </w:rPr>
        <w:footnoteReference w:id="38"/>
      </w:r>
    </w:p>
    <w:p w14:paraId="21DC4FE5" w14:textId="77777777" w:rsidR="00B85DA4" w:rsidRDefault="00B85DA4" w:rsidP="0035583E"/>
    <w:p w14:paraId="1001750A" w14:textId="73F5BD2C" w:rsidR="00732EE9" w:rsidRDefault="00C41252" w:rsidP="0035583E">
      <w:r>
        <w:t xml:space="preserve">Online learning may have provided respite from discrimination by teachers, </w:t>
      </w:r>
      <w:r w:rsidR="00A41AE0">
        <w:t xml:space="preserve">but it also </w:t>
      </w:r>
      <w:r w:rsidR="00280299" w:rsidRPr="00410524">
        <w:t xml:space="preserve">meant removal from a school environment where </w:t>
      </w:r>
      <w:r w:rsidR="00F6448B">
        <w:t xml:space="preserve">some </w:t>
      </w:r>
      <w:r w:rsidR="009B7D12">
        <w:t>LGBT students</w:t>
      </w:r>
      <w:r w:rsidR="00F15C70">
        <w:t xml:space="preserve"> might have</w:t>
      </w:r>
      <w:r w:rsidR="00280299" w:rsidRPr="00410524">
        <w:t xml:space="preserve"> felt free</w:t>
      </w:r>
      <w:r w:rsidR="00F15C70">
        <w:t>r</w:t>
      </w:r>
      <w:r w:rsidR="00280299" w:rsidRPr="00410524">
        <w:t xml:space="preserve"> to express their identity and receive support from </w:t>
      </w:r>
      <w:r w:rsidR="00F15C70">
        <w:t xml:space="preserve">their </w:t>
      </w:r>
      <w:r w:rsidR="00280299" w:rsidRPr="00410524">
        <w:t>peers</w:t>
      </w:r>
      <w:r w:rsidR="00613D12">
        <w:t>.</w:t>
      </w:r>
      <w:r w:rsidR="00914909">
        <w:t xml:space="preserve"> </w:t>
      </w:r>
      <w:r w:rsidR="00F6448B">
        <w:t xml:space="preserve">Some students </w:t>
      </w:r>
      <w:r w:rsidR="00146D0B">
        <w:t>said</w:t>
      </w:r>
      <w:r w:rsidR="00F6448B">
        <w:t xml:space="preserve"> that school was a supportive environment because they were “</w:t>
      </w:r>
      <w:r w:rsidR="0069487E" w:rsidRPr="00C74B7C">
        <w:t>surrounded by friends from my same generation who understand these issues</w:t>
      </w:r>
      <w:r w:rsidR="0069487E">
        <w:t>.”</w:t>
      </w:r>
      <w:r w:rsidR="00A41C5A">
        <w:rPr>
          <w:rStyle w:val="FootnoteReference"/>
        </w:rPr>
        <w:footnoteReference w:id="39"/>
      </w:r>
      <w:r w:rsidR="007E06E9">
        <w:t xml:space="preserve"> So</w:t>
      </w:r>
      <w:r w:rsidR="00E8238F">
        <w:t xml:space="preserve">, </w:t>
      </w:r>
      <w:r w:rsidR="007E06E9">
        <w:t xml:space="preserve">when schools closed and students were learning online, they did not </w:t>
      </w:r>
      <w:r w:rsidR="00FC0E2A">
        <w:t>have the same connection</w:t>
      </w:r>
      <w:r w:rsidR="00812A05">
        <w:t xml:space="preserve"> with f</w:t>
      </w:r>
      <w:r w:rsidR="00895B01">
        <w:t>riends</w:t>
      </w:r>
      <w:r w:rsidR="00BB6C7B">
        <w:t>.</w:t>
      </w:r>
      <w:r w:rsidR="00FC0E2A">
        <w:t xml:space="preserve"> </w:t>
      </w:r>
      <w:r w:rsidR="002F6E12">
        <w:t xml:space="preserve">“When school shut down, I missed my friends a lot,” </w:t>
      </w:r>
      <w:r w:rsidR="00423CDA">
        <w:t>a 17-year-old trans girl said. “I missed chatting with them and interacting with them.”</w:t>
      </w:r>
      <w:r w:rsidR="0045275D">
        <w:rPr>
          <w:rStyle w:val="FootnoteReference"/>
        </w:rPr>
        <w:footnoteReference w:id="40"/>
      </w:r>
      <w:r w:rsidR="00EC0EDF">
        <w:t xml:space="preserve"> </w:t>
      </w:r>
      <w:r w:rsidR="00FC0E2A">
        <w:t>As one student remarked, “</w:t>
      </w:r>
      <w:r w:rsidR="00FC0E2A" w:rsidRPr="001D7DAB">
        <w:t>I can overlook the comments from the teachers</w:t>
      </w:r>
      <w:r w:rsidR="003D4DA3">
        <w:t>,</w:t>
      </w:r>
      <w:r w:rsidR="00FC0E2A" w:rsidRPr="001D7DAB">
        <w:t xml:space="preserve"> but I really missed interacting with my friends.</w:t>
      </w:r>
      <w:r w:rsidR="00FC0E2A">
        <w:t>”</w:t>
      </w:r>
      <w:r w:rsidR="003A7D31">
        <w:rPr>
          <w:rStyle w:val="FootnoteReference"/>
        </w:rPr>
        <w:footnoteReference w:id="41"/>
      </w:r>
    </w:p>
    <w:p w14:paraId="405154A3" w14:textId="77777777" w:rsidR="00924A61" w:rsidRDefault="00924A61" w:rsidP="00145547">
      <w:pPr>
        <w:spacing w:line="252" w:lineRule="auto"/>
        <w:rPr>
          <w:i/>
          <w:iCs/>
        </w:rPr>
      </w:pPr>
    </w:p>
    <w:p w14:paraId="0BCC96D8" w14:textId="2E16EB65" w:rsidR="00145547" w:rsidRDefault="00145547" w:rsidP="00145547">
      <w:pPr>
        <w:spacing w:line="252" w:lineRule="auto"/>
        <w:rPr>
          <w:i/>
          <w:iCs/>
        </w:rPr>
      </w:pPr>
      <w:r w:rsidRPr="0020797E">
        <w:rPr>
          <w:i/>
          <w:iCs/>
        </w:rPr>
        <w:t xml:space="preserve">Human Rights Watch recommends that the Committee ask the government of </w:t>
      </w:r>
      <w:r>
        <w:rPr>
          <w:i/>
          <w:iCs/>
        </w:rPr>
        <w:t>Thailand</w:t>
      </w:r>
      <w:r w:rsidRPr="0020797E">
        <w:rPr>
          <w:i/>
          <w:iCs/>
        </w:rPr>
        <w:t>:</w:t>
      </w:r>
    </w:p>
    <w:p w14:paraId="42C3A5D3" w14:textId="77777777" w:rsidR="00145547" w:rsidRDefault="00145547" w:rsidP="00145547">
      <w:pPr>
        <w:numPr>
          <w:ilvl w:val="0"/>
          <w:numId w:val="11"/>
        </w:numPr>
      </w:pPr>
      <w:r w:rsidRPr="007B77FB">
        <w:t xml:space="preserve">What specific measures does the government plan to take to remedy lost learning time of </w:t>
      </w:r>
      <w:r>
        <w:t xml:space="preserve">all girls, including lesbian, bisexual, and transgender girls; students who identify as nonbinary; and </w:t>
      </w:r>
      <w:r w:rsidRPr="007B77FB">
        <w:t>children from low-income backgrounds?</w:t>
      </w:r>
      <w:r>
        <w:t xml:space="preserve"> How are their unique perspectives being included in national plans and their unique impacts being addressed in these plans?</w:t>
      </w:r>
    </w:p>
    <w:p w14:paraId="66BD62D2" w14:textId="77777777" w:rsidR="00145547" w:rsidRPr="00101FC1" w:rsidRDefault="00145547" w:rsidP="00145547">
      <w:pPr>
        <w:numPr>
          <w:ilvl w:val="0"/>
          <w:numId w:val="11"/>
        </w:numPr>
      </w:pPr>
      <w:r w:rsidRPr="00101FC1">
        <w:t>How does the government plan to mitigate the learning inequities that resulted from disparate access to devices and internet between children from low-income and higher-income households?</w:t>
      </w:r>
    </w:p>
    <w:p w14:paraId="0A8503F5" w14:textId="7AC49072" w:rsidR="00145547" w:rsidRDefault="00145547" w:rsidP="00145547">
      <w:pPr>
        <w:numPr>
          <w:ilvl w:val="0"/>
          <w:numId w:val="11"/>
        </w:numPr>
      </w:pPr>
      <w:r w:rsidRPr="00516D9D">
        <w:t xml:space="preserve">What measures has the government adopted, or does it plan to adopt, to provide affordable, reliable, quality, and accessible internet, including targeted measures to provide free, equitable access to the internet for educational content, and capable devices for every student? </w:t>
      </w:r>
    </w:p>
    <w:p w14:paraId="2BF59689" w14:textId="77777777" w:rsidR="0034436D" w:rsidRPr="00020EAB" w:rsidRDefault="007C3160" w:rsidP="00145547">
      <w:pPr>
        <w:numPr>
          <w:ilvl w:val="0"/>
          <w:numId w:val="11"/>
        </w:numPr>
      </w:pPr>
      <w:r w:rsidRPr="00020EAB">
        <w:t>How is the extent of children’s learning loss being assessed</w:t>
      </w:r>
      <w:r w:rsidR="00145547">
        <w:t>?</w:t>
      </w:r>
    </w:p>
    <w:p w14:paraId="079CD905" w14:textId="77777777" w:rsidR="00145547" w:rsidRPr="007B77FB" w:rsidRDefault="007C3160" w:rsidP="00145547">
      <w:pPr>
        <w:numPr>
          <w:ilvl w:val="0"/>
          <w:numId w:val="11"/>
        </w:numPr>
      </w:pPr>
      <w:r w:rsidRPr="00020EAB">
        <w:t>How will measures to remedy lost learning be applied to schools across the country, and on what timeline?</w:t>
      </w:r>
    </w:p>
    <w:p w14:paraId="273E40BA" w14:textId="77777777" w:rsidR="00145547" w:rsidRPr="00B85DA4" w:rsidRDefault="00145547" w:rsidP="00145547">
      <w:pPr>
        <w:spacing w:line="252" w:lineRule="auto"/>
      </w:pPr>
    </w:p>
    <w:p w14:paraId="1A45E3FC" w14:textId="77777777" w:rsidR="00145547" w:rsidRDefault="00145547" w:rsidP="00145547">
      <w:pPr>
        <w:rPr>
          <w:i/>
          <w:iCs/>
        </w:rPr>
      </w:pPr>
      <w:r w:rsidRPr="00CC3BFC">
        <w:rPr>
          <w:i/>
          <w:iCs/>
        </w:rPr>
        <w:t xml:space="preserve">Human Rights Watch recommends that the </w:t>
      </w:r>
      <w:r>
        <w:rPr>
          <w:i/>
          <w:iCs/>
        </w:rPr>
        <w:t>C</w:t>
      </w:r>
      <w:r w:rsidRPr="00CC3BFC">
        <w:rPr>
          <w:i/>
          <w:iCs/>
        </w:rPr>
        <w:t xml:space="preserve">ommittee call on the government of </w:t>
      </w:r>
      <w:r>
        <w:rPr>
          <w:i/>
          <w:iCs/>
        </w:rPr>
        <w:t>Thailand</w:t>
      </w:r>
      <w:r w:rsidRPr="00CC3BFC">
        <w:rPr>
          <w:i/>
          <w:iCs/>
        </w:rPr>
        <w:t xml:space="preserve"> to:</w:t>
      </w:r>
    </w:p>
    <w:p w14:paraId="0647E7CF" w14:textId="4EC114CB" w:rsidR="00145547" w:rsidRPr="00891FC4" w:rsidRDefault="00F67141" w:rsidP="00145547">
      <w:pPr>
        <w:numPr>
          <w:ilvl w:val="0"/>
          <w:numId w:val="14"/>
        </w:numPr>
      </w:pPr>
      <w:r>
        <w:t>Enable schools, n</w:t>
      </w:r>
      <w:r w:rsidR="00145547" w:rsidRPr="00891FC4">
        <w:t>ow that</w:t>
      </w:r>
      <w:r w:rsidR="00145547">
        <w:t xml:space="preserve"> </w:t>
      </w:r>
      <w:r>
        <w:t xml:space="preserve">they </w:t>
      </w:r>
      <w:r w:rsidR="00145547">
        <w:t>are open</w:t>
      </w:r>
      <w:r w:rsidR="00145547" w:rsidRPr="00891FC4">
        <w:t>, to assess students’ level of learning in each subject, and provide needed support to improve levels, including through free extra tutoring and counselling, as necessary</w:t>
      </w:r>
      <w:r w:rsidR="00145547">
        <w:t>, and provide targeted support for lesbian, bisexual, transgender, and nonbinary students, and students of low-income households.</w:t>
      </w:r>
    </w:p>
    <w:p w14:paraId="0F949897" w14:textId="2EFEB616" w:rsidR="00145547" w:rsidRDefault="00145547" w:rsidP="00145547">
      <w:pPr>
        <w:numPr>
          <w:ilvl w:val="0"/>
          <w:numId w:val="14"/>
        </w:numPr>
      </w:pPr>
      <w:r w:rsidRPr="009143D6">
        <w:t xml:space="preserve">Ensure that </w:t>
      </w:r>
      <w:r>
        <w:t>schools</w:t>
      </w:r>
      <w:r w:rsidR="003D4DA3">
        <w:t>—</w:t>
      </w:r>
      <w:r>
        <w:t>whether in-person or online</w:t>
      </w:r>
      <w:r w:rsidR="003D4DA3">
        <w:t>—</w:t>
      </w:r>
      <w:r w:rsidRPr="009143D6">
        <w:t xml:space="preserve">provide a space where </w:t>
      </w:r>
      <w:r>
        <w:t xml:space="preserve">all students, including lesbian, bisexual, transgender girls, and nonbinary students, </w:t>
      </w:r>
      <w:r w:rsidRPr="009143D6">
        <w:t xml:space="preserve">are encouraged and safe to </w:t>
      </w:r>
      <w:r>
        <w:t>participate, free of bullying and discrimination from teachers and peers.</w:t>
      </w:r>
    </w:p>
    <w:p w14:paraId="52AE88A9" w14:textId="4907BC34" w:rsidR="00145547" w:rsidRDefault="00145547" w:rsidP="00145547">
      <w:pPr>
        <w:numPr>
          <w:ilvl w:val="0"/>
          <w:numId w:val="14"/>
        </w:numPr>
      </w:pPr>
      <w:r w:rsidRPr="00313EAC">
        <w:t>Explicitly allocate educational resources strategically to vulnerable and low-income groups, children traditionally at risk of exclusion from education, and those shown to have been particularly affected in their education during the pandemic</w:t>
      </w:r>
      <w:r>
        <w:t>.</w:t>
      </w:r>
    </w:p>
    <w:p w14:paraId="1A99D149" w14:textId="5D3FDE37" w:rsidR="00FA2DDE" w:rsidRDefault="00DE47FF" w:rsidP="00FA2DDE">
      <w:pPr>
        <w:pStyle w:val="ListParagraph"/>
        <w:numPr>
          <w:ilvl w:val="0"/>
          <w:numId w:val="14"/>
        </w:numPr>
        <w:rPr>
          <w:rFonts w:ascii="MetaPro-Norm" w:eastAsia="SimSun" w:hAnsi="MetaPro-Norm" w:cs="Times New Roman"/>
          <w:color w:val="auto"/>
          <w:szCs w:val="24"/>
          <w:bdr w:val="none" w:sz="0" w:space="0" w:color="auto"/>
          <w:lang w:eastAsia="zh-CN"/>
        </w:rPr>
      </w:pPr>
      <w:r w:rsidRPr="009C5AEC">
        <w:rPr>
          <w:rFonts w:ascii="MetaPro-Norm" w:eastAsia="SimSun" w:hAnsi="MetaPro-Norm" w:cs="Times New Roman"/>
          <w:color w:val="auto"/>
          <w:szCs w:val="24"/>
          <w:bdr w:val="none" w:sz="0" w:space="0" w:color="auto"/>
          <w:lang w:eastAsia="zh-CN"/>
        </w:rPr>
        <w:t>Ensure that children most likely to be excluded or have inadequate access to internet and capable devices, including those from marginalized or vulnerable communities or living in low-income households, receive targeted support and are included in any measures the government adopts, or plans to adopt.</w:t>
      </w:r>
    </w:p>
    <w:p w14:paraId="106BA4B5" w14:textId="77777777" w:rsidR="00FA2DDE" w:rsidRDefault="00FA2DDE" w:rsidP="00FA2DDE"/>
    <w:p w14:paraId="50FB3120" w14:textId="77777777" w:rsidR="00924A61" w:rsidRDefault="00924A61" w:rsidP="00FA2DDE">
      <w:pPr>
        <w:rPr>
          <w:b/>
          <w:bCs/>
        </w:rPr>
      </w:pPr>
    </w:p>
    <w:p w14:paraId="24B444B1" w14:textId="77777777" w:rsidR="00924A61" w:rsidRDefault="00924A61" w:rsidP="00FA2DDE">
      <w:pPr>
        <w:rPr>
          <w:b/>
          <w:bCs/>
        </w:rPr>
      </w:pPr>
    </w:p>
    <w:p w14:paraId="6139CBC9" w14:textId="32BBFE09" w:rsidR="00FA2DDE" w:rsidRDefault="00FA2DDE" w:rsidP="00FA2DDE">
      <w:pPr>
        <w:rPr>
          <w:b/>
          <w:bCs/>
        </w:rPr>
      </w:pPr>
      <w:r w:rsidRPr="00FA2DDE">
        <w:rPr>
          <w:b/>
          <w:bCs/>
        </w:rPr>
        <w:lastRenderedPageBreak/>
        <w:t xml:space="preserve">Discrimination Against Transgender </w:t>
      </w:r>
      <w:r w:rsidR="00337763">
        <w:rPr>
          <w:b/>
          <w:bCs/>
        </w:rPr>
        <w:t xml:space="preserve">People </w:t>
      </w:r>
      <w:r w:rsidR="00894B92">
        <w:rPr>
          <w:b/>
          <w:bCs/>
        </w:rPr>
        <w:t xml:space="preserve">Based </w:t>
      </w:r>
      <w:r w:rsidRPr="00FA2DDE">
        <w:rPr>
          <w:b/>
          <w:bCs/>
        </w:rPr>
        <w:t>on Gender Identity</w:t>
      </w:r>
      <w:r w:rsidR="009671A4">
        <w:rPr>
          <w:b/>
          <w:bCs/>
        </w:rPr>
        <w:t xml:space="preserve"> (article 10)</w:t>
      </w:r>
    </w:p>
    <w:p w14:paraId="4C1BDE36" w14:textId="77777777" w:rsidR="00FA2DDE" w:rsidRDefault="00FA2DDE" w:rsidP="00FA2DDE">
      <w:pPr>
        <w:rPr>
          <w:b/>
          <w:bCs/>
        </w:rPr>
      </w:pPr>
    </w:p>
    <w:p w14:paraId="04FEBC81" w14:textId="2B1C5754" w:rsidR="00FA2DDE" w:rsidRDefault="003D2717" w:rsidP="003D2717">
      <w:r w:rsidRPr="003D2717">
        <w:t xml:space="preserve">Transgender people in Thailand currently enjoy few legal protections against discrimination and those </w:t>
      </w:r>
      <w:r w:rsidR="2773E407">
        <w:t xml:space="preserve">protections that are in place </w:t>
      </w:r>
      <w:r w:rsidRPr="003D2717">
        <w:t>are not fully enforced. There is no route for transgender people to obtain legal documentation that reflects their gender identity, and the affirmative policies that exist (including the ability to change one’s first name) leave discretionary power in the hands of administrative officials.</w:t>
      </w:r>
      <w:r>
        <w:t xml:space="preserve"> </w:t>
      </w:r>
      <w:r w:rsidRPr="003D2717">
        <w:t xml:space="preserve">The result, as documented </w:t>
      </w:r>
      <w:r>
        <w:t>by Human Rights Watch in a 2021</w:t>
      </w:r>
      <w:r w:rsidRPr="003D2717">
        <w:t xml:space="preserve"> report,</w:t>
      </w:r>
      <w:r>
        <w:rPr>
          <w:rStyle w:val="FootnoteReference"/>
        </w:rPr>
        <w:footnoteReference w:id="42"/>
      </w:r>
      <w:r w:rsidRPr="003D2717">
        <w:t xml:space="preserve"> is that transgender people in Thailand experience numerous barriers to their rights to health, education, work, freedom of movement, and non-discrimination.</w:t>
      </w:r>
    </w:p>
    <w:p w14:paraId="7169908C" w14:textId="77777777" w:rsidR="0048678F" w:rsidRDefault="0048678F" w:rsidP="003D2717"/>
    <w:p w14:paraId="3822B9FE" w14:textId="188F405B" w:rsidR="001E4B53" w:rsidRPr="00335FBB" w:rsidRDefault="2F591BA7" w:rsidP="00F95297">
      <w:r>
        <w:t>Some t</w:t>
      </w:r>
      <w:r w:rsidR="0048678F">
        <w:t xml:space="preserve">ransgender </w:t>
      </w:r>
      <w:r w:rsidR="00C75243">
        <w:t>women</w:t>
      </w:r>
      <w:r w:rsidR="0BC20EB1">
        <w:t xml:space="preserve"> interviewed by</w:t>
      </w:r>
      <w:r w:rsidR="00C75243">
        <w:t xml:space="preserve"> Human Rights Watch said that potential employers asked them during job interviews if they would alter their appearance and dress as a man.</w:t>
      </w:r>
      <w:r w:rsidR="00167976">
        <w:t xml:space="preserve"> Others explained that they were told in job interviews that they were not hired because they were </w:t>
      </w:r>
      <w:r w:rsidR="00167976" w:rsidRPr="00335FBB">
        <w:t>transgender.</w:t>
      </w:r>
      <w:r w:rsidR="001E4B53" w:rsidRPr="00335FBB">
        <w:t xml:space="preserve"> Research by the Asia-Pacific Transgender Network and Curtin University found that: </w:t>
      </w:r>
      <w:r w:rsidRPr="00335FBB">
        <w:br/>
      </w:r>
    </w:p>
    <w:p w14:paraId="4791D3CD" w14:textId="3E23052D" w:rsidR="001E4B53" w:rsidRPr="00335FBB" w:rsidRDefault="001E4B53" w:rsidP="00F95297">
      <w:pPr>
        <w:pStyle w:val="ListParagraph"/>
        <w:numPr>
          <w:ilvl w:val="0"/>
          <w:numId w:val="18"/>
        </w:numPr>
        <w:spacing w:after="0" w:line="264" w:lineRule="auto"/>
        <w:rPr>
          <w:rFonts w:ascii="MetaPro-Norm" w:hAnsi="MetaPro-Norm"/>
        </w:rPr>
      </w:pPr>
      <w:r w:rsidRPr="00335FBB">
        <w:rPr>
          <w:rFonts w:ascii="MetaPro-Norm" w:hAnsi="MetaPro-Norm"/>
        </w:rPr>
        <w:t>Even with equal experience and qualifications the cisgender applicants received 24 percent more positive responses to job applications than transgender applicants.</w:t>
      </w:r>
    </w:p>
    <w:p w14:paraId="19DCDBF6" w14:textId="1F601259" w:rsidR="001C4504" w:rsidRDefault="001E4B53" w:rsidP="00F95297">
      <w:pPr>
        <w:pStyle w:val="ListParagraph"/>
        <w:numPr>
          <w:ilvl w:val="0"/>
          <w:numId w:val="18"/>
        </w:numPr>
        <w:spacing w:after="0" w:line="264" w:lineRule="auto"/>
        <w:rPr>
          <w:rFonts w:ascii="MetaPro-Norm" w:hAnsi="MetaPro-Norm"/>
        </w:rPr>
      </w:pPr>
      <w:r w:rsidRPr="00335FBB">
        <w:rPr>
          <w:rFonts w:ascii="MetaPro-Norm" w:hAnsi="MetaPro-Norm"/>
        </w:rPr>
        <w:t>The job market was challenging for all applicants. The 800 job applications resulted in only 177 invitations to interview for cisgender applicants. Yet it was even more challenging for transgender applicants: only 133 transgender applicants were called to interview, 44 fewer, even though both sets of applicants were equally qualified and experienced.</w:t>
      </w:r>
      <w:r w:rsidR="00B55B9B" w:rsidRPr="00EA1395">
        <w:rPr>
          <w:rStyle w:val="FootnoteReference"/>
          <w:bdr w:val="none" w:sz="0" w:space="0" w:color="auto"/>
          <w:lang w:eastAsia="zh-CN"/>
        </w:rPr>
        <w:footnoteReference w:id="43"/>
      </w:r>
    </w:p>
    <w:p w14:paraId="43ACA5B7" w14:textId="77777777" w:rsidR="00EA1395" w:rsidRPr="00EA1395" w:rsidRDefault="00EA1395" w:rsidP="00EA1395"/>
    <w:p w14:paraId="57D79688" w14:textId="10320D48" w:rsidR="0048678F" w:rsidRDefault="001C4504" w:rsidP="003D2717">
      <w:r w:rsidRPr="001C4504">
        <w:t>Thailand’s 2015 Gender Equality Act, the first national legislation in Southeast Asia to specifically protect against discrimination on the grounds of gender expression, specifically prohibits any form of discrimination if someone is “of a different appearance from his/her own sex by birth,” a critical clause for protecting transgender people. The majority of cases brought before the committee responsible for enforcing the act have been brought by transgender people facing discrimination</w:t>
      </w:r>
      <w:r w:rsidR="00937C33">
        <w:t xml:space="preserve"> in education, employment, and access to public spaces.</w:t>
      </w:r>
      <w:r w:rsidR="00227FBD">
        <w:rPr>
          <w:rStyle w:val="FootnoteReference"/>
        </w:rPr>
        <w:footnoteReference w:id="44"/>
      </w:r>
    </w:p>
    <w:p w14:paraId="0E532A79" w14:textId="77777777" w:rsidR="003F63D2" w:rsidRDefault="003F63D2" w:rsidP="003D2717"/>
    <w:p w14:paraId="17DC3C32" w14:textId="2FFC541D" w:rsidR="001C4504" w:rsidRDefault="003F63D2" w:rsidP="003D2717">
      <w:r>
        <w:lastRenderedPageBreak/>
        <w:t>In recent years, the Thai government has begun to engage with civil society organizations and United Nations agencies to d</w:t>
      </w:r>
      <w:r w:rsidR="00F06FE5">
        <w:t xml:space="preserve">iscuss </w:t>
      </w:r>
      <w:r>
        <w:t>and develop a legal gender recognition procedure.</w:t>
      </w:r>
      <w:r w:rsidR="00B55B9B">
        <w:t xml:space="preserve"> However</w:t>
      </w:r>
      <w:r w:rsidR="698424E0">
        <w:t>,</w:t>
      </w:r>
      <w:r w:rsidR="00B55B9B">
        <w:t xml:space="preserve"> despite rights-based proposals being submitted by civil society groups, the government has </w:t>
      </w:r>
      <w:r w:rsidR="00D50618">
        <w:t xml:space="preserve">not </w:t>
      </w:r>
      <w:r w:rsidR="00B55B9B">
        <w:t>act</w:t>
      </w:r>
      <w:r w:rsidR="00D50618">
        <w:t>ed</w:t>
      </w:r>
      <w:r w:rsidR="00B55B9B">
        <w:t xml:space="preserve"> on several occasions and </w:t>
      </w:r>
      <w:r w:rsidR="003905B6">
        <w:t xml:space="preserve">the process remains stalled. </w:t>
      </w:r>
    </w:p>
    <w:p w14:paraId="79ACED69" w14:textId="77777777" w:rsidR="00781BA5" w:rsidRDefault="00781BA5" w:rsidP="003D2717"/>
    <w:p w14:paraId="4EBD31F5" w14:textId="77777777" w:rsidR="00337763" w:rsidRDefault="00337763" w:rsidP="00337763">
      <w:pPr>
        <w:rPr>
          <w:i/>
          <w:iCs/>
        </w:rPr>
      </w:pPr>
      <w:r w:rsidRPr="00CC3BFC">
        <w:rPr>
          <w:i/>
          <w:iCs/>
        </w:rPr>
        <w:t xml:space="preserve">Human Rights Watch recommends that the </w:t>
      </w:r>
      <w:r>
        <w:rPr>
          <w:i/>
          <w:iCs/>
        </w:rPr>
        <w:t>C</w:t>
      </w:r>
      <w:r w:rsidRPr="00CC3BFC">
        <w:rPr>
          <w:i/>
          <w:iCs/>
        </w:rPr>
        <w:t xml:space="preserve">ommittee call on the government of </w:t>
      </w:r>
      <w:r>
        <w:rPr>
          <w:i/>
          <w:iCs/>
        </w:rPr>
        <w:t>Thailand</w:t>
      </w:r>
      <w:r w:rsidRPr="00CC3BFC">
        <w:rPr>
          <w:i/>
          <w:iCs/>
        </w:rPr>
        <w:t xml:space="preserve"> to:</w:t>
      </w:r>
    </w:p>
    <w:p w14:paraId="652A1F04" w14:textId="7E33A344" w:rsidR="00D22C1E" w:rsidRPr="00EA1395" w:rsidRDefault="00D22C1E" w:rsidP="00F95297">
      <w:pPr>
        <w:pStyle w:val="ListParagraph"/>
        <w:numPr>
          <w:ilvl w:val="0"/>
          <w:numId w:val="19"/>
        </w:numPr>
        <w:spacing w:after="0" w:line="264" w:lineRule="auto"/>
        <w:rPr>
          <w:rFonts w:ascii="MetaPro-Norm" w:hAnsi="MetaPro-Norm"/>
          <w:bdr w:val="none" w:sz="0" w:space="0" w:color="auto"/>
        </w:rPr>
      </w:pPr>
      <w:r w:rsidRPr="00EA1395">
        <w:rPr>
          <w:rFonts w:ascii="MetaPro-Norm" w:hAnsi="MetaPro-Norm"/>
          <w:bdr w:val="none" w:sz="0" w:space="0" w:color="auto"/>
        </w:rPr>
        <w:t xml:space="preserve">Develop </w:t>
      </w:r>
      <w:r w:rsidR="007F5F87">
        <w:rPr>
          <w:rFonts w:ascii="MetaPro-Norm" w:hAnsi="MetaPro-Norm"/>
          <w:bdr w:val="none" w:sz="0" w:space="0" w:color="auto"/>
        </w:rPr>
        <w:t>legislation</w:t>
      </w:r>
      <w:r w:rsidRPr="00EA1395">
        <w:rPr>
          <w:rFonts w:ascii="MetaPro-Norm" w:hAnsi="MetaPro-Norm"/>
          <w:bdr w:val="none" w:sz="0" w:space="0" w:color="auto"/>
        </w:rPr>
        <w:t>, with the input of civil society groups, that enables transgender people to be recognized according to their gender identity and change their legal name and gender without any medical requirements.</w:t>
      </w:r>
    </w:p>
    <w:p w14:paraId="1BF4D876" w14:textId="77777777" w:rsidR="00D22C1E" w:rsidRPr="00EA1395" w:rsidRDefault="00D22C1E" w:rsidP="00F95297">
      <w:pPr>
        <w:pStyle w:val="ListParagraph"/>
        <w:numPr>
          <w:ilvl w:val="0"/>
          <w:numId w:val="19"/>
        </w:numPr>
        <w:spacing w:after="0" w:line="264" w:lineRule="auto"/>
        <w:rPr>
          <w:rFonts w:ascii="MetaPro-Norm" w:hAnsi="MetaPro-Norm"/>
          <w:bdr w:val="none" w:sz="0" w:space="0" w:color="auto"/>
        </w:rPr>
      </w:pPr>
      <w:r w:rsidRPr="00EA1395">
        <w:rPr>
          <w:rFonts w:ascii="MetaPro-Norm" w:hAnsi="MetaPro-Norm"/>
          <w:bdr w:val="none" w:sz="0" w:space="0" w:color="auto"/>
        </w:rPr>
        <w:t>Take a leadership role under the powers vested in the minister of social development and human security under section 5 of the Gender Equality Act and develop a robust and inclusive definition of “gender identity” to be formally published in the royal gazette and cited thereafter in legal deliberations and developments.</w:t>
      </w:r>
    </w:p>
    <w:p w14:paraId="7FBCD1F1" w14:textId="0CF7A321" w:rsidR="00DA240C" w:rsidRPr="00EA1395" w:rsidRDefault="00DA240C" w:rsidP="00F95297">
      <w:pPr>
        <w:pStyle w:val="ListParagraph"/>
        <w:numPr>
          <w:ilvl w:val="0"/>
          <w:numId w:val="19"/>
        </w:numPr>
        <w:spacing w:after="0" w:line="264" w:lineRule="auto"/>
        <w:rPr>
          <w:rFonts w:ascii="MetaPro-Norm" w:hAnsi="MetaPro-Norm"/>
          <w:bdr w:val="none" w:sz="0" w:space="0" w:color="auto"/>
        </w:rPr>
      </w:pPr>
      <w:r w:rsidRPr="00EA1395">
        <w:rPr>
          <w:rFonts w:ascii="MetaPro-Norm" w:hAnsi="MetaPro-Norm"/>
          <w:bdr w:val="none" w:sz="0" w:space="0" w:color="auto"/>
        </w:rPr>
        <w:t xml:space="preserve">Adopt via a </w:t>
      </w:r>
      <w:r w:rsidR="00781BA5" w:rsidRPr="00EA1395">
        <w:rPr>
          <w:rFonts w:ascii="MetaPro-Norm" w:hAnsi="MetaPro-Norm"/>
          <w:bdr w:val="none" w:sz="0" w:space="0" w:color="auto"/>
        </w:rPr>
        <w:t>Ministry of Labor</w:t>
      </w:r>
      <w:r w:rsidRPr="00EA1395">
        <w:rPr>
          <w:rFonts w:ascii="MetaPro-Norm" w:hAnsi="MetaPro-Norm"/>
          <w:bdr w:val="none" w:sz="0" w:space="0" w:color="auto"/>
        </w:rPr>
        <w:t xml:space="preserve"> regulation provisions on non-discrimination from the Gender Equality Act to ensure the ministry’s enforcement of equal access to employment.</w:t>
      </w:r>
    </w:p>
    <w:p w14:paraId="2A81C05B" w14:textId="77777777" w:rsidR="00337763" w:rsidRPr="003D2717" w:rsidRDefault="00337763" w:rsidP="00DA240C">
      <w:pPr>
        <w:pStyle w:val="ListParagraph"/>
        <w:rPr>
          <w:bdr w:val="none" w:sz="0" w:space="0" w:color="auto"/>
        </w:rPr>
      </w:pPr>
    </w:p>
    <w:sectPr w:rsidR="00337763" w:rsidRPr="003D2717" w:rsidSect="00FF61F1">
      <w:footerReference w:type="even" r:id="rId12"/>
      <w:footerReference w:type="default" r:id="rId13"/>
      <w:footerReference w:type="first" r:id="rId14"/>
      <w:pgSz w:w="12240" w:h="15840" w:code="1"/>
      <w:pgMar w:top="1440" w:right="1440" w:bottom="1440" w:left="1440"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95FBF" w14:textId="77777777" w:rsidR="00E21B1A" w:rsidRDefault="00E21B1A">
      <w:r>
        <w:separator/>
      </w:r>
    </w:p>
  </w:endnote>
  <w:endnote w:type="continuationSeparator" w:id="0">
    <w:p w14:paraId="273CEB74" w14:textId="77777777" w:rsidR="00E21B1A" w:rsidRDefault="00E21B1A">
      <w:r>
        <w:continuationSeparator/>
      </w:r>
    </w:p>
  </w:endnote>
  <w:endnote w:type="continuationNotice" w:id="1">
    <w:p w14:paraId="0E51EBB9" w14:textId="77777777" w:rsidR="00E21B1A" w:rsidRDefault="00E21B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MetaPro-Bold">
    <w:panose1 w:val="020B0804030101020102"/>
    <w:charset w:val="00"/>
    <w:family w:val="swiss"/>
    <w:notTrueType/>
    <w:pitch w:val="variable"/>
    <w:sig w:usb0="A00002FF" w:usb1="4000207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riaArabic-Bold">
    <w:panose1 w:val="02000000000000000000"/>
    <w:charset w:val="00"/>
    <w:family w:val="modern"/>
    <w:notTrueType/>
    <w:pitch w:val="variable"/>
    <w:sig w:usb0="A00020AF" w:usb1="D000A05A" w:usb2="00000008" w:usb3="00000000" w:csb0="00000151" w:csb1="00000000"/>
  </w:font>
  <w:font w:name="MetaPro-CondMedi">
    <w:panose1 w:val="020B0606030101020102"/>
    <w:charset w:val="00"/>
    <w:family w:val="swiss"/>
    <w:notTrueType/>
    <w:pitch w:val="variable"/>
    <w:sig w:usb0="A00002FF" w:usb1="4000207B" w:usb2="00000000" w:usb3="00000000" w:csb0="0000009F" w:csb1="00000000"/>
  </w:font>
  <w:font w:name="MetaPro-CondBookIta">
    <w:panose1 w:val="020B0606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etaPro-CondBold">
    <w:panose1 w:val="020B0806030101020102"/>
    <w:charset w:val="00"/>
    <w:family w:val="swiss"/>
    <w:notTrueType/>
    <w:pitch w:val="variable"/>
    <w:sig w:usb0="A00002FF" w:usb1="4000207B" w:usb2="00000000" w:usb3="00000000" w:csb0="0000009F" w:csb1="00000000"/>
  </w:font>
  <w:font w:name="SeriaArabic-Black">
    <w:panose1 w:val="02000000000000000000"/>
    <w:charset w:val="00"/>
    <w:family w:val="modern"/>
    <w:notTrueType/>
    <w:pitch w:val="variable"/>
    <w:sig w:usb0="A00020AF" w:usb1="D000A05A" w:usb2="00000008" w:usb3="00000000" w:csb0="00000151" w:csb1="00000000"/>
  </w:font>
  <w:font w:name="Arial">
    <w:panose1 w:val="020B0604020202020204"/>
    <w:charset w:val="00"/>
    <w:family w:val="swiss"/>
    <w:pitch w:val="variable"/>
    <w:sig w:usb0="E0002EFF" w:usb1="C000785B" w:usb2="00000009" w:usb3="00000000" w:csb0="000001FF" w:csb1="00000000"/>
  </w:font>
  <w:font w:name="MetaBold-Roman">
    <w:panose1 w:val="020B0802030000020004"/>
    <w:charset w:val="00"/>
    <w:family w:val="swiss"/>
    <w:pitch w:val="variable"/>
    <w:sig w:usb0="80000027" w:usb1="00000000" w:usb2="00000000" w:usb3="00000000" w:csb0="00000001" w:csb1="00000000"/>
  </w:font>
  <w:font w:name="SeriaArabic">
    <w:panose1 w:val="02000500000000020003"/>
    <w:charset w:val="00"/>
    <w:family w:val="modern"/>
    <w:notTrueType/>
    <w:pitch w:val="variable"/>
    <w:sig w:usb0="A00020AF" w:usb1="D000A05A" w:usb2="00000008" w:usb3="00000000" w:csb0="00000151"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9EA" w14:textId="1A7CF53D" w:rsidR="00B10343" w:rsidRDefault="00B10343" w:rsidP="00B10343">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E3AC1" w14:textId="73C534EE" w:rsidR="00B10343" w:rsidRDefault="00B10343" w:rsidP="00B10343">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DF2A" w14:textId="1CADD37E" w:rsidR="00B10343" w:rsidRDefault="00B10343" w:rsidP="00B10343">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0D4A1" w14:textId="77777777" w:rsidR="00E21B1A" w:rsidRDefault="00E21B1A">
      <w:r>
        <w:separator/>
      </w:r>
    </w:p>
  </w:footnote>
  <w:footnote w:type="continuationSeparator" w:id="0">
    <w:p w14:paraId="2EBE51EE" w14:textId="77777777" w:rsidR="00E21B1A" w:rsidRDefault="00E21B1A">
      <w:r>
        <w:continuationSeparator/>
      </w:r>
    </w:p>
  </w:footnote>
  <w:footnote w:type="continuationNotice" w:id="1">
    <w:p w14:paraId="52153975" w14:textId="77777777" w:rsidR="00E21B1A" w:rsidRDefault="00E21B1A">
      <w:pPr>
        <w:spacing w:line="240" w:lineRule="auto"/>
      </w:pPr>
    </w:p>
  </w:footnote>
  <w:footnote w:id="2">
    <w:p w14:paraId="61151978" w14:textId="13703C2D" w:rsidR="00276254" w:rsidRDefault="00276254">
      <w:pPr>
        <w:pStyle w:val="FootnoteText"/>
      </w:pPr>
      <w:r>
        <w:rPr>
          <w:rStyle w:val="FootnoteReference"/>
        </w:rPr>
        <w:footnoteRef/>
      </w:r>
      <w:r>
        <w:t xml:space="preserve"> “</w:t>
      </w:r>
      <w:r w:rsidRPr="00276254">
        <w:t>Thailand: Insurgents Bomb School, Attack Hospital</w:t>
      </w:r>
      <w:r>
        <w:t xml:space="preserve">,” Human Rights Watch news release, January 10, 2019, </w:t>
      </w:r>
      <w:r w:rsidRPr="00276254">
        <w:t>https://www.hrw.org/news/2019/01/10/thailand-insurgents-bomb-school-attack-hospital</w:t>
      </w:r>
      <w:r>
        <w:t>.</w:t>
      </w:r>
    </w:p>
  </w:footnote>
  <w:footnote w:id="3">
    <w:p w14:paraId="6D5C9302" w14:textId="77777777" w:rsidR="0010173E" w:rsidRDefault="0010173E" w:rsidP="0010173E">
      <w:pPr>
        <w:pStyle w:val="FootnoteText"/>
      </w:pPr>
      <w:r>
        <w:rPr>
          <w:rStyle w:val="FootnoteReference"/>
        </w:rPr>
        <w:footnoteRef/>
      </w:r>
      <w:r>
        <w:t xml:space="preserve"> “</w:t>
      </w:r>
      <w:r w:rsidRPr="007A7F26">
        <w:t>Barisan Revolusi Nasional Melayu Patani commits to greater protection of children</w:t>
      </w:r>
      <w:r>
        <w:t xml:space="preserve">,” </w:t>
      </w:r>
      <w:r w:rsidRPr="007A7F26">
        <w:rPr>
          <w:i/>
          <w:iCs/>
        </w:rPr>
        <w:t>Geneva Call</w:t>
      </w:r>
      <w:r>
        <w:t xml:space="preserve">, March 19, 2020, </w:t>
      </w:r>
      <w:r w:rsidRPr="007A7F26">
        <w:t>https://www.genevacall.org/barisan-revolusi-nasional-melayu-patani-commits-to-greater-protection-of-children/</w:t>
      </w:r>
      <w:r>
        <w:t xml:space="preserve"> (accessed September 23, 2022).</w:t>
      </w:r>
    </w:p>
  </w:footnote>
  <w:footnote w:id="4">
    <w:p w14:paraId="7031CA5A" w14:textId="689E6431" w:rsidR="00FC21BE" w:rsidRDefault="00FC21BE" w:rsidP="00FC21BE">
      <w:pPr>
        <w:pStyle w:val="FootnoteText"/>
      </w:pPr>
      <w:r>
        <w:rPr>
          <w:rStyle w:val="FootnoteReference"/>
        </w:rPr>
        <w:footnoteRef/>
      </w:r>
      <w:r>
        <w:t xml:space="preserve"> </w:t>
      </w:r>
      <w:r w:rsidR="00826C49">
        <w:t>International Crisis Group</w:t>
      </w:r>
      <w:r>
        <w:t xml:space="preserve">, </w:t>
      </w:r>
      <w:r w:rsidRPr="00AC67B3">
        <w:rPr>
          <w:i/>
          <w:iCs/>
        </w:rPr>
        <w:t>Southern Thailand’s Peace Dialogue: Giving Substance to Form</w:t>
      </w:r>
      <w:r>
        <w:t xml:space="preserve"> (Brussels: International Crisis Group, January 21, 2020); Caleb Quinley, “In Thailand’s deep south conflict, a ‘glimpse of hope’, but no momentum to sustain a COVID-19 ceasefire,” </w:t>
      </w:r>
      <w:r w:rsidRPr="00AC67B3">
        <w:rPr>
          <w:i/>
          <w:iCs/>
        </w:rPr>
        <w:t>The New Humanitarian</w:t>
      </w:r>
      <w:r>
        <w:t>, August 3, 2020</w:t>
      </w:r>
      <w:r w:rsidR="00927268">
        <w:t xml:space="preserve">, </w:t>
      </w:r>
      <w:r w:rsidR="00927268" w:rsidRPr="00927268">
        <w:t>https://www.thenewhumanitarian.org/news/2020/08/03/Thailand-deep-south-conflict-coronavirus-ceasefire</w:t>
      </w:r>
      <w:r w:rsidR="00927268">
        <w:t xml:space="preserve"> (accessed September 30, 2022).</w:t>
      </w:r>
    </w:p>
  </w:footnote>
  <w:footnote w:id="5">
    <w:p w14:paraId="7669E986" w14:textId="26E0D7E2" w:rsidR="00952CAB" w:rsidRDefault="00952CAB">
      <w:pPr>
        <w:pStyle w:val="FootnoteText"/>
      </w:pPr>
      <w:r>
        <w:rPr>
          <w:rStyle w:val="FootnoteReference"/>
        </w:rPr>
        <w:footnoteRef/>
      </w:r>
      <w:r>
        <w:t xml:space="preserve"> </w:t>
      </w:r>
      <w:r w:rsidR="00A53A35" w:rsidRPr="00684CE3">
        <w:rPr>
          <w:szCs w:val="16"/>
        </w:rPr>
        <w:t xml:space="preserve">Global Coalition to Protect Education from Attack </w:t>
      </w:r>
      <w:r w:rsidR="00A53A35">
        <w:rPr>
          <w:szCs w:val="16"/>
        </w:rPr>
        <w:t>(</w:t>
      </w:r>
      <w:r w:rsidR="00A53A35" w:rsidRPr="00684CE3">
        <w:rPr>
          <w:szCs w:val="16"/>
        </w:rPr>
        <w:t>GCPEA</w:t>
      </w:r>
      <w:r w:rsidR="00A53A35">
        <w:rPr>
          <w:szCs w:val="16"/>
        </w:rPr>
        <w:t>)</w:t>
      </w:r>
      <w:r w:rsidR="00A53A35" w:rsidRPr="00684CE3">
        <w:rPr>
          <w:szCs w:val="16"/>
        </w:rPr>
        <w:t xml:space="preserve">, </w:t>
      </w:r>
      <w:r w:rsidR="00A53A35" w:rsidRPr="00875379">
        <w:rPr>
          <w:i/>
          <w:iCs/>
          <w:szCs w:val="16"/>
        </w:rPr>
        <w:t>Education under Attack 2020</w:t>
      </w:r>
      <w:r w:rsidR="00A53A35" w:rsidRPr="00684CE3">
        <w:rPr>
          <w:szCs w:val="16"/>
        </w:rPr>
        <w:t xml:space="preserve"> (New York, GCPEA: 2021), https://protectingeducation.org/publication/education-under-attack-2020/ (accessed August 8, 2022),</w:t>
      </w:r>
      <w:r>
        <w:t xml:space="preserve"> pp. 232-233</w:t>
      </w:r>
      <w:r w:rsidR="00190D29">
        <w:t xml:space="preserve">; </w:t>
      </w:r>
      <w:r w:rsidR="00190D29" w:rsidRPr="00684CE3">
        <w:rPr>
          <w:szCs w:val="16"/>
        </w:rPr>
        <w:t>G</w:t>
      </w:r>
      <w:r w:rsidR="00190D29">
        <w:rPr>
          <w:szCs w:val="16"/>
        </w:rPr>
        <w:t>CPEA</w:t>
      </w:r>
      <w:r w:rsidR="00190D29" w:rsidRPr="00684CE3">
        <w:rPr>
          <w:szCs w:val="16"/>
        </w:rPr>
        <w:t xml:space="preserve">, </w:t>
      </w:r>
      <w:r w:rsidR="00190D29" w:rsidRPr="00684CE3">
        <w:rPr>
          <w:i/>
          <w:iCs/>
          <w:szCs w:val="16"/>
        </w:rPr>
        <w:t>Education Under Attack 2022.</w:t>
      </w:r>
    </w:p>
  </w:footnote>
  <w:footnote w:id="6">
    <w:p w14:paraId="22831112" w14:textId="77777777" w:rsidR="002C44ED" w:rsidRDefault="002C44ED" w:rsidP="002C44ED">
      <w:pPr>
        <w:pStyle w:val="FootnoteText"/>
      </w:pPr>
      <w:r>
        <w:rPr>
          <w:rStyle w:val="FootnoteReference"/>
        </w:rPr>
        <w:footnoteRef/>
      </w:r>
      <w:r>
        <w:t xml:space="preserve"> “</w:t>
      </w:r>
      <w:r w:rsidRPr="0013644C">
        <w:t>Thailand: Insurgents Bomb School, Attack Hospital</w:t>
      </w:r>
      <w:r>
        <w:t xml:space="preserve">,” Human Rights Watch news release, January 10, 2019, </w:t>
      </w:r>
      <w:r w:rsidRPr="0013644C">
        <w:t>https://www.hrw.org/news/2019/01/10/thailand-insurgents-bomb-school-attack-hospital</w:t>
      </w:r>
      <w:r>
        <w:t>.</w:t>
      </w:r>
    </w:p>
  </w:footnote>
  <w:footnote w:id="7">
    <w:p w14:paraId="0472ABB7" w14:textId="694568C2" w:rsidR="002C44ED" w:rsidRDefault="002C44ED" w:rsidP="002C44ED">
      <w:pPr>
        <w:pStyle w:val="FootnoteText"/>
      </w:pPr>
      <w:r>
        <w:rPr>
          <w:rStyle w:val="FootnoteReference"/>
        </w:rPr>
        <w:footnoteRef/>
      </w:r>
      <w:r>
        <w:t xml:space="preserve"> Thai Rath, as cited in ACLED, Event ID THA7348</w:t>
      </w:r>
      <w:r w:rsidR="00A80DE3">
        <w:t>,</w:t>
      </w:r>
      <w:r>
        <w:t xml:space="preserve">“Outlaw bandits snatched the bombs. 1 hurt. 1 believe the group created a turbulent situation,” September 17, 2019; “Court approves detention of insurgent suspect,” </w:t>
      </w:r>
      <w:r w:rsidRPr="00A80DE3">
        <w:rPr>
          <w:i/>
          <w:iCs/>
        </w:rPr>
        <w:t>Bangkok Post</w:t>
      </w:r>
      <w:r>
        <w:t>, October 4, 2019</w:t>
      </w:r>
      <w:r w:rsidR="00C47739">
        <w:t xml:space="preserve">, </w:t>
      </w:r>
      <w:r w:rsidR="00C47739" w:rsidRPr="00C47739">
        <w:t>https://www.bangkokpost.com/thailand/general/1765009/court-approves-detention-of-insurgent-suspect</w:t>
      </w:r>
      <w:r w:rsidR="00C47739">
        <w:t xml:space="preserve"> (accessed September 30, 2022).</w:t>
      </w:r>
    </w:p>
  </w:footnote>
  <w:footnote w:id="8">
    <w:p w14:paraId="3CD4416D" w14:textId="6D8D4370" w:rsidR="006C3997" w:rsidRDefault="006C3997">
      <w:pPr>
        <w:pStyle w:val="FootnoteText"/>
      </w:pPr>
      <w:r>
        <w:rPr>
          <w:rStyle w:val="FootnoteReference"/>
        </w:rPr>
        <w:footnoteRef/>
      </w:r>
      <w:r>
        <w:t xml:space="preserve"> </w:t>
      </w:r>
      <w:r w:rsidR="00C47739" w:rsidRPr="00684CE3">
        <w:rPr>
          <w:szCs w:val="16"/>
        </w:rPr>
        <w:t>G</w:t>
      </w:r>
      <w:r w:rsidR="00C47739">
        <w:rPr>
          <w:szCs w:val="16"/>
        </w:rPr>
        <w:t>CPEA</w:t>
      </w:r>
      <w:r w:rsidR="00C47739" w:rsidRPr="00684CE3">
        <w:rPr>
          <w:szCs w:val="16"/>
        </w:rPr>
        <w:t xml:space="preserve">, </w:t>
      </w:r>
      <w:r w:rsidR="00C47739" w:rsidRPr="00684CE3">
        <w:rPr>
          <w:i/>
          <w:iCs/>
          <w:szCs w:val="16"/>
        </w:rPr>
        <w:t>Education Under Attack 2022.</w:t>
      </w:r>
    </w:p>
  </w:footnote>
  <w:footnote w:id="9">
    <w:p w14:paraId="30BE8B71" w14:textId="3B2A5324" w:rsidR="00AE7F16" w:rsidRDefault="00AE7F16">
      <w:pPr>
        <w:pStyle w:val="FootnoteText"/>
      </w:pPr>
      <w:r>
        <w:rPr>
          <w:rStyle w:val="FootnoteReference"/>
        </w:rPr>
        <w:footnoteRef/>
      </w:r>
      <w:r>
        <w:t xml:space="preserve"> Isranews Agency, as cited in ACLED, Event ID THA7354</w:t>
      </w:r>
      <w:r w:rsidR="00764897">
        <w:t xml:space="preserve">, </w:t>
      </w:r>
      <w:r>
        <w:t xml:space="preserve">“The director ordered to close the school immediately. Mysterious bullet fired through the wall,” </w:t>
      </w:r>
      <w:r w:rsidRPr="00764897">
        <w:rPr>
          <w:i/>
          <w:iCs/>
        </w:rPr>
        <w:t>Daily News</w:t>
      </w:r>
      <w:r>
        <w:t>, September 19, 2019.</w:t>
      </w:r>
    </w:p>
  </w:footnote>
  <w:footnote w:id="10">
    <w:p w14:paraId="17DFDA4F" w14:textId="2E3CCA57" w:rsidR="00AE7F16" w:rsidRDefault="00AE7F16">
      <w:pPr>
        <w:pStyle w:val="FootnoteText"/>
      </w:pPr>
      <w:r>
        <w:rPr>
          <w:rStyle w:val="FootnoteReference"/>
        </w:rPr>
        <w:footnoteRef/>
      </w:r>
      <w:r>
        <w:t xml:space="preserve"> </w:t>
      </w:r>
      <w:r w:rsidR="00751073">
        <w:t>UN General Assembly and Security Council, “Children and armed conflict: Report of the Secretary-General,” S/2019/509, July 30, 2019, para. 233.</w:t>
      </w:r>
    </w:p>
  </w:footnote>
  <w:footnote w:id="11">
    <w:p w14:paraId="23FA968F" w14:textId="6C64E0D0" w:rsidR="00555783" w:rsidRDefault="00555783">
      <w:pPr>
        <w:pStyle w:val="FootnoteText"/>
      </w:pPr>
      <w:r>
        <w:rPr>
          <w:rStyle w:val="FootnoteReference"/>
        </w:rPr>
        <w:footnoteRef/>
      </w:r>
      <w:r>
        <w:t xml:space="preserve"> </w:t>
      </w:r>
      <w:r w:rsidR="009412F4">
        <w:t>Bangkok Post, as cited in ACLED, Event ID THA3024</w:t>
      </w:r>
      <w:r w:rsidR="00764897">
        <w:t xml:space="preserve">, </w:t>
      </w:r>
      <w:r w:rsidR="009412F4">
        <w:t xml:space="preserve">Abdullah Benjakat, “Security detail slain inside Pattani school during classes,” </w:t>
      </w:r>
      <w:r w:rsidR="009412F4" w:rsidRPr="00764897">
        <w:rPr>
          <w:i/>
          <w:iCs/>
        </w:rPr>
        <w:t>Bangkok Post</w:t>
      </w:r>
      <w:r w:rsidR="009412F4">
        <w:t xml:space="preserve">, January 10, 2019; “Two linked to Thai school shooting killed,” </w:t>
      </w:r>
      <w:r w:rsidR="009412F4" w:rsidRPr="00BA5B1E">
        <w:rPr>
          <w:i/>
          <w:iCs/>
        </w:rPr>
        <w:t>The Asean Post</w:t>
      </w:r>
      <w:r w:rsidR="009412F4">
        <w:t>, January 14, 2019</w:t>
      </w:r>
      <w:r w:rsidR="00BA5B1E">
        <w:t xml:space="preserve">, </w:t>
      </w:r>
      <w:r w:rsidR="00BA5B1E" w:rsidRPr="00BA5B1E">
        <w:t>https://theaseanpost.com/article/two-linked-thai-school-shooting-killed</w:t>
      </w:r>
      <w:r w:rsidR="00BA5B1E">
        <w:t xml:space="preserve"> (accessed September 30, 2022)</w:t>
      </w:r>
      <w:r w:rsidR="009412F4">
        <w:t xml:space="preserve">; Jintamas Saksornchai “Four soldiers shot dead on Pattani school campus,” </w:t>
      </w:r>
      <w:r w:rsidR="009412F4" w:rsidRPr="00ED39FF">
        <w:rPr>
          <w:i/>
          <w:iCs/>
        </w:rPr>
        <w:t>Khaosod English</w:t>
      </w:r>
      <w:r w:rsidR="009412F4">
        <w:t>, January 10, 2019</w:t>
      </w:r>
      <w:r w:rsidR="00ED39FF">
        <w:t xml:space="preserve">, </w:t>
      </w:r>
      <w:r w:rsidR="00ED39FF" w:rsidRPr="00ED39FF">
        <w:t>https://www.khaosodenglish.com/news/crimecourtscalamity/2019/01/10/four-soldiers-shot-dead-on-pattani-school-campus/</w:t>
      </w:r>
      <w:r w:rsidR="00ED39FF">
        <w:t xml:space="preserve"> (accessed September 30, 2022).</w:t>
      </w:r>
    </w:p>
  </w:footnote>
  <w:footnote w:id="12">
    <w:p w14:paraId="5AFBC305" w14:textId="0A364234" w:rsidR="00F52D10" w:rsidRDefault="00F52D10">
      <w:pPr>
        <w:pStyle w:val="FootnoteText"/>
      </w:pPr>
      <w:r>
        <w:rPr>
          <w:rStyle w:val="FootnoteReference"/>
        </w:rPr>
        <w:footnoteRef/>
      </w:r>
      <w:r>
        <w:t xml:space="preserve"> Mariyam Ahmad and Matahari Ismail, “Thailand: Soldiers Killed, Injured in Deep South Bomb Attacks,” </w:t>
      </w:r>
      <w:r w:rsidR="00FA58AC" w:rsidRPr="00FA58AC">
        <w:rPr>
          <w:i/>
          <w:iCs/>
        </w:rPr>
        <w:t>Benar News</w:t>
      </w:r>
      <w:r w:rsidR="00FA58AC">
        <w:t xml:space="preserve">, </w:t>
      </w:r>
      <w:r w:rsidR="00790A15">
        <w:t xml:space="preserve">August 13, 2020, </w:t>
      </w:r>
      <w:r w:rsidR="00FA58AC" w:rsidRPr="00FA58AC">
        <w:t>https://www.benarnews.org/english/news/thai/insurgent-attack-08132020155349.html</w:t>
      </w:r>
      <w:r w:rsidR="00FA58AC">
        <w:t xml:space="preserve"> (accessed September 30, 2022)</w:t>
      </w:r>
      <w:r w:rsidR="003A7BB8">
        <w:t>;</w:t>
      </w:r>
      <w:r>
        <w:t xml:space="preserve"> Abdullah Benjakat, “Two rangers killed, others wounded by bombs in far South,” </w:t>
      </w:r>
      <w:r w:rsidR="00790A15" w:rsidRPr="0066656C">
        <w:rPr>
          <w:i/>
          <w:iCs/>
        </w:rPr>
        <w:t>Bangkok Post</w:t>
      </w:r>
      <w:r w:rsidR="00790A15">
        <w:t xml:space="preserve">, </w:t>
      </w:r>
      <w:r>
        <w:t>August 13, 2020</w:t>
      </w:r>
      <w:r w:rsidR="00DF53BA">
        <w:t xml:space="preserve">, </w:t>
      </w:r>
      <w:r w:rsidR="00DF53BA" w:rsidRPr="00DF53BA">
        <w:t>https://www.bangkokpost.com/thailand/general/1967631/two-rangers-killed-others-wounded-by-bombs-in-far-south</w:t>
      </w:r>
      <w:r w:rsidR="00DF53BA">
        <w:t xml:space="preserve"> (accessed September 30, 2022)</w:t>
      </w:r>
      <w:r>
        <w:t>.</w:t>
      </w:r>
    </w:p>
  </w:footnote>
  <w:footnote w:id="13">
    <w:p w14:paraId="31C73077" w14:textId="4B0936FD" w:rsidR="000A3FC6" w:rsidRDefault="000A3FC6">
      <w:pPr>
        <w:pStyle w:val="FootnoteText"/>
      </w:pPr>
      <w:r>
        <w:rPr>
          <w:rStyle w:val="FootnoteReference"/>
        </w:rPr>
        <w:footnoteRef/>
      </w:r>
      <w:r>
        <w:t xml:space="preserve"> Mariyam Ahmad and Matahari Ismail, “Thailand: Soldiers Killed, Injured in Deep South Bomb Attacks,” </w:t>
      </w:r>
      <w:r w:rsidR="0066656C" w:rsidRPr="00FA58AC">
        <w:rPr>
          <w:i/>
          <w:iCs/>
        </w:rPr>
        <w:t>Benar News</w:t>
      </w:r>
      <w:r w:rsidR="0066656C">
        <w:t xml:space="preserve">, </w:t>
      </w:r>
      <w:r w:rsidR="0003243C" w:rsidRPr="00FA58AC">
        <w:t>https://www.benarnews.org/english/news/thai/insurgent-attack-08132020155349.html</w:t>
      </w:r>
      <w:r w:rsidR="00A96EEB">
        <w:t>;</w:t>
      </w:r>
      <w:r>
        <w:t xml:space="preserve"> Abdullah Benjakat, “Two rangers killed, others wounded by bombs in far South,” </w:t>
      </w:r>
      <w:r w:rsidR="0066656C" w:rsidRPr="0066656C">
        <w:rPr>
          <w:i/>
          <w:iCs/>
        </w:rPr>
        <w:t>Bangkok Post</w:t>
      </w:r>
      <w:r w:rsidR="0066656C">
        <w:t xml:space="preserve">, </w:t>
      </w:r>
      <w:r w:rsidR="0066656C" w:rsidRPr="00DF53BA">
        <w:t>https://www.bangkokpost.com/thailand/general/1967631/two-rangers-killed-others-wounded-by-bombs-in-far-south</w:t>
      </w:r>
      <w:r w:rsidR="0066656C">
        <w:t>.</w:t>
      </w:r>
    </w:p>
  </w:footnote>
  <w:footnote w:id="14">
    <w:p w14:paraId="0473E459" w14:textId="212D6551" w:rsidR="000A3FC6" w:rsidRDefault="000A3FC6">
      <w:pPr>
        <w:pStyle w:val="FootnoteText"/>
      </w:pPr>
      <w:r>
        <w:rPr>
          <w:rStyle w:val="FootnoteReference"/>
        </w:rPr>
        <w:footnoteRef/>
      </w:r>
      <w:r>
        <w:t xml:space="preserve"> </w:t>
      </w:r>
      <w:r w:rsidR="0066656C">
        <w:t xml:space="preserve">Mariyam Ahmad and Matahari Ismail, “Thailand: Soldiers Killed, Injured in Deep South Bomb Attacks,” </w:t>
      </w:r>
      <w:r w:rsidR="0066656C" w:rsidRPr="00FA58AC">
        <w:rPr>
          <w:i/>
          <w:iCs/>
        </w:rPr>
        <w:t>Benar News</w:t>
      </w:r>
      <w:r w:rsidR="0066656C">
        <w:t xml:space="preserve">, </w:t>
      </w:r>
      <w:r w:rsidR="0066656C" w:rsidRPr="00FA58AC">
        <w:t>https://www.benarnews.org/english/news/thai/insurgent-attack-08132020155349.html</w:t>
      </w:r>
      <w:r w:rsidR="0066656C">
        <w:t>.</w:t>
      </w:r>
    </w:p>
  </w:footnote>
  <w:footnote w:id="15">
    <w:p w14:paraId="702B0997" w14:textId="77777777" w:rsidR="00B10343" w:rsidRDefault="00B10343" w:rsidP="00B10343">
      <w:pPr>
        <w:pStyle w:val="FootnoteText"/>
      </w:pPr>
      <w:r>
        <w:rPr>
          <w:rStyle w:val="FootnoteReference"/>
        </w:rPr>
        <w:footnoteRef/>
      </w:r>
      <w:r>
        <w:t xml:space="preserve"> UN Committee on the Elimination of Discrimination against Women, General Recommendation No. 30, Access to Education, U.N Doc. CEDAW/C/GC/30 (2013), para. 48.</w:t>
      </w:r>
    </w:p>
  </w:footnote>
  <w:footnote w:id="16">
    <w:p w14:paraId="58FB01EA" w14:textId="08C36CD5" w:rsidR="00DA7B40" w:rsidRDefault="00DA7B40">
      <w:pPr>
        <w:pStyle w:val="FootnoteText"/>
      </w:pPr>
      <w:r>
        <w:rPr>
          <w:rStyle w:val="FootnoteReference"/>
        </w:rPr>
        <w:footnoteRef/>
      </w:r>
      <w:r>
        <w:t xml:space="preserve"> Safe Schools Declaration, May 28, 2015, https://www.regjeringen.no/globalassets/departementene/ud/vedlegg/utvikling/safe_schools_declaration.pdf (accessed January 23, 2020).</w:t>
      </w:r>
    </w:p>
  </w:footnote>
  <w:footnote w:id="17">
    <w:p w14:paraId="4C42F7EE" w14:textId="6BEED3ED" w:rsidR="00DA7B40" w:rsidRDefault="00DA7B40">
      <w:pPr>
        <w:pStyle w:val="FootnoteText"/>
      </w:pPr>
      <w:r>
        <w:rPr>
          <w:rStyle w:val="FootnoteReference"/>
        </w:rPr>
        <w:footnoteRef/>
      </w:r>
      <w:r>
        <w:t xml:space="preserve"> </w:t>
      </w:r>
      <w:r w:rsidR="00E04233">
        <w:t>Guidelines for Protecting Schools and Universities from Military Use during Armed Conflict, March 18, 2014, http://protectingeducation.org/sites/default/files/documents/guidelines_en.pdf (accessed January 23, 2020).</w:t>
      </w:r>
    </w:p>
  </w:footnote>
  <w:footnote w:id="18">
    <w:p w14:paraId="32D8F162" w14:textId="356841A5" w:rsidR="008553E0" w:rsidRDefault="008553E0">
      <w:pPr>
        <w:pStyle w:val="FootnoteText"/>
      </w:pPr>
      <w:r>
        <w:rPr>
          <w:rStyle w:val="FootnoteReference"/>
        </w:rPr>
        <w:footnoteRef/>
      </w:r>
      <w:r>
        <w:t xml:space="preserve"> UN </w:t>
      </w:r>
      <w:r w:rsidRPr="008553E0">
        <w:t>Secretary-General</w:t>
      </w:r>
      <w:r>
        <w:t xml:space="preserve">, </w:t>
      </w:r>
      <w:r w:rsidRPr="008553E0">
        <w:t>Report on Children and Armed Conflict</w:t>
      </w:r>
      <w:r>
        <w:t xml:space="preserve">, </w:t>
      </w:r>
      <w:r w:rsidRPr="008553E0">
        <w:t>S/2019/509</w:t>
      </w:r>
      <w:r>
        <w:t>, June 20, 2019, para. 235.</w:t>
      </w:r>
    </w:p>
  </w:footnote>
  <w:footnote w:id="19">
    <w:p w14:paraId="722AA9B6" w14:textId="3DD1DD90" w:rsidR="00E33703" w:rsidRDefault="00E33703">
      <w:pPr>
        <w:pStyle w:val="FootnoteText"/>
      </w:pPr>
      <w:r>
        <w:rPr>
          <w:rStyle w:val="FootnoteReference"/>
        </w:rPr>
        <w:footnoteRef/>
      </w:r>
      <w:r>
        <w:t xml:space="preserve"> </w:t>
      </w:r>
      <w:r w:rsidR="00F64FB8">
        <w:t>GCPEA</w:t>
      </w:r>
      <w:r w:rsidRPr="00E33703">
        <w:t>, “Safe Schools Declaration Endorsements,” undated, https://ssd.protectingeducation.org/endorsement/ (accessed August 4, 2022).</w:t>
      </w:r>
    </w:p>
  </w:footnote>
  <w:footnote w:id="20">
    <w:p w14:paraId="1B0B50C5" w14:textId="2BC48264" w:rsidR="00582306" w:rsidRDefault="00582306" w:rsidP="00582306">
      <w:pPr>
        <w:pStyle w:val="FootnoteText"/>
      </w:pPr>
      <w:r>
        <w:rPr>
          <w:rStyle w:val="FootnoteReference"/>
        </w:rPr>
        <w:footnoteRef/>
      </w:r>
      <w:r>
        <w:t xml:space="preserve"> Human Rights Watch, </w:t>
      </w:r>
      <w:r w:rsidRPr="00E96373">
        <w:rPr>
          <w:i/>
          <w:iCs/>
        </w:rPr>
        <w:t>“Targets of Both Sides</w:t>
      </w:r>
      <w:r w:rsidR="00AE14EA">
        <w:rPr>
          <w:i/>
          <w:iCs/>
        </w:rPr>
        <w:t>”</w:t>
      </w:r>
      <w:r w:rsidRPr="00E96373">
        <w:rPr>
          <w:i/>
          <w:iCs/>
        </w:rPr>
        <w:t>: Violence against Students, Teachers, and Schools in Thailand’s Southern Border Provinces</w:t>
      </w:r>
      <w:r w:rsidR="00AE14EA">
        <w:t xml:space="preserve"> </w:t>
      </w:r>
      <w:r w:rsidR="00E96373">
        <w:t>(</w:t>
      </w:r>
      <w:r w:rsidR="00E64907">
        <w:t xml:space="preserve">New York: Human Rights Watch, 2022), </w:t>
      </w:r>
      <w:r w:rsidR="00E64907" w:rsidRPr="00E64907">
        <w:t>https://www.hrw.org/report/2010/09/20/targets-both-sides/violence-against-students-teachers-and-schools-thailands</w:t>
      </w:r>
      <w:r w:rsidR="00E64907">
        <w:t>.</w:t>
      </w:r>
    </w:p>
  </w:footnote>
  <w:footnote w:id="21">
    <w:p w14:paraId="1F030FE7" w14:textId="0379AA01" w:rsidR="004A051E" w:rsidRDefault="004A051E">
      <w:pPr>
        <w:pStyle w:val="FootnoteText"/>
      </w:pPr>
      <w:r>
        <w:rPr>
          <w:rStyle w:val="FootnoteReference"/>
        </w:rPr>
        <w:footnoteRef/>
      </w:r>
      <w:r>
        <w:t xml:space="preserve"> </w:t>
      </w:r>
      <w:r w:rsidRPr="00573ADE">
        <w:t xml:space="preserve">UNESCO, Covid-19 Education </w:t>
      </w:r>
      <w:r>
        <w:t xml:space="preserve">Response, “Country Dashboard: Thailand,” </w:t>
      </w:r>
      <w:r w:rsidR="00DE0048">
        <w:t xml:space="preserve">March 2022, </w:t>
      </w:r>
      <w:r w:rsidRPr="00573ADE">
        <w:t>https://covid19.uis.unesco.org/global-monitoring-school-closures-covid19/country-dashboard/</w:t>
      </w:r>
      <w:r>
        <w:t xml:space="preserve"> (accessed September 23, 2022).</w:t>
      </w:r>
    </w:p>
  </w:footnote>
  <w:footnote w:id="22">
    <w:p w14:paraId="781A7938" w14:textId="5A604E31" w:rsidR="00C85F23" w:rsidRDefault="00C85F23">
      <w:pPr>
        <w:pStyle w:val="FootnoteText"/>
      </w:pPr>
      <w:r>
        <w:rPr>
          <w:rStyle w:val="FootnoteReference"/>
        </w:rPr>
        <w:footnoteRef/>
      </w:r>
      <w:r>
        <w:t xml:space="preserve"> </w:t>
      </w:r>
      <w:r w:rsidR="00F1106D">
        <w:t>“</w:t>
      </w:r>
      <w:r w:rsidR="00F1106D" w:rsidRPr="00F1106D">
        <w:t>Five impacts of COVID-19 on children in Thailand</w:t>
      </w:r>
      <w:r w:rsidR="00F1106D">
        <w:t xml:space="preserve">,” UNICEF blog post, July 22, 2022, </w:t>
      </w:r>
      <w:r w:rsidR="00F1106D" w:rsidRPr="00F1106D">
        <w:t>https://www.unicef.org/thailand/stories/five-impacts-covid-19-children-thailand</w:t>
      </w:r>
      <w:r w:rsidR="00F1106D">
        <w:t xml:space="preserve"> (accessed September 23, 2022).</w:t>
      </w:r>
    </w:p>
  </w:footnote>
  <w:footnote w:id="23">
    <w:p w14:paraId="6779A0DC" w14:textId="64250FE7" w:rsidR="00E556C1" w:rsidRPr="00D3247F" w:rsidRDefault="00E556C1">
      <w:pPr>
        <w:pStyle w:val="FootnoteText"/>
      </w:pPr>
      <w:r>
        <w:rPr>
          <w:rStyle w:val="FootnoteReference"/>
        </w:rPr>
        <w:footnoteRef/>
      </w:r>
      <w:r>
        <w:t xml:space="preserve"> “</w:t>
      </w:r>
      <w:r w:rsidRPr="00E556C1">
        <w:t>Most Thai schools ready to reopen for new semester next week</w:t>
      </w:r>
      <w:r>
        <w:t xml:space="preserve">,” </w:t>
      </w:r>
      <w:r>
        <w:rPr>
          <w:i/>
          <w:iCs/>
        </w:rPr>
        <w:t xml:space="preserve">The Nation Thailand, </w:t>
      </w:r>
      <w:r>
        <w:t xml:space="preserve">May 9, 2022, </w:t>
      </w:r>
      <w:r w:rsidRPr="00E556C1">
        <w:t>https://www.nationthailand.com/in-focus/40015382</w:t>
      </w:r>
      <w:r>
        <w:t xml:space="preserve"> (accessed September 26, 2022)</w:t>
      </w:r>
      <w:r w:rsidR="00D3247F">
        <w:t>; “</w:t>
      </w:r>
      <w:r w:rsidR="00D3247F" w:rsidRPr="00D3247F">
        <w:t>As schools prepare to reopen, what toll has COVID taken on Thailand’s children?</w:t>
      </w:r>
      <w:r w:rsidR="00D3247F">
        <w:t xml:space="preserve">” </w:t>
      </w:r>
      <w:r w:rsidR="00D3247F">
        <w:rPr>
          <w:i/>
          <w:iCs/>
        </w:rPr>
        <w:t xml:space="preserve">Thai PBS World, </w:t>
      </w:r>
      <w:r w:rsidR="00D3247F">
        <w:t xml:space="preserve">May 16, 2022, </w:t>
      </w:r>
      <w:r w:rsidR="00D3247F" w:rsidRPr="00D3247F">
        <w:t>https://www.thaipbsworld.com/as-schools-prepare-to-reopen-what-toll-has-covid-taken-on-thailands-children/</w:t>
      </w:r>
      <w:r w:rsidR="00D3247F">
        <w:t xml:space="preserve"> (accessed September 26, 2022).</w:t>
      </w:r>
    </w:p>
  </w:footnote>
  <w:footnote w:id="24">
    <w:p w14:paraId="420DA4FB" w14:textId="6C935399" w:rsidR="000C02F3" w:rsidRDefault="000C02F3">
      <w:pPr>
        <w:pStyle w:val="FootnoteText"/>
      </w:pPr>
      <w:r>
        <w:rPr>
          <w:rStyle w:val="FootnoteReference"/>
        </w:rPr>
        <w:footnoteRef/>
      </w:r>
      <w:r>
        <w:t xml:space="preserve"> In Thailand, the term “tomboy” refers to </w:t>
      </w:r>
      <w:r w:rsidR="002E01C8">
        <w:t>g</w:t>
      </w:r>
      <w:r w:rsidR="002E01C8" w:rsidRPr="002E01C8">
        <w:t>irls who dress and act in a masculine way</w:t>
      </w:r>
      <w:r w:rsidR="00574D52">
        <w:t>.</w:t>
      </w:r>
    </w:p>
  </w:footnote>
  <w:footnote w:id="25">
    <w:p w14:paraId="04398741" w14:textId="56431598" w:rsidR="00F80001" w:rsidRPr="00645B82" w:rsidRDefault="00F80001" w:rsidP="00645B82">
      <w:pPr>
        <w:pStyle w:val="FootnoteText"/>
      </w:pPr>
      <w:r>
        <w:rPr>
          <w:rStyle w:val="FootnoteReference"/>
        </w:rPr>
        <w:footnoteRef/>
      </w:r>
      <w:r>
        <w:t xml:space="preserve"> </w:t>
      </w:r>
      <w:r w:rsidR="00645B82">
        <w:t xml:space="preserve">Human Rights Watch, </w:t>
      </w:r>
      <w:r w:rsidR="00645B82" w:rsidRPr="00645B82">
        <w:rPr>
          <w:i/>
          <w:iCs/>
        </w:rPr>
        <w:t>“People Can’t Be Fit into Boxes”: Thailand’s Need for Legal Gender Recognition</w:t>
      </w:r>
      <w:r w:rsidR="00645B82">
        <w:t xml:space="preserve"> (New York: Human Rights Watch, 2021), </w:t>
      </w:r>
      <w:r w:rsidR="00645B82" w:rsidRPr="00645B82">
        <w:t>https://www.hrw.org/report/2021/12/15/people-cant-be-fit-boxes/thailands-need-legal-gender-recognition</w:t>
      </w:r>
      <w:r w:rsidR="00645B82">
        <w:t>.</w:t>
      </w:r>
    </w:p>
  </w:footnote>
  <w:footnote w:id="26">
    <w:p w14:paraId="5CFE1554" w14:textId="3A5917AB" w:rsidR="00F015D0" w:rsidRPr="00636860" w:rsidRDefault="00F015D0">
      <w:pPr>
        <w:pStyle w:val="FootnoteText"/>
        <w:rPr>
          <w:b/>
          <w:bCs/>
          <w:u w:val="single"/>
        </w:rPr>
      </w:pPr>
      <w:r>
        <w:rPr>
          <w:rStyle w:val="FootnoteReference"/>
        </w:rPr>
        <w:footnoteRef/>
      </w:r>
      <w:r>
        <w:t xml:space="preserve"> </w:t>
      </w:r>
      <w:r w:rsidR="007D7B0D">
        <w:t xml:space="preserve">Human Rights Watch interview with </w:t>
      </w:r>
      <w:r w:rsidR="007E5A33">
        <w:t>J.</w:t>
      </w:r>
      <w:r w:rsidR="004C3C61">
        <w:t xml:space="preserve">J., 16-year-old </w:t>
      </w:r>
      <w:r w:rsidR="006E75A3">
        <w:t>student</w:t>
      </w:r>
      <w:r w:rsidR="00E818AE">
        <w:t>,</w:t>
      </w:r>
      <w:r w:rsidR="006E75A3">
        <w:t xml:space="preserve"> </w:t>
      </w:r>
      <w:r w:rsidR="004C3C61">
        <w:t>Thailand, July 2, 2020.</w:t>
      </w:r>
    </w:p>
  </w:footnote>
  <w:footnote w:id="27">
    <w:p w14:paraId="0878AF13" w14:textId="72F7958A" w:rsidR="00403761" w:rsidRPr="00403761" w:rsidRDefault="00403761">
      <w:pPr>
        <w:pStyle w:val="FootnoteText"/>
        <w:rPr>
          <w:b/>
          <w:bCs/>
          <w:u w:val="single"/>
        </w:rPr>
      </w:pPr>
      <w:r>
        <w:rPr>
          <w:rStyle w:val="FootnoteReference"/>
        </w:rPr>
        <w:footnoteRef/>
      </w:r>
      <w:r>
        <w:t xml:space="preserve"> </w:t>
      </w:r>
      <w:r w:rsidR="00F75522">
        <w:t xml:space="preserve">Human Rights Watch interview with </w:t>
      </w:r>
      <w:r w:rsidR="007E5A33">
        <w:t>E</w:t>
      </w:r>
      <w:r w:rsidR="00CC647A">
        <w:t>.</w:t>
      </w:r>
      <w:r w:rsidR="00F75522">
        <w:t xml:space="preserve">E., </w:t>
      </w:r>
      <w:r w:rsidR="0025052F">
        <w:t>17-year-old student, Thailand, July 3, 2020.</w:t>
      </w:r>
    </w:p>
  </w:footnote>
  <w:footnote w:id="28">
    <w:p w14:paraId="453F4C07" w14:textId="4B3359A2" w:rsidR="006933E9" w:rsidRPr="006933E9" w:rsidRDefault="006933E9">
      <w:pPr>
        <w:pStyle w:val="FootnoteText"/>
        <w:rPr>
          <w:b/>
          <w:bCs/>
          <w:u w:val="single"/>
        </w:rPr>
      </w:pPr>
      <w:r>
        <w:rPr>
          <w:rStyle w:val="FootnoteReference"/>
        </w:rPr>
        <w:footnoteRef/>
      </w:r>
      <w:r>
        <w:t xml:space="preserve"> </w:t>
      </w:r>
      <w:r w:rsidR="00916BF3">
        <w:t xml:space="preserve">Human Rights Watch interview with </w:t>
      </w:r>
      <w:r w:rsidR="00CC647A">
        <w:t>N.</w:t>
      </w:r>
      <w:r w:rsidR="00916BF3">
        <w:t xml:space="preserve">N., </w:t>
      </w:r>
      <w:r w:rsidR="00F04215">
        <w:t>17-year-old student, July 6, 2020.</w:t>
      </w:r>
    </w:p>
  </w:footnote>
  <w:footnote w:id="29">
    <w:p w14:paraId="0CCC6842" w14:textId="6EDBF3DA" w:rsidR="00F10C20" w:rsidRPr="00F10C20" w:rsidRDefault="00F10C20">
      <w:pPr>
        <w:pStyle w:val="FootnoteText"/>
        <w:rPr>
          <w:b/>
          <w:bCs/>
          <w:u w:val="single"/>
        </w:rPr>
      </w:pPr>
      <w:r>
        <w:rPr>
          <w:rStyle w:val="FootnoteReference"/>
        </w:rPr>
        <w:footnoteRef/>
      </w:r>
      <w:r>
        <w:t xml:space="preserve"> </w:t>
      </w:r>
      <w:r w:rsidR="006E75A3">
        <w:t xml:space="preserve">Human Rights Watch interview with </w:t>
      </w:r>
      <w:r w:rsidR="00CC647A">
        <w:t>J.</w:t>
      </w:r>
      <w:r w:rsidR="006E75A3">
        <w:t>J., 16-year-old student, Thailand, July 2, 2020.</w:t>
      </w:r>
    </w:p>
  </w:footnote>
  <w:footnote w:id="30">
    <w:p w14:paraId="25102F51" w14:textId="01B6E4BE" w:rsidR="00F14148" w:rsidRPr="00F14148" w:rsidRDefault="00F14148">
      <w:pPr>
        <w:pStyle w:val="FootnoteText"/>
        <w:rPr>
          <w:b/>
          <w:bCs/>
          <w:u w:val="single"/>
        </w:rPr>
      </w:pPr>
      <w:r>
        <w:rPr>
          <w:rStyle w:val="FootnoteReference"/>
        </w:rPr>
        <w:footnoteRef/>
      </w:r>
      <w:r>
        <w:t xml:space="preserve"> </w:t>
      </w:r>
      <w:r w:rsidR="00F04215">
        <w:t xml:space="preserve">Human Rights Watch interview with </w:t>
      </w:r>
      <w:r w:rsidR="00CC647A">
        <w:t>N.</w:t>
      </w:r>
      <w:r w:rsidR="00F04215">
        <w:t>N., 17-year-old student, July 6, 2020.</w:t>
      </w:r>
    </w:p>
  </w:footnote>
  <w:footnote w:id="31">
    <w:p w14:paraId="098F4FCB" w14:textId="07D8A900" w:rsidR="00E57DCC" w:rsidRDefault="00E57DCC">
      <w:pPr>
        <w:pStyle w:val="FootnoteText"/>
      </w:pPr>
      <w:r>
        <w:rPr>
          <w:rStyle w:val="FootnoteReference"/>
        </w:rPr>
        <w:footnoteRef/>
      </w:r>
      <w:r>
        <w:t xml:space="preserve"> </w:t>
      </w:r>
      <w:r w:rsidR="004A6C75">
        <w:t xml:space="preserve">Human Rights Watch interview with </w:t>
      </w:r>
      <w:r w:rsidR="00CC647A">
        <w:t>E.</w:t>
      </w:r>
      <w:r w:rsidR="004A6C75">
        <w:t>E., 17-year-old student, Thailand, July 3, 2020.</w:t>
      </w:r>
    </w:p>
  </w:footnote>
  <w:footnote w:id="32">
    <w:p w14:paraId="4A98D3BA" w14:textId="759D4B99" w:rsidR="00087D6B" w:rsidRDefault="00087D6B">
      <w:pPr>
        <w:pStyle w:val="FootnoteText"/>
      </w:pPr>
      <w:r>
        <w:rPr>
          <w:rStyle w:val="FootnoteReference"/>
        </w:rPr>
        <w:footnoteRef/>
      </w:r>
      <w:r>
        <w:t xml:space="preserve"> </w:t>
      </w:r>
      <w:r w:rsidR="00916597">
        <w:t xml:space="preserve">Human Rights Watch interview with </w:t>
      </w:r>
      <w:r w:rsidR="00D23F37">
        <w:t>J.N., 17-year-old student, Thailand, July 6, 2020.</w:t>
      </w:r>
    </w:p>
  </w:footnote>
  <w:footnote w:id="33">
    <w:p w14:paraId="7673AA44" w14:textId="444B37CE" w:rsidR="009D0DC8" w:rsidRDefault="009D0DC8">
      <w:pPr>
        <w:pStyle w:val="FootnoteText"/>
      </w:pPr>
      <w:r>
        <w:rPr>
          <w:rStyle w:val="FootnoteReference"/>
        </w:rPr>
        <w:footnoteRef/>
      </w:r>
      <w:r>
        <w:t xml:space="preserve"> </w:t>
      </w:r>
      <w:r w:rsidR="00AF2363">
        <w:t xml:space="preserve">Human Rights Watch interview with </w:t>
      </w:r>
      <w:r w:rsidR="00CC647A">
        <w:t>P.</w:t>
      </w:r>
      <w:r w:rsidR="00AF2363">
        <w:t>P., 17-year-old student, Thailand, July 6, 2020.</w:t>
      </w:r>
    </w:p>
  </w:footnote>
  <w:footnote w:id="34">
    <w:p w14:paraId="6D926A6C" w14:textId="3B102662" w:rsidR="00E62B86" w:rsidRDefault="00E62B86">
      <w:pPr>
        <w:pStyle w:val="FootnoteText"/>
      </w:pPr>
      <w:r>
        <w:rPr>
          <w:rStyle w:val="FootnoteReference"/>
        </w:rPr>
        <w:footnoteRef/>
      </w:r>
      <w:r>
        <w:t xml:space="preserve"> </w:t>
      </w:r>
      <w:r w:rsidR="00D23F37">
        <w:t>Human Rights Watch interview with J.N., 17-year-old student, Thailand, July 6, 2020.</w:t>
      </w:r>
    </w:p>
  </w:footnote>
  <w:footnote w:id="35">
    <w:p w14:paraId="333EAFF0" w14:textId="643EE2D2" w:rsidR="0034239D" w:rsidRDefault="0034239D">
      <w:pPr>
        <w:pStyle w:val="FootnoteText"/>
      </w:pPr>
      <w:r>
        <w:rPr>
          <w:rStyle w:val="FootnoteReference"/>
        </w:rPr>
        <w:footnoteRef/>
      </w:r>
      <w:r>
        <w:t xml:space="preserve"> </w:t>
      </w:r>
      <w:r w:rsidR="004A6C75">
        <w:t>Human Rights Watch interview</w:t>
      </w:r>
      <w:r w:rsidR="00F44923">
        <w:t>s</w:t>
      </w:r>
      <w:r w:rsidR="004A6C75">
        <w:t xml:space="preserve"> with </w:t>
      </w:r>
      <w:r w:rsidR="00CC647A">
        <w:t>N.</w:t>
      </w:r>
      <w:r w:rsidR="009C653E">
        <w:t>N., 19-year-old student, Thailand, July 1, 2020</w:t>
      </w:r>
      <w:r w:rsidR="0047144F">
        <w:t xml:space="preserve">; </w:t>
      </w:r>
      <w:r w:rsidR="00CC647A">
        <w:t>J.</w:t>
      </w:r>
      <w:r w:rsidR="00F44923">
        <w:t>J., 16-year-old student, Thailand, July 2, 2020; and</w:t>
      </w:r>
      <w:r w:rsidR="009C653E">
        <w:t xml:space="preserve"> </w:t>
      </w:r>
      <w:r w:rsidR="00CC647A">
        <w:t>E.</w:t>
      </w:r>
      <w:r w:rsidR="004A6C75">
        <w:t>E., 17-year-old student, Thailand, July 3, 2020.</w:t>
      </w:r>
    </w:p>
  </w:footnote>
  <w:footnote w:id="36">
    <w:p w14:paraId="27B7DC96" w14:textId="18BCFD75" w:rsidR="00A510DA" w:rsidRDefault="00A510DA">
      <w:pPr>
        <w:pStyle w:val="FootnoteText"/>
      </w:pPr>
      <w:r>
        <w:rPr>
          <w:rStyle w:val="FootnoteReference"/>
        </w:rPr>
        <w:footnoteRef/>
      </w:r>
      <w:r>
        <w:t xml:space="preserve"> </w:t>
      </w:r>
      <w:r w:rsidR="00F52EDA">
        <w:t xml:space="preserve">Human Rights Watch interview with </w:t>
      </w:r>
      <w:r w:rsidR="00CC647A">
        <w:t>N.</w:t>
      </w:r>
      <w:r w:rsidR="009C653E">
        <w:t>N., 19-year-old student, Thailand, July 1, 2020.</w:t>
      </w:r>
    </w:p>
  </w:footnote>
  <w:footnote w:id="37">
    <w:p w14:paraId="5E97DF64" w14:textId="0390ED6B" w:rsidR="009712EC" w:rsidRDefault="009712EC" w:rsidP="009712EC">
      <w:pPr>
        <w:pStyle w:val="FootnoteText"/>
      </w:pPr>
      <w:r>
        <w:rPr>
          <w:rStyle w:val="FootnoteReference"/>
        </w:rPr>
        <w:footnoteRef/>
      </w:r>
      <w:r>
        <w:t xml:space="preserve"> </w:t>
      </w:r>
      <w:r w:rsidR="004A6C75">
        <w:t xml:space="preserve">Human Rights Watch interview with </w:t>
      </w:r>
      <w:r w:rsidR="00CC647A">
        <w:t>E.</w:t>
      </w:r>
      <w:r w:rsidR="004A6C75">
        <w:t>E., 17-year-old student, Thailand, July 3, 2020.</w:t>
      </w:r>
    </w:p>
  </w:footnote>
  <w:footnote w:id="38">
    <w:p w14:paraId="40959866" w14:textId="2D9FE121" w:rsidR="009712EC" w:rsidRDefault="009712EC">
      <w:pPr>
        <w:pStyle w:val="FootnoteText"/>
      </w:pPr>
      <w:r>
        <w:rPr>
          <w:rStyle w:val="FootnoteReference"/>
        </w:rPr>
        <w:footnoteRef/>
      </w:r>
      <w:r>
        <w:t xml:space="preserve"> Ibid.</w:t>
      </w:r>
    </w:p>
  </w:footnote>
  <w:footnote w:id="39">
    <w:p w14:paraId="6AD3510D" w14:textId="48D53A80" w:rsidR="00A41C5A" w:rsidRDefault="00A41C5A">
      <w:pPr>
        <w:pStyle w:val="FootnoteText"/>
      </w:pPr>
      <w:r>
        <w:rPr>
          <w:rStyle w:val="FootnoteReference"/>
        </w:rPr>
        <w:footnoteRef/>
      </w:r>
      <w:r>
        <w:t xml:space="preserve"> </w:t>
      </w:r>
      <w:r w:rsidR="004A6C75">
        <w:t xml:space="preserve">Human Rights Watch interview with </w:t>
      </w:r>
      <w:r w:rsidR="00CC647A">
        <w:t>E.</w:t>
      </w:r>
      <w:r w:rsidR="004A6C75">
        <w:t>E., 17-year-old student, Thailand, July 3, 2020.</w:t>
      </w:r>
    </w:p>
  </w:footnote>
  <w:footnote w:id="40">
    <w:p w14:paraId="15521E61" w14:textId="7FC865D3" w:rsidR="0045275D" w:rsidRPr="0045275D" w:rsidRDefault="0045275D">
      <w:pPr>
        <w:pStyle w:val="FootnoteText"/>
        <w:rPr>
          <w:b/>
          <w:bCs/>
          <w:u w:val="single"/>
        </w:rPr>
      </w:pPr>
      <w:r>
        <w:rPr>
          <w:rStyle w:val="FootnoteReference"/>
        </w:rPr>
        <w:footnoteRef/>
      </w:r>
      <w:r>
        <w:t xml:space="preserve"> </w:t>
      </w:r>
      <w:r w:rsidR="00F04215">
        <w:t xml:space="preserve">Human Rights Watch interview with </w:t>
      </w:r>
      <w:r w:rsidR="00CC647A">
        <w:t>N.</w:t>
      </w:r>
      <w:r w:rsidR="00F04215">
        <w:t>N., 17-year-old student, July 6, 2020.</w:t>
      </w:r>
    </w:p>
  </w:footnote>
  <w:footnote w:id="41">
    <w:p w14:paraId="1C8B9C06" w14:textId="5075A650" w:rsidR="003A7D31" w:rsidRDefault="003A7D31">
      <w:pPr>
        <w:pStyle w:val="FootnoteText"/>
      </w:pPr>
      <w:r>
        <w:rPr>
          <w:rStyle w:val="FootnoteReference"/>
        </w:rPr>
        <w:footnoteRef/>
      </w:r>
      <w:r>
        <w:t xml:space="preserve"> </w:t>
      </w:r>
      <w:r w:rsidR="004A6C75">
        <w:t xml:space="preserve">Human Rights Watch interview with </w:t>
      </w:r>
      <w:r w:rsidR="00CC647A">
        <w:t>E.</w:t>
      </w:r>
      <w:r w:rsidR="004A6C75">
        <w:t>E., 17-year-old student, Thailand, July 3, 2020.</w:t>
      </w:r>
    </w:p>
  </w:footnote>
  <w:footnote w:id="42">
    <w:p w14:paraId="1E9246A2" w14:textId="6EB98DD1" w:rsidR="003D2717" w:rsidRDefault="003D2717">
      <w:pPr>
        <w:pStyle w:val="FootnoteText"/>
      </w:pPr>
      <w:r>
        <w:rPr>
          <w:rStyle w:val="FootnoteReference"/>
        </w:rPr>
        <w:footnoteRef/>
      </w:r>
      <w:r>
        <w:t xml:space="preserve"> </w:t>
      </w:r>
      <w:r w:rsidR="00DC6FAF">
        <w:t xml:space="preserve">Human Rights Watch, </w:t>
      </w:r>
      <w:r w:rsidR="00DC6FAF" w:rsidRPr="00645B82">
        <w:rPr>
          <w:i/>
          <w:iCs/>
        </w:rPr>
        <w:t>“People Can’t Be Fit into Boxes”: Thailand’s Need for Legal Gender Recognition</w:t>
      </w:r>
      <w:r w:rsidR="00DC6FAF">
        <w:rPr>
          <w:i/>
          <w:iCs/>
        </w:rPr>
        <w:t>.</w:t>
      </w:r>
    </w:p>
  </w:footnote>
  <w:footnote w:id="43">
    <w:p w14:paraId="64DBC568" w14:textId="071BC75D" w:rsidR="00B55B9B" w:rsidRDefault="00B55B9B">
      <w:pPr>
        <w:pStyle w:val="FootnoteText"/>
      </w:pPr>
      <w:r>
        <w:rPr>
          <w:rStyle w:val="FootnoteReference"/>
        </w:rPr>
        <w:footnoteRef/>
      </w:r>
      <w:r>
        <w:t xml:space="preserve"> </w:t>
      </w:r>
      <w:r w:rsidRPr="00B55B9B">
        <w:t xml:space="preserve">“Asia Pacific Transgender Network (APTN) and Curtin University, </w:t>
      </w:r>
      <w:r w:rsidRPr="00145C57">
        <w:rPr>
          <w:i/>
          <w:iCs/>
        </w:rPr>
        <w:t>Denied Work: An Audit of Employment Discrimination on the Basis of Gender Identity in Thailand</w:t>
      </w:r>
      <w:r w:rsidRPr="00B55B9B">
        <w:t xml:space="preserve">, </w:t>
      </w:r>
      <w:r w:rsidR="00887428">
        <w:t xml:space="preserve">December 18, 2018, </w:t>
      </w:r>
      <w:r w:rsidR="00887428" w:rsidRPr="00887428">
        <w:t xml:space="preserve">https://www.undp.org/asia-pacific/publications/denied-work-%E2%80%93-audit-employment-discrimination-basis-gender-identity-south-east-asia </w:t>
      </w:r>
      <w:r w:rsidR="00887428">
        <w:t xml:space="preserve">(accessed September 30, 2022), </w:t>
      </w:r>
      <w:r w:rsidRPr="00B55B9B">
        <w:t>p. 12.</w:t>
      </w:r>
    </w:p>
  </w:footnote>
  <w:footnote w:id="44">
    <w:p w14:paraId="0E1206FE" w14:textId="656C8F94" w:rsidR="00227FBD" w:rsidRDefault="00227FBD">
      <w:pPr>
        <w:pStyle w:val="FootnoteText"/>
      </w:pPr>
      <w:r>
        <w:rPr>
          <w:rStyle w:val="FootnoteReference"/>
        </w:rPr>
        <w:footnoteRef/>
      </w:r>
      <w:r>
        <w:t xml:space="preserve"> </w:t>
      </w:r>
      <w:r w:rsidRPr="00227FBD">
        <w:t xml:space="preserve">UNDP, “Review of the Progress of Enforcement of the Gender Equality Act 2015,” 2020, </w:t>
      </w:r>
      <w:r w:rsidRPr="00DC6FAF">
        <w:t>https://www.th.undp.org/content/dam/thailand/docs/UNDP%20TH_Gender%20Equality%20Act.pdf</w:t>
      </w:r>
      <w:r w:rsidR="00887428">
        <w:t xml:space="preserve"> (accessed September 30,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28430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C68C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81C51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A695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E92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3C4C9A"/>
    <w:multiLevelType w:val="hybridMultilevel"/>
    <w:tmpl w:val="AC8AD6C8"/>
    <w:lvl w:ilvl="0" w:tplc="205CADEC">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5A7F4B"/>
    <w:multiLevelType w:val="multilevel"/>
    <w:tmpl w:val="5CD8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424CE2"/>
    <w:multiLevelType w:val="hybridMultilevel"/>
    <w:tmpl w:val="1C9841B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EF8154F"/>
    <w:multiLevelType w:val="hybridMultilevel"/>
    <w:tmpl w:val="7A8CE4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AD0096"/>
    <w:multiLevelType w:val="hybridMultilevel"/>
    <w:tmpl w:val="500A0E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4005A7"/>
    <w:multiLevelType w:val="hybridMultilevel"/>
    <w:tmpl w:val="3ABCB70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058152A"/>
    <w:multiLevelType w:val="multilevel"/>
    <w:tmpl w:val="5F6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0833B7"/>
    <w:multiLevelType w:val="hybridMultilevel"/>
    <w:tmpl w:val="FFFFFFFF"/>
    <w:lvl w:ilvl="0" w:tplc="7834E516">
      <w:start w:val="1"/>
      <w:numFmt w:val="bullet"/>
      <w:lvlText w:val="·"/>
      <w:lvlJc w:val="left"/>
      <w:pPr>
        <w:ind w:left="720" w:hanging="360"/>
      </w:pPr>
      <w:rPr>
        <w:rFonts w:ascii="Symbol" w:hAnsi="Symbol" w:hint="default"/>
      </w:rPr>
    </w:lvl>
    <w:lvl w:ilvl="1" w:tplc="34B8C9E6">
      <w:start w:val="1"/>
      <w:numFmt w:val="bullet"/>
      <w:lvlText w:val="o"/>
      <w:lvlJc w:val="left"/>
      <w:pPr>
        <w:ind w:left="1440" w:hanging="360"/>
      </w:pPr>
      <w:rPr>
        <w:rFonts w:ascii="Courier New" w:hAnsi="Courier New" w:hint="default"/>
      </w:rPr>
    </w:lvl>
    <w:lvl w:ilvl="2" w:tplc="125CA9D6">
      <w:start w:val="1"/>
      <w:numFmt w:val="bullet"/>
      <w:lvlText w:val=""/>
      <w:lvlJc w:val="left"/>
      <w:pPr>
        <w:ind w:left="2160" w:hanging="360"/>
      </w:pPr>
      <w:rPr>
        <w:rFonts w:ascii="Wingdings" w:hAnsi="Wingdings" w:hint="default"/>
      </w:rPr>
    </w:lvl>
    <w:lvl w:ilvl="3" w:tplc="2528C75C">
      <w:start w:val="1"/>
      <w:numFmt w:val="bullet"/>
      <w:lvlText w:val=""/>
      <w:lvlJc w:val="left"/>
      <w:pPr>
        <w:ind w:left="2880" w:hanging="360"/>
      </w:pPr>
      <w:rPr>
        <w:rFonts w:ascii="Symbol" w:hAnsi="Symbol" w:hint="default"/>
      </w:rPr>
    </w:lvl>
    <w:lvl w:ilvl="4" w:tplc="B6043FDE">
      <w:start w:val="1"/>
      <w:numFmt w:val="bullet"/>
      <w:lvlText w:val="o"/>
      <w:lvlJc w:val="left"/>
      <w:pPr>
        <w:ind w:left="3600" w:hanging="360"/>
      </w:pPr>
      <w:rPr>
        <w:rFonts w:ascii="Courier New" w:hAnsi="Courier New" w:hint="default"/>
      </w:rPr>
    </w:lvl>
    <w:lvl w:ilvl="5" w:tplc="7DB60FF6">
      <w:start w:val="1"/>
      <w:numFmt w:val="bullet"/>
      <w:lvlText w:val=""/>
      <w:lvlJc w:val="left"/>
      <w:pPr>
        <w:ind w:left="4320" w:hanging="360"/>
      </w:pPr>
      <w:rPr>
        <w:rFonts w:ascii="Wingdings" w:hAnsi="Wingdings" w:hint="default"/>
      </w:rPr>
    </w:lvl>
    <w:lvl w:ilvl="6" w:tplc="D19AAA4A">
      <w:start w:val="1"/>
      <w:numFmt w:val="bullet"/>
      <w:lvlText w:val=""/>
      <w:lvlJc w:val="left"/>
      <w:pPr>
        <w:ind w:left="5040" w:hanging="360"/>
      </w:pPr>
      <w:rPr>
        <w:rFonts w:ascii="Symbol" w:hAnsi="Symbol" w:hint="default"/>
      </w:rPr>
    </w:lvl>
    <w:lvl w:ilvl="7" w:tplc="6EC268E2">
      <w:start w:val="1"/>
      <w:numFmt w:val="bullet"/>
      <w:lvlText w:val="o"/>
      <w:lvlJc w:val="left"/>
      <w:pPr>
        <w:ind w:left="5760" w:hanging="360"/>
      </w:pPr>
      <w:rPr>
        <w:rFonts w:ascii="Courier New" w:hAnsi="Courier New" w:hint="default"/>
      </w:rPr>
    </w:lvl>
    <w:lvl w:ilvl="8" w:tplc="0722F6CA">
      <w:start w:val="1"/>
      <w:numFmt w:val="bullet"/>
      <w:lvlText w:val=""/>
      <w:lvlJc w:val="left"/>
      <w:pPr>
        <w:ind w:left="6480" w:hanging="360"/>
      </w:pPr>
      <w:rPr>
        <w:rFonts w:ascii="Wingdings" w:hAnsi="Wingdings" w:hint="default"/>
      </w:rPr>
    </w:lvl>
  </w:abstractNum>
  <w:abstractNum w:abstractNumId="18" w15:restartNumberingAfterBreak="0">
    <w:nsid w:val="71592818"/>
    <w:multiLevelType w:val="hybridMultilevel"/>
    <w:tmpl w:val="D07225D6"/>
    <w:lvl w:ilvl="0" w:tplc="D290979C">
      <w:start w:val="2020"/>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255096">
    <w:abstractNumId w:val="9"/>
  </w:num>
  <w:num w:numId="2" w16cid:durableId="480929020">
    <w:abstractNumId w:val="7"/>
  </w:num>
  <w:num w:numId="3" w16cid:durableId="445348389">
    <w:abstractNumId w:val="6"/>
  </w:num>
  <w:num w:numId="4" w16cid:durableId="1405643882">
    <w:abstractNumId w:val="8"/>
  </w:num>
  <w:num w:numId="5" w16cid:durableId="941915090">
    <w:abstractNumId w:val="3"/>
  </w:num>
  <w:num w:numId="6" w16cid:durableId="1722171132">
    <w:abstractNumId w:val="2"/>
  </w:num>
  <w:num w:numId="7" w16cid:durableId="486288806">
    <w:abstractNumId w:val="1"/>
  </w:num>
  <w:num w:numId="8" w16cid:durableId="367293559">
    <w:abstractNumId w:val="0"/>
  </w:num>
  <w:num w:numId="9" w16cid:durableId="567308210">
    <w:abstractNumId w:val="5"/>
  </w:num>
  <w:num w:numId="10" w16cid:durableId="1367483993">
    <w:abstractNumId w:val="4"/>
  </w:num>
  <w:num w:numId="11" w16cid:durableId="1437291535">
    <w:abstractNumId w:val="10"/>
  </w:num>
  <w:num w:numId="12" w16cid:durableId="424886852">
    <w:abstractNumId w:val="18"/>
  </w:num>
  <w:num w:numId="13" w16cid:durableId="989987874">
    <w:abstractNumId w:val="17"/>
  </w:num>
  <w:num w:numId="14" w16cid:durableId="1063066030">
    <w:abstractNumId w:val="11"/>
  </w:num>
  <w:num w:numId="15" w16cid:durableId="1448622126">
    <w:abstractNumId w:val="16"/>
  </w:num>
  <w:num w:numId="16" w16cid:durableId="260309222">
    <w:abstractNumId w:val="13"/>
  </w:num>
  <w:num w:numId="17" w16cid:durableId="1260796229">
    <w:abstractNumId w:val="14"/>
  </w:num>
  <w:num w:numId="18" w16cid:durableId="1028334033">
    <w:abstractNumId w:val="12"/>
  </w:num>
  <w:num w:numId="19" w16cid:durableId="4177922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2CE"/>
    <w:rsid w:val="00001F5A"/>
    <w:rsid w:val="000060C0"/>
    <w:rsid w:val="000062F2"/>
    <w:rsid w:val="00006CBE"/>
    <w:rsid w:val="000121C5"/>
    <w:rsid w:val="00021884"/>
    <w:rsid w:val="000223A9"/>
    <w:rsid w:val="0003027E"/>
    <w:rsid w:val="0003112F"/>
    <w:rsid w:val="000322D8"/>
    <w:rsid w:val="0003243C"/>
    <w:rsid w:val="00035D86"/>
    <w:rsid w:val="00035E96"/>
    <w:rsid w:val="00036DBC"/>
    <w:rsid w:val="00040AAE"/>
    <w:rsid w:val="00046848"/>
    <w:rsid w:val="00047D36"/>
    <w:rsid w:val="0005084F"/>
    <w:rsid w:val="0005233D"/>
    <w:rsid w:val="00055524"/>
    <w:rsid w:val="000555CD"/>
    <w:rsid w:val="0005624B"/>
    <w:rsid w:val="00067200"/>
    <w:rsid w:val="00073015"/>
    <w:rsid w:val="000738A5"/>
    <w:rsid w:val="000749A1"/>
    <w:rsid w:val="00075BD1"/>
    <w:rsid w:val="000828FD"/>
    <w:rsid w:val="00087D6B"/>
    <w:rsid w:val="00091357"/>
    <w:rsid w:val="000A3FC6"/>
    <w:rsid w:val="000A4962"/>
    <w:rsid w:val="000A70E9"/>
    <w:rsid w:val="000B447F"/>
    <w:rsid w:val="000C02F3"/>
    <w:rsid w:val="000C4C22"/>
    <w:rsid w:val="000C7C90"/>
    <w:rsid w:val="000D4492"/>
    <w:rsid w:val="000D63AD"/>
    <w:rsid w:val="000E312E"/>
    <w:rsid w:val="000E3A20"/>
    <w:rsid w:val="000E5EC8"/>
    <w:rsid w:val="000F004B"/>
    <w:rsid w:val="000F2938"/>
    <w:rsid w:val="000F41F9"/>
    <w:rsid w:val="000F62F3"/>
    <w:rsid w:val="0010173E"/>
    <w:rsid w:val="00101FC1"/>
    <w:rsid w:val="00110797"/>
    <w:rsid w:val="00110E54"/>
    <w:rsid w:val="001112E3"/>
    <w:rsid w:val="001240A4"/>
    <w:rsid w:val="00136325"/>
    <w:rsid w:val="0013644C"/>
    <w:rsid w:val="00145547"/>
    <w:rsid w:val="0014563D"/>
    <w:rsid w:val="00145C57"/>
    <w:rsid w:val="00146D0B"/>
    <w:rsid w:val="00150DE9"/>
    <w:rsid w:val="00152F19"/>
    <w:rsid w:val="00154D39"/>
    <w:rsid w:val="001562CE"/>
    <w:rsid w:val="00162862"/>
    <w:rsid w:val="00164311"/>
    <w:rsid w:val="00167976"/>
    <w:rsid w:val="00172162"/>
    <w:rsid w:val="00174BFC"/>
    <w:rsid w:val="00174F82"/>
    <w:rsid w:val="00175027"/>
    <w:rsid w:val="00184F9B"/>
    <w:rsid w:val="0018655D"/>
    <w:rsid w:val="00190AED"/>
    <w:rsid w:val="00190C0D"/>
    <w:rsid w:val="00190D29"/>
    <w:rsid w:val="001A2C45"/>
    <w:rsid w:val="001A5FD4"/>
    <w:rsid w:val="001B1EBB"/>
    <w:rsid w:val="001B6E81"/>
    <w:rsid w:val="001B7CA1"/>
    <w:rsid w:val="001C4504"/>
    <w:rsid w:val="001D593B"/>
    <w:rsid w:val="001D7DAB"/>
    <w:rsid w:val="001E3524"/>
    <w:rsid w:val="001E4B53"/>
    <w:rsid w:val="001F49F2"/>
    <w:rsid w:val="001F6600"/>
    <w:rsid w:val="0020431A"/>
    <w:rsid w:val="00205D11"/>
    <w:rsid w:val="002100E2"/>
    <w:rsid w:val="00210337"/>
    <w:rsid w:val="00211081"/>
    <w:rsid w:val="0021386B"/>
    <w:rsid w:val="00216A43"/>
    <w:rsid w:val="002229AD"/>
    <w:rsid w:val="00227FBD"/>
    <w:rsid w:val="002327D8"/>
    <w:rsid w:val="002338B1"/>
    <w:rsid w:val="00236C8F"/>
    <w:rsid w:val="00247F05"/>
    <w:rsid w:val="0025052F"/>
    <w:rsid w:val="00254EFE"/>
    <w:rsid w:val="00255FE1"/>
    <w:rsid w:val="00260B07"/>
    <w:rsid w:val="00263CA5"/>
    <w:rsid w:val="0026433F"/>
    <w:rsid w:val="00273479"/>
    <w:rsid w:val="00276254"/>
    <w:rsid w:val="00280299"/>
    <w:rsid w:val="002804DC"/>
    <w:rsid w:val="002838D5"/>
    <w:rsid w:val="002911D0"/>
    <w:rsid w:val="00291775"/>
    <w:rsid w:val="002A25B3"/>
    <w:rsid w:val="002A5583"/>
    <w:rsid w:val="002A642C"/>
    <w:rsid w:val="002A6B46"/>
    <w:rsid w:val="002A7210"/>
    <w:rsid w:val="002C081E"/>
    <w:rsid w:val="002C21E1"/>
    <w:rsid w:val="002C2B1F"/>
    <w:rsid w:val="002C44ED"/>
    <w:rsid w:val="002C59FD"/>
    <w:rsid w:val="002D57B7"/>
    <w:rsid w:val="002D6F61"/>
    <w:rsid w:val="002E01C8"/>
    <w:rsid w:val="002E415E"/>
    <w:rsid w:val="002E6B38"/>
    <w:rsid w:val="002E7830"/>
    <w:rsid w:val="002F22F0"/>
    <w:rsid w:val="002F367C"/>
    <w:rsid w:val="002F4C34"/>
    <w:rsid w:val="002F6E12"/>
    <w:rsid w:val="003051FB"/>
    <w:rsid w:val="003065BA"/>
    <w:rsid w:val="00307146"/>
    <w:rsid w:val="00311814"/>
    <w:rsid w:val="003121A1"/>
    <w:rsid w:val="003136B3"/>
    <w:rsid w:val="00313EAC"/>
    <w:rsid w:val="003250F8"/>
    <w:rsid w:val="003309EF"/>
    <w:rsid w:val="00335FBB"/>
    <w:rsid w:val="00337763"/>
    <w:rsid w:val="0034239D"/>
    <w:rsid w:val="003437E6"/>
    <w:rsid w:val="0034429B"/>
    <w:rsid w:val="0034436D"/>
    <w:rsid w:val="00346B27"/>
    <w:rsid w:val="0034700F"/>
    <w:rsid w:val="00347181"/>
    <w:rsid w:val="0035372B"/>
    <w:rsid w:val="0035583E"/>
    <w:rsid w:val="00356BD6"/>
    <w:rsid w:val="0036412A"/>
    <w:rsid w:val="003650C2"/>
    <w:rsid w:val="0036724C"/>
    <w:rsid w:val="00375224"/>
    <w:rsid w:val="00382F6F"/>
    <w:rsid w:val="003833B4"/>
    <w:rsid w:val="00385DA3"/>
    <w:rsid w:val="003905B6"/>
    <w:rsid w:val="00390DAC"/>
    <w:rsid w:val="003A7BB8"/>
    <w:rsid w:val="003A7D31"/>
    <w:rsid w:val="003B20DC"/>
    <w:rsid w:val="003B4B8D"/>
    <w:rsid w:val="003B61CC"/>
    <w:rsid w:val="003C13B8"/>
    <w:rsid w:val="003C5D2B"/>
    <w:rsid w:val="003D22D7"/>
    <w:rsid w:val="003D2717"/>
    <w:rsid w:val="003D4DA3"/>
    <w:rsid w:val="003D4F0A"/>
    <w:rsid w:val="003D64AE"/>
    <w:rsid w:val="003F63D2"/>
    <w:rsid w:val="00403761"/>
    <w:rsid w:val="00404CE1"/>
    <w:rsid w:val="00404E4F"/>
    <w:rsid w:val="004073C9"/>
    <w:rsid w:val="00415120"/>
    <w:rsid w:val="00422E03"/>
    <w:rsid w:val="00423CDA"/>
    <w:rsid w:val="00425145"/>
    <w:rsid w:val="00425FE7"/>
    <w:rsid w:val="00427647"/>
    <w:rsid w:val="0042783F"/>
    <w:rsid w:val="00445607"/>
    <w:rsid w:val="0044629B"/>
    <w:rsid w:val="0045275D"/>
    <w:rsid w:val="00460AE5"/>
    <w:rsid w:val="004623BE"/>
    <w:rsid w:val="00463AD2"/>
    <w:rsid w:val="0047144F"/>
    <w:rsid w:val="004726E4"/>
    <w:rsid w:val="00477227"/>
    <w:rsid w:val="0048254C"/>
    <w:rsid w:val="00482A53"/>
    <w:rsid w:val="0048678F"/>
    <w:rsid w:val="0049041C"/>
    <w:rsid w:val="004920F4"/>
    <w:rsid w:val="00495FBD"/>
    <w:rsid w:val="00497858"/>
    <w:rsid w:val="004A051E"/>
    <w:rsid w:val="004A2B10"/>
    <w:rsid w:val="004A5DE6"/>
    <w:rsid w:val="004A6C75"/>
    <w:rsid w:val="004B1999"/>
    <w:rsid w:val="004C38F8"/>
    <w:rsid w:val="004C3C61"/>
    <w:rsid w:val="004C3F8D"/>
    <w:rsid w:val="004D3DB4"/>
    <w:rsid w:val="004D42D3"/>
    <w:rsid w:val="004D4AAB"/>
    <w:rsid w:val="004D5EFA"/>
    <w:rsid w:val="004E340D"/>
    <w:rsid w:val="004E498E"/>
    <w:rsid w:val="004E7638"/>
    <w:rsid w:val="004E7E95"/>
    <w:rsid w:val="004F32FF"/>
    <w:rsid w:val="004F6E7C"/>
    <w:rsid w:val="00502B7B"/>
    <w:rsid w:val="005052AF"/>
    <w:rsid w:val="00506EAA"/>
    <w:rsid w:val="00513300"/>
    <w:rsid w:val="00516D9D"/>
    <w:rsid w:val="00523684"/>
    <w:rsid w:val="005306AD"/>
    <w:rsid w:val="005316CD"/>
    <w:rsid w:val="005401BB"/>
    <w:rsid w:val="00540EF4"/>
    <w:rsid w:val="00555783"/>
    <w:rsid w:val="00557BEA"/>
    <w:rsid w:val="00562D7A"/>
    <w:rsid w:val="005705C3"/>
    <w:rsid w:val="00572609"/>
    <w:rsid w:val="00574D52"/>
    <w:rsid w:val="005767FD"/>
    <w:rsid w:val="00580522"/>
    <w:rsid w:val="00582306"/>
    <w:rsid w:val="00584BD0"/>
    <w:rsid w:val="005A21E0"/>
    <w:rsid w:val="005B79DC"/>
    <w:rsid w:val="005C1E44"/>
    <w:rsid w:val="005C207C"/>
    <w:rsid w:val="005C4B5B"/>
    <w:rsid w:val="005D0688"/>
    <w:rsid w:val="005D72E5"/>
    <w:rsid w:val="005F52C9"/>
    <w:rsid w:val="00603250"/>
    <w:rsid w:val="00606F11"/>
    <w:rsid w:val="00611A6B"/>
    <w:rsid w:val="00611EB8"/>
    <w:rsid w:val="00613D12"/>
    <w:rsid w:val="00616852"/>
    <w:rsid w:val="006219C8"/>
    <w:rsid w:val="006242A8"/>
    <w:rsid w:val="00625BC5"/>
    <w:rsid w:val="006360F2"/>
    <w:rsid w:val="006363CF"/>
    <w:rsid w:val="00636860"/>
    <w:rsid w:val="006426AD"/>
    <w:rsid w:val="00645A9B"/>
    <w:rsid w:val="00645B82"/>
    <w:rsid w:val="00646728"/>
    <w:rsid w:val="00654E34"/>
    <w:rsid w:val="00655D7A"/>
    <w:rsid w:val="0066656C"/>
    <w:rsid w:val="00671F04"/>
    <w:rsid w:val="00683EFC"/>
    <w:rsid w:val="00691C6B"/>
    <w:rsid w:val="006933E9"/>
    <w:rsid w:val="0069487E"/>
    <w:rsid w:val="006965E1"/>
    <w:rsid w:val="006972E4"/>
    <w:rsid w:val="00697F2B"/>
    <w:rsid w:val="006B04E1"/>
    <w:rsid w:val="006B2183"/>
    <w:rsid w:val="006B784D"/>
    <w:rsid w:val="006C3997"/>
    <w:rsid w:val="006D2AC0"/>
    <w:rsid w:val="006E15F3"/>
    <w:rsid w:val="006E75A3"/>
    <w:rsid w:val="00700173"/>
    <w:rsid w:val="00711FA5"/>
    <w:rsid w:val="007121A8"/>
    <w:rsid w:val="007146C0"/>
    <w:rsid w:val="00732846"/>
    <w:rsid w:val="00732EE9"/>
    <w:rsid w:val="00736023"/>
    <w:rsid w:val="00737310"/>
    <w:rsid w:val="00741E62"/>
    <w:rsid w:val="007431AF"/>
    <w:rsid w:val="00746864"/>
    <w:rsid w:val="00751073"/>
    <w:rsid w:val="007524BC"/>
    <w:rsid w:val="00754BAC"/>
    <w:rsid w:val="00762944"/>
    <w:rsid w:val="00764897"/>
    <w:rsid w:val="007704B0"/>
    <w:rsid w:val="00777E83"/>
    <w:rsid w:val="00781B60"/>
    <w:rsid w:val="00781BA5"/>
    <w:rsid w:val="007845E7"/>
    <w:rsid w:val="00784712"/>
    <w:rsid w:val="007852FD"/>
    <w:rsid w:val="00790A15"/>
    <w:rsid w:val="007974B1"/>
    <w:rsid w:val="007A7874"/>
    <w:rsid w:val="007A7F26"/>
    <w:rsid w:val="007A7F64"/>
    <w:rsid w:val="007B3CEE"/>
    <w:rsid w:val="007B68A0"/>
    <w:rsid w:val="007B77FB"/>
    <w:rsid w:val="007C3160"/>
    <w:rsid w:val="007C4FA4"/>
    <w:rsid w:val="007C6F37"/>
    <w:rsid w:val="007D2F1D"/>
    <w:rsid w:val="007D7B0D"/>
    <w:rsid w:val="007E06E9"/>
    <w:rsid w:val="007E0EFF"/>
    <w:rsid w:val="007E5A33"/>
    <w:rsid w:val="007F5F87"/>
    <w:rsid w:val="00802A55"/>
    <w:rsid w:val="00812A05"/>
    <w:rsid w:val="00816444"/>
    <w:rsid w:val="00821720"/>
    <w:rsid w:val="008234A1"/>
    <w:rsid w:val="00826C49"/>
    <w:rsid w:val="00834D8F"/>
    <w:rsid w:val="008372A5"/>
    <w:rsid w:val="00840E0D"/>
    <w:rsid w:val="00840F08"/>
    <w:rsid w:val="008455D2"/>
    <w:rsid w:val="00851B81"/>
    <w:rsid w:val="00852F26"/>
    <w:rsid w:val="008553E0"/>
    <w:rsid w:val="0085728B"/>
    <w:rsid w:val="008723C9"/>
    <w:rsid w:val="00884237"/>
    <w:rsid w:val="00884EA6"/>
    <w:rsid w:val="00887428"/>
    <w:rsid w:val="00891FC4"/>
    <w:rsid w:val="008922BB"/>
    <w:rsid w:val="00894B92"/>
    <w:rsid w:val="0089513B"/>
    <w:rsid w:val="00895B01"/>
    <w:rsid w:val="00895E3F"/>
    <w:rsid w:val="008A6A14"/>
    <w:rsid w:val="008A718F"/>
    <w:rsid w:val="008B21E0"/>
    <w:rsid w:val="008C14D9"/>
    <w:rsid w:val="008C1AD3"/>
    <w:rsid w:val="008C2337"/>
    <w:rsid w:val="008D2F46"/>
    <w:rsid w:val="008D64A1"/>
    <w:rsid w:val="008E0B58"/>
    <w:rsid w:val="008E1966"/>
    <w:rsid w:val="008E38C1"/>
    <w:rsid w:val="008E602E"/>
    <w:rsid w:val="008E651D"/>
    <w:rsid w:val="008E6760"/>
    <w:rsid w:val="008F0053"/>
    <w:rsid w:val="008F1211"/>
    <w:rsid w:val="008F2EE6"/>
    <w:rsid w:val="008F3ACC"/>
    <w:rsid w:val="009049F4"/>
    <w:rsid w:val="009068E0"/>
    <w:rsid w:val="009143D6"/>
    <w:rsid w:val="00914909"/>
    <w:rsid w:val="00916597"/>
    <w:rsid w:val="00916BF3"/>
    <w:rsid w:val="00924A61"/>
    <w:rsid w:val="00927268"/>
    <w:rsid w:val="009278BD"/>
    <w:rsid w:val="009324FF"/>
    <w:rsid w:val="00933E6A"/>
    <w:rsid w:val="00935B9A"/>
    <w:rsid w:val="00937C33"/>
    <w:rsid w:val="009412F4"/>
    <w:rsid w:val="0094324D"/>
    <w:rsid w:val="00952C53"/>
    <w:rsid w:val="00952CAB"/>
    <w:rsid w:val="009650CC"/>
    <w:rsid w:val="00965E18"/>
    <w:rsid w:val="009671A4"/>
    <w:rsid w:val="0097096B"/>
    <w:rsid w:val="009712EC"/>
    <w:rsid w:val="009732BD"/>
    <w:rsid w:val="00990DF4"/>
    <w:rsid w:val="009A0664"/>
    <w:rsid w:val="009B7D12"/>
    <w:rsid w:val="009C114E"/>
    <w:rsid w:val="009C5AEC"/>
    <w:rsid w:val="009C653E"/>
    <w:rsid w:val="009D08E9"/>
    <w:rsid w:val="009D0DC8"/>
    <w:rsid w:val="009D19F1"/>
    <w:rsid w:val="009E2239"/>
    <w:rsid w:val="009F07FC"/>
    <w:rsid w:val="00A00677"/>
    <w:rsid w:val="00A07F1F"/>
    <w:rsid w:val="00A14595"/>
    <w:rsid w:val="00A15338"/>
    <w:rsid w:val="00A165A5"/>
    <w:rsid w:val="00A224DB"/>
    <w:rsid w:val="00A24406"/>
    <w:rsid w:val="00A33FFE"/>
    <w:rsid w:val="00A35DF8"/>
    <w:rsid w:val="00A41AE0"/>
    <w:rsid w:val="00A41C5A"/>
    <w:rsid w:val="00A4279F"/>
    <w:rsid w:val="00A44D90"/>
    <w:rsid w:val="00A510DA"/>
    <w:rsid w:val="00A51411"/>
    <w:rsid w:val="00A51CF3"/>
    <w:rsid w:val="00A53A35"/>
    <w:rsid w:val="00A626F1"/>
    <w:rsid w:val="00A67814"/>
    <w:rsid w:val="00A67F40"/>
    <w:rsid w:val="00A720F3"/>
    <w:rsid w:val="00A73C84"/>
    <w:rsid w:val="00A76F0A"/>
    <w:rsid w:val="00A80DE3"/>
    <w:rsid w:val="00A83ED0"/>
    <w:rsid w:val="00A95594"/>
    <w:rsid w:val="00A96EEB"/>
    <w:rsid w:val="00AA37AC"/>
    <w:rsid w:val="00AA4B7B"/>
    <w:rsid w:val="00AB68B1"/>
    <w:rsid w:val="00AC01C7"/>
    <w:rsid w:val="00AC0E68"/>
    <w:rsid w:val="00AC0F3F"/>
    <w:rsid w:val="00AC43AA"/>
    <w:rsid w:val="00AC6633"/>
    <w:rsid w:val="00AC67B3"/>
    <w:rsid w:val="00AD1569"/>
    <w:rsid w:val="00AD2562"/>
    <w:rsid w:val="00AD47BD"/>
    <w:rsid w:val="00AD5ED2"/>
    <w:rsid w:val="00AD6D07"/>
    <w:rsid w:val="00AE14EA"/>
    <w:rsid w:val="00AE165F"/>
    <w:rsid w:val="00AE433E"/>
    <w:rsid w:val="00AE7F16"/>
    <w:rsid w:val="00AF2363"/>
    <w:rsid w:val="00B04313"/>
    <w:rsid w:val="00B10343"/>
    <w:rsid w:val="00B10996"/>
    <w:rsid w:val="00B11A38"/>
    <w:rsid w:val="00B24E0D"/>
    <w:rsid w:val="00B25D84"/>
    <w:rsid w:val="00B43070"/>
    <w:rsid w:val="00B55B9B"/>
    <w:rsid w:val="00B6043A"/>
    <w:rsid w:val="00B62494"/>
    <w:rsid w:val="00B65EDB"/>
    <w:rsid w:val="00B72AC1"/>
    <w:rsid w:val="00B804D2"/>
    <w:rsid w:val="00B85DA4"/>
    <w:rsid w:val="00B920B2"/>
    <w:rsid w:val="00B93A7F"/>
    <w:rsid w:val="00B949A9"/>
    <w:rsid w:val="00B9590D"/>
    <w:rsid w:val="00BA2A98"/>
    <w:rsid w:val="00BA2B89"/>
    <w:rsid w:val="00BA5B1E"/>
    <w:rsid w:val="00BA7E57"/>
    <w:rsid w:val="00BB0AF1"/>
    <w:rsid w:val="00BB6C7B"/>
    <w:rsid w:val="00BB7BC8"/>
    <w:rsid w:val="00BC1ADE"/>
    <w:rsid w:val="00BC2886"/>
    <w:rsid w:val="00BC2FBE"/>
    <w:rsid w:val="00BD54BB"/>
    <w:rsid w:val="00BE2008"/>
    <w:rsid w:val="00BE4388"/>
    <w:rsid w:val="00BE67A2"/>
    <w:rsid w:val="00BF17AF"/>
    <w:rsid w:val="00BF35E6"/>
    <w:rsid w:val="00C27145"/>
    <w:rsid w:val="00C30F44"/>
    <w:rsid w:val="00C32BF1"/>
    <w:rsid w:val="00C3544F"/>
    <w:rsid w:val="00C362D4"/>
    <w:rsid w:val="00C4075E"/>
    <w:rsid w:val="00C41252"/>
    <w:rsid w:val="00C45DCF"/>
    <w:rsid w:val="00C47739"/>
    <w:rsid w:val="00C64840"/>
    <w:rsid w:val="00C71A09"/>
    <w:rsid w:val="00C74B7C"/>
    <w:rsid w:val="00C75243"/>
    <w:rsid w:val="00C85F23"/>
    <w:rsid w:val="00C948AD"/>
    <w:rsid w:val="00C94CC0"/>
    <w:rsid w:val="00C95290"/>
    <w:rsid w:val="00C97129"/>
    <w:rsid w:val="00CA276F"/>
    <w:rsid w:val="00CA761C"/>
    <w:rsid w:val="00CC2EE4"/>
    <w:rsid w:val="00CC2FD4"/>
    <w:rsid w:val="00CC50BD"/>
    <w:rsid w:val="00CC647A"/>
    <w:rsid w:val="00CD4AE4"/>
    <w:rsid w:val="00CD53F0"/>
    <w:rsid w:val="00CF3100"/>
    <w:rsid w:val="00D055C2"/>
    <w:rsid w:val="00D22C1E"/>
    <w:rsid w:val="00D23F37"/>
    <w:rsid w:val="00D322C0"/>
    <w:rsid w:val="00D3247F"/>
    <w:rsid w:val="00D34753"/>
    <w:rsid w:val="00D400D4"/>
    <w:rsid w:val="00D45E94"/>
    <w:rsid w:val="00D47655"/>
    <w:rsid w:val="00D50618"/>
    <w:rsid w:val="00D61AB6"/>
    <w:rsid w:val="00D63FDE"/>
    <w:rsid w:val="00D649E7"/>
    <w:rsid w:val="00D65317"/>
    <w:rsid w:val="00D66544"/>
    <w:rsid w:val="00D67004"/>
    <w:rsid w:val="00D71018"/>
    <w:rsid w:val="00D76948"/>
    <w:rsid w:val="00D76FAB"/>
    <w:rsid w:val="00D77567"/>
    <w:rsid w:val="00D80E8B"/>
    <w:rsid w:val="00D81631"/>
    <w:rsid w:val="00D81C0D"/>
    <w:rsid w:val="00D87F87"/>
    <w:rsid w:val="00D9345E"/>
    <w:rsid w:val="00DA074D"/>
    <w:rsid w:val="00DA240C"/>
    <w:rsid w:val="00DA5A53"/>
    <w:rsid w:val="00DA7B40"/>
    <w:rsid w:val="00DA7CC5"/>
    <w:rsid w:val="00DB13AC"/>
    <w:rsid w:val="00DB3253"/>
    <w:rsid w:val="00DB6460"/>
    <w:rsid w:val="00DC6454"/>
    <w:rsid w:val="00DC6FAF"/>
    <w:rsid w:val="00DD44A0"/>
    <w:rsid w:val="00DE0048"/>
    <w:rsid w:val="00DE2A8E"/>
    <w:rsid w:val="00DE314A"/>
    <w:rsid w:val="00DE4624"/>
    <w:rsid w:val="00DE47FF"/>
    <w:rsid w:val="00DF2A7A"/>
    <w:rsid w:val="00DF53BA"/>
    <w:rsid w:val="00DF6CD2"/>
    <w:rsid w:val="00E04233"/>
    <w:rsid w:val="00E069FB"/>
    <w:rsid w:val="00E075C1"/>
    <w:rsid w:val="00E13A99"/>
    <w:rsid w:val="00E147D8"/>
    <w:rsid w:val="00E17F13"/>
    <w:rsid w:val="00E21B1A"/>
    <w:rsid w:val="00E30FB1"/>
    <w:rsid w:val="00E327B9"/>
    <w:rsid w:val="00E33703"/>
    <w:rsid w:val="00E34652"/>
    <w:rsid w:val="00E36714"/>
    <w:rsid w:val="00E37B51"/>
    <w:rsid w:val="00E41FB8"/>
    <w:rsid w:val="00E46421"/>
    <w:rsid w:val="00E46E1C"/>
    <w:rsid w:val="00E521D7"/>
    <w:rsid w:val="00E556C1"/>
    <w:rsid w:val="00E57DCC"/>
    <w:rsid w:val="00E62B86"/>
    <w:rsid w:val="00E64907"/>
    <w:rsid w:val="00E71C79"/>
    <w:rsid w:val="00E7677D"/>
    <w:rsid w:val="00E818AE"/>
    <w:rsid w:val="00E82362"/>
    <w:rsid w:val="00E8238F"/>
    <w:rsid w:val="00E844EF"/>
    <w:rsid w:val="00E90A53"/>
    <w:rsid w:val="00E925B9"/>
    <w:rsid w:val="00E93791"/>
    <w:rsid w:val="00E93A7D"/>
    <w:rsid w:val="00E96373"/>
    <w:rsid w:val="00EA1395"/>
    <w:rsid w:val="00EA1D05"/>
    <w:rsid w:val="00EA20B5"/>
    <w:rsid w:val="00EA7827"/>
    <w:rsid w:val="00EC0EDF"/>
    <w:rsid w:val="00ED2B5C"/>
    <w:rsid w:val="00ED39FF"/>
    <w:rsid w:val="00EE0397"/>
    <w:rsid w:val="00EE1760"/>
    <w:rsid w:val="00EE2844"/>
    <w:rsid w:val="00EE793D"/>
    <w:rsid w:val="00EF0529"/>
    <w:rsid w:val="00EF2903"/>
    <w:rsid w:val="00EF2BC1"/>
    <w:rsid w:val="00EF5533"/>
    <w:rsid w:val="00F015D0"/>
    <w:rsid w:val="00F04215"/>
    <w:rsid w:val="00F06FE5"/>
    <w:rsid w:val="00F10C20"/>
    <w:rsid w:val="00F1106D"/>
    <w:rsid w:val="00F14148"/>
    <w:rsid w:val="00F15C70"/>
    <w:rsid w:val="00F2073F"/>
    <w:rsid w:val="00F21B7C"/>
    <w:rsid w:val="00F23162"/>
    <w:rsid w:val="00F237D2"/>
    <w:rsid w:val="00F24A9F"/>
    <w:rsid w:val="00F30CE1"/>
    <w:rsid w:val="00F3370C"/>
    <w:rsid w:val="00F35862"/>
    <w:rsid w:val="00F436C7"/>
    <w:rsid w:val="00F44923"/>
    <w:rsid w:val="00F471D6"/>
    <w:rsid w:val="00F50774"/>
    <w:rsid w:val="00F52D10"/>
    <w:rsid w:val="00F52EDA"/>
    <w:rsid w:val="00F55688"/>
    <w:rsid w:val="00F62C75"/>
    <w:rsid w:val="00F6448B"/>
    <w:rsid w:val="00F64FB8"/>
    <w:rsid w:val="00F67141"/>
    <w:rsid w:val="00F753A3"/>
    <w:rsid w:val="00F75522"/>
    <w:rsid w:val="00F77A29"/>
    <w:rsid w:val="00F77D4E"/>
    <w:rsid w:val="00F80001"/>
    <w:rsid w:val="00F85888"/>
    <w:rsid w:val="00F85F4A"/>
    <w:rsid w:val="00F939C2"/>
    <w:rsid w:val="00F95297"/>
    <w:rsid w:val="00F95C10"/>
    <w:rsid w:val="00FA1862"/>
    <w:rsid w:val="00FA2DDE"/>
    <w:rsid w:val="00FA3736"/>
    <w:rsid w:val="00FA58AC"/>
    <w:rsid w:val="00FA6944"/>
    <w:rsid w:val="00FB1911"/>
    <w:rsid w:val="00FC0E2A"/>
    <w:rsid w:val="00FC21BE"/>
    <w:rsid w:val="00FC396C"/>
    <w:rsid w:val="00FC4327"/>
    <w:rsid w:val="00FC515F"/>
    <w:rsid w:val="00FC6662"/>
    <w:rsid w:val="00FD4038"/>
    <w:rsid w:val="00FF61F1"/>
    <w:rsid w:val="07D2DF50"/>
    <w:rsid w:val="08E69E43"/>
    <w:rsid w:val="0BC20EB1"/>
    <w:rsid w:val="11421FFD"/>
    <w:rsid w:val="1237A60C"/>
    <w:rsid w:val="144BC71E"/>
    <w:rsid w:val="156E7924"/>
    <w:rsid w:val="16259DD3"/>
    <w:rsid w:val="165CAD94"/>
    <w:rsid w:val="18887112"/>
    <w:rsid w:val="198F05CF"/>
    <w:rsid w:val="23A5A37F"/>
    <w:rsid w:val="24BF7CCE"/>
    <w:rsid w:val="272B5A8A"/>
    <w:rsid w:val="2773E407"/>
    <w:rsid w:val="29DCADF9"/>
    <w:rsid w:val="2BABC702"/>
    <w:rsid w:val="2C2CFCD9"/>
    <w:rsid w:val="2F591BA7"/>
    <w:rsid w:val="33665E05"/>
    <w:rsid w:val="336F7302"/>
    <w:rsid w:val="33CC0FCD"/>
    <w:rsid w:val="40BCF2EF"/>
    <w:rsid w:val="441A786F"/>
    <w:rsid w:val="4665D3C3"/>
    <w:rsid w:val="480FF4FD"/>
    <w:rsid w:val="49D20538"/>
    <w:rsid w:val="4FDAA045"/>
    <w:rsid w:val="541D0069"/>
    <w:rsid w:val="542DA710"/>
    <w:rsid w:val="55F3DDBC"/>
    <w:rsid w:val="5A4471B0"/>
    <w:rsid w:val="5B1AAC85"/>
    <w:rsid w:val="5B6CC980"/>
    <w:rsid w:val="5C1E8E38"/>
    <w:rsid w:val="5C3A896F"/>
    <w:rsid w:val="5CD151C5"/>
    <w:rsid w:val="62175912"/>
    <w:rsid w:val="62B64C47"/>
    <w:rsid w:val="66A0315D"/>
    <w:rsid w:val="66A91D7C"/>
    <w:rsid w:val="698424E0"/>
    <w:rsid w:val="6AFB3741"/>
    <w:rsid w:val="70AB6CDD"/>
    <w:rsid w:val="71C2C7CD"/>
    <w:rsid w:val="786DFA76"/>
    <w:rsid w:val="793CC8D5"/>
    <w:rsid w:val="7A09CAD7"/>
    <w:rsid w:val="7BA59B38"/>
    <w:rsid w:val="7EB9BF1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08AE9"/>
  <w15:chartTrackingRefBased/>
  <w15:docId w15:val="{90EFF313-80C8-4CE4-BBA8-FC6461671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21E0"/>
    <w:pPr>
      <w:spacing w:line="264" w:lineRule="auto"/>
    </w:pPr>
    <w:rPr>
      <w:rFonts w:ascii="MetaPro-Norm" w:hAnsi="MetaPro-Norm"/>
      <w:sz w:val="22"/>
      <w:szCs w:val="24"/>
      <w:lang w:eastAsia="zh-CN"/>
    </w:rPr>
  </w:style>
  <w:style w:type="paragraph" w:styleId="Heading1">
    <w:name w:val="heading 1"/>
    <w:basedOn w:val="Normal"/>
    <w:next w:val="Normal"/>
    <w:qFormat/>
    <w:rsid w:val="003D4F0A"/>
    <w:pPr>
      <w:spacing w:after="60" w:line="240" w:lineRule="auto"/>
      <w:jc w:val="center"/>
      <w:outlineLvl w:val="0"/>
    </w:pPr>
    <w:rPr>
      <w:rFonts w:ascii="MetaPro-Bold" w:eastAsia="Arial Unicode MS" w:hAnsi="MetaPro-Bold" w:cs="SeriaArabic-Bold"/>
      <w:bCs/>
      <w:sz w:val="34"/>
      <w:szCs w:val="36"/>
    </w:rPr>
  </w:style>
  <w:style w:type="paragraph" w:styleId="Heading2">
    <w:name w:val="heading 2"/>
    <w:basedOn w:val="Normal"/>
    <w:next w:val="Normal"/>
    <w:qFormat/>
    <w:rsid w:val="004B1999"/>
    <w:pPr>
      <w:spacing w:before="60" w:after="60" w:line="240" w:lineRule="auto"/>
      <w:outlineLvl w:val="1"/>
    </w:pPr>
    <w:rPr>
      <w:rFonts w:ascii="MetaPro-CondMedi" w:hAnsi="MetaPro-CondMedi" w:cs="SeriaArabic-Bold"/>
      <w:bCs/>
      <w:sz w:val="30"/>
      <w:szCs w:val="32"/>
    </w:rPr>
  </w:style>
  <w:style w:type="paragraph" w:styleId="Heading3">
    <w:name w:val="heading 3"/>
    <w:basedOn w:val="Normal"/>
    <w:next w:val="Normal"/>
    <w:qFormat/>
    <w:rsid w:val="004B1999"/>
    <w:pPr>
      <w:spacing w:before="60" w:after="60" w:line="240" w:lineRule="auto"/>
      <w:outlineLvl w:val="2"/>
    </w:pPr>
    <w:rPr>
      <w:rFonts w:ascii="MetaPro-CondBookIta" w:hAnsi="MetaPro-CondBookIta" w:cs="SeriaArabic-Bold"/>
      <w:bCs/>
      <w:iCs/>
      <w:sz w:val="26"/>
      <w:szCs w:val="28"/>
    </w:rPr>
  </w:style>
  <w:style w:type="paragraph" w:styleId="Heading4">
    <w:name w:val="heading 4"/>
    <w:basedOn w:val="Normal"/>
    <w:next w:val="Normal"/>
    <w:qFormat/>
    <w:rsid w:val="004B1999"/>
    <w:pPr>
      <w:spacing w:before="60" w:after="60" w:line="240" w:lineRule="auto"/>
      <w:outlineLvl w:val="3"/>
    </w:pPr>
    <w:rPr>
      <w:rFonts w:ascii="MetaPro-Medi" w:hAnsi="MetaPro-Me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506EAA"/>
    <w:pPr>
      <w:spacing w:before="20" w:after="20"/>
      <w:ind w:left="720" w:right="720"/>
    </w:pPr>
  </w:style>
  <w:style w:type="paragraph" w:customStyle="1" w:styleId="Caption1">
    <w:name w:val="Caption1"/>
    <w:basedOn w:val="Normal"/>
    <w:rsid w:val="0020431A"/>
    <w:pPr>
      <w:spacing w:line="240" w:lineRule="auto"/>
    </w:pPr>
    <w:rPr>
      <w:rFonts w:ascii="MetaPro-Medi" w:hAnsi="MetaPro-Medi"/>
      <w:bCs/>
      <w:color w:val="595959"/>
      <w:sz w:val="18"/>
      <w:szCs w:val="20"/>
    </w:rPr>
  </w:style>
  <w:style w:type="paragraph" w:styleId="NormalWeb">
    <w:name w:val="Normal (Web)"/>
    <w:basedOn w:val="Normal"/>
    <w:uiPriority w:val="99"/>
    <w:unhideWhenUsed/>
    <w:rsid w:val="002E6B38"/>
    <w:pPr>
      <w:spacing w:before="100" w:beforeAutospacing="1" w:after="100" w:afterAutospacing="1" w:line="240" w:lineRule="auto"/>
    </w:pPr>
    <w:rPr>
      <w:rFonts w:ascii="Times New Roman" w:eastAsia="Times New Roman" w:hAnsi="Times New Roman"/>
      <w:sz w:val="24"/>
      <w:lang w:eastAsia="en-US"/>
    </w:rPr>
  </w:style>
  <w:style w:type="character" w:styleId="Hyperlink">
    <w:name w:val="Hyperlink"/>
    <w:qFormat/>
    <w:rsid w:val="00EA1D05"/>
    <w:rPr>
      <w:color w:val="0000FF"/>
      <w:u w:val="single"/>
    </w:rPr>
  </w:style>
  <w:style w:type="paragraph" w:styleId="BalloonText">
    <w:name w:val="Balloon Text"/>
    <w:basedOn w:val="Normal"/>
    <w:link w:val="BalloonTextChar"/>
    <w:rsid w:val="00D322C0"/>
    <w:pPr>
      <w:spacing w:line="240" w:lineRule="auto"/>
    </w:pPr>
    <w:rPr>
      <w:rFonts w:ascii="Tahoma" w:hAnsi="Tahoma" w:cs="Tahoma"/>
      <w:sz w:val="16"/>
      <w:szCs w:val="16"/>
    </w:rPr>
  </w:style>
  <w:style w:type="paragraph" w:styleId="Title">
    <w:name w:val="Title"/>
    <w:basedOn w:val="Normal"/>
    <w:qFormat/>
    <w:rsid w:val="004B1999"/>
    <w:pPr>
      <w:spacing w:line="240" w:lineRule="auto"/>
      <w:jc w:val="center"/>
    </w:pPr>
    <w:rPr>
      <w:rFonts w:ascii="MetaPro-CondBold" w:hAnsi="MetaPro-CondBold" w:cs="SeriaArabic-Black"/>
      <w:bCs/>
      <w:sz w:val="36"/>
      <w:szCs w:val="48"/>
    </w:rPr>
  </w:style>
  <w:style w:type="paragraph" w:styleId="Subtitle">
    <w:name w:val="Subtitle"/>
    <w:basedOn w:val="Normal"/>
    <w:qFormat/>
    <w:rsid w:val="004B1999"/>
    <w:pPr>
      <w:spacing w:line="240" w:lineRule="auto"/>
      <w:jc w:val="center"/>
    </w:pPr>
    <w:rPr>
      <w:rFonts w:ascii="MetaPro-CondMedi" w:hAnsi="MetaPro-CondMedi" w:cs="SeriaArabic-Bold"/>
      <w:bCs/>
      <w:sz w:val="30"/>
      <w:szCs w:val="36"/>
    </w:rPr>
  </w:style>
  <w:style w:type="paragraph" w:styleId="Header">
    <w:name w:val="header"/>
    <w:basedOn w:val="Normal"/>
    <w:rsid w:val="0020431A"/>
    <w:rPr>
      <w:rFonts w:ascii="MetaPro-Bold" w:hAnsi="MetaPro-Bold" w:cs="SeriaArabic-Bold"/>
      <w:bCs/>
      <w:smallCaps/>
      <w:sz w:val="20"/>
    </w:rPr>
  </w:style>
  <w:style w:type="paragraph" w:styleId="Footer">
    <w:name w:val="footer"/>
    <w:basedOn w:val="Normal"/>
    <w:link w:val="FooterChar"/>
    <w:uiPriority w:val="99"/>
    <w:rsid w:val="0020431A"/>
    <w:rPr>
      <w:rFonts w:ascii="MetaPro-Bold" w:hAnsi="MetaPro-Bold" w:cs="SeriaArabic-Bold"/>
      <w:bCs/>
      <w:smallCaps/>
      <w:sz w:val="20"/>
      <w:szCs w:val="20"/>
    </w:rPr>
  </w:style>
  <w:style w:type="character" w:styleId="PageNumber">
    <w:name w:val="page number"/>
    <w:rsid w:val="00A224DB"/>
    <w:rPr>
      <w:rFonts w:ascii="MetaPro-Bold" w:hAnsi="MetaPro-Bold" w:cs="Arial"/>
      <w:smallCaps/>
      <w:dstrike w:val="0"/>
      <w:color w:val="auto"/>
      <w:sz w:val="20"/>
      <w:szCs w:val="16"/>
      <w:u w:val="none"/>
      <w:effect w:val="none"/>
      <w:vertAlign w:val="baseline"/>
    </w:rPr>
  </w:style>
  <w:style w:type="paragraph" w:styleId="FootnoteText">
    <w:name w:val="footnote text"/>
    <w:basedOn w:val="Normal"/>
    <w:link w:val="FootnoteTextChar"/>
    <w:uiPriority w:val="99"/>
    <w:rsid w:val="003D4F0A"/>
    <w:pPr>
      <w:spacing w:after="40" w:line="220" w:lineRule="exact"/>
    </w:pPr>
    <w:rPr>
      <w:sz w:val="16"/>
      <w:szCs w:val="20"/>
    </w:rPr>
  </w:style>
  <w:style w:type="character" w:styleId="FootnoteReference">
    <w:name w:val="footnote reference"/>
    <w:uiPriority w:val="99"/>
    <w:rsid w:val="00BA7E57"/>
    <w:rPr>
      <w:rFonts w:ascii="MetaPro-Medi" w:eastAsia="Arial Unicode MS" w:hAnsi="MetaPro-Medi" w:cs="Arial"/>
      <w:color w:val="auto"/>
      <w:sz w:val="22"/>
      <w:szCs w:val="20"/>
      <w:u w:val="none"/>
      <w:vertAlign w:val="superscript"/>
    </w:rPr>
  </w:style>
  <w:style w:type="paragraph" w:styleId="TOC1">
    <w:name w:val="toc 1"/>
    <w:basedOn w:val="Normal"/>
    <w:next w:val="Normal"/>
    <w:autoRedefine/>
    <w:rsid w:val="005A21E0"/>
    <w:pPr>
      <w:spacing w:before="220"/>
    </w:pPr>
    <w:rPr>
      <w:rFonts w:ascii="MetaBold-Roman" w:hAnsi="MetaBold-Roman" w:cs="SeriaArabic-Bold"/>
      <w:bCs/>
    </w:rPr>
  </w:style>
  <w:style w:type="paragraph" w:styleId="TOC2">
    <w:name w:val="toc 2"/>
    <w:basedOn w:val="Normal"/>
    <w:next w:val="Normal"/>
    <w:autoRedefine/>
    <w:rsid w:val="005A21E0"/>
    <w:pPr>
      <w:ind w:left="360"/>
    </w:pPr>
    <w:rPr>
      <w:rFonts w:cs="SeriaArabic"/>
      <w:sz w:val="20"/>
      <w:szCs w:val="20"/>
    </w:rPr>
  </w:style>
  <w:style w:type="paragraph" w:styleId="TOC3">
    <w:name w:val="toc 3"/>
    <w:basedOn w:val="Normal"/>
    <w:next w:val="Normal"/>
    <w:autoRedefine/>
    <w:rsid w:val="005A21E0"/>
    <w:pPr>
      <w:ind w:left="720"/>
    </w:pPr>
    <w:rPr>
      <w:rFonts w:cs="SeriaArabic"/>
      <w:sz w:val="20"/>
      <w:szCs w:val="20"/>
    </w:rPr>
  </w:style>
  <w:style w:type="paragraph" w:styleId="TOC4">
    <w:name w:val="toc 4"/>
    <w:basedOn w:val="Normal"/>
    <w:next w:val="Normal"/>
    <w:autoRedefine/>
    <w:semiHidden/>
    <w:rsid w:val="00952C53"/>
    <w:pPr>
      <w:spacing w:line="300" w:lineRule="auto"/>
      <w:ind w:left="1080"/>
    </w:pPr>
  </w:style>
  <w:style w:type="character" w:customStyle="1" w:styleId="BalloonTextChar">
    <w:name w:val="Balloon Text Char"/>
    <w:link w:val="BalloonText"/>
    <w:rsid w:val="00D322C0"/>
    <w:rPr>
      <w:rFonts w:ascii="Tahoma" w:hAnsi="Tahoma" w:cs="Tahoma"/>
      <w:sz w:val="16"/>
      <w:szCs w:val="16"/>
      <w:lang w:eastAsia="zh-CN"/>
    </w:rPr>
  </w:style>
  <w:style w:type="table" w:styleId="TableGrid">
    <w:name w:val="Table Grid"/>
    <w:basedOn w:val="TableNormal"/>
    <w:rsid w:val="00895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1240A4"/>
    <w:rPr>
      <w:rFonts w:ascii="MetaPro-Bold" w:hAnsi="MetaPro-Bold" w:cs="SeriaArabic-Bold"/>
      <w:bCs/>
      <w:smallCaps/>
      <w:lang w:eastAsia="zh-CN"/>
    </w:rPr>
  </w:style>
  <w:style w:type="character" w:customStyle="1" w:styleId="FootnoteTextChar">
    <w:name w:val="Footnote Text Char"/>
    <w:link w:val="FootnoteText"/>
    <w:uiPriority w:val="99"/>
    <w:rsid w:val="003121A1"/>
    <w:rPr>
      <w:rFonts w:ascii="MetaPro-Norm" w:hAnsi="MetaPro-Norm"/>
      <w:sz w:val="16"/>
      <w:lang w:eastAsia="zh-CN"/>
    </w:rPr>
  </w:style>
  <w:style w:type="character" w:styleId="CommentReference">
    <w:name w:val="annotation reference"/>
    <w:rsid w:val="00190AED"/>
    <w:rPr>
      <w:sz w:val="16"/>
      <w:szCs w:val="16"/>
    </w:rPr>
  </w:style>
  <w:style w:type="paragraph" w:styleId="CommentText">
    <w:name w:val="annotation text"/>
    <w:basedOn w:val="Normal"/>
    <w:link w:val="CommentTextChar"/>
    <w:rsid w:val="00190AED"/>
    <w:rPr>
      <w:sz w:val="20"/>
      <w:szCs w:val="20"/>
    </w:rPr>
  </w:style>
  <w:style w:type="character" w:customStyle="1" w:styleId="CommentTextChar">
    <w:name w:val="Comment Text Char"/>
    <w:link w:val="CommentText"/>
    <w:rsid w:val="00190AED"/>
    <w:rPr>
      <w:rFonts w:ascii="MetaPro-Norm" w:hAnsi="MetaPro-Norm"/>
      <w:lang w:eastAsia="zh-CN"/>
    </w:rPr>
  </w:style>
  <w:style w:type="paragraph" w:styleId="CommentSubject">
    <w:name w:val="annotation subject"/>
    <w:basedOn w:val="CommentText"/>
    <w:next w:val="CommentText"/>
    <w:link w:val="CommentSubjectChar"/>
    <w:rsid w:val="00190AED"/>
    <w:rPr>
      <w:b/>
      <w:bCs/>
    </w:rPr>
  </w:style>
  <w:style w:type="character" w:customStyle="1" w:styleId="CommentSubjectChar">
    <w:name w:val="Comment Subject Char"/>
    <w:link w:val="CommentSubject"/>
    <w:rsid w:val="00190AED"/>
    <w:rPr>
      <w:rFonts w:ascii="MetaPro-Norm" w:hAnsi="MetaPro-Norm"/>
      <w:b/>
      <w:bCs/>
      <w:lang w:eastAsia="zh-CN"/>
    </w:rPr>
  </w:style>
  <w:style w:type="paragraph" w:styleId="ListParagraph">
    <w:name w:val="List Paragraph"/>
    <w:uiPriority w:val="34"/>
    <w:qFormat/>
    <w:rsid w:val="003833B4"/>
    <w:pPr>
      <w:pBdr>
        <w:top w:val="nil"/>
        <w:left w:val="nil"/>
        <w:bottom w:val="nil"/>
        <w:right w:val="nil"/>
        <w:between w:val="nil"/>
        <w:bar w:val="nil"/>
      </w:pBdr>
      <w:spacing w:after="160" w:line="259" w:lineRule="auto"/>
      <w:ind w:left="720"/>
    </w:pPr>
    <w:rPr>
      <w:rFonts w:ascii="Calibri" w:eastAsia="Calibri" w:hAnsi="Calibri" w:cs="Calibri"/>
      <w:color w:val="000000"/>
      <w:sz w:val="22"/>
      <w:szCs w:val="22"/>
      <w:u w:color="000000"/>
      <w:bdr w:val="nil"/>
    </w:rPr>
  </w:style>
  <w:style w:type="character" w:styleId="UnresolvedMention">
    <w:name w:val="Unresolved Mention"/>
    <w:basedOn w:val="DefaultParagraphFont"/>
    <w:uiPriority w:val="99"/>
    <w:semiHidden/>
    <w:unhideWhenUsed/>
    <w:rsid w:val="00AA4B7B"/>
    <w:rPr>
      <w:color w:val="605E5C"/>
      <w:shd w:val="clear" w:color="auto" w:fill="E1DFDD"/>
    </w:rPr>
  </w:style>
  <w:style w:type="paragraph" w:styleId="Revision">
    <w:name w:val="Revision"/>
    <w:hidden/>
    <w:uiPriority w:val="99"/>
    <w:semiHidden/>
    <w:rsid w:val="0034429B"/>
    <w:rPr>
      <w:rFonts w:ascii="MetaPro-Norm" w:hAnsi="MetaPro-Norm"/>
      <w:sz w:val="22"/>
      <w:szCs w:val="24"/>
      <w:lang w:eastAsia="zh-CN"/>
    </w:rPr>
  </w:style>
  <w:style w:type="character" w:styleId="Mention">
    <w:name w:val="Mention"/>
    <w:basedOn w:val="DefaultParagraphFont"/>
    <w:uiPriority w:val="99"/>
    <w:unhideWhenUsed/>
    <w:rsid w:val="008723C9"/>
    <w:rPr>
      <w:color w:val="2B579A"/>
      <w:shd w:val="clear" w:color="auto" w:fill="E1DFDD"/>
    </w:rPr>
  </w:style>
  <w:style w:type="character" w:styleId="FollowedHyperlink">
    <w:name w:val="FollowedHyperlink"/>
    <w:basedOn w:val="DefaultParagraphFont"/>
    <w:rsid w:val="00EA13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8816">
      <w:bodyDiv w:val="1"/>
      <w:marLeft w:val="0"/>
      <w:marRight w:val="0"/>
      <w:marTop w:val="0"/>
      <w:marBottom w:val="0"/>
      <w:divBdr>
        <w:top w:val="none" w:sz="0" w:space="0" w:color="auto"/>
        <w:left w:val="none" w:sz="0" w:space="0" w:color="auto"/>
        <w:bottom w:val="none" w:sz="0" w:space="0" w:color="auto"/>
        <w:right w:val="none" w:sz="0" w:space="0" w:color="auto"/>
      </w:divBdr>
    </w:div>
    <w:div w:id="51970251">
      <w:bodyDiv w:val="1"/>
      <w:marLeft w:val="0"/>
      <w:marRight w:val="0"/>
      <w:marTop w:val="0"/>
      <w:marBottom w:val="0"/>
      <w:divBdr>
        <w:top w:val="none" w:sz="0" w:space="0" w:color="auto"/>
        <w:left w:val="none" w:sz="0" w:space="0" w:color="auto"/>
        <w:bottom w:val="none" w:sz="0" w:space="0" w:color="auto"/>
        <w:right w:val="none" w:sz="0" w:space="0" w:color="auto"/>
      </w:divBdr>
    </w:div>
    <w:div w:id="144051219">
      <w:bodyDiv w:val="1"/>
      <w:marLeft w:val="0"/>
      <w:marRight w:val="0"/>
      <w:marTop w:val="0"/>
      <w:marBottom w:val="0"/>
      <w:divBdr>
        <w:top w:val="none" w:sz="0" w:space="0" w:color="auto"/>
        <w:left w:val="none" w:sz="0" w:space="0" w:color="auto"/>
        <w:bottom w:val="none" w:sz="0" w:space="0" w:color="auto"/>
        <w:right w:val="none" w:sz="0" w:space="0" w:color="auto"/>
      </w:divBdr>
    </w:div>
    <w:div w:id="240410603">
      <w:bodyDiv w:val="1"/>
      <w:marLeft w:val="0"/>
      <w:marRight w:val="0"/>
      <w:marTop w:val="0"/>
      <w:marBottom w:val="0"/>
      <w:divBdr>
        <w:top w:val="none" w:sz="0" w:space="0" w:color="auto"/>
        <w:left w:val="none" w:sz="0" w:space="0" w:color="auto"/>
        <w:bottom w:val="none" w:sz="0" w:space="0" w:color="auto"/>
        <w:right w:val="none" w:sz="0" w:space="0" w:color="auto"/>
      </w:divBdr>
    </w:div>
    <w:div w:id="338702284">
      <w:bodyDiv w:val="1"/>
      <w:marLeft w:val="0"/>
      <w:marRight w:val="0"/>
      <w:marTop w:val="0"/>
      <w:marBottom w:val="0"/>
      <w:divBdr>
        <w:top w:val="none" w:sz="0" w:space="0" w:color="auto"/>
        <w:left w:val="none" w:sz="0" w:space="0" w:color="auto"/>
        <w:bottom w:val="none" w:sz="0" w:space="0" w:color="auto"/>
        <w:right w:val="none" w:sz="0" w:space="0" w:color="auto"/>
      </w:divBdr>
    </w:div>
    <w:div w:id="396513218">
      <w:bodyDiv w:val="1"/>
      <w:marLeft w:val="0"/>
      <w:marRight w:val="0"/>
      <w:marTop w:val="0"/>
      <w:marBottom w:val="0"/>
      <w:divBdr>
        <w:top w:val="none" w:sz="0" w:space="0" w:color="auto"/>
        <w:left w:val="none" w:sz="0" w:space="0" w:color="auto"/>
        <w:bottom w:val="none" w:sz="0" w:space="0" w:color="auto"/>
        <w:right w:val="none" w:sz="0" w:space="0" w:color="auto"/>
      </w:divBdr>
    </w:div>
    <w:div w:id="405222671">
      <w:bodyDiv w:val="1"/>
      <w:marLeft w:val="0"/>
      <w:marRight w:val="0"/>
      <w:marTop w:val="0"/>
      <w:marBottom w:val="0"/>
      <w:divBdr>
        <w:top w:val="none" w:sz="0" w:space="0" w:color="auto"/>
        <w:left w:val="none" w:sz="0" w:space="0" w:color="auto"/>
        <w:bottom w:val="none" w:sz="0" w:space="0" w:color="auto"/>
        <w:right w:val="none" w:sz="0" w:space="0" w:color="auto"/>
      </w:divBdr>
    </w:div>
    <w:div w:id="457796022">
      <w:bodyDiv w:val="1"/>
      <w:marLeft w:val="0"/>
      <w:marRight w:val="0"/>
      <w:marTop w:val="0"/>
      <w:marBottom w:val="0"/>
      <w:divBdr>
        <w:top w:val="none" w:sz="0" w:space="0" w:color="auto"/>
        <w:left w:val="none" w:sz="0" w:space="0" w:color="auto"/>
        <w:bottom w:val="none" w:sz="0" w:space="0" w:color="auto"/>
        <w:right w:val="none" w:sz="0" w:space="0" w:color="auto"/>
      </w:divBdr>
      <w:divsChild>
        <w:div w:id="1227380541">
          <w:marLeft w:val="0"/>
          <w:marRight w:val="0"/>
          <w:marTop w:val="0"/>
          <w:marBottom w:val="0"/>
          <w:divBdr>
            <w:top w:val="none" w:sz="0" w:space="0" w:color="auto"/>
            <w:left w:val="none" w:sz="0" w:space="0" w:color="auto"/>
            <w:bottom w:val="none" w:sz="0" w:space="0" w:color="auto"/>
            <w:right w:val="none" w:sz="0" w:space="0" w:color="auto"/>
          </w:divBdr>
          <w:divsChild>
            <w:div w:id="892233180">
              <w:marLeft w:val="0"/>
              <w:marRight w:val="0"/>
              <w:marTop w:val="0"/>
              <w:marBottom w:val="0"/>
              <w:divBdr>
                <w:top w:val="none" w:sz="0" w:space="0" w:color="auto"/>
                <w:left w:val="none" w:sz="0" w:space="0" w:color="auto"/>
                <w:bottom w:val="none" w:sz="0" w:space="0" w:color="auto"/>
                <w:right w:val="none" w:sz="0" w:space="0" w:color="auto"/>
              </w:divBdr>
              <w:divsChild>
                <w:div w:id="208148099">
                  <w:marLeft w:val="0"/>
                  <w:marRight w:val="0"/>
                  <w:marTop w:val="0"/>
                  <w:marBottom w:val="0"/>
                  <w:divBdr>
                    <w:top w:val="none" w:sz="0" w:space="0" w:color="auto"/>
                    <w:left w:val="none" w:sz="0" w:space="0" w:color="auto"/>
                    <w:bottom w:val="none" w:sz="0" w:space="0" w:color="auto"/>
                    <w:right w:val="none" w:sz="0" w:space="0" w:color="auto"/>
                  </w:divBdr>
                  <w:divsChild>
                    <w:div w:id="179347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587556">
      <w:bodyDiv w:val="1"/>
      <w:marLeft w:val="0"/>
      <w:marRight w:val="0"/>
      <w:marTop w:val="0"/>
      <w:marBottom w:val="0"/>
      <w:divBdr>
        <w:top w:val="none" w:sz="0" w:space="0" w:color="auto"/>
        <w:left w:val="none" w:sz="0" w:space="0" w:color="auto"/>
        <w:bottom w:val="none" w:sz="0" w:space="0" w:color="auto"/>
        <w:right w:val="none" w:sz="0" w:space="0" w:color="auto"/>
      </w:divBdr>
    </w:div>
    <w:div w:id="676732544">
      <w:bodyDiv w:val="1"/>
      <w:marLeft w:val="0"/>
      <w:marRight w:val="0"/>
      <w:marTop w:val="0"/>
      <w:marBottom w:val="0"/>
      <w:divBdr>
        <w:top w:val="none" w:sz="0" w:space="0" w:color="auto"/>
        <w:left w:val="none" w:sz="0" w:space="0" w:color="auto"/>
        <w:bottom w:val="none" w:sz="0" w:space="0" w:color="auto"/>
        <w:right w:val="none" w:sz="0" w:space="0" w:color="auto"/>
      </w:divBdr>
    </w:div>
    <w:div w:id="678195896">
      <w:bodyDiv w:val="1"/>
      <w:marLeft w:val="0"/>
      <w:marRight w:val="0"/>
      <w:marTop w:val="0"/>
      <w:marBottom w:val="0"/>
      <w:divBdr>
        <w:top w:val="none" w:sz="0" w:space="0" w:color="auto"/>
        <w:left w:val="none" w:sz="0" w:space="0" w:color="auto"/>
        <w:bottom w:val="none" w:sz="0" w:space="0" w:color="auto"/>
        <w:right w:val="none" w:sz="0" w:space="0" w:color="auto"/>
      </w:divBdr>
    </w:div>
    <w:div w:id="731999662">
      <w:bodyDiv w:val="1"/>
      <w:marLeft w:val="0"/>
      <w:marRight w:val="0"/>
      <w:marTop w:val="0"/>
      <w:marBottom w:val="0"/>
      <w:divBdr>
        <w:top w:val="none" w:sz="0" w:space="0" w:color="auto"/>
        <w:left w:val="none" w:sz="0" w:space="0" w:color="auto"/>
        <w:bottom w:val="none" w:sz="0" w:space="0" w:color="auto"/>
        <w:right w:val="none" w:sz="0" w:space="0" w:color="auto"/>
      </w:divBdr>
      <w:divsChild>
        <w:div w:id="1097098201">
          <w:marLeft w:val="0"/>
          <w:marRight w:val="0"/>
          <w:marTop w:val="0"/>
          <w:marBottom w:val="0"/>
          <w:divBdr>
            <w:top w:val="none" w:sz="0" w:space="0" w:color="auto"/>
            <w:left w:val="none" w:sz="0" w:space="0" w:color="auto"/>
            <w:bottom w:val="none" w:sz="0" w:space="0" w:color="auto"/>
            <w:right w:val="none" w:sz="0" w:space="0" w:color="auto"/>
          </w:divBdr>
          <w:divsChild>
            <w:div w:id="204485967">
              <w:marLeft w:val="0"/>
              <w:marRight w:val="0"/>
              <w:marTop w:val="0"/>
              <w:marBottom w:val="0"/>
              <w:divBdr>
                <w:top w:val="none" w:sz="0" w:space="0" w:color="auto"/>
                <w:left w:val="none" w:sz="0" w:space="0" w:color="auto"/>
                <w:bottom w:val="none" w:sz="0" w:space="0" w:color="auto"/>
                <w:right w:val="none" w:sz="0" w:space="0" w:color="auto"/>
              </w:divBdr>
              <w:divsChild>
                <w:div w:id="1694182106">
                  <w:marLeft w:val="0"/>
                  <w:marRight w:val="0"/>
                  <w:marTop w:val="0"/>
                  <w:marBottom w:val="0"/>
                  <w:divBdr>
                    <w:top w:val="none" w:sz="0" w:space="0" w:color="auto"/>
                    <w:left w:val="none" w:sz="0" w:space="0" w:color="auto"/>
                    <w:bottom w:val="none" w:sz="0" w:space="0" w:color="auto"/>
                    <w:right w:val="none" w:sz="0" w:space="0" w:color="auto"/>
                  </w:divBdr>
                  <w:divsChild>
                    <w:div w:id="5677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400013">
      <w:bodyDiv w:val="1"/>
      <w:marLeft w:val="0"/>
      <w:marRight w:val="0"/>
      <w:marTop w:val="0"/>
      <w:marBottom w:val="0"/>
      <w:divBdr>
        <w:top w:val="none" w:sz="0" w:space="0" w:color="auto"/>
        <w:left w:val="none" w:sz="0" w:space="0" w:color="auto"/>
        <w:bottom w:val="none" w:sz="0" w:space="0" w:color="auto"/>
        <w:right w:val="none" w:sz="0" w:space="0" w:color="auto"/>
      </w:divBdr>
    </w:div>
    <w:div w:id="811480726">
      <w:bodyDiv w:val="1"/>
      <w:marLeft w:val="0"/>
      <w:marRight w:val="0"/>
      <w:marTop w:val="0"/>
      <w:marBottom w:val="0"/>
      <w:divBdr>
        <w:top w:val="none" w:sz="0" w:space="0" w:color="auto"/>
        <w:left w:val="none" w:sz="0" w:space="0" w:color="auto"/>
        <w:bottom w:val="none" w:sz="0" w:space="0" w:color="auto"/>
        <w:right w:val="none" w:sz="0" w:space="0" w:color="auto"/>
      </w:divBdr>
      <w:divsChild>
        <w:div w:id="1421222340">
          <w:marLeft w:val="0"/>
          <w:marRight w:val="0"/>
          <w:marTop w:val="0"/>
          <w:marBottom w:val="0"/>
          <w:divBdr>
            <w:top w:val="none" w:sz="0" w:space="0" w:color="auto"/>
            <w:left w:val="none" w:sz="0" w:space="0" w:color="auto"/>
            <w:bottom w:val="none" w:sz="0" w:space="0" w:color="auto"/>
            <w:right w:val="none" w:sz="0" w:space="0" w:color="auto"/>
          </w:divBdr>
        </w:div>
      </w:divsChild>
    </w:div>
    <w:div w:id="841120428">
      <w:bodyDiv w:val="1"/>
      <w:marLeft w:val="0"/>
      <w:marRight w:val="0"/>
      <w:marTop w:val="0"/>
      <w:marBottom w:val="0"/>
      <w:divBdr>
        <w:top w:val="none" w:sz="0" w:space="0" w:color="auto"/>
        <w:left w:val="none" w:sz="0" w:space="0" w:color="auto"/>
        <w:bottom w:val="none" w:sz="0" w:space="0" w:color="auto"/>
        <w:right w:val="none" w:sz="0" w:space="0" w:color="auto"/>
      </w:divBdr>
    </w:div>
    <w:div w:id="866064801">
      <w:bodyDiv w:val="1"/>
      <w:marLeft w:val="0"/>
      <w:marRight w:val="0"/>
      <w:marTop w:val="0"/>
      <w:marBottom w:val="0"/>
      <w:divBdr>
        <w:top w:val="none" w:sz="0" w:space="0" w:color="auto"/>
        <w:left w:val="none" w:sz="0" w:space="0" w:color="auto"/>
        <w:bottom w:val="none" w:sz="0" w:space="0" w:color="auto"/>
        <w:right w:val="none" w:sz="0" w:space="0" w:color="auto"/>
      </w:divBdr>
    </w:div>
    <w:div w:id="868833164">
      <w:bodyDiv w:val="1"/>
      <w:marLeft w:val="0"/>
      <w:marRight w:val="0"/>
      <w:marTop w:val="0"/>
      <w:marBottom w:val="0"/>
      <w:divBdr>
        <w:top w:val="none" w:sz="0" w:space="0" w:color="auto"/>
        <w:left w:val="none" w:sz="0" w:space="0" w:color="auto"/>
        <w:bottom w:val="none" w:sz="0" w:space="0" w:color="auto"/>
        <w:right w:val="none" w:sz="0" w:space="0" w:color="auto"/>
      </w:divBdr>
    </w:div>
    <w:div w:id="1000616606">
      <w:bodyDiv w:val="1"/>
      <w:marLeft w:val="0"/>
      <w:marRight w:val="0"/>
      <w:marTop w:val="0"/>
      <w:marBottom w:val="0"/>
      <w:divBdr>
        <w:top w:val="none" w:sz="0" w:space="0" w:color="auto"/>
        <w:left w:val="none" w:sz="0" w:space="0" w:color="auto"/>
        <w:bottom w:val="none" w:sz="0" w:space="0" w:color="auto"/>
        <w:right w:val="none" w:sz="0" w:space="0" w:color="auto"/>
      </w:divBdr>
    </w:div>
    <w:div w:id="1125076009">
      <w:bodyDiv w:val="1"/>
      <w:marLeft w:val="0"/>
      <w:marRight w:val="0"/>
      <w:marTop w:val="0"/>
      <w:marBottom w:val="0"/>
      <w:divBdr>
        <w:top w:val="none" w:sz="0" w:space="0" w:color="auto"/>
        <w:left w:val="none" w:sz="0" w:space="0" w:color="auto"/>
        <w:bottom w:val="none" w:sz="0" w:space="0" w:color="auto"/>
        <w:right w:val="none" w:sz="0" w:space="0" w:color="auto"/>
      </w:divBdr>
    </w:div>
    <w:div w:id="1491402994">
      <w:bodyDiv w:val="1"/>
      <w:marLeft w:val="0"/>
      <w:marRight w:val="0"/>
      <w:marTop w:val="0"/>
      <w:marBottom w:val="0"/>
      <w:divBdr>
        <w:top w:val="none" w:sz="0" w:space="0" w:color="auto"/>
        <w:left w:val="none" w:sz="0" w:space="0" w:color="auto"/>
        <w:bottom w:val="none" w:sz="0" w:space="0" w:color="auto"/>
        <w:right w:val="none" w:sz="0" w:space="0" w:color="auto"/>
      </w:divBdr>
    </w:div>
    <w:div w:id="1545143403">
      <w:bodyDiv w:val="1"/>
      <w:marLeft w:val="0"/>
      <w:marRight w:val="0"/>
      <w:marTop w:val="0"/>
      <w:marBottom w:val="0"/>
      <w:divBdr>
        <w:top w:val="none" w:sz="0" w:space="0" w:color="auto"/>
        <w:left w:val="none" w:sz="0" w:space="0" w:color="auto"/>
        <w:bottom w:val="none" w:sz="0" w:space="0" w:color="auto"/>
        <w:right w:val="none" w:sz="0" w:space="0" w:color="auto"/>
      </w:divBdr>
    </w:div>
    <w:div w:id="1577014017">
      <w:bodyDiv w:val="1"/>
      <w:marLeft w:val="0"/>
      <w:marRight w:val="0"/>
      <w:marTop w:val="0"/>
      <w:marBottom w:val="0"/>
      <w:divBdr>
        <w:top w:val="none" w:sz="0" w:space="0" w:color="auto"/>
        <w:left w:val="none" w:sz="0" w:space="0" w:color="auto"/>
        <w:bottom w:val="none" w:sz="0" w:space="0" w:color="auto"/>
        <w:right w:val="none" w:sz="0" w:space="0" w:color="auto"/>
      </w:divBdr>
    </w:div>
    <w:div w:id="1740246777">
      <w:bodyDiv w:val="1"/>
      <w:marLeft w:val="0"/>
      <w:marRight w:val="0"/>
      <w:marTop w:val="0"/>
      <w:marBottom w:val="0"/>
      <w:divBdr>
        <w:top w:val="none" w:sz="0" w:space="0" w:color="auto"/>
        <w:left w:val="none" w:sz="0" w:space="0" w:color="auto"/>
        <w:bottom w:val="none" w:sz="0" w:space="0" w:color="auto"/>
        <w:right w:val="none" w:sz="0" w:space="0" w:color="auto"/>
      </w:divBdr>
    </w:div>
    <w:div w:id="1753624171">
      <w:bodyDiv w:val="1"/>
      <w:marLeft w:val="0"/>
      <w:marRight w:val="0"/>
      <w:marTop w:val="0"/>
      <w:marBottom w:val="0"/>
      <w:divBdr>
        <w:top w:val="none" w:sz="0" w:space="0" w:color="auto"/>
        <w:left w:val="none" w:sz="0" w:space="0" w:color="auto"/>
        <w:bottom w:val="none" w:sz="0" w:space="0" w:color="auto"/>
        <w:right w:val="none" w:sz="0" w:space="0" w:color="auto"/>
      </w:divBdr>
    </w:div>
    <w:div w:id="1794716646">
      <w:bodyDiv w:val="1"/>
      <w:marLeft w:val="0"/>
      <w:marRight w:val="0"/>
      <w:marTop w:val="0"/>
      <w:marBottom w:val="0"/>
      <w:divBdr>
        <w:top w:val="none" w:sz="0" w:space="0" w:color="auto"/>
        <w:left w:val="none" w:sz="0" w:space="0" w:color="auto"/>
        <w:bottom w:val="none" w:sz="0" w:space="0" w:color="auto"/>
        <w:right w:val="none" w:sz="0" w:space="0" w:color="auto"/>
      </w:divBdr>
    </w:div>
    <w:div w:id="1843624280">
      <w:bodyDiv w:val="1"/>
      <w:marLeft w:val="0"/>
      <w:marRight w:val="0"/>
      <w:marTop w:val="0"/>
      <w:marBottom w:val="0"/>
      <w:divBdr>
        <w:top w:val="none" w:sz="0" w:space="0" w:color="auto"/>
        <w:left w:val="none" w:sz="0" w:space="0" w:color="auto"/>
        <w:bottom w:val="none" w:sz="0" w:space="0" w:color="auto"/>
        <w:right w:val="none" w:sz="0" w:space="0" w:color="auto"/>
      </w:divBdr>
    </w:div>
    <w:div w:id="196695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rt\AppData\Local\Microsoft\Windows\INetCache\Content.Outlook\TL58F0WH\report%20template%20(0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955B9-B86F-4D17-AFBD-ECD8DD21C4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8CAB47-1F1B-4F22-9ADE-2C966F170F24}">
  <ds:schemaRefs>
    <ds:schemaRef ds:uri="http://schemas.microsoft.com/sharepoint/v3/contenttype/forms"/>
  </ds:schemaRefs>
</ds:datastoreItem>
</file>

<file path=customXml/itemProps3.xml><?xml version="1.0" encoding="utf-8"?>
<ds:datastoreItem xmlns:ds="http://schemas.openxmlformats.org/officeDocument/2006/customXml" ds:itemID="{FD977BFF-D085-4D4D-880D-60E6E42633B3}"/>
</file>

<file path=customXml/itemProps4.xml><?xml version="1.0" encoding="utf-8"?>
<ds:datastoreItem xmlns:ds="http://schemas.openxmlformats.org/officeDocument/2006/customXml" ds:itemID="{D31FAF62-442E-4864-9197-53F584039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(002)</Template>
  <TotalTime>85</TotalTime>
  <Pages>10</Pages>
  <Words>2782</Words>
  <Characters>15380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18126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Carr</dc:creator>
  <cp:keywords/>
  <cp:lastModifiedBy>Katherine La Puente</cp:lastModifiedBy>
  <cp:revision>47</cp:revision>
  <dcterms:created xsi:type="dcterms:W3CDTF">2022-10-03T18:52:00Z</dcterms:created>
  <dcterms:modified xsi:type="dcterms:W3CDTF">2022-10-04T21:00:00Z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