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A897B" w14:textId="77777777" w:rsidR="00E613E4" w:rsidRPr="00886821" w:rsidRDefault="00E613E4">
      <w:pPr>
        <w:widowControl w:val="0"/>
        <w:pBdr>
          <w:top w:val="nil"/>
          <w:left w:val="nil"/>
          <w:bottom w:val="nil"/>
          <w:right w:val="nil"/>
          <w:between w:val="nil"/>
        </w:pBdr>
        <w:spacing w:after="0"/>
        <w:rPr>
          <w:rFonts w:ascii="Segoe UI" w:hAnsi="Segoe UI" w:cs="Segoe UI"/>
        </w:rPr>
      </w:pPr>
    </w:p>
    <w:p w14:paraId="3A591AEF" w14:textId="77777777" w:rsidR="00E613E4" w:rsidRPr="00886821" w:rsidRDefault="0059155F">
      <w:pPr>
        <w:spacing w:after="0" w:line="240" w:lineRule="auto"/>
        <w:ind w:left="426" w:hanging="426"/>
        <w:jc w:val="center"/>
        <w:rPr>
          <w:rFonts w:ascii="Segoe UI" w:eastAsia="Quattrocento Sans" w:hAnsi="Segoe UI" w:cs="Segoe UI"/>
          <w:b/>
          <w:sz w:val="20"/>
          <w:szCs w:val="20"/>
        </w:rPr>
      </w:pPr>
      <w:bookmarkStart w:id="0" w:name="_gjdgxs" w:colFirst="0" w:colLast="0"/>
      <w:bookmarkEnd w:id="0"/>
      <w:r w:rsidRPr="00886821">
        <w:rPr>
          <w:rFonts w:ascii="Segoe UI" w:eastAsia="Quattrocento Sans" w:hAnsi="Segoe UI" w:cs="Segoe UI"/>
          <w:b/>
          <w:sz w:val="20"/>
          <w:szCs w:val="20"/>
        </w:rPr>
        <w:t xml:space="preserve">COMITÉ CEDAW </w:t>
      </w:r>
    </w:p>
    <w:p w14:paraId="076B2835" w14:textId="74B1FEC5" w:rsidR="00E613E4" w:rsidRPr="00886821" w:rsidRDefault="0059155F">
      <w:pPr>
        <w:spacing w:after="0" w:line="240" w:lineRule="auto"/>
        <w:ind w:left="426" w:hanging="426"/>
        <w:jc w:val="center"/>
        <w:rPr>
          <w:rFonts w:ascii="Segoe UI" w:eastAsia="Quattrocento Sans" w:hAnsi="Segoe UI" w:cs="Segoe UI"/>
          <w:b/>
          <w:sz w:val="20"/>
          <w:szCs w:val="20"/>
        </w:rPr>
      </w:pPr>
      <w:r w:rsidRPr="00886821">
        <w:rPr>
          <w:rFonts w:ascii="Segoe UI" w:eastAsia="Quattrocento Sans" w:hAnsi="Segoe UI" w:cs="Segoe UI"/>
          <w:b/>
          <w:sz w:val="20"/>
          <w:szCs w:val="20"/>
        </w:rPr>
        <w:t>INFORME ALTERNATIVO DE MÁS IGUALDAD</w:t>
      </w:r>
      <w:r w:rsidR="008E22C1">
        <w:rPr>
          <w:rFonts w:ascii="Segoe UI" w:eastAsia="Quattrocento Sans" w:hAnsi="Segoe UI" w:cs="Segoe UI"/>
          <w:b/>
          <w:sz w:val="20"/>
          <w:szCs w:val="20"/>
        </w:rPr>
        <w:t xml:space="preserve"> </w:t>
      </w:r>
      <w:r w:rsidRPr="00886821">
        <w:rPr>
          <w:rFonts w:ascii="Segoe UI" w:eastAsia="Quattrocento Sans" w:hAnsi="Segoe UI" w:cs="Segoe UI"/>
          <w:b/>
          <w:sz w:val="20"/>
          <w:szCs w:val="20"/>
        </w:rPr>
        <w:t>PERÚ</w:t>
      </w:r>
      <w:r w:rsidR="008E22C1">
        <w:rPr>
          <w:rFonts w:ascii="Segoe UI" w:eastAsia="Quattrocento Sans" w:hAnsi="Segoe UI" w:cs="Segoe UI"/>
          <w:b/>
          <w:sz w:val="20"/>
          <w:szCs w:val="20"/>
        </w:rPr>
        <w:t xml:space="preserve"> – 81va SESIÓN DEL COMITÉ</w:t>
      </w:r>
    </w:p>
    <w:p w14:paraId="34F22384" w14:textId="77777777" w:rsidR="00E613E4" w:rsidRPr="00886821" w:rsidRDefault="00E613E4">
      <w:pPr>
        <w:spacing w:after="0" w:line="240" w:lineRule="auto"/>
        <w:ind w:left="426" w:hanging="426"/>
        <w:jc w:val="both"/>
        <w:rPr>
          <w:rFonts w:ascii="Segoe UI" w:eastAsia="Quattrocento Sans" w:hAnsi="Segoe UI" w:cs="Segoe UI"/>
          <w:b/>
          <w:sz w:val="20"/>
          <w:szCs w:val="20"/>
        </w:rPr>
      </w:pPr>
    </w:p>
    <w:p w14:paraId="48494383" w14:textId="77777777" w:rsidR="00E613E4" w:rsidRPr="00886821" w:rsidRDefault="00E613E4">
      <w:pPr>
        <w:spacing w:after="0" w:line="240" w:lineRule="auto"/>
        <w:ind w:left="426" w:hanging="426"/>
        <w:jc w:val="both"/>
        <w:rPr>
          <w:rFonts w:ascii="Segoe UI" w:eastAsia="Quattrocento Sans" w:hAnsi="Segoe UI" w:cs="Segoe UI"/>
          <w:b/>
          <w:sz w:val="20"/>
          <w:szCs w:val="20"/>
        </w:rPr>
      </w:pPr>
    </w:p>
    <w:p w14:paraId="3DAFDA26" w14:textId="6B87CF96" w:rsidR="00E613E4" w:rsidRPr="00886821" w:rsidRDefault="0059155F">
      <w:pPr>
        <w:numPr>
          <w:ilvl w:val="0"/>
          <w:numId w:val="3"/>
        </w:numPr>
        <w:pBdr>
          <w:top w:val="nil"/>
          <w:left w:val="nil"/>
          <w:bottom w:val="nil"/>
          <w:right w:val="nil"/>
          <w:between w:val="nil"/>
        </w:pBdr>
        <w:spacing w:after="0" w:line="240" w:lineRule="auto"/>
        <w:ind w:left="284" w:hanging="284"/>
        <w:jc w:val="both"/>
        <w:rPr>
          <w:rFonts w:ascii="Segoe UI" w:eastAsia="Quattrocento Sans" w:hAnsi="Segoe UI" w:cs="Segoe UI"/>
          <w:b/>
          <w:color w:val="000000"/>
          <w:sz w:val="19"/>
          <w:szCs w:val="19"/>
        </w:rPr>
      </w:pPr>
      <w:r w:rsidRPr="00886821">
        <w:rPr>
          <w:rFonts w:ascii="Segoe UI" w:eastAsia="Quattrocento Sans" w:hAnsi="Segoe UI" w:cs="Segoe UI"/>
          <w:b/>
          <w:color w:val="000000"/>
          <w:sz w:val="19"/>
          <w:szCs w:val="19"/>
        </w:rPr>
        <w:t>Situación de mujeres trans durante el estado de emergencia por la pandemia del COVID-19</w:t>
      </w:r>
    </w:p>
    <w:p w14:paraId="1E50AA51" w14:textId="77777777" w:rsidR="00E613E4" w:rsidRPr="00886821" w:rsidRDefault="00E613E4">
      <w:pPr>
        <w:pBdr>
          <w:top w:val="nil"/>
          <w:left w:val="nil"/>
          <w:bottom w:val="nil"/>
          <w:right w:val="nil"/>
          <w:between w:val="nil"/>
        </w:pBdr>
        <w:spacing w:after="0" w:line="240" w:lineRule="auto"/>
        <w:ind w:left="284"/>
        <w:jc w:val="both"/>
        <w:rPr>
          <w:rFonts w:ascii="Segoe UI" w:eastAsia="Quattrocento Sans" w:hAnsi="Segoe UI" w:cs="Segoe UI"/>
          <w:color w:val="000000"/>
          <w:sz w:val="20"/>
          <w:szCs w:val="20"/>
          <w:highlight w:val="white"/>
        </w:rPr>
      </w:pPr>
    </w:p>
    <w:p w14:paraId="17A295FB" w14:textId="2850CBEC" w:rsidR="00E613E4" w:rsidRPr="00886821" w:rsidRDefault="0059155F">
      <w:pPr>
        <w:numPr>
          <w:ilvl w:val="0"/>
          <w:numId w:val="4"/>
        </w:numPr>
        <w:pBdr>
          <w:top w:val="nil"/>
          <w:left w:val="nil"/>
          <w:bottom w:val="nil"/>
          <w:right w:val="nil"/>
          <w:between w:val="nil"/>
        </w:pBdr>
        <w:spacing w:after="0" w:line="240" w:lineRule="auto"/>
        <w:ind w:left="284" w:hanging="284"/>
        <w:jc w:val="both"/>
        <w:rPr>
          <w:rFonts w:ascii="Segoe UI" w:hAnsi="Segoe UI" w:cs="Segoe UI"/>
          <w:color w:val="000000"/>
          <w:highlight w:val="white"/>
        </w:rPr>
      </w:pPr>
      <w:r w:rsidRPr="00886821">
        <w:rPr>
          <w:rFonts w:ascii="Segoe UI" w:eastAsia="Quattrocento Sans" w:hAnsi="Segoe UI" w:cs="Segoe UI"/>
          <w:color w:val="000000"/>
          <w:sz w:val="20"/>
          <w:szCs w:val="20"/>
          <w:highlight w:val="white"/>
        </w:rPr>
        <w:t>En Perú, las mujeres trans subsisten de trabajos con ingresos diarios o se dedican al trabajo sexual debido a exclusión escolar temprana y pocas oportunidades laborales. Pese a la precariedad que enfrentan y</w:t>
      </w:r>
      <w:r w:rsidR="008E22C1">
        <w:rPr>
          <w:rFonts w:ascii="Segoe UI" w:eastAsia="Quattrocento Sans" w:hAnsi="Segoe UI" w:cs="Segoe UI"/>
          <w:color w:val="000000"/>
          <w:sz w:val="20"/>
          <w:szCs w:val="20"/>
          <w:highlight w:val="white"/>
        </w:rPr>
        <w:t xml:space="preserve"> ser</w:t>
      </w:r>
      <w:r w:rsidRPr="00886821">
        <w:rPr>
          <w:rFonts w:ascii="Segoe UI" w:eastAsia="Quattrocento Sans" w:hAnsi="Segoe UI" w:cs="Segoe UI"/>
          <w:color w:val="000000"/>
          <w:sz w:val="20"/>
          <w:szCs w:val="20"/>
          <w:highlight w:val="white"/>
        </w:rPr>
        <w:t xml:space="preserve"> reconocidas como grupo de especial protección en el Plan Nacional de DDHH 2018-2021, no se les otorga la clasificación socioeconómica de pobreza o pobreza extrema, por lo que no reciben subsidios económicos ni son beneficiarias de los programas sociales del Estado</w:t>
      </w:r>
      <w:r w:rsidRPr="00886821">
        <w:rPr>
          <w:rFonts w:ascii="Segoe UI" w:eastAsia="Quattrocento Sans" w:hAnsi="Segoe UI" w:cs="Segoe UI"/>
          <w:sz w:val="20"/>
          <w:szCs w:val="20"/>
          <w:highlight w:val="white"/>
        </w:rPr>
        <w:t>.</w:t>
      </w:r>
      <w:r w:rsidRPr="00886821">
        <w:rPr>
          <w:rFonts w:ascii="Segoe UI" w:eastAsia="Quattrocento Sans" w:hAnsi="Segoe UI" w:cs="Segoe UI"/>
          <w:color w:val="000000"/>
          <w:sz w:val="20"/>
          <w:szCs w:val="20"/>
          <w:highlight w:val="white"/>
        </w:rPr>
        <w:t xml:space="preserve"> </w:t>
      </w:r>
    </w:p>
    <w:p w14:paraId="53608CA2" w14:textId="46E9B8A8" w:rsidR="00E613E4" w:rsidRPr="00886821" w:rsidRDefault="0059155F">
      <w:pPr>
        <w:numPr>
          <w:ilvl w:val="0"/>
          <w:numId w:val="4"/>
        </w:numPr>
        <w:pBdr>
          <w:top w:val="nil"/>
          <w:left w:val="nil"/>
          <w:bottom w:val="nil"/>
          <w:right w:val="nil"/>
          <w:between w:val="nil"/>
        </w:pBdr>
        <w:spacing w:after="0" w:line="240" w:lineRule="auto"/>
        <w:ind w:left="284" w:hanging="284"/>
        <w:jc w:val="both"/>
        <w:rPr>
          <w:rFonts w:ascii="Segoe UI" w:hAnsi="Segoe UI" w:cs="Segoe UI"/>
          <w:color w:val="000000"/>
          <w:highlight w:val="white"/>
        </w:rPr>
      </w:pPr>
      <w:r w:rsidRPr="00886821">
        <w:rPr>
          <w:rFonts w:ascii="Segoe UI" w:eastAsia="Quattrocento Sans" w:hAnsi="Segoe UI" w:cs="Segoe UI"/>
          <w:color w:val="000000"/>
          <w:sz w:val="20"/>
          <w:szCs w:val="20"/>
          <w:highlight w:val="white"/>
        </w:rPr>
        <w:t>A esto se suma el hecho de que las políticas de apoyo económico diseñadas para mitigar los efectos del COVID-19</w:t>
      </w:r>
      <w:r w:rsidRPr="00886821">
        <w:rPr>
          <w:rFonts w:ascii="Segoe UI" w:eastAsia="Quattrocento Sans" w:hAnsi="Segoe UI" w:cs="Segoe UI"/>
          <w:color w:val="000000"/>
          <w:sz w:val="20"/>
          <w:szCs w:val="20"/>
        </w:rPr>
        <w:t xml:space="preserve"> tienen enfoque familiar, lo cual</w:t>
      </w:r>
      <w:r w:rsidRPr="00886821">
        <w:rPr>
          <w:rFonts w:ascii="Segoe UI" w:eastAsia="Quattrocento Sans" w:hAnsi="Segoe UI" w:cs="Segoe UI"/>
          <w:color w:val="000000"/>
          <w:sz w:val="20"/>
          <w:szCs w:val="20"/>
          <w:highlight w:val="white"/>
        </w:rPr>
        <w:t xml:space="preserve"> representa un problema para personas trans, quienes suelen vivir en grandes comunidades autogestionadas con otras personas trans debido a que dejan sus hogares a temprana edad o porque enfrentan desplazamiento forzado para huir de</w:t>
      </w:r>
      <w:r w:rsidRPr="00886821">
        <w:rPr>
          <w:rFonts w:ascii="Segoe UI" w:eastAsia="Quattrocento Sans" w:hAnsi="Segoe UI" w:cs="Segoe UI"/>
          <w:sz w:val="20"/>
          <w:szCs w:val="20"/>
          <w:highlight w:val="white"/>
        </w:rPr>
        <w:t xml:space="preserve"> s</w:t>
      </w:r>
      <w:r w:rsidRPr="00886821">
        <w:rPr>
          <w:rFonts w:ascii="Segoe UI" w:eastAsia="Quattrocento Sans" w:hAnsi="Segoe UI" w:cs="Segoe UI"/>
          <w:color w:val="000000"/>
          <w:sz w:val="20"/>
          <w:szCs w:val="20"/>
          <w:highlight w:val="white"/>
        </w:rPr>
        <w:t xml:space="preserve">u hogar por la violencia transfóbica. </w:t>
      </w:r>
    </w:p>
    <w:p w14:paraId="3A000382" w14:textId="77777777"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highlight w:val="white"/>
        </w:rPr>
      </w:pPr>
      <w:r w:rsidRPr="00886821">
        <w:rPr>
          <w:rFonts w:ascii="Segoe UI" w:eastAsia="Quattrocento Sans" w:hAnsi="Segoe UI" w:cs="Segoe UI"/>
          <w:color w:val="222222"/>
          <w:sz w:val="20"/>
          <w:szCs w:val="20"/>
        </w:rPr>
        <w:t>I</w:t>
      </w:r>
      <w:r w:rsidRPr="00886821">
        <w:rPr>
          <w:rFonts w:ascii="Segoe UI" w:eastAsia="Quattrocento Sans" w:hAnsi="Segoe UI" w:cs="Segoe UI"/>
          <w:color w:val="000000"/>
          <w:sz w:val="20"/>
          <w:szCs w:val="20"/>
        </w:rPr>
        <w:t>ncluso si pudieran acceder a alguno de los bonos económicos</w:t>
      </w:r>
      <w:r w:rsidRPr="00886821">
        <w:rPr>
          <w:rFonts w:ascii="Segoe UI" w:eastAsia="Quattrocento Sans" w:hAnsi="Segoe UI" w:cs="Segoe UI"/>
          <w:sz w:val="20"/>
          <w:szCs w:val="20"/>
        </w:rPr>
        <w:t xml:space="preserve">, </w:t>
      </w:r>
      <w:r w:rsidRPr="00886821">
        <w:rPr>
          <w:rFonts w:ascii="Segoe UI" w:eastAsia="Quattrocento Sans" w:hAnsi="Segoe UI" w:cs="Segoe UI"/>
          <w:color w:val="000000"/>
          <w:sz w:val="20"/>
          <w:szCs w:val="20"/>
        </w:rPr>
        <w:t xml:space="preserve">las personas trans tampoco están en posibilidad de cobrarlos </w:t>
      </w:r>
      <w:r w:rsidRPr="00886821">
        <w:rPr>
          <w:rFonts w:ascii="Segoe UI" w:eastAsia="Quattrocento Sans" w:hAnsi="Segoe UI" w:cs="Segoe UI"/>
          <w:sz w:val="20"/>
          <w:szCs w:val="20"/>
        </w:rPr>
        <w:t>porque</w:t>
      </w:r>
      <w:r w:rsidRPr="00886821">
        <w:rPr>
          <w:rFonts w:ascii="Segoe UI" w:eastAsia="Quattrocento Sans" w:hAnsi="Segoe UI" w:cs="Segoe UI"/>
          <w:color w:val="000000"/>
          <w:sz w:val="20"/>
          <w:szCs w:val="20"/>
        </w:rPr>
        <w:t xml:space="preserve"> su DNI invisibiliza su identidad y las expone a situaciones discriminatorias. </w:t>
      </w:r>
    </w:p>
    <w:p w14:paraId="2D937835" w14:textId="1C051F7A" w:rsidR="00E613E4" w:rsidRPr="00886821" w:rsidRDefault="00886821">
      <w:pPr>
        <w:numPr>
          <w:ilvl w:val="0"/>
          <w:numId w:val="4"/>
        </w:numPr>
        <w:pBdr>
          <w:top w:val="nil"/>
          <w:left w:val="nil"/>
          <w:bottom w:val="nil"/>
          <w:right w:val="nil"/>
          <w:between w:val="nil"/>
        </w:pBdr>
        <w:spacing w:after="0" w:line="240" w:lineRule="auto"/>
        <w:ind w:left="284"/>
        <w:jc w:val="both"/>
        <w:rPr>
          <w:rFonts w:ascii="Segoe UI" w:hAnsi="Segoe UI" w:cs="Segoe UI"/>
          <w:color w:val="000000"/>
          <w:highlight w:val="white"/>
        </w:rPr>
      </w:pPr>
      <w:r>
        <w:rPr>
          <w:rFonts w:ascii="Segoe UI" w:eastAsia="Quattrocento Sans" w:hAnsi="Segoe UI" w:cs="Segoe UI"/>
          <w:color w:val="000000"/>
          <w:sz w:val="20"/>
          <w:szCs w:val="20"/>
        </w:rPr>
        <w:t>Luego</w:t>
      </w:r>
      <w:r w:rsidR="0059155F" w:rsidRPr="00886821">
        <w:rPr>
          <w:rFonts w:ascii="Segoe UI" w:eastAsia="Quattrocento Sans" w:hAnsi="Segoe UI" w:cs="Segoe UI"/>
          <w:color w:val="000000"/>
          <w:sz w:val="20"/>
          <w:szCs w:val="20"/>
        </w:rPr>
        <w:t xml:space="preserve">, producto de las acciones del Estado para enfrentar la </w:t>
      </w:r>
      <w:r w:rsidR="00FB0594" w:rsidRPr="00886821">
        <w:rPr>
          <w:rFonts w:ascii="Segoe UI" w:eastAsia="Quattrocento Sans" w:hAnsi="Segoe UI" w:cs="Segoe UI"/>
          <w:color w:val="000000"/>
          <w:sz w:val="20"/>
          <w:szCs w:val="20"/>
        </w:rPr>
        <w:t>pandemia</w:t>
      </w:r>
      <w:r w:rsidR="00FB0594" w:rsidRPr="00886821">
        <w:rPr>
          <w:rFonts w:ascii="Segoe UI" w:eastAsia="Quattrocento Sans" w:hAnsi="Segoe UI" w:cs="Segoe UI"/>
          <w:sz w:val="20"/>
          <w:szCs w:val="20"/>
        </w:rPr>
        <w:t xml:space="preserve">, </w:t>
      </w:r>
      <w:r w:rsidR="00FB0594" w:rsidRPr="00886821">
        <w:rPr>
          <w:rFonts w:ascii="Segoe UI" w:eastAsia="Quattrocento Sans" w:hAnsi="Segoe UI" w:cs="Segoe UI"/>
          <w:color w:val="000000"/>
          <w:sz w:val="20"/>
          <w:szCs w:val="20"/>
        </w:rPr>
        <w:t>las</w:t>
      </w:r>
      <w:r w:rsidR="0059155F" w:rsidRPr="00886821">
        <w:rPr>
          <w:rFonts w:ascii="Segoe UI" w:eastAsia="Quattrocento Sans" w:hAnsi="Segoe UI" w:cs="Segoe UI"/>
          <w:color w:val="000000"/>
          <w:sz w:val="20"/>
          <w:szCs w:val="20"/>
        </w:rPr>
        <w:t xml:space="preserve"> personas trans enfrentaron situaciones de violencia. M</w:t>
      </w:r>
      <w:r w:rsidR="0059155F" w:rsidRPr="00886821">
        <w:rPr>
          <w:rFonts w:ascii="Segoe UI" w:eastAsia="Quattrocento Sans" w:hAnsi="Segoe UI" w:cs="Segoe UI"/>
          <w:color w:val="000000"/>
          <w:sz w:val="20"/>
          <w:szCs w:val="20"/>
          <w:highlight w:val="white"/>
        </w:rPr>
        <w:t>ediante</w:t>
      </w:r>
      <w:hyperlink r:id="rId8">
        <w:r w:rsidR="0059155F" w:rsidRPr="00886821">
          <w:rPr>
            <w:rFonts w:ascii="Segoe UI" w:eastAsia="Quattrocento Sans" w:hAnsi="Segoe UI" w:cs="Segoe UI"/>
            <w:color w:val="000000"/>
            <w:sz w:val="20"/>
            <w:szCs w:val="20"/>
            <w:highlight w:val="white"/>
          </w:rPr>
          <w:t xml:space="preserve"> </w:t>
        </w:r>
      </w:hyperlink>
      <w:r w:rsidR="0059155F" w:rsidRPr="00886821">
        <w:rPr>
          <w:rFonts w:ascii="Segoe UI" w:eastAsia="Quattrocento Sans" w:hAnsi="Segoe UI" w:cs="Segoe UI"/>
          <w:color w:val="000000"/>
          <w:sz w:val="20"/>
          <w:szCs w:val="20"/>
        </w:rPr>
        <w:t xml:space="preserve">Decreto Supremo </w:t>
      </w:r>
      <w:r w:rsidR="00FB0594" w:rsidRPr="00886821">
        <w:rPr>
          <w:rFonts w:ascii="Segoe UI" w:eastAsia="Quattrocento Sans" w:hAnsi="Segoe UI" w:cs="Segoe UI"/>
          <w:color w:val="000000"/>
          <w:sz w:val="20"/>
          <w:szCs w:val="20"/>
        </w:rPr>
        <w:t>N.º</w:t>
      </w:r>
      <w:r w:rsidR="0059155F" w:rsidRPr="00886821">
        <w:rPr>
          <w:rFonts w:ascii="Segoe UI" w:eastAsia="Quattrocento Sans" w:hAnsi="Segoe UI" w:cs="Segoe UI"/>
          <w:color w:val="000000"/>
          <w:sz w:val="20"/>
          <w:szCs w:val="20"/>
        </w:rPr>
        <w:t xml:space="preserve"> 057-2020-PCM</w:t>
      </w:r>
      <w:r w:rsidR="0059155F" w:rsidRPr="00886821">
        <w:rPr>
          <w:rFonts w:ascii="Segoe UI" w:eastAsia="Quattrocento Sans" w:hAnsi="Segoe UI" w:cs="Segoe UI"/>
          <w:color w:val="000000"/>
          <w:sz w:val="20"/>
          <w:szCs w:val="20"/>
          <w:highlight w:val="white"/>
        </w:rPr>
        <w:t xml:space="preserve">, se estableció la medida denominada ‘pico y género’, por lo cual se establecía días diferenciados para el tránsito de hombres y mujeres. </w:t>
      </w:r>
      <w:r w:rsidR="0059155F" w:rsidRPr="00886821">
        <w:rPr>
          <w:rFonts w:ascii="Segoe UI" w:eastAsia="Quattrocento Sans" w:hAnsi="Segoe UI" w:cs="Segoe UI"/>
          <w:sz w:val="20"/>
          <w:szCs w:val="20"/>
          <w:highlight w:val="white"/>
        </w:rPr>
        <w:t>La</w:t>
      </w:r>
      <w:r w:rsidR="0059155F" w:rsidRPr="00886821">
        <w:rPr>
          <w:rFonts w:ascii="Segoe UI" w:eastAsia="Quattrocento Sans" w:hAnsi="Segoe UI" w:cs="Segoe UI"/>
          <w:color w:val="000000"/>
          <w:sz w:val="20"/>
          <w:szCs w:val="20"/>
          <w:highlight w:val="white"/>
        </w:rPr>
        <w:t xml:space="preserve"> norma no previó disposiciones para prevenir la violencia y discriminación basada en la identidad o expresión de género</w:t>
      </w:r>
      <w:r w:rsidR="0059155F" w:rsidRPr="00886821">
        <w:rPr>
          <w:rFonts w:ascii="Segoe UI" w:eastAsia="Quattrocento Sans" w:hAnsi="Segoe UI" w:cs="Segoe UI"/>
          <w:color w:val="000000"/>
          <w:sz w:val="20"/>
          <w:szCs w:val="20"/>
          <w:highlight w:val="white"/>
          <w:vertAlign w:val="superscript"/>
        </w:rPr>
        <w:footnoteReference w:id="1"/>
      </w:r>
      <w:r w:rsidR="0059155F" w:rsidRPr="00886821">
        <w:rPr>
          <w:rFonts w:ascii="Segoe UI" w:eastAsia="Quattrocento Sans" w:hAnsi="Segoe UI" w:cs="Segoe UI"/>
          <w:color w:val="000000"/>
          <w:sz w:val="20"/>
          <w:szCs w:val="20"/>
          <w:highlight w:val="white"/>
        </w:rPr>
        <w:t>, por lo que se afectó en mayor proporción a las mujeres trans. La medida, luego de graves cuestionamientos, solo duró 7 días.</w:t>
      </w:r>
    </w:p>
    <w:p w14:paraId="0D7744E6" w14:textId="77777777"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highlight w:val="white"/>
        </w:rPr>
      </w:pPr>
      <w:r w:rsidRPr="00886821">
        <w:rPr>
          <w:rFonts w:ascii="Segoe UI" w:eastAsia="Quattrocento Sans" w:hAnsi="Segoe UI" w:cs="Segoe UI"/>
          <w:color w:val="000000"/>
          <w:sz w:val="20"/>
          <w:szCs w:val="20"/>
          <w:highlight w:val="white"/>
        </w:rPr>
        <w:t>En</w:t>
      </w:r>
      <w:r w:rsidRPr="00886821">
        <w:rPr>
          <w:rFonts w:ascii="Segoe UI" w:eastAsia="Quattrocento Sans" w:hAnsi="Segoe UI" w:cs="Segoe UI"/>
          <w:color w:val="000000"/>
          <w:sz w:val="20"/>
          <w:szCs w:val="20"/>
        </w:rPr>
        <w:t xml:space="preserve"> ese tiempo, diversas personas trans denunciaron haber sido intervenidas por personal policial quienes les solicitaban el DNI</w:t>
      </w:r>
      <w:r w:rsidRPr="00886821">
        <w:rPr>
          <w:rFonts w:ascii="Segoe UI" w:eastAsia="Quattrocento Sans" w:hAnsi="Segoe UI" w:cs="Segoe UI"/>
          <w:color w:val="000000"/>
          <w:sz w:val="20"/>
          <w:szCs w:val="20"/>
          <w:vertAlign w:val="superscript"/>
        </w:rPr>
        <w:footnoteReference w:id="2"/>
      </w:r>
      <w:r w:rsidRPr="00886821">
        <w:rPr>
          <w:rFonts w:ascii="Segoe UI" w:eastAsia="Quattrocento Sans" w:hAnsi="Segoe UI" w:cs="Segoe UI"/>
          <w:color w:val="000000"/>
          <w:sz w:val="20"/>
          <w:szCs w:val="20"/>
        </w:rPr>
        <w:t>, cuestionaban su identidad de género</w:t>
      </w:r>
      <w:r w:rsidRPr="00886821">
        <w:rPr>
          <w:rFonts w:ascii="Segoe UI" w:eastAsia="Quattrocento Sans" w:hAnsi="Segoe UI" w:cs="Segoe UI"/>
          <w:color w:val="000000"/>
          <w:sz w:val="20"/>
          <w:szCs w:val="20"/>
          <w:vertAlign w:val="superscript"/>
        </w:rPr>
        <w:footnoteReference w:id="3"/>
      </w:r>
      <w:r w:rsidRPr="00886821">
        <w:rPr>
          <w:rFonts w:ascii="Segoe UI" w:eastAsia="Quattrocento Sans" w:hAnsi="Segoe UI" w:cs="Segoe UI"/>
          <w:color w:val="000000"/>
          <w:sz w:val="20"/>
          <w:szCs w:val="20"/>
        </w:rPr>
        <w:t xml:space="preserve"> y además se divulgó un video </w:t>
      </w:r>
      <w:r w:rsidRPr="00886821">
        <w:rPr>
          <w:rFonts w:ascii="Segoe UI" w:eastAsia="Quattrocento Sans" w:hAnsi="Segoe UI" w:cs="Segoe UI"/>
          <w:color w:val="000000"/>
          <w:sz w:val="20"/>
          <w:szCs w:val="20"/>
          <w:highlight w:val="white"/>
        </w:rPr>
        <w:t>sobre policías obligando a un grupo de mujeres trans a realizar sentadillas dentro de una comisaría, mientras las obligaban a repetir la frase: “Quiero ser hombre”</w:t>
      </w:r>
      <w:r w:rsidRPr="00886821">
        <w:rPr>
          <w:rFonts w:ascii="Segoe UI" w:eastAsia="Quattrocento Sans" w:hAnsi="Segoe UI" w:cs="Segoe UI"/>
          <w:color w:val="000000"/>
          <w:sz w:val="20"/>
          <w:szCs w:val="20"/>
          <w:highlight w:val="white"/>
          <w:vertAlign w:val="superscript"/>
        </w:rPr>
        <w:footnoteReference w:id="4"/>
      </w:r>
      <w:r w:rsidRPr="00886821">
        <w:rPr>
          <w:rFonts w:ascii="Segoe UI" w:eastAsia="Quattrocento Sans" w:hAnsi="Segoe UI" w:cs="Segoe UI"/>
          <w:color w:val="000000"/>
          <w:sz w:val="20"/>
          <w:szCs w:val="20"/>
          <w:highlight w:val="white"/>
        </w:rPr>
        <w:t>. También se denunció que personal de seguridad de supermercados realizaba el control de identidad de mujeres trans sin estar autorizados para ello</w:t>
      </w:r>
      <w:r w:rsidRPr="00886821">
        <w:rPr>
          <w:rFonts w:ascii="Segoe UI" w:eastAsia="Quattrocento Sans" w:hAnsi="Segoe UI" w:cs="Segoe UI"/>
          <w:color w:val="000000"/>
          <w:sz w:val="20"/>
          <w:szCs w:val="20"/>
          <w:highlight w:val="white"/>
          <w:vertAlign w:val="superscript"/>
        </w:rPr>
        <w:footnoteReference w:id="5"/>
      </w:r>
      <w:r w:rsidRPr="00886821">
        <w:rPr>
          <w:rFonts w:ascii="Segoe UI" w:eastAsia="Quattrocento Sans" w:hAnsi="Segoe UI" w:cs="Segoe UI"/>
          <w:color w:val="000000"/>
          <w:sz w:val="20"/>
          <w:szCs w:val="20"/>
          <w:highlight w:val="white"/>
        </w:rPr>
        <w:t>.</w:t>
      </w:r>
    </w:p>
    <w:p w14:paraId="339AF583" w14:textId="0C636591"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highlight w:val="white"/>
        </w:rPr>
      </w:pPr>
      <w:r w:rsidRPr="00886821">
        <w:rPr>
          <w:rFonts w:ascii="Segoe UI" w:eastAsia="Quattrocento Sans" w:hAnsi="Segoe UI" w:cs="Segoe UI"/>
          <w:color w:val="000000"/>
          <w:sz w:val="20"/>
          <w:szCs w:val="20"/>
          <w:highlight w:val="white"/>
        </w:rPr>
        <w:t xml:space="preserve">Como </w:t>
      </w:r>
      <w:r w:rsidR="00FB0594" w:rsidRPr="00886821">
        <w:rPr>
          <w:rFonts w:ascii="Segoe UI" w:eastAsia="Quattrocento Sans" w:hAnsi="Segoe UI" w:cs="Segoe UI"/>
          <w:color w:val="000000"/>
          <w:sz w:val="20"/>
          <w:szCs w:val="20"/>
          <w:highlight w:val="white"/>
        </w:rPr>
        <w:t>consecuencia</w:t>
      </w:r>
      <w:r w:rsidR="00FB0594" w:rsidRPr="00886821">
        <w:rPr>
          <w:rFonts w:ascii="Segoe UI" w:eastAsia="Quattrocento Sans" w:hAnsi="Segoe UI" w:cs="Segoe UI"/>
          <w:sz w:val="20"/>
          <w:szCs w:val="20"/>
          <w:highlight w:val="white"/>
        </w:rPr>
        <w:t xml:space="preserve">, </w:t>
      </w:r>
      <w:r w:rsidR="00FB0594" w:rsidRPr="00886821">
        <w:rPr>
          <w:rFonts w:ascii="Segoe UI" w:eastAsia="Quattrocento Sans" w:hAnsi="Segoe UI" w:cs="Segoe UI"/>
          <w:color w:val="000000"/>
          <w:sz w:val="20"/>
          <w:szCs w:val="20"/>
          <w:highlight w:val="white"/>
        </w:rPr>
        <w:t>muchas</w:t>
      </w:r>
      <w:r w:rsidRPr="00886821">
        <w:rPr>
          <w:rFonts w:ascii="Segoe UI" w:eastAsia="Quattrocento Sans" w:hAnsi="Segoe UI" w:cs="Segoe UI"/>
          <w:color w:val="000000"/>
          <w:sz w:val="20"/>
          <w:szCs w:val="20"/>
          <w:highlight w:val="white"/>
        </w:rPr>
        <w:t xml:space="preserve"> personas trans decidieron no salir por miedo a ser violentadas o discriminadas (pese a necesitar bienes esenciales como alimentos), y las que salieron tuvieron que enfrentar detenciones arbitrarias, cuestionamientos desproporcionados a su identidad y se vieron obligadas a caminar con copias de sus demandas de cambio de nombre y sexo (si es que tenían un proceso judicial en curso) y demás documentos que pudieran ampararlas. </w:t>
      </w:r>
    </w:p>
    <w:p w14:paraId="5AC960C7" w14:textId="77777777" w:rsidR="00E613E4" w:rsidRPr="00886821" w:rsidRDefault="00E613E4">
      <w:pPr>
        <w:pBdr>
          <w:top w:val="nil"/>
          <w:left w:val="nil"/>
          <w:bottom w:val="nil"/>
          <w:right w:val="nil"/>
          <w:between w:val="nil"/>
        </w:pBdr>
        <w:spacing w:after="0" w:line="240" w:lineRule="auto"/>
        <w:ind w:left="720"/>
        <w:jc w:val="both"/>
        <w:rPr>
          <w:rFonts w:ascii="Segoe UI" w:eastAsia="Quattrocento Sans" w:hAnsi="Segoe UI" w:cs="Segoe UI"/>
          <w:sz w:val="20"/>
          <w:szCs w:val="20"/>
          <w:highlight w:val="white"/>
        </w:rPr>
      </w:pPr>
    </w:p>
    <w:p w14:paraId="7A92A95A" w14:textId="77777777"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rPr>
      </w:pPr>
      <w:r w:rsidRPr="00886821">
        <w:rPr>
          <w:rFonts w:ascii="Segoe UI" w:eastAsia="Quattrocento Sans" w:hAnsi="Segoe UI" w:cs="Segoe UI"/>
          <w:b/>
          <w:color w:val="000000"/>
          <w:sz w:val="20"/>
          <w:szCs w:val="20"/>
          <w:highlight w:val="white"/>
        </w:rPr>
        <w:t>Recomendaciones</w:t>
      </w:r>
      <w:r w:rsidRPr="00886821">
        <w:rPr>
          <w:rFonts w:ascii="Segoe UI" w:eastAsia="Quattrocento Sans" w:hAnsi="Segoe UI" w:cs="Segoe UI"/>
          <w:b/>
          <w:color w:val="000000"/>
          <w:sz w:val="20"/>
          <w:szCs w:val="20"/>
        </w:rPr>
        <w:t xml:space="preserve"> sugeridas para el Estado:</w:t>
      </w:r>
    </w:p>
    <w:p w14:paraId="6777D396" w14:textId="77777777" w:rsidR="00E613E4" w:rsidRPr="00886821" w:rsidRDefault="00E613E4">
      <w:pPr>
        <w:pBdr>
          <w:top w:val="nil"/>
          <w:left w:val="nil"/>
          <w:bottom w:val="nil"/>
          <w:right w:val="nil"/>
          <w:between w:val="nil"/>
        </w:pBdr>
        <w:spacing w:after="0"/>
        <w:ind w:left="720"/>
        <w:rPr>
          <w:rFonts w:ascii="Segoe UI" w:eastAsia="Quattrocento Sans" w:hAnsi="Segoe UI" w:cs="Segoe UI"/>
          <w:color w:val="000000"/>
          <w:sz w:val="20"/>
          <w:szCs w:val="20"/>
        </w:rPr>
      </w:pPr>
    </w:p>
    <w:p w14:paraId="7AFCFEED" w14:textId="6AFEFDEF" w:rsidR="00E613E4" w:rsidRPr="00886821" w:rsidRDefault="0059155F">
      <w:pPr>
        <w:numPr>
          <w:ilvl w:val="0"/>
          <w:numId w:val="5"/>
        </w:numPr>
        <w:pBdr>
          <w:top w:val="nil"/>
          <w:left w:val="nil"/>
          <w:bottom w:val="nil"/>
          <w:right w:val="nil"/>
          <w:between w:val="nil"/>
        </w:pBdr>
        <w:spacing w:after="0" w:line="240" w:lineRule="auto"/>
        <w:ind w:left="709"/>
        <w:jc w:val="both"/>
        <w:rPr>
          <w:rFonts w:ascii="Segoe UI" w:eastAsia="Quattrocento Sans" w:hAnsi="Segoe UI" w:cs="Segoe UI"/>
          <w:color w:val="000000"/>
          <w:sz w:val="20"/>
          <w:szCs w:val="20"/>
        </w:rPr>
      </w:pPr>
      <w:bookmarkStart w:id="1" w:name="_30j0zll" w:colFirst="0" w:colLast="0"/>
      <w:bookmarkEnd w:id="1"/>
      <w:r w:rsidRPr="00886821">
        <w:rPr>
          <w:rFonts w:ascii="Segoe UI" w:eastAsia="Quattrocento Sans" w:hAnsi="Segoe UI" w:cs="Segoe UI"/>
          <w:color w:val="000000"/>
          <w:sz w:val="20"/>
          <w:szCs w:val="20"/>
        </w:rPr>
        <w:t>El Estado deber</w:t>
      </w:r>
      <w:r w:rsidR="00886821">
        <w:rPr>
          <w:rFonts w:ascii="Segoe UI" w:eastAsia="Quattrocento Sans" w:hAnsi="Segoe UI" w:cs="Segoe UI"/>
          <w:color w:val="000000"/>
          <w:sz w:val="20"/>
          <w:szCs w:val="20"/>
        </w:rPr>
        <w:t>á</w:t>
      </w:r>
      <w:r w:rsidRPr="00886821">
        <w:rPr>
          <w:rFonts w:ascii="Segoe UI" w:eastAsia="Quattrocento Sans" w:hAnsi="Segoe UI" w:cs="Segoe UI"/>
          <w:color w:val="000000"/>
          <w:sz w:val="20"/>
          <w:szCs w:val="20"/>
        </w:rPr>
        <w:t xml:space="preserve"> otorgar, debido a su especial situación de vulnerabilidad, la clasificación socioeconómica de pobreza y/o extrema pobreza a las personas trans (basándose únicamente en el criterio de autoidentificación) mediante el SISFOH, para que puedan acceder a subsidios económicos y programas sociales específicos post pandemia generada por el COVID 19. </w:t>
      </w:r>
    </w:p>
    <w:p w14:paraId="56CCB758" w14:textId="77777777" w:rsidR="00E613E4" w:rsidRPr="00886821" w:rsidRDefault="0059155F">
      <w:pPr>
        <w:numPr>
          <w:ilvl w:val="0"/>
          <w:numId w:val="5"/>
        </w:numPr>
        <w:pBdr>
          <w:top w:val="nil"/>
          <w:left w:val="nil"/>
          <w:bottom w:val="nil"/>
          <w:right w:val="nil"/>
          <w:between w:val="nil"/>
        </w:pBdr>
        <w:spacing w:after="0" w:line="240" w:lineRule="auto"/>
        <w:ind w:left="709"/>
        <w:jc w:val="both"/>
        <w:rPr>
          <w:rFonts w:ascii="Segoe UI" w:eastAsia="Quattrocento Sans" w:hAnsi="Segoe UI" w:cs="Segoe UI"/>
          <w:color w:val="000000"/>
          <w:sz w:val="20"/>
          <w:szCs w:val="20"/>
        </w:rPr>
      </w:pPr>
      <w:bookmarkStart w:id="2" w:name="_1fob9te" w:colFirst="0" w:colLast="0"/>
      <w:bookmarkEnd w:id="2"/>
      <w:r w:rsidRPr="00886821">
        <w:rPr>
          <w:rFonts w:ascii="Segoe UI" w:eastAsia="Quattrocento Sans" w:hAnsi="Segoe UI" w:cs="Segoe UI"/>
          <w:color w:val="000000"/>
          <w:sz w:val="20"/>
          <w:szCs w:val="20"/>
        </w:rPr>
        <w:t xml:space="preserve">Establecer lineamientos de actuación que </w:t>
      </w:r>
      <w:r w:rsidRPr="00886821">
        <w:rPr>
          <w:rFonts w:ascii="Segoe UI" w:eastAsia="Quattrocento Sans" w:hAnsi="Segoe UI" w:cs="Segoe UI"/>
          <w:sz w:val="20"/>
          <w:szCs w:val="20"/>
        </w:rPr>
        <w:t xml:space="preserve">prevengan la violencia </w:t>
      </w:r>
      <w:r w:rsidRPr="00886821">
        <w:rPr>
          <w:rFonts w:ascii="Segoe UI" w:eastAsia="Quattrocento Sans" w:hAnsi="Segoe UI" w:cs="Segoe UI"/>
          <w:color w:val="000000"/>
          <w:sz w:val="20"/>
          <w:szCs w:val="20"/>
        </w:rPr>
        <w:t>hacia</w:t>
      </w:r>
      <w:r w:rsidRPr="00886821">
        <w:rPr>
          <w:rFonts w:ascii="Segoe UI" w:eastAsia="Quattrocento Sans" w:hAnsi="Segoe UI" w:cs="Segoe UI"/>
          <w:sz w:val="20"/>
          <w:szCs w:val="20"/>
        </w:rPr>
        <w:t xml:space="preserve"> </w:t>
      </w:r>
      <w:r w:rsidRPr="00886821">
        <w:rPr>
          <w:rFonts w:ascii="Segoe UI" w:eastAsia="Quattrocento Sans" w:hAnsi="Segoe UI" w:cs="Segoe UI"/>
          <w:color w:val="000000"/>
          <w:sz w:val="20"/>
          <w:szCs w:val="20"/>
        </w:rPr>
        <w:t>personas LGBTIQ para la Policía Nacional y las Fuerzas Armadas en el marco de la declaración de Estados de Emergencia a nivel nacional.</w:t>
      </w:r>
    </w:p>
    <w:p w14:paraId="06A27E85" w14:textId="77777777" w:rsidR="00E613E4" w:rsidRPr="00886821" w:rsidRDefault="00E613E4">
      <w:pPr>
        <w:pBdr>
          <w:top w:val="nil"/>
          <w:left w:val="nil"/>
          <w:bottom w:val="nil"/>
          <w:right w:val="nil"/>
          <w:between w:val="nil"/>
        </w:pBdr>
        <w:spacing w:after="0" w:line="240" w:lineRule="auto"/>
        <w:ind w:left="426"/>
        <w:jc w:val="both"/>
        <w:rPr>
          <w:rFonts w:ascii="Segoe UI" w:eastAsia="Quattrocento Sans" w:hAnsi="Segoe UI" w:cs="Segoe UI"/>
          <w:b/>
          <w:color w:val="000000"/>
          <w:sz w:val="19"/>
          <w:szCs w:val="19"/>
        </w:rPr>
      </w:pPr>
    </w:p>
    <w:p w14:paraId="22DC55BD" w14:textId="77777777" w:rsidR="00E613E4" w:rsidRPr="00886821" w:rsidRDefault="0059155F">
      <w:pPr>
        <w:numPr>
          <w:ilvl w:val="0"/>
          <w:numId w:val="3"/>
        </w:numPr>
        <w:pBdr>
          <w:top w:val="nil"/>
          <w:left w:val="nil"/>
          <w:bottom w:val="nil"/>
          <w:right w:val="nil"/>
          <w:between w:val="nil"/>
        </w:pBdr>
        <w:spacing w:after="0" w:line="240" w:lineRule="auto"/>
        <w:ind w:left="284" w:hanging="284"/>
        <w:jc w:val="both"/>
        <w:rPr>
          <w:rFonts w:ascii="Segoe UI" w:eastAsia="Quattrocento Sans" w:hAnsi="Segoe UI" w:cs="Segoe UI"/>
          <w:b/>
          <w:color w:val="000000"/>
          <w:sz w:val="20"/>
          <w:szCs w:val="20"/>
        </w:rPr>
      </w:pPr>
      <w:r w:rsidRPr="00886821">
        <w:rPr>
          <w:rFonts w:ascii="Segoe UI" w:eastAsia="Quattrocento Sans" w:hAnsi="Segoe UI" w:cs="Segoe UI"/>
          <w:b/>
          <w:color w:val="000000"/>
          <w:sz w:val="20"/>
          <w:szCs w:val="20"/>
        </w:rPr>
        <w:t>Institucionalidad del Estado Peruano para los derechos de mujeres bisexuales, lesbianas y transgénero</w:t>
      </w:r>
    </w:p>
    <w:p w14:paraId="79D1E795" w14:textId="77777777" w:rsidR="00E613E4" w:rsidRPr="00886821" w:rsidRDefault="00E613E4">
      <w:pPr>
        <w:spacing w:after="0" w:line="240" w:lineRule="auto"/>
        <w:jc w:val="both"/>
        <w:rPr>
          <w:rFonts w:ascii="Segoe UI" w:eastAsia="Quattrocento Sans" w:hAnsi="Segoe UI" w:cs="Segoe UI"/>
          <w:color w:val="000000"/>
          <w:sz w:val="19"/>
          <w:szCs w:val="19"/>
        </w:rPr>
      </w:pPr>
    </w:p>
    <w:p w14:paraId="04AE3A9D" w14:textId="067F7082"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rPr>
      </w:pPr>
      <w:r w:rsidRPr="00886821">
        <w:rPr>
          <w:rFonts w:ascii="Segoe UI" w:eastAsia="Quattrocento Sans" w:hAnsi="Segoe UI" w:cs="Segoe UI"/>
          <w:color w:val="000000"/>
          <w:sz w:val="20"/>
          <w:szCs w:val="20"/>
        </w:rPr>
        <w:t>Según resultados de la II Encuesta Nacional de Derechos Humanos, realizada en el año 2019 por encargo del Ministerio de Justicia y Derechos Humanos, el</w:t>
      </w:r>
      <w:r w:rsidRPr="00886821">
        <w:rPr>
          <w:rFonts w:ascii="Segoe UI" w:eastAsia="Quattrocento Sans" w:hAnsi="Segoe UI" w:cs="Segoe UI"/>
          <w:b/>
          <w:color w:val="000000"/>
          <w:sz w:val="20"/>
          <w:szCs w:val="20"/>
        </w:rPr>
        <w:t xml:space="preserve"> </w:t>
      </w:r>
      <w:r w:rsidRPr="00886821">
        <w:rPr>
          <w:rFonts w:ascii="Segoe UI" w:eastAsia="Quattrocento Sans" w:hAnsi="Segoe UI" w:cs="Segoe UI"/>
          <w:color w:val="000000"/>
          <w:sz w:val="20"/>
          <w:szCs w:val="20"/>
        </w:rPr>
        <w:t>71% de personas encuestadas considera que, en el Perú, las personas LGBT son muy discriminadas. Sin embargo, 37% de las personas encuestadas indican que no estarían dispuestas a contratar a una persona trans si tuvieran una empresa</w:t>
      </w:r>
      <w:r w:rsidR="00A37CDE">
        <w:rPr>
          <w:rFonts w:ascii="Segoe UI" w:eastAsia="Quattrocento Sans" w:hAnsi="Segoe UI" w:cs="Segoe UI"/>
          <w:color w:val="000000"/>
          <w:sz w:val="20"/>
          <w:szCs w:val="20"/>
        </w:rPr>
        <w:t>,</w:t>
      </w:r>
      <w:r w:rsidRPr="00886821">
        <w:rPr>
          <w:rFonts w:ascii="Segoe UI" w:eastAsia="Quattrocento Sans" w:hAnsi="Segoe UI" w:cs="Segoe UI"/>
          <w:color w:val="000000"/>
          <w:sz w:val="20"/>
          <w:szCs w:val="20"/>
        </w:rPr>
        <w:t xml:space="preserve"> y el 30% refiere lo mismo respecto de personas homosexuales. </w:t>
      </w:r>
    </w:p>
    <w:p w14:paraId="2B0B59B3" w14:textId="0AAFAB88"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rPr>
      </w:pPr>
      <w:r w:rsidRPr="00886821">
        <w:rPr>
          <w:rFonts w:ascii="Segoe UI" w:eastAsia="Quattrocento Sans" w:hAnsi="Segoe UI" w:cs="Segoe UI"/>
          <w:color w:val="000000"/>
          <w:sz w:val="20"/>
          <w:szCs w:val="20"/>
        </w:rPr>
        <w:t xml:space="preserve">Asimismo, 53% considera que las mujeres también son un grupo muy discriminado en el país. Al realizar una lectura conjunta de estos datos podemos concluir que quienes pertenecen a ambos grupos se encuentran en </w:t>
      </w:r>
      <w:r w:rsidRPr="00886821">
        <w:rPr>
          <w:rFonts w:ascii="Segoe UI" w:eastAsia="Quattrocento Sans" w:hAnsi="Segoe UI" w:cs="Segoe UI"/>
          <w:sz w:val="20"/>
          <w:szCs w:val="20"/>
        </w:rPr>
        <w:t>mayor e</w:t>
      </w:r>
      <w:r w:rsidRPr="00886821">
        <w:rPr>
          <w:rFonts w:ascii="Segoe UI" w:eastAsia="Quattrocento Sans" w:hAnsi="Segoe UI" w:cs="Segoe UI"/>
          <w:color w:val="000000"/>
          <w:sz w:val="20"/>
          <w:szCs w:val="20"/>
        </w:rPr>
        <w:t>xclusión. Los resultados de la encuesta mencionada también muestran la persistencia de estereotipos negativos</w:t>
      </w:r>
      <w:r w:rsidRPr="00886821">
        <w:rPr>
          <w:rFonts w:ascii="Segoe UI" w:eastAsia="Quattrocento Sans" w:hAnsi="Segoe UI" w:cs="Segoe UI"/>
          <w:sz w:val="20"/>
          <w:szCs w:val="20"/>
        </w:rPr>
        <w:t>.</w:t>
      </w:r>
      <w:r w:rsidRPr="00886821">
        <w:rPr>
          <w:rFonts w:ascii="Segoe UI" w:eastAsia="Quattrocento Sans" w:hAnsi="Segoe UI" w:cs="Segoe UI"/>
          <w:color w:val="000000"/>
          <w:sz w:val="20"/>
          <w:szCs w:val="20"/>
        </w:rPr>
        <w:t xml:space="preserve"> Un 45% considera que las personas “se vuelven homosexuales” por traumas en su infancia o por malas experiencias, un 46% piensa que las personas trans viven confundidas. Asimismo, un 19% todavía cree que la homosexualidad es una enfermedad y un 36% asume que es peligroso dejar a un/a niño/a con una persona homosexual, </w:t>
      </w:r>
      <w:r w:rsidR="00A37CDE">
        <w:rPr>
          <w:rFonts w:ascii="Segoe UI" w:eastAsia="Quattrocento Sans" w:hAnsi="Segoe UI" w:cs="Segoe UI"/>
          <w:color w:val="000000"/>
          <w:sz w:val="20"/>
          <w:szCs w:val="20"/>
        </w:rPr>
        <w:t>con</w:t>
      </w:r>
      <w:r w:rsidRPr="00886821">
        <w:rPr>
          <w:rFonts w:ascii="Segoe UI" w:eastAsia="Quattrocento Sans" w:hAnsi="Segoe UI" w:cs="Segoe UI"/>
          <w:color w:val="000000"/>
          <w:sz w:val="20"/>
          <w:szCs w:val="20"/>
        </w:rPr>
        <w:t xml:space="preserve"> un grave impacto en la visión social que se tiene, por ejemplo, sobre el ejercicio de trabajos de cuidado y maternidad que puedan tener las mujeres lesbianas, bisexuales y trans.</w:t>
      </w:r>
    </w:p>
    <w:p w14:paraId="6D7CF87F" w14:textId="77777777" w:rsidR="00E613E4" w:rsidRPr="00886821" w:rsidRDefault="0059155F">
      <w:pPr>
        <w:numPr>
          <w:ilvl w:val="0"/>
          <w:numId w:val="4"/>
        </w:numPr>
        <w:spacing w:after="0" w:line="240" w:lineRule="auto"/>
        <w:ind w:left="284"/>
        <w:jc w:val="both"/>
        <w:rPr>
          <w:rFonts w:ascii="Segoe UI" w:hAnsi="Segoe UI" w:cs="Segoe UI"/>
        </w:rPr>
      </w:pPr>
      <w:r w:rsidRPr="00886821">
        <w:rPr>
          <w:rFonts w:ascii="Segoe UI" w:eastAsia="Quattrocento Sans" w:hAnsi="Segoe UI" w:cs="Segoe UI"/>
          <w:sz w:val="20"/>
          <w:szCs w:val="20"/>
        </w:rPr>
        <w:t>Sin embargo, no se encuentran sólidos avances en la protección de derechos de personas LGBTI y, por el contrario, se registra una amenaza constante de sectores fundamentalistas con representación política ante cualquier intento de su inclusión en la política pública o normativa.</w:t>
      </w:r>
    </w:p>
    <w:p w14:paraId="6E56237C" w14:textId="0A9AC04C" w:rsidR="00E613E4" w:rsidRPr="00886821" w:rsidRDefault="0059155F">
      <w:pPr>
        <w:numPr>
          <w:ilvl w:val="0"/>
          <w:numId w:val="4"/>
        </w:numPr>
        <w:spacing w:after="0" w:line="240" w:lineRule="auto"/>
        <w:ind w:left="284"/>
        <w:jc w:val="both"/>
        <w:rPr>
          <w:rFonts w:ascii="Segoe UI" w:hAnsi="Segoe UI" w:cs="Segoe UI"/>
        </w:rPr>
      </w:pPr>
      <w:r w:rsidRPr="00886821">
        <w:rPr>
          <w:rFonts w:ascii="Segoe UI" w:eastAsia="Quattrocento Sans" w:hAnsi="Segoe UI" w:cs="Segoe UI"/>
          <w:sz w:val="20"/>
          <w:szCs w:val="20"/>
        </w:rPr>
        <w:t xml:space="preserve"> Por un lado, en el marco del Plan Nacional de Derechos Humanos 2014-2016</w:t>
      </w:r>
      <w:r w:rsidRPr="00886821">
        <w:rPr>
          <w:rFonts w:ascii="Segoe UI" w:eastAsia="Quattrocento Sans" w:hAnsi="Segoe UI" w:cs="Segoe UI"/>
          <w:sz w:val="20"/>
          <w:szCs w:val="20"/>
          <w:vertAlign w:val="superscript"/>
        </w:rPr>
        <w:footnoteReference w:id="6"/>
      </w:r>
      <w:r w:rsidRPr="00886821">
        <w:rPr>
          <w:rFonts w:ascii="Segoe UI" w:eastAsia="Quattrocento Sans" w:hAnsi="Segoe UI" w:cs="Segoe UI"/>
          <w:sz w:val="20"/>
          <w:szCs w:val="20"/>
        </w:rPr>
        <w:t>, las personas LGBTIQ fueron excluidas. Esta situación solo se revirtió en el Plan Nacional de DDHH del 2018-2021</w:t>
      </w:r>
      <w:r w:rsidRPr="00886821">
        <w:rPr>
          <w:rFonts w:ascii="Segoe UI" w:eastAsia="Quattrocento Sans" w:hAnsi="Segoe UI" w:cs="Segoe UI"/>
          <w:sz w:val="20"/>
          <w:szCs w:val="20"/>
          <w:vertAlign w:val="superscript"/>
        </w:rPr>
        <w:footnoteReference w:id="7"/>
      </w:r>
      <w:r w:rsidRPr="00886821">
        <w:rPr>
          <w:rFonts w:ascii="Segoe UI" w:eastAsia="Quattrocento Sans" w:hAnsi="Segoe UI" w:cs="Segoe UI"/>
          <w:sz w:val="20"/>
          <w:szCs w:val="20"/>
        </w:rPr>
        <w:t>, en la cual se reconoció por primera vez a las personas LGBTI como “grupo de especial protección</w:t>
      </w:r>
      <w:r w:rsidRPr="00886821">
        <w:rPr>
          <w:rFonts w:ascii="Segoe UI" w:eastAsia="Quattrocento Sans" w:hAnsi="Segoe UI" w:cs="Segoe UI"/>
          <w:sz w:val="20"/>
          <w:szCs w:val="20"/>
          <w:vertAlign w:val="superscript"/>
        </w:rPr>
        <w:t>"</w:t>
      </w:r>
      <w:r w:rsidRPr="00886821">
        <w:rPr>
          <w:rFonts w:ascii="Segoe UI" w:eastAsia="Quattrocento Sans" w:hAnsi="Segoe UI" w:cs="Segoe UI"/>
          <w:sz w:val="20"/>
          <w:szCs w:val="20"/>
        </w:rPr>
        <w:t xml:space="preserve">. Así, en su Lineamiento Estratégico 3 se incorporó diferentes metas, por un lado, para el grupo de mujeres y, por otro lado, para el grupo de personas LGBTI. Lamentablemente, el abordaje no fue interseccional y los objetivos del Plan no incluyen las </w:t>
      </w:r>
      <w:r w:rsidR="00FB0594" w:rsidRPr="00886821">
        <w:rPr>
          <w:rFonts w:ascii="Segoe UI" w:eastAsia="Quattrocento Sans" w:hAnsi="Segoe UI" w:cs="Segoe UI"/>
          <w:sz w:val="20"/>
          <w:szCs w:val="20"/>
        </w:rPr>
        <w:t>demandas de</w:t>
      </w:r>
      <w:r w:rsidRPr="00886821">
        <w:rPr>
          <w:rFonts w:ascii="Segoe UI" w:eastAsia="Quattrocento Sans" w:hAnsi="Segoe UI" w:cs="Segoe UI"/>
          <w:sz w:val="20"/>
          <w:szCs w:val="20"/>
        </w:rPr>
        <w:t xml:space="preserve"> las mujeres lesbianas, bisexuales y trans.</w:t>
      </w:r>
    </w:p>
    <w:p w14:paraId="799C35EB" w14:textId="77777777" w:rsidR="00E613E4" w:rsidRPr="00886821" w:rsidRDefault="0059155F">
      <w:pPr>
        <w:numPr>
          <w:ilvl w:val="0"/>
          <w:numId w:val="4"/>
        </w:numPr>
        <w:spacing w:after="0" w:line="240" w:lineRule="auto"/>
        <w:ind w:left="284"/>
        <w:jc w:val="both"/>
        <w:rPr>
          <w:rFonts w:ascii="Segoe UI" w:hAnsi="Segoe UI" w:cs="Segoe UI"/>
        </w:rPr>
      </w:pPr>
      <w:r w:rsidRPr="00886821">
        <w:rPr>
          <w:rFonts w:ascii="Segoe UI" w:eastAsia="Quattrocento Sans" w:hAnsi="Segoe UI" w:cs="Segoe UI"/>
          <w:sz w:val="20"/>
          <w:szCs w:val="20"/>
        </w:rPr>
        <w:t xml:space="preserve">En la actualidad, aún no se ha logrado cumplir con los siguientes compromisos: </w:t>
      </w:r>
      <w:r w:rsidRPr="00886821">
        <w:rPr>
          <w:rFonts w:ascii="Segoe UI" w:eastAsia="Quattrocento Sans" w:hAnsi="Segoe UI" w:cs="Segoe UI"/>
          <w:b/>
          <w:sz w:val="20"/>
          <w:szCs w:val="20"/>
        </w:rPr>
        <w:t xml:space="preserve">Mapeo de registros de la violencia y discriminación por orientación sexual e identidad de género, la elaboración del “Estudio de muertes violentas por homicidios dolosos contra la comunidad LGBTI” y el aseguramiento de una atención integral a la salud de las personas LGBTI. </w:t>
      </w:r>
    </w:p>
    <w:p w14:paraId="78CD6B88" w14:textId="2FCF6B6B" w:rsidR="00E613E4" w:rsidRPr="00886821" w:rsidRDefault="0059155F">
      <w:pPr>
        <w:numPr>
          <w:ilvl w:val="0"/>
          <w:numId w:val="4"/>
        </w:numPr>
        <w:spacing w:after="0" w:line="240" w:lineRule="auto"/>
        <w:ind w:left="284"/>
        <w:jc w:val="both"/>
        <w:rPr>
          <w:rFonts w:ascii="Segoe UI" w:hAnsi="Segoe UI" w:cs="Segoe UI"/>
        </w:rPr>
      </w:pPr>
      <w:r w:rsidRPr="00886821">
        <w:rPr>
          <w:rFonts w:ascii="Segoe UI" w:eastAsia="Quattrocento Sans" w:hAnsi="Segoe UI" w:cs="Segoe UI"/>
          <w:sz w:val="20"/>
          <w:szCs w:val="20"/>
        </w:rPr>
        <w:t xml:space="preserve">Si bien existe una </w:t>
      </w:r>
      <w:r w:rsidRPr="00886821">
        <w:rPr>
          <w:rFonts w:ascii="Segoe UI" w:eastAsia="Quattrocento Sans" w:hAnsi="Segoe UI" w:cs="Segoe UI"/>
          <w:i/>
          <w:sz w:val="20"/>
          <w:szCs w:val="20"/>
        </w:rPr>
        <w:t>Mesa de Trabajo para promover los derechos de las Lesbianas</w:t>
      </w:r>
      <w:r w:rsidRPr="00886821">
        <w:rPr>
          <w:rFonts w:ascii="Segoe UI" w:eastAsia="Quattrocento Sans" w:hAnsi="Segoe UI" w:cs="Segoe UI"/>
          <w:sz w:val="20"/>
          <w:szCs w:val="20"/>
        </w:rPr>
        <w:t xml:space="preserve"> </w:t>
      </w:r>
      <w:r w:rsidR="00A37CDE">
        <w:rPr>
          <w:rFonts w:ascii="Segoe UI" w:eastAsia="Quattrocento Sans" w:hAnsi="Segoe UI" w:cs="Segoe UI"/>
          <w:sz w:val="20"/>
          <w:szCs w:val="20"/>
        </w:rPr>
        <w:t xml:space="preserve">en </w:t>
      </w:r>
      <w:r w:rsidR="00FB0594" w:rsidRPr="00886821">
        <w:rPr>
          <w:rFonts w:ascii="Segoe UI" w:eastAsia="Quattrocento Sans" w:hAnsi="Segoe UI" w:cs="Segoe UI"/>
          <w:sz w:val="20"/>
          <w:szCs w:val="20"/>
        </w:rPr>
        <w:t>el Ministerio</w:t>
      </w:r>
      <w:r w:rsidRPr="00886821">
        <w:rPr>
          <w:rFonts w:ascii="Segoe UI" w:eastAsia="Quattrocento Sans" w:hAnsi="Segoe UI" w:cs="Segoe UI"/>
          <w:sz w:val="20"/>
          <w:szCs w:val="20"/>
        </w:rPr>
        <w:t xml:space="preserve"> de la Mujer, aún no hay avances específicos en relación con las mujeres bisexuales e intersex, </w:t>
      </w:r>
      <w:r w:rsidRPr="00886821">
        <w:rPr>
          <w:rFonts w:ascii="Segoe UI" w:eastAsia="Quattrocento Sans" w:hAnsi="Segoe UI" w:cs="Segoe UI"/>
          <w:sz w:val="20"/>
          <w:szCs w:val="20"/>
        </w:rPr>
        <w:lastRenderedPageBreak/>
        <w:t>las mismas que son invisibilizadas o únicamente nombradas en las políticas sin que ello haya tenido un impacto real en la garantía de sus derechos. Esto se debe a que el Estado no ha identificado las demandas de las mujeres bisexuales e intersex en el país.</w:t>
      </w:r>
    </w:p>
    <w:p w14:paraId="7BA347A6" w14:textId="77777777" w:rsidR="00E613E4" w:rsidRPr="00886821" w:rsidRDefault="00E613E4">
      <w:pPr>
        <w:spacing w:after="0" w:line="240" w:lineRule="auto"/>
        <w:ind w:left="284"/>
        <w:jc w:val="both"/>
        <w:rPr>
          <w:rFonts w:ascii="Segoe UI" w:eastAsia="Quattrocento Sans" w:hAnsi="Segoe UI" w:cs="Segoe UI"/>
          <w:b/>
          <w:sz w:val="20"/>
          <w:szCs w:val="20"/>
        </w:rPr>
      </w:pPr>
    </w:p>
    <w:p w14:paraId="4200A643" w14:textId="77777777" w:rsidR="00E613E4" w:rsidRPr="00886821" w:rsidRDefault="0059155F">
      <w:pPr>
        <w:numPr>
          <w:ilvl w:val="0"/>
          <w:numId w:val="4"/>
        </w:numPr>
        <w:spacing w:after="0" w:line="240" w:lineRule="auto"/>
        <w:ind w:left="284"/>
        <w:jc w:val="both"/>
        <w:rPr>
          <w:rFonts w:ascii="Segoe UI" w:hAnsi="Segoe UI" w:cs="Segoe UI"/>
        </w:rPr>
      </w:pPr>
      <w:r w:rsidRPr="00886821">
        <w:rPr>
          <w:rFonts w:ascii="Segoe UI" w:eastAsia="Quattrocento Sans" w:hAnsi="Segoe UI" w:cs="Segoe UI"/>
          <w:b/>
          <w:sz w:val="20"/>
          <w:szCs w:val="20"/>
        </w:rPr>
        <w:t>Recomendaciones Sugeridas para el Estado:</w:t>
      </w:r>
    </w:p>
    <w:p w14:paraId="2DF73507" w14:textId="77777777" w:rsidR="00E613E4" w:rsidRPr="00886821" w:rsidRDefault="00E613E4">
      <w:pPr>
        <w:pBdr>
          <w:top w:val="nil"/>
          <w:left w:val="nil"/>
          <w:bottom w:val="nil"/>
          <w:right w:val="nil"/>
          <w:between w:val="nil"/>
        </w:pBdr>
        <w:spacing w:after="0" w:line="240" w:lineRule="auto"/>
        <w:ind w:left="720"/>
        <w:rPr>
          <w:rFonts w:ascii="Segoe UI" w:eastAsia="Quattrocento Sans" w:hAnsi="Segoe UI" w:cs="Segoe UI"/>
          <w:b/>
          <w:color w:val="000000"/>
          <w:sz w:val="20"/>
          <w:szCs w:val="20"/>
        </w:rPr>
      </w:pPr>
    </w:p>
    <w:p w14:paraId="7FBA1B77" w14:textId="77777777" w:rsidR="00E613E4" w:rsidRPr="00886821" w:rsidRDefault="0059155F">
      <w:pPr>
        <w:numPr>
          <w:ilvl w:val="0"/>
          <w:numId w:val="1"/>
        </w:numPr>
        <w:pBdr>
          <w:top w:val="nil"/>
          <w:left w:val="nil"/>
          <w:bottom w:val="nil"/>
          <w:right w:val="nil"/>
          <w:between w:val="nil"/>
        </w:pBdr>
        <w:spacing w:after="0" w:line="240" w:lineRule="auto"/>
        <w:ind w:hanging="360"/>
        <w:jc w:val="both"/>
        <w:rPr>
          <w:rFonts w:ascii="Segoe UI" w:eastAsia="Quattrocento Sans" w:hAnsi="Segoe UI" w:cs="Segoe UI"/>
          <w:color w:val="000000"/>
          <w:sz w:val="20"/>
          <w:szCs w:val="20"/>
        </w:rPr>
      </w:pPr>
      <w:r w:rsidRPr="00886821">
        <w:rPr>
          <w:rFonts w:ascii="Segoe UI" w:eastAsia="Quattrocento Sans" w:hAnsi="Segoe UI" w:cs="Segoe UI"/>
          <w:color w:val="000000"/>
          <w:sz w:val="20"/>
          <w:szCs w:val="20"/>
        </w:rPr>
        <w:t xml:space="preserve">Reforzar los mecanismos de articulación estatal con sociedad civil de tal forma que se trabaje por la garantía de los derechos de las mujeres </w:t>
      </w:r>
      <w:r w:rsidRPr="00886821">
        <w:rPr>
          <w:rFonts w:ascii="Segoe UI" w:eastAsia="Quattrocento Sans" w:hAnsi="Segoe UI" w:cs="Segoe UI"/>
          <w:sz w:val="20"/>
          <w:szCs w:val="20"/>
        </w:rPr>
        <w:t>LBTI</w:t>
      </w:r>
      <w:r w:rsidRPr="00886821">
        <w:rPr>
          <w:rFonts w:ascii="Segoe UI" w:eastAsia="Quattrocento Sans" w:hAnsi="Segoe UI" w:cs="Segoe UI"/>
          <w:color w:val="000000"/>
          <w:sz w:val="20"/>
          <w:szCs w:val="20"/>
        </w:rPr>
        <w:t xml:space="preserve"> asegurando su participación y la inclusión de </w:t>
      </w:r>
      <w:r w:rsidRPr="00886821">
        <w:rPr>
          <w:rFonts w:ascii="Segoe UI" w:eastAsia="Quattrocento Sans" w:hAnsi="Segoe UI" w:cs="Segoe UI"/>
          <w:sz w:val="20"/>
          <w:szCs w:val="20"/>
        </w:rPr>
        <w:t xml:space="preserve">las </w:t>
      </w:r>
      <w:r w:rsidRPr="00886821">
        <w:rPr>
          <w:rFonts w:ascii="Segoe UI" w:eastAsia="Quattrocento Sans" w:hAnsi="Segoe UI" w:cs="Segoe UI"/>
          <w:color w:val="000000"/>
          <w:sz w:val="20"/>
          <w:szCs w:val="20"/>
        </w:rPr>
        <w:t>demandas específicas</w:t>
      </w:r>
      <w:r w:rsidRPr="00886821">
        <w:rPr>
          <w:rFonts w:ascii="Segoe UI" w:eastAsia="Quattrocento Sans" w:hAnsi="Segoe UI" w:cs="Segoe UI"/>
          <w:sz w:val="20"/>
          <w:szCs w:val="20"/>
        </w:rPr>
        <w:t xml:space="preserve"> de cada grupo.</w:t>
      </w:r>
    </w:p>
    <w:p w14:paraId="21BCA0D7" w14:textId="77777777" w:rsidR="00E613E4" w:rsidRPr="00886821" w:rsidRDefault="0059155F">
      <w:pPr>
        <w:numPr>
          <w:ilvl w:val="0"/>
          <w:numId w:val="1"/>
        </w:numPr>
        <w:pBdr>
          <w:top w:val="nil"/>
          <w:left w:val="nil"/>
          <w:bottom w:val="nil"/>
          <w:right w:val="nil"/>
          <w:between w:val="nil"/>
        </w:pBdr>
        <w:spacing w:after="0" w:line="240" w:lineRule="auto"/>
        <w:ind w:hanging="360"/>
        <w:jc w:val="both"/>
        <w:rPr>
          <w:rFonts w:ascii="Segoe UI" w:eastAsia="Quattrocento Sans" w:hAnsi="Segoe UI" w:cs="Segoe UI"/>
          <w:color w:val="000000"/>
          <w:sz w:val="20"/>
          <w:szCs w:val="20"/>
        </w:rPr>
      </w:pPr>
      <w:r w:rsidRPr="00886821">
        <w:rPr>
          <w:rFonts w:ascii="Segoe UI" w:eastAsia="Quattrocento Sans" w:hAnsi="Segoe UI" w:cs="Segoe UI"/>
          <w:color w:val="000000"/>
          <w:sz w:val="20"/>
          <w:szCs w:val="20"/>
        </w:rPr>
        <w:t>En la formulación de nuevas políticas nacionales sobre violencia de género o de derechos humanos se deberá asegurar que se incluya un enfoque interseccional, de modo tal que el Estado asuma compromisos específicos en relación con los derechos de las mujeres LBTI, principalmente bisexuales e intersex.</w:t>
      </w:r>
    </w:p>
    <w:p w14:paraId="5C730E47" w14:textId="77777777" w:rsidR="00E613E4" w:rsidRPr="00886821" w:rsidRDefault="00E613E4">
      <w:pPr>
        <w:spacing w:after="0" w:line="240" w:lineRule="auto"/>
        <w:jc w:val="both"/>
        <w:rPr>
          <w:rFonts w:ascii="Segoe UI" w:eastAsia="Quattrocento Sans" w:hAnsi="Segoe UI" w:cs="Segoe UI"/>
          <w:color w:val="000000"/>
          <w:sz w:val="19"/>
          <w:szCs w:val="19"/>
        </w:rPr>
      </w:pPr>
    </w:p>
    <w:p w14:paraId="44F7A025" w14:textId="77777777" w:rsidR="00E613E4" w:rsidRPr="00886821" w:rsidRDefault="00E613E4">
      <w:pPr>
        <w:spacing w:after="0" w:line="240" w:lineRule="auto"/>
        <w:ind w:left="284" w:hanging="426"/>
        <w:jc w:val="both"/>
        <w:rPr>
          <w:rFonts w:ascii="Segoe UI" w:eastAsia="Quattrocento Sans" w:hAnsi="Segoe UI" w:cs="Segoe UI"/>
          <w:color w:val="000000"/>
          <w:sz w:val="19"/>
          <w:szCs w:val="19"/>
        </w:rPr>
      </w:pPr>
    </w:p>
    <w:p w14:paraId="6AC789EC" w14:textId="77777777" w:rsidR="00E613E4" w:rsidRPr="00886821" w:rsidRDefault="0059155F">
      <w:pPr>
        <w:numPr>
          <w:ilvl w:val="0"/>
          <w:numId w:val="3"/>
        </w:numPr>
        <w:pBdr>
          <w:top w:val="nil"/>
          <w:left w:val="nil"/>
          <w:bottom w:val="nil"/>
          <w:right w:val="nil"/>
          <w:between w:val="nil"/>
        </w:pBdr>
        <w:spacing w:after="0" w:line="240" w:lineRule="auto"/>
        <w:ind w:left="284" w:hanging="284"/>
        <w:jc w:val="both"/>
        <w:rPr>
          <w:rFonts w:ascii="Segoe UI" w:eastAsia="Quattrocento Sans" w:hAnsi="Segoe UI" w:cs="Segoe UI"/>
          <w:b/>
          <w:color w:val="000000"/>
          <w:sz w:val="20"/>
          <w:szCs w:val="20"/>
        </w:rPr>
      </w:pPr>
      <w:r w:rsidRPr="00886821">
        <w:rPr>
          <w:rFonts w:ascii="Segoe UI" w:eastAsia="Quattrocento Sans" w:hAnsi="Segoe UI" w:cs="Segoe UI"/>
          <w:b/>
          <w:color w:val="000000"/>
          <w:sz w:val="20"/>
          <w:szCs w:val="20"/>
        </w:rPr>
        <w:t>Violencia de género relacionada a la orientación sexual e identidad de género de las mujeres</w:t>
      </w:r>
    </w:p>
    <w:p w14:paraId="040324D0" w14:textId="77777777" w:rsidR="00E613E4" w:rsidRPr="00886821" w:rsidRDefault="00E613E4">
      <w:pPr>
        <w:spacing w:after="0" w:line="240" w:lineRule="auto"/>
        <w:ind w:left="284" w:hanging="426"/>
        <w:jc w:val="both"/>
        <w:rPr>
          <w:rFonts w:ascii="Segoe UI" w:eastAsia="Quattrocento Sans" w:hAnsi="Segoe UI" w:cs="Segoe UI"/>
          <w:color w:val="000000"/>
          <w:sz w:val="19"/>
          <w:szCs w:val="19"/>
        </w:rPr>
      </w:pPr>
    </w:p>
    <w:p w14:paraId="07A7FFA1" w14:textId="77777777" w:rsidR="00E613E4" w:rsidRPr="00886821" w:rsidRDefault="0059155F">
      <w:pPr>
        <w:numPr>
          <w:ilvl w:val="0"/>
          <w:numId w:val="4"/>
        </w:numPr>
        <w:spacing w:after="0" w:line="240" w:lineRule="auto"/>
        <w:ind w:left="284"/>
        <w:jc w:val="both"/>
        <w:rPr>
          <w:rFonts w:ascii="Segoe UI" w:hAnsi="Segoe UI" w:cs="Segoe UI"/>
        </w:rPr>
      </w:pPr>
      <w:bookmarkStart w:id="3" w:name="_3znysh7" w:colFirst="0" w:colLast="0"/>
      <w:bookmarkEnd w:id="3"/>
      <w:r w:rsidRPr="00886821">
        <w:rPr>
          <w:rFonts w:ascii="Segoe UI" w:eastAsia="Quattrocento Sans" w:hAnsi="Segoe UI" w:cs="Segoe UI"/>
          <w:sz w:val="20"/>
          <w:szCs w:val="20"/>
        </w:rPr>
        <w:t>Según información recogida por el propio Estado</w:t>
      </w:r>
      <w:r w:rsidRPr="00886821">
        <w:rPr>
          <w:rFonts w:ascii="Segoe UI" w:eastAsia="Quattrocento Sans" w:hAnsi="Segoe UI" w:cs="Segoe UI"/>
          <w:sz w:val="20"/>
          <w:szCs w:val="20"/>
          <w:vertAlign w:val="superscript"/>
        </w:rPr>
        <w:footnoteReference w:id="8"/>
      </w:r>
      <w:r w:rsidRPr="00886821">
        <w:rPr>
          <w:rFonts w:ascii="Segoe UI" w:eastAsia="Quattrocento Sans" w:hAnsi="Segoe UI" w:cs="Segoe UI"/>
          <w:sz w:val="20"/>
          <w:szCs w:val="20"/>
        </w:rPr>
        <w:t>, en el año 2017, mediante una primera encuesta virtual dirigida a personas LGBTIQ, se reportó que el 63% de participantes había sido víctima de algún acto de discriminación y/o violencia, principalmente, en espacios públicos (65,6%), el ámbito educativo (57,6%), medios de transporte (42%) y espacios comerciales o de ocio (41%)</w:t>
      </w:r>
      <w:r w:rsidRPr="00886821">
        <w:rPr>
          <w:rFonts w:ascii="Segoe UI" w:eastAsia="Quattrocento Sans" w:hAnsi="Segoe UI" w:cs="Segoe UI"/>
          <w:sz w:val="20"/>
          <w:szCs w:val="20"/>
          <w:vertAlign w:val="superscript"/>
        </w:rPr>
        <w:footnoteReference w:id="9"/>
      </w:r>
      <w:r w:rsidRPr="00886821">
        <w:rPr>
          <w:rFonts w:ascii="Segoe UI" w:eastAsia="Quattrocento Sans" w:hAnsi="Segoe UI" w:cs="Segoe UI"/>
          <w:sz w:val="20"/>
          <w:szCs w:val="20"/>
        </w:rPr>
        <w:t>. Sobre sus agresores se reportó que, el 55,8% fueron compañeras/os de escuela y padres/madres de éstos, el 55% fueron funcionarios públicos y/o personal administrativo de servicios públicos, el 43% fueron líderes religiosos, y el 15.4% fue personal de los servicios de salud</w:t>
      </w:r>
      <w:r w:rsidRPr="00886821">
        <w:rPr>
          <w:rFonts w:ascii="Segoe UI" w:eastAsia="Quattrocento Sans" w:hAnsi="Segoe UI" w:cs="Segoe UI"/>
          <w:sz w:val="20"/>
          <w:szCs w:val="20"/>
          <w:vertAlign w:val="superscript"/>
        </w:rPr>
        <w:footnoteReference w:id="10"/>
      </w:r>
      <w:r w:rsidRPr="00886821">
        <w:rPr>
          <w:rFonts w:ascii="Segoe UI" w:eastAsia="Quattrocento Sans" w:hAnsi="Segoe UI" w:cs="Segoe UI"/>
          <w:sz w:val="20"/>
          <w:szCs w:val="20"/>
        </w:rPr>
        <w:t xml:space="preserve">. </w:t>
      </w:r>
    </w:p>
    <w:p w14:paraId="53068294" w14:textId="77777777" w:rsidR="00E613E4" w:rsidRPr="00886821" w:rsidRDefault="0059155F">
      <w:pPr>
        <w:numPr>
          <w:ilvl w:val="0"/>
          <w:numId w:val="4"/>
        </w:numPr>
        <w:spacing w:after="0" w:line="240" w:lineRule="auto"/>
        <w:ind w:left="284"/>
        <w:jc w:val="both"/>
        <w:rPr>
          <w:rFonts w:ascii="Segoe UI" w:hAnsi="Segoe UI" w:cs="Segoe UI"/>
        </w:rPr>
      </w:pPr>
      <w:r w:rsidRPr="00886821">
        <w:rPr>
          <w:rFonts w:ascii="Segoe UI" w:eastAsia="Quattrocento Sans" w:hAnsi="Segoe UI" w:cs="Segoe UI"/>
          <w:sz w:val="20"/>
          <w:szCs w:val="20"/>
        </w:rPr>
        <w:t>Los principales agresores de personas LGBTIQ son miembros de la Policía Nacional del Perú, supervisores de seguridad ciudadana o serenazgos de las municipalidades</w:t>
      </w:r>
      <w:r w:rsidRPr="00886821">
        <w:rPr>
          <w:rFonts w:ascii="Segoe UI" w:eastAsia="Quattrocento Sans" w:hAnsi="Segoe UI" w:cs="Segoe UI"/>
          <w:sz w:val="20"/>
          <w:szCs w:val="20"/>
          <w:vertAlign w:val="superscript"/>
        </w:rPr>
        <w:footnoteReference w:id="11"/>
      </w:r>
      <w:r w:rsidRPr="00886821">
        <w:rPr>
          <w:rFonts w:ascii="Segoe UI" w:eastAsia="Quattrocento Sans" w:hAnsi="Segoe UI" w:cs="Segoe UI"/>
          <w:sz w:val="20"/>
          <w:szCs w:val="20"/>
        </w:rPr>
        <w:t>. Estos actos son perpetrados incluso en lugares donde existen ordenanzas municipales que prohíben actos discriminatorios motivados por la orientación sexual y/o identidad de género</w:t>
      </w:r>
      <w:r w:rsidRPr="00886821">
        <w:rPr>
          <w:rFonts w:ascii="Segoe UI" w:eastAsia="Quattrocento Sans" w:hAnsi="Segoe UI" w:cs="Segoe UI"/>
          <w:sz w:val="20"/>
          <w:szCs w:val="20"/>
          <w:vertAlign w:val="superscript"/>
        </w:rPr>
        <w:footnoteReference w:id="12"/>
      </w:r>
      <w:r w:rsidRPr="00886821">
        <w:rPr>
          <w:rFonts w:ascii="Segoe UI" w:eastAsia="Quattrocento Sans" w:hAnsi="Segoe UI" w:cs="Segoe UI"/>
          <w:sz w:val="20"/>
          <w:szCs w:val="20"/>
        </w:rPr>
        <w:t xml:space="preserve">. </w:t>
      </w:r>
    </w:p>
    <w:p w14:paraId="3BCC3F5B" w14:textId="77777777" w:rsidR="00E613E4" w:rsidRPr="00886821" w:rsidRDefault="0059155F">
      <w:pPr>
        <w:numPr>
          <w:ilvl w:val="0"/>
          <w:numId w:val="4"/>
        </w:numPr>
        <w:pBdr>
          <w:top w:val="nil"/>
          <w:left w:val="nil"/>
          <w:bottom w:val="nil"/>
          <w:right w:val="nil"/>
          <w:between w:val="nil"/>
        </w:pBdr>
        <w:spacing w:after="0" w:line="240" w:lineRule="auto"/>
        <w:ind w:left="284" w:hanging="426"/>
        <w:jc w:val="both"/>
        <w:rPr>
          <w:rFonts w:ascii="Segoe UI" w:hAnsi="Segoe UI" w:cs="Segoe UI"/>
          <w:color w:val="000000"/>
        </w:rPr>
      </w:pPr>
      <w:r w:rsidRPr="00886821">
        <w:rPr>
          <w:rFonts w:ascii="Segoe UI" w:eastAsia="Quattrocento Sans" w:hAnsi="Segoe UI" w:cs="Segoe UI"/>
          <w:color w:val="000000"/>
          <w:sz w:val="20"/>
          <w:szCs w:val="20"/>
          <w:highlight w:val="white"/>
        </w:rPr>
        <w:t>Asimismo, preocupan los discursos de odio y de incitación a la discriminación, principalmente, contra mujeres lesbianas</w:t>
      </w:r>
      <w:r w:rsidRPr="00886821">
        <w:rPr>
          <w:rFonts w:ascii="Segoe UI" w:eastAsia="Quattrocento Sans" w:hAnsi="Segoe UI" w:cs="Segoe UI"/>
          <w:sz w:val="20"/>
          <w:szCs w:val="20"/>
          <w:highlight w:val="white"/>
        </w:rPr>
        <w:t xml:space="preserve">. En 2016 </w:t>
      </w:r>
      <w:r w:rsidRPr="00886821">
        <w:rPr>
          <w:rFonts w:ascii="Segoe UI" w:eastAsia="Quattrocento Sans" w:hAnsi="Segoe UI" w:cs="Segoe UI"/>
          <w:color w:val="000000"/>
          <w:sz w:val="20"/>
          <w:szCs w:val="20"/>
        </w:rPr>
        <w:t>surgió el movimiento Con Mis Hijos No Te Metas (CMHNTM), conformado por líderes de opinión, políticos, religiosos y empresarios</w:t>
      </w:r>
      <w:r w:rsidRPr="00886821">
        <w:rPr>
          <w:rFonts w:ascii="Segoe UI" w:eastAsia="Quattrocento Sans" w:hAnsi="Segoe UI" w:cs="Segoe UI"/>
          <w:sz w:val="20"/>
          <w:szCs w:val="20"/>
        </w:rPr>
        <w:t>.</w:t>
      </w:r>
      <w:r w:rsidRPr="00886821">
        <w:rPr>
          <w:rFonts w:ascii="Segoe UI" w:eastAsia="Quattrocento Sans" w:hAnsi="Segoe UI" w:cs="Segoe UI"/>
          <w:color w:val="000000"/>
          <w:sz w:val="20"/>
          <w:szCs w:val="20"/>
        </w:rPr>
        <w:t xml:space="preserve"> En el marco de esta campaña aprovecharon la plataforma para reforzar estereotipos nocivos respecto a las personas LGBTIQ.</w:t>
      </w:r>
    </w:p>
    <w:p w14:paraId="25A76CDD" w14:textId="0C0FC18E" w:rsidR="00E613E4" w:rsidRPr="00886821" w:rsidRDefault="008E41A5">
      <w:pPr>
        <w:numPr>
          <w:ilvl w:val="0"/>
          <w:numId w:val="4"/>
        </w:numPr>
        <w:pBdr>
          <w:top w:val="nil"/>
          <w:left w:val="nil"/>
          <w:bottom w:val="nil"/>
          <w:right w:val="nil"/>
          <w:between w:val="nil"/>
        </w:pBdr>
        <w:spacing w:after="0" w:line="240" w:lineRule="auto"/>
        <w:ind w:left="284" w:hanging="426"/>
        <w:jc w:val="both"/>
        <w:rPr>
          <w:rFonts w:ascii="Segoe UI" w:hAnsi="Segoe UI" w:cs="Segoe UI"/>
          <w:color w:val="000000"/>
        </w:rPr>
      </w:pPr>
      <w:r>
        <w:rPr>
          <w:rFonts w:ascii="Segoe UI" w:eastAsia="Quattrocento Sans" w:hAnsi="Segoe UI" w:cs="Segoe UI"/>
          <w:color w:val="000000"/>
          <w:sz w:val="20"/>
          <w:szCs w:val="20"/>
        </w:rPr>
        <w:t>Un</w:t>
      </w:r>
      <w:r w:rsidR="0059155F" w:rsidRPr="00886821">
        <w:rPr>
          <w:rFonts w:ascii="Segoe UI" w:eastAsia="Quattrocento Sans" w:hAnsi="Segoe UI" w:cs="Segoe UI"/>
          <w:color w:val="000000"/>
          <w:sz w:val="20"/>
          <w:szCs w:val="20"/>
        </w:rPr>
        <w:t xml:space="preserve"> pastor evangélico, líder de la iglesia cristiana Movimiento Misionero Mundial en Perú, declaró en un discurso a sus feligreses en 2017 que </w:t>
      </w:r>
      <w:r w:rsidR="00FB0594" w:rsidRPr="00886821">
        <w:rPr>
          <w:rFonts w:ascii="Segoe UI" w:eastAsia="Quattrocento Sans" w:hAnsi="Segoe UI" w:cs="Segoe UI"/>
          <w:color w:val="000000"/>
          <w:sz w:val="20"/>
          <w:szCs w:val="20"/>
        </w:rPr>
        <w:t>“</w:t>
      </w:r>
      <w:r w:rsidR="00FB0594" w:rsidRPr="00886821">
        <w:rPr>
          <w:rFonts w:ascii="Segoe UI" w:eastAsia="Quattrocento Sans" w:hAnsi="Segoe UI" w:cs="Segoe UI"/>
          <w:i/>
          <w:color w:val="000000"/>
          <w:sz w:val="20"/>
          <w:szCs w:val="20"/>
        </w:rPr>
        <w:t>(</w:t>
      </w:r>
      <w:r w:rsidR="0059155F" w:rsidRPr="00886821">
        <w:rPr>
          <w:rFonts w:ascii="Segoe UI" w:eastAsia="Quattrocento Sans" w:hAnsi="Segoe UI" w:cs="Segoe UI"/>
          <w:i/>
          <w:color w:val="000000"/>
          <w:sz w:val="20"/>
          <w:szCs w:val="20"/>
        </w:rPr>
        <w:t>…) si encuentran a dos mujeres teniendo sexo, maten a las dos en nombre de Jesús</w:t>
      </w:r>
      <w:r w:rsidR="0059155F" w:rsidRPr="00886821">
        <w:rPr>
          <w:rFonts w:ascii="Segoe UI" w:eastAsia="Quattrocento Sans" w:hAnsi="Segoe UI" w:cs="Segoe UI"/>
          <w:color w:val="000000"/>
          <w:sz w:val="20"/>
          <w:szCs w:val="20"/>
        </w:rPr>
        <w:t xml:space="preserve">”. Igualmente, </w:t>
      </w:r>
      <w:r>
        <w:rPr>
          <w:rFonts w:ascii="Segoe UI" w:eastAsia="Quattrocento Sans" w:hAnsi="Segoe UI" w:cs="Segoe UI"/>
          <w:color w:val="000000"/>
          <w:sz w:val="20"/>
          <w:szCs w:val="20"/>
        </w:rPr>
        <w:t>un periodista</w:t>
      </w:r>
      <w:r w:rsidR="0059155F" w:rsidRPr="00886821">
        <w:rPr>
          <w:rFonts w:ascii="Segoe UI" w:eastAsia="Quattrocento Sans" w:hAnsi="Segoe UI" w:cs="Segoe UI"/>
          <w:color w:val="000000"/>
          <w:sz w:val="20"/>
          <w:szCs w:val="20"/>
        </w:rPr>
        <w:t xml:space="preserve"> declaró </w:t>
      </w:r>
      <w:r w:rsidR="0059155F" w:rsidRPr="00886821">
        <w:rPr>
          <w:rFonts w:ascii="Segoe UI" w:eastAsia="Quattrocento Sans" w:hAnsi="Segoe UI" w:cs="Segoe UI"/>
          <w:sz w:val="20"/>
          <w:szCs w:val="20"/>
        </w:rPr>
        <w:t xml:space="preserve">en </w:t>
      </w:r>
      <w:r w:rsidR="0059155F" w:rsidRPr="00886821">
        <w:rPr>
          <w:rFonts w:ascii="Segoe UI" w:eastAsia="Quattrocento Sans" w:hAnsi="Segoe UI" w:cs="Segoe UI"/>
          <w:color w:val="000000"/>
          <w:sz w:val="20"/>
          <w:szCs w:val="20"/>
        </w:rPr>
        <w:t>2017</w:t>
      </w:r>
      <w:r w:rsidR="00BE61F6">
        <w:rPr>
          <w:rFonts w:ascii="Segoe UI" w:eastAsia="Quattrocento Sans" w:hAnsi="Segoe UI" w:cs="Segoe UI"/>
          <w:color w:val="000000"/>
          <w:sz w:val="20"/>
          <w:szCs w:val="20"/>
        </w:rPr>
        <w:t xml:space="preserve"> en su programa de radio</w:t>
      </w:r>
      <w:r w:rsidR="0059155F" w:rsidRPr="00886821">
        <w:rPr>
          <w:rFonts w:ascii="Segoe UI" w:eastAsia="Quattrocento Sans" w:hAnsi="Segoe UI" w:cs="Segoe UI"/>
          <w:color w:val="000000"/>
          <w:sz w:val="20"/>
          <w:szCs w:val="20"/>
        </w:rPr>
        <w:t>: “</w:t>
      </w:r>
      <w:r w:rsidR="0059155F" w:rsidRPr="00886821">
        <w:rPr>
          <w:rFonts w:ascii="Segoe UI" w:eastAsia="Quattrocento Sans" w:hAnsi="Segoe UI" w:cs="Segoe UI"/>
          <w:i/>
          <w:color w:val="000000"/>
          <w:sz w:val="20"/>
          <w:szCs w:val="20"/>
        </w:rPr>
        <w:t>yo por la mañana voy al nido de mi hija y si veo a dos lesbianas u homosexuales besándose les pido por favor que se vayan a la primera y segunda, a la tercera ya los estoy pateando</w:t>
      </w:r>
      <w:r w:rsidR="0059155F" w:rsidRPr="00886821">
        <w:rPr>
          <w:rFonts w:ascii="Segoe UI" w:eastAsia="Quattrocento Sans" w:hAnsi="Segoe UI" w:cs="Segoe UI"/>
          <w:color w:val="000000"/>
          <w:sz w:val="20"/>
          <w:szCs w:val="20"/>
        </w:rPr>
        <w:t>”</w:t>
      </w:r>
      <w:r w:rsidR="0059155F" w:rsidRPr="00886821">
        <w:rPr>
          <w:rFonts w:ascii="Segoe UI" w:eastAsia="Quattrocento Sans" w:hAnsi="Segoe UI" w:cs="Segoe UI"/>
          <w:color w:val="000000"/>
          <w:sz w:val="20"/>
          <w:szCs w:val="20"/>
          <w:vertAlign w:val="superscript"/>
        </w:rPr>
        <w:footnoteReference w:id="13"/>
      </w:r>
      <w:r w:rsidR="0059155F" w:rsidRPr="00886821">
        <w:rPr>
          <w:rFonts w:ascii="Segoe UI" w:eastAsia="Quattrocento Sans" w:hAnsi="Segoe UI" w:cs="Segoe UI"/>
          <w:color w:val="000000"/>
          <w:sz w:val="20"/>
          <w:szCs w:val="20"/>
        </w:rPr>
        <w:t xml:space="preserve">.  </w:t>
      </w:r>
    </w:p>
    <w:p w14:paraId="230815DB" w14:textId="0066E9FD"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rPr>
      </w:pPr>
      <w:r w:rsidRPr="00886821">
        <w:rPr>
          <w:rFonts w:ascii="Segoe UI" w:eastAsia="Quattrocento Sans" w:hAnsi="Segoe UI" w:cs="Segoe UI"/>
          <w:color w:val="000000"/>
          <w:sz w:val="20"/>
          <w:szCs w:val="20"/>
        </w:rPr>
        <w:lastRenderedPageBreak/>
        <w:t>Solo luego de que el Congreso de la República delegó facultades al Poder Ejecutivo</w:t>
      </w:r>
      <w:r w:rsidRPr="00886821">
        <w:rPr>
          <w:rFonts w:ascii="Segoe UI" w:hAnsi="Segoe UI" w:cs="Segoe UI"/>
          <w:color w:val="000000"/>
          <w:vertAlign w:val="superscript"/>
        </w:rPr>
        <w:footnoteReference w:id="14"/>
      </w:r>
      <w:r w:rsidRPr="00886821">
        <w:rPr>
          <w:rFonts w:ascii="Segoe UI" w:eastAsia="Quattrocento Sans" w:hAnsi="Segoe UI" w:cs="Segoe UI"/>
          <w:color w:val="000000"/>
          <w:sz w:val="20"/>
          <w:szCs w:val="20"/>
        </w:rPr>
        <w:t xml:space="preserve"> para legislar en materia de seguridad ciudadana, en enero de 2017, se emitió el Decreto Legislativo No. 1323 que incorporó en el Código Penal las categorías de orientación sexual e identidad de género en la tipificación del delito de discriminación. </w:t>
      </w:r>
      <w:r w:rsidRPr="00886821">
        <w:rPr>
          <w:rFonts w:ascii="Segoe UI" w:eastAsia="Quattrocento Sans" w:hAnsi="Segoe UI" w:cs="Segoe UI"/>
          <w:sz w:val="20"/>
          <w:szCs w:val="20"/>
        </w:rPr>
        <w:t xml:space="preserve">Sin </w:t>
      </w:r>
      <w:r w:rsidRPr="00886821">
        <w:rPr>
          <w:rFonts w:ascii="Segoe UI" w:eastAsia="Quattrocento Sans" w:hAnsi="Segoe UI" w:cs="Segoe UI"/>
          <w:color w:val="000000"/>
          <w:sz w:val="20"/>
          <w:szCs w:val="20"/>
        </w:rPr>
        <w:t xml:space="preserve">embargo, el Congreso, estuvo en desacuerdo </w:t>
      </w:r>
      <w:r w:rsidR="00FB0594" w:rsidRPr="00886821">
        <w:rPr>
          <w:rFonts w:ascii="Segoe UI" w:eastAsia="Quattrocento Sans" w:hAnsi="Segoe UI" w:cs="Segoe UI"/>
          <w:color w:val="000000"/>
          <w:sz w:val="20"/>
          <w:szCs w:val="20"/>
        </w:rPr>
        <w:t>argument</w:t>
      </w:r>
      <w:r w:rsidR="00FB0594" w:rsidRPr="00886821">
        <w:rPr>
          <w:rFonts w:ascii="Segoe UI" w:eastAsia="Quattrocento Sans" w:hAnsi="Segoe UI" w:cs="Segoe UI"/>
          <w:sz w:val="20"/>
          <w:szCs w:val="20"/>
        </w:rPr>
        <w:t>ando</w:t>
      </w:r>
      <w:r w:rsidR="00FB0594" w:rsidRPr="00886821">
        <w:rPr>
          <w:rFonts w:ascii="Segoe UI" w:eastAsia="Quattrocento Sans" w:hAnsi="Segoe UI" w:cs="Segoe UI"/>
          <w:color w:val="000000"/>
          <w:sz w:val="20"/>
          <w:szCs w:val="20"/>
        </w:rPr>
        <w:t>:</w:t>
      </w:r>
      <w:r w:rsidR="00FB0594" w:rsidRPr="00886821">
        <w:rPr>
          <w:rFonts w:ascii="Segoe UI" w:eastAsia="Quattrocento Sans" w:hAnsi="Segoe UI" w:cs="Segoe UI"/>
          <w:sz w:val="20"/>
          <w:szCs w:val="20"/>
        </w:rPr>
        <w:t xml:space="preserve"> “Que</w:t>
      </w:r>
      <w:r w:rsidRPr="00886821">
        <w:rPr>
          <w:rFonts w:ascii="Segoe UI" w:eastAsia="Quattrocento Sans" w:hAnsi="Segoe UI" w:cs="Segoe UI"/>
          <w:sz w:val="20"/>
          <w:szCs w:val="20"/>
        </w:rPr>
        <w:t xml:space="preserve"> cuando se hace referencia a la violencia de género, esta solo puede entenderse como violencia hacia la mujer o al sexo femenino".</w:t>
      </w:r>
    </w:p>
    <w:p w14:paraId="083B358C" w14:textId="77777777"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rPr>
      </w:pPr>
      <w:r w:rsidRPr="00886821">
        <w:rPr>
          <w:rFonts w:ascii="Segoe UI" w:eastAsia="Quattrocento Sans" w:hAnsi="Segoe UI" w:cs="Segoe UI"/>
          <w:sz w:val="20"/>
          <w:szCs w:val="20"/>
        </w:rPr>
        <w:t>Actualmente la modificación al Código sigue vigente, pero</w:t>
      </w:r>
      <w:r w:rsidRPr="00886821">
        <w:rPr>
          <w:rFonts w:ascii="Segoe UI" w:eastAsia="Quattrocento Sans" w:hAnsi="Segoe UI" w:cs="Segoe UI"/>
          <w:color w:val="000000"/>
          <w:sz w:val="20"/>
          <w:szCs w:val="20"/>
        </w:rPr>
        <w:t xml:space="preserve"> aún no se incluye en la tipificación del delito de discriminación las categorías de expresión de género ni diversidad corporal para permitir también la sanción de la discriminación contra personas intersex y otras que no se ajustan a los mandatos del binario sexo/género.</w:t>
      </w:r>
    </w:p>
    <w:p w14:paraId="6281FE2B" w14:textId="77777777"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rPr>
      </w:pPr>
      <w:r w:rsidRPr="00886821">
        <w:rPr>
          <w:rFonts w:ascii="Segoe UI" w:eastAsia="Quattrocento Sans" w:hAnsi="Segoe UI" w:cs="Segoe UI"/>
          <w:sz w:val="20"/>
          <w:szCs w:val="20"/>
        </w:rPr>
        <w:t>Asimismo,</w:t>
      </w:r>
      <w:r w:rsidRPr="00886821">
        <w:rPr>
          <w:rFonts w:ascii="Segoe UI" w:eastAsia="Quattrocento Sans" w:hAnsi="Segoe UI" w:cs="Segoe UI"/>
          <w:color w:val="000000"/>
          <w:sz w:val="20"/>
          <w:szCs w:val="20"/>
        </w:rPr>
        <w:t xml:space="preserve"> preocupa que, en el año 2017, la Corte Suprema de Justicia adoptó el ACUERDO PLENARIO Nº 001-2016/CJ-116 sobre feminicidio, señalando que el sujeto pasivo solo puede ser una mujer en su sentido natural "por exigencia del principio de legalidad", excluyendo de protección a las mujeres trans o transfemeninas, por lo que sus muertes, cuando constituyan un feminicidio, no pueden ser sancionadas como tales.</w:t>
      </w:r>
    </w:p>
    <w:p w14:paraId="3000AE4F" w14:textId="77777777" w:rsidR="00E613E4" w:rsidRPr="00886821" w:rsidRDefault="00E613E4">
      <w:pPr>
        <w:spacing w:after="0" w:line="240" w:lineRule="auto"/>
        <w:jc w:val="both"/>
        <w:rPr>
          <w:rFonts w:ascii="Segoe UI" w:eastAsia="Quattrocento Sans" w:hAnsi="Segoe UI" w:cs="Segoe UI"/>
          <w:b/>
          <w:sz w:val="20"/>
          <w:szCs w:val="20"/>
        </w:rPr>
      </w:pPr>
    </w:p>
    <w:p w14:paraId="252BDBC0" w14:textId="77777777" w:rsidR="00E613E4" w:rsidRPr="00886821" w:rsidRDefault="0059155F">
      <w:pPr>
        <w:numPr>
          <w:ilvl w:val="0"/>
          <w:numId w:val="4"/>
        </w:numPr>
        <w:spacing w:after="0" w:line="240" w:lineRule="auto"/>
        <w:ind w:left="284"/>
        <w:jc w:val="both"/>
        <w:rPr>
          <w:rFonts w:ascii="Segoe UI" w:hAnsi="Segoe UI" w:cs="Segoe UI"/>
        </w:rPr>
      </w:pPr>
      <w:r w:rsidRPr="00886821">
        <w:rPr>
          <w:rFonts w:ascii="Segoe UI" w:eastAsia="Quattrocento Sans" w:hAnsi="Segoe UI" w:cs="Segoe UI"/>
          <w:b/>
          <w:sz w:val="20"/>
          <w:szCs w:val="20"/>
        </w:rPr>
        <w:t>Recomendaciones sugeridas para el Estado:</w:t>
      </w:r>
    </w:p>
    <w:p w14:paraId="1E9A206E" w14:textId="77777777" w:rsidR="00E613E4" w:rsidRPr="00886821" w:rsidRDefault="00E613E4">
      <w:pPr>
        <w:spacing w:after="0" w:line="240" w:lineRule="auto"/>
        <w:jc w:val="both"/>
        <w:rPr>
          <w:rFonts w:ascii="Segoe UI" w:eastAsia="Quattrocento Sans" w:hAnsi="Segoe UI" w:cs="Segoe UI"/>
          <w:b/>
          <w:sz w:val="20"/>
          <w:szCs w:val="20"/>
          <w:highlight w:val="yellow"/>
        </w:rPr>
      </w:pPr>
    </w:p>
    <w:p w14:paraId="19DAE0F9" w14:textId="77777777" w:rsidR="00E613E4" w:rsidRPr="00886821" w:rsidRDefault="0059155F">
      <w:pPr>
        <w:numPr>
          <w:ilvl w:val="0"/>
          <w:numId w:val="8"/>
        </w:numPr>
        <w:spacing w:after="0" w:line="240" w:lineRule="auto"/>
        <w:ind w:left="709"/>
        <w:jc w:val="both"/>
        <w:rPr>
          <w:rFonts w:ascii="Segoe UI" w:eastAsia="Quattrocento Sans" w:hAnsi="Segoe UI" w:cs="Segoe UI"/>
          <w:sz w:val="20"/>
          <w:szCs w:val="20"/>
        </w:rPr>
      </w:pPr>
      <w:r w:rsidRPr="00886821">
        <w:rPr>
          <w:rFonts w:ascii="Segoe UI" w:eastAsia="Quattrocento Sans" w:hAnsi="Segoe UI" w:cs="Segoe UI"/>
          <w:sz w:val="20"/>
          <w:szCs w:val="20"/>
        </w:rPr>
        <w:t>El Estado deberá modificar el Código Penal para establecer como delito la incitación o promoción a la discriminación, y garantizar que la tipificación del delito de discriminación no excluya las categorías de orientación sexual, expresión de género, identidad de género y diversidad corporal en su tipificación. Lo mismo para el caso de la regulación de agravantes de la pena, cuando un delito se cometa por móviles discriminatorios.</w:t>
      </w:r>
    </w:p>
    <w:p w14:paraId="7CF56F18" w14:textId="77777777" w:rsidR="00E613E4" w:rsidRPr="00886821" w:rsidRDefault="0059155F">
      <w:pPr>
        <w:numPr>
          <w:ilvl w:val="0"/>
          <w:numId w:val="8"/>
        </w:numPr>
        <w:spacing w:after="0" w:line="240" w:lineRule="auto"/>
        <w:ind w:left="709"/>
        <w:jc w:val="both"/>
        <w:rPr>
          <w:rFonts w:ascii="Segoe UI" w:eastAsia="Quattrocento Sans" w:hAnsi="Segoe UI" w:cs="Segoe UI"/>
          <w:sz w:val="20"/>
          <w:szCs w:val="20"/>
        </w:rPr>
      </w:pPr>
      <w:r w:rsidRPr="00886821">
        <w:rPr>
          <w:rFonts w:ascii="Segoe UI" w:eastAsia="Quattrocento Sans" w:hAnsi="Segoe UI" w:cs="Segoe UI"/>
          <w:sz w:val="20"/>
          <w:szCs w:val="20"/>
        </w:rPr>
        <w:t>Crear consciencia y capacitar al personal de serenazgo, policía nacional y fuerzas armadas sobre los derechos de las personas LGBTIQ para prevenir situaciones de violencia y discriminación en el ejercicio de sus funciones.</w:t>
      </w:r>
    </w:p>
    <w:p w14:paraId="6EB3E639" w14:textId="77777777" w:rsidR="00E613E4" w:rsidRPr="00886821" w:rsidRDefault="0059155F">
      <w:pPr>
        <w:numPr>
          <w:ilvl w:val="0"/>
          <w:numId w:val="8"/>
        </w:numPr>
        <w:spacing w:after="0" w:line="240" w:lineRule="auto"/>
        <w:ind w:left="709"/>
        <w:jc w:val="both"/>
        <w:rPr>
          <w:rFonts w:ascii="Segoe UI" w:eastAsia="Quattrocento Sans" w:hAnsi="Segoe UI" w:cs="Segoe UI"/>
          <w:sz w:val="20"/>
          <w:szCs w:val="20"/>
        </w:rPr>
      </w:pPr>
      <w:r w:rsidRPr="00886821">
        <w:rPr>
          <w:rFonts w:ascii="Segoe UI" w:eastAsia="Quattrocento Sans" w:hAnsi="Segoe UI" w:cs="Segoe UI"/>
          <w:sz w:val="20"/>
          <w:szCs w:val="20"/>
        </w:rPr>
        <w:t xml:space="preserve">Incluir en las estadísticas del Ministerio Público, la Policía Nacional y el Poder Judicial los casos de violencia y discriminación motivados por la orientación sexual, expresión o identidad de género y diversidad corporal de las personas LGBTIQ, así como hacer pública y accesible dicha información anualmente, desagregando la información por género. </w:t>
      </w:r>
    </w:p>
    <w:p w14:paraId="06941850" w14:textId="77777777" w:rsidR="00E613E4" w:rsidRPr="00886821" w:rsidRDefault="0059155F">
      <w:pPr>
        <w:numPr>
          <w:ilvl w:val="0"/>
          <w:numId w:val="8"/>
        </w:numPr>
        <w:spacing w:after="0" w:line="240" w:lineRule="auto"/>
        <w:ind w:left="709"/>
        <w:jc w:val="both"/>
        <w:rPr>
          <w:rFonts w:ascii="Segoe UI" w:eastAsia="Quattrocento Sans" w:hAnsi="Segoe UI" w:cs="Segoe UI"/>
          <w:sz w:val="20"/>
          <w:szCs w:val="20"/>
        </w:rPr>
      </w:pPr>
      <w:r w:rsidRPr="00886821">
        <w:rPr>
          <w:rFonts w:ascii="Segoe UI" w:eastAsia="Quattrocento Sans" w:hAnsi="Segoe UI" w:cs="Segoe UI"/>
          <w:sz w:val="20"/>
          <w:szCs w:val="20"/>
        </w:rPr>
        <w:t>Actualizar el Acuerdo Plenario Nº 001-2016/CJ-116 para incluir a las mujeres trans como sujetos pasivos del delito de feminicidio.</w:t>
      </w:r>
    </w:p>
    <w:p w14:paraId="7A75756C" w14:textId="77777777" w:rsidR="00E613E4" w:rsidRPr="00886821" w:rsidRDefault="00E613E4">
      <w:pPr>
        <w:spacing w:after="0" w:line="240" w:lineRule="auto"/>
        <w:ind w:left="1353"/>
        <w:jc w:val="both"/>
        <w:rPr>
          <w:rFonts w:ascii="Segoe UI" w:eastAsia="Quattrocento Sans" w:hAnsi="Segoe UI" w:cs="Segoe UI"/>
          <w:color w:val="000000"/>
          <w:sz w:val="19"/>
          <w:szCs w:val="19"/>
        </w:rPr>
      </w:pPr>
    </w:p>
    <w:p w14:paraId="0726B190" w14:textId="2BF08012" w:rsidR="00E613E4" w:rsidRPr="00886821" w:rsidRDefault="0059155F">
      <w:pPr>
        <w:numPr>
          <w:ilvl w:val="0"/>
          <w:numId w:val="3"/>
        </w:numPr>
        <w:pBdr>
          <w:top w:val="nil"/>
          <w:left w:val="nil"/>
          <w:bottom w:val="nil"/>
          <w:right w:val="nil"/>
          <w:between w:val="nil"/>
        </w:pBdr>
        <w:spacing w:after="0" w:line="240" w:lineRule="auto"/>
        <w:ind w:left="284" w:hanging="284"/>
        <w:jc w:val="both"/>
        <w:rPr>
          <w:rFonts w:ascii="Segoe UI" w:eastAsia="Quattrocento Sans" w:hAnsi="Segoe UI" w:cs="Segoe UI"/>
          <w:b/>
          <w:color w:val="000000"/>
          <w:sz w:val="20"/>
          <w:szCs w:val="20"/>
        </w:rPr>
      </w:pPr>
      <w:r w:rsidRPr="00886821">
        <w:rPr>
          <w:rFonts w:ascii="Segoe UI" w:eastAsia="Quattrocento Sans" w:hAnsi="Segoe UI" w:cs="Segoe UI"/>
          <w:b/>
          <w:color w:val="000000"/>
          <w:sz w:val="20"/>
          <w:szCs w:val="20"/>
        </w:rPr>
        <w:t>Matrimonio y vida familiar</w:t>
      </w:r>
    </w:p>
    <w:p w14:paraId="7276A891" w14:textId="77777777" w:rsidR="00E613E4" w:rsidRPr="00886821" w:rsidRDefault="00E613E4">
      <w:pPr>
        <w:spacing w:after="0" w:line="240" w:lineRule="auto"/>
        <w:ind w:left="284" w:hanging="426"/>
        <w:jc w:val="both"/>
        <w:rPr>
          <w:rFonts w:ascii="Segoe UI" w:eastAsia="Quattrocento Sans" w:hAnsi="Segoe UI" w:cs="Segoe UI"/>
          <w:color w:val="000000"/>
          <w:sz w:val="19"/>
          <w:szCs w:val="19"/>
        </w:rPr>
      </w:pPr>
    </w:p>
    <w:p w14:paraId="4D2DB8EA" w14:textId="77777777" w:rsidR="00E613E4" w:rsidRPr="00886821" w:rsidRDefault="0059155F">
      <w:pPr>
        <w:numPr>
          <w:ilvl w:val="1"/>
          <w:numId w:val="3"/>
        </w:numPr>
        <w:pBdr>
          <w:top w:val="nil"/>
          <w:left w:val="nil"/>
          <w:bottom w:val="nil"/>
          <w:right w:val="nil"/>
          <w:between w:val="nil"/>
        </w:pBdr>
        <w:spacing w:after="0" w:line="240" w:lineRule="auto"/>
        <w:jc w:val="both"/>
        <w:rPr>
          <w:rFonts w:ascii="Segoe UI" w:eastAsia="Quattrocento Sans" w:hAnsi="Segoe UI" w:cs="Segoe UI"/>
          <w:b/>
          <w:color w:val="000000"/>
          <w:sz w:val="20"/>
          <w:szCs w:val="20"/>
        </w:rPr>
      </w:pPr>
      <w:r w:rsidRPr="00886821">
        <w:rPr>
          <w:rFonts w:ascii="Segoe UI" w:eastAsia="Quattrocento Sans" w:hAnsi="Segoe UI" w:cs="Segoe UI"/>
          <w:b/>
          <w:color w:val="000000"/>
          <w:sz w:val="20"/>
          <w:szCs w:val="20"/>
        </w:rPr>
        <w:t>Falta de reconocimiento legal de las uniones de convivencia y matrimonio</w:t>
      </w:r>
    </w:p>
    <w:p w14:paraId="6E1BB4C2" w14:textId="77777777" w:rsidR="00E613E4" w:rsidRPr="00886821" w:rsidRDefault="00E613E4">
      <w:pPr>
        <w:pBdr>
          <w:top w:val="nil"/>
          <w:left w:val="nil"/>
          <w:bottom w:val="nil"/>
          <w:right w:val="nil"/>
          <w:between w:val="nil"/>
        </w:pBdr>
        <w:spacing w:after="0" w:line="240" w:lineRule="auto"/>
        <w:ind w:left="792"/>
        <w:jc w:val="both"/>
        <w:rPr>
          <w:rFonts w:ascii="Segoe UI" w:eastAsia="Quattrocento Sans" w:hAnsi="Segoe UI" w:cs="Segoe UI"/>
          <w:b/>
          <w:sz w:val="20"/>
          <w:szCs w:val="20"/>
        </w:rPr>
      </w:pPr>
    </w:p>
    <w:p w14:paraId="37F268D1" w14:textId="3EA1D993"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rPr>
      </w:pPr>
      <w:r w:rsidRPr="00886821">
        <w:rPr>
          <w:rFonts w:ascii="Segoe UI" w:eastAsia="Quattrocento Sans" w:hAnsi="Segoe UI" w:cs="Segoe UI"/>
          <w:color w:val="000000"/>
          <w:sz w:val="20"/>
          <w:szCs w:val="20"/>
        </w:rPr>
        <w:t>El Estado peruano no permite el matrimonio para las parejas del mismo sexo ni reconoce su convivencia. A pesar de que la Primera Encuesta Virtual para Personas LGBTI del INEI encontró que casi la mitad de los encuestados entre 18 y 29 años de edad refirió encontrarse en una relación de pareja con otra persona del mismo sexo, de los cuales el 22,9 % indicó mantener una relación de convivencia</w:t>
      </w:r>
      <w:r w:rsidRPr="00886821">
        <w:rPr>
          <w:rFonts w:ascii="Segoe UI" w:eastAsia="Quattrocento Sans" w:hAnsi="Segoe UI" w:cs="Segoe UI"/>
          <w:color w:val="000000"/>
          <w:sz w:val="20"/>
          <w:szCs w:val="20"/>
          <w:vertAlign w:val="superscript"/>
        </w:rPr>
        <w:footnoteReference w:id="15"/>
      </w:r>
      <w:r w:rsidRPr="00886821">
        <w:rPr>
          <w:rFonts w:ascii="Segoe UI" w:eastAsia="Quattrocento Sans" w:hAnsi="Segoe UI" w:cs="Segoe UI"/>
          <w:color w:val="000000"/>
          <w:sz w:val="20"/>
          <w:szCs w:val="20"/>
        </w:rPr>
        <w:t xml:space="preserve">, no cuentan con ninguna </w:t>
      </w:r>
      <w:r w:rsidRPr="00886821">
        <w:rPr>
          <w:rFonts w:ascii="Segoe UI" w:eastAsia="Quattrocento Sans" w:hAnsi="Segoe UI" w:cs="Segoe UI"/>
          <w:sz w:val="20"/>
          <w:szCs w:val="20"/>
        </w:rPr>
        <w:t>protección legal en</w:t>
      </w:r>
      <w:r w:rsidRPr="00886821">
        <w:rPr>
          <w:rFonts w:ascii="Segoe UI" w:eastAsia="Quattrocento Sans" w:hAnsi="Segoe UI" w:cs="Segoe UI"/>
          <w:color w:val="000000"/>
          <w:sz w:val="20"/>
          <w:szCs w:val="20"/>
        </w:rPr>
        <w:t xml:space="preserve"> asuntos de seguridad social, pensiones, vivienda, decisiones en cuestiones de salud y otros. El Código Civil peruano, de 1984, limita el matrimonio a la unión entre un hombre y una mujer, dejando en desamparo legal a las parejas del mismo sexo. </w:t>
      </w:r>
    </w:p>
    <w:p w14:paraId="69ABFAF5" w14:textId="5F6DFA66"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rPr>
      </w:pPr>
      <w:r w:rsidRPr="00886821">
        <w:rPr>
          <w:rFonts w:ascii="Segoe UI" w:eastAsia="Quattrocento Sans" w:hAnsi="Segoe UI" w:cs="Segoe UI"/>
          <w:sz w:val="20"/>
          <w:szCs w:val="20"/>
        </w:rPr>
        <w:lastRenderedPageBreak/>
        <w:t xml:space="preserve">El </w:t>
      </w:r>
      <w:r w:rsidRPr="00886821">
        <w:rPr>
          <w:rFonts w:ascii="Segoe UI" w:eastAsia="Quattrocento Sans" w:hAnsi="Segoe UI" w:cs="Segoe UI"/>
          <w:color w:val="000000"/>
          <w:sz w:val="20"/>
          <w:szCs w:val="20"/>
        </w:rPr>
        <w:t xml:space="preserve">Congreso de la República se ha negado constantemente a aprobar leyes que regulen esta situación. Actualmente el proyecto de </w:t>
      </w:r>
      <w:r w:rsidRPr="00886821">
        <w:rPr>
          <w:rFonts w:ascii="Segoe UI" w:eastAsia="Quattrocento Sans" w:hAnsi="Segoe UI" w:cs="Segoe UI"/>
          <w:b/>
          <w:color w:val="000000"/>
          <w:sz w:val="20"/>
          <w:szCs w:val="20"/>
        </w:rPr>
        <w:t xml:space="preserve">ley </w:t>
      </w:r>
      <w:r w:rsidR="00FB0594" w:rsidRPr="00886821">
        <w:rPr>
          <w:rFonts w:ascii="Segoe UI" w:eastAsia="Quattrocento Sans" w:hAnsi="Segoe UI" w:cs="Segoe UI"/>
          <w:b/>
          <w:sz w:val="20"/>
          <w:szCs w:val="20"/>
        </w:rPr>
        <w:t>525/2021-CR</w:t>
      </w:r>
      <w:r w:rsidRPr="00886821">
        <w:rPr>
          <w:rFonts w:ascii="Segoe UI" w:eastAsia="Quattrocento Sans" w:hAnsi="Segoe UI" w:cs="Segoe UI"/>
          <w:b/>
          <w:color w:val="000000"/>
          <w:sz w:val="20"/>
          <w:szCs w:val="20"/>
        </w:rPr>
        <w:t>, que busca otorgar el derecho al matrimonio para las parejas del mismo sexo, no ha sido debatido</w:t>
      </w:r>
      <w:r w:rsidRPr="00886821">
        <w:rPr>
          <w:rFonts w:ascii="Segoe UI" w:eastAsia="Quattrocento Sans" w:hAnsi="Segoe UI" w:cs="Segoe UI"/>
          <w:color w:val="000000"/>
          <w:sz w:val="20"/>
          <w:szCs w:val="20"/>
        </w:rPr>
        <w:t xml:space="preserve"> siquiera en Comisiones</w:t>
      </w:r>
      <w:r w:rsidRPr="00886821">
        <w:rPr>
          <w:rFonts w:ascii="Segoe UI" w:eastAsia="Quattrocento Sans" w:hAnsi="Segoe UI" w:cs="Segoe UI"/>
          <w:color w:val="000000"/>
          <w:sz w:val="20"/>
          <w:szCs w:val="20"/>
          <w:vertAlign w:val="superscript"/>
        </w:rPr>
        <w:footnoteReference w:id="16"/>
      </w:r>
      <w:r w:rsidRPr="00886821">
        <w:rPr>
          <w:rFonts w:ascii="Segoe UI" w:eastAsia="Quattrocento Sans" w:hAnsi="Segoe UI" w:cs="Segoe UI"/>
          <w:color w:val="000000"/>
          <w:sz w:val="20"/>
          <w:szCs w:val="20"/>
        </w:rPr>
        <w:t xml:space="preserve">. </w:t>
      </w:r>
    </w:p>
    <w:p w14:paraId="05C76B77" w14:textId="24755D40"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rPr>
      </w:pPr>
      <w:r w:rsidRPr="00886821">
        <w:rPr>
          <w:rFonts w:ascii="Segoe UI" w:eastAsia="Quattrocento Sans" w:hAnsi="Segoe UI" w:cs="Segoe UI"/>
          <w:color w:val="000000"/>
          <w:sz w:val="20"/>
          <w:szCs w:val="20"/>
        </w:rPr>
        <w:t xml:space="preserve">Hasta el 2019 el Poder Judicial del Perú ha ordenado en tres casos en primera instancia la inscripción de los matrimonios de parejas del mismo sexo realizados en el extranjero en el registro civil, considerando en todos ellos que la negativa de RENIEC a inscribir matrimonios válidamente realizados en otro país vulnera los derechos fundamentales de las personas LGBTIQ debido a su orientación sexual. En el caso de </w:t>
      </w:r>
      <w:r w:rsidR="008E41A5">
        <w:rPr>
          <w:rFonts w:ascii="Segoe UI" w:eastAsia="Quattrocento Sans" w:hAnsi="Segoe UI" w:cs="Segoe UI"/>
          <w:color w:val="000000"/>
          <w:sz w:val="20"/>
          <w:szCs w:val="20"/>
        </w:rPr>
        <w:t>una pareja de mujeres lesbianas</w:t>
      </w:r>
      <w:r w:rsidRPr="00886821">
        <w:rPr>
          <w:rFonts w:ascii="Segoe UI" w:eastAsia="Quattrocento Sans" w:hAnsi="Segoe UI" w:cs="Segoe UI"/>
          <w:color w:val="000000"/>
          <w:sz w:val="20"/>
          <w:szCs w:val="20"/>
        </w:rPr>
        <w:t>, el RENIEC argumentó ante el Poder Judicial que la pretensión de las dos mujeres era imponer “ideas personales”, lo cual establecería un criterio que obligaría también a reconocer “matrimonios polígamos de peruanos convertidos al islam” o de “matrimonios con menores de edad”</w:t>
      </w:r>
      <w:r w:rsidRPr="00886821">
        <w:rPr>
          <w:rFonts w:ascii="Segoe UI" w:eastAsia="Quattrocento Sans" w:hAnsi="Segoe UI" w:cs="Segoe UI"/>
          <w:color w:val="000000"/>
          <w:sz w:val="20"/>
          <w:szCs w:val="20"/>
          <w:vertAlign w:val="superscript"/>
        </w:rPr>
        <w:footnoteReference w:id="17"/>
      </w:r>
      <w:r w:rsidRPr="00886821">
        <w:rPr>
          <w:rFonts w:ascii="Segoe UI" w:eastAsia="Quattrocento Sans" w:hAnsi="Segoe UI" w:cs="Segoe UI"/>
          <w:color w:val="000000"/>
          <w:sz w:val="20"/>
          <w:szCs w:val="20"/>
        </w:rPr>
        <w:t xml:space="preserve">. </w:t>
      </w:r>
    </w:p>
    <w:p w14:paraId="4E725B44" w14:textId="77777777" w:rsidR="00E613E4" w:rsidRPr="00886821" w:rsidRDefault="00E613E4">
      <w:pPr>
        <w:pBdr>
          <w:top w:val="nil"/>
          <w:left w:val="nil"/>
          <w:bottom w:val="nil"/>
          <w:right w:val="nil"/>
          <w:between w:val="nil"/>
        </w:pBdr>
        <w:spacing w:after="0" w:line="240" w:lineRule="auto"/>
        <w:ind w:left="720"/>
        <w:jc w:val="both"/>
        <w:rPr>
          <w:rFonts w:ascii="Segoe UI" w:eastAsia="Quattrocento Sans" w:hAnsi="Segoe UI" w:cs="Segoe UI"/>
          <w:sz w:val="20"/>
          <w:szCs w:val="20"/>
        </w:rPr>
      </w:pPr>
    </w:p>
    <w:p w14:paraId="142431E6" w14:textId="77777777"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rPr>
      </w:pPr>
      <w:r w:rsidRPr="00886821">
        <w:rPr>
          <w:rFonts w:ascii="Segoe UI" w:eastAsia="Quattrocento Sans" w:hAnsi="Segoe UI" w:cs="Segoe UI"/>
          <w:b/>
          <w:color w:val="000000"/>
          <w:sz w:val="20"/>
          <w:szCs w:val="20"/>
        </w:rPr>
        <w:t>Recomendaciones sugeridas para el Estado:</w:t>
      </w:r>
    </w:p>
    <w:p w14:paraId="4B9AF123" w14:textId="77777777" w:rsidR="00E613E4" w:rsidRPr="00886821" w:rsidRDefault="00E613E4">
      <w:pPr>
        <w:pBdr>
          <w:top w:val="nil"/>
          <w:left w:val="nil"/>
          <w:bottom w:val="nil"/>
          <w:right w:val="nil"/>
          <w:between w:val="nil"/>
        </w:pBdr>
        <w:spacing w:after="0" w:line="240" w:lineRule="auto"/>
        <w:ind w:left="709"/>
        <w:jc w:val="both"/>
        <w:rPr>
          <w:rFonts w:ascii="Segoe UI" w:eastAsia="Quattrocento Sans" w:hAnsi="Segoe UI" w:cs="Segoe UI"/>
          <w:color w:val="000000"/>
          <w:sz w:val="20"/>
          <w:szCs w:val="20"/>
        </w:rPr>
      </w:pPr>
    </w:p>
    <w:p w14:paraId="1221A87B" w14:textId="4B8756A1" w:rsidR="00E613E4" w:rsidRPr="00886821" w:rsidRDefault="0059155F">
      <w:pPr>
        <w:numPr>
          <w:ilvl w:val="0"/>
          <w:numId w:val="6"/>
        </w:numPr>
        <w:pBdr>
          <w:top w:val="nil"/>
          <w:left w:val="nil"/>
          <w:bottom w:val="nil"/>
          <w:right w:val="nil"/>
          <w:between w:val="nil"/>
        </w:pBdr>
        <w:spacing w:after="0" w:line="240" w:lineRule="auto"/>
        <w:ind w:left="709"/>
        <w:jc w:val="both"/>
        <w:rPr>
          <w:rFonts w:ascii="Segoe UI" w:eastAsia="Quattrocento Sans" w:hAnsi="Segoe UI" w:cs="Segoe UI"/>
          <w:color w:val="000000"/>
          <w:sz w:val="20"/>
          <w:szCs w:val="20"/>
        </w:rPr>
      </w:pPr>
      <w:bookmarkStart w:id="8" w:name="_2et92p0" w:colFirst="0" w:colLast="0"/>
      <w:bookmarkEnd w:id="8"/>
      <w:r w:rsidRPr="00886821">
        <w:rPr>
          <w:rFonts w:ascii="Segoe UI" w:eastAsia="Quattrocento Sans" w:hAnsi="Segoe UI" w:cs="Segoe UI"/>
          <w:color w:val="000000"/>
          <w:sz w:val="20"/>
          <w:szCs w:val="20"/>
        </w:rPr>
        <w:t>El Estado deber</w:t>
      </w:r>
      <w:r w:rsidR="00DA02BF" w:rsidRPr="00886821">
        <w:rPr>
          <w:rFonts w:ascii="Segoe UI" w:eastAsia="Quattrocento Sans" w:hAnsi="Segoe UI" w:cs="Segoe UI"/>
          <w:color w:val="000000"/>
          <w:sz w:val="20"/>
          <w:szCs w:val="20"/>
        </w:rPr>
        <w:t>á</w:t>
      </w:r>
      <w:r w:rsidRPr="00886821">
        <w:rPr>
          <w:rFonts w:ascii="Segoe UI" w:eastAsia="Quattrocento Sans" w:hAnsi="Segoe UI" w:cs="Segoe UI"/>
          <w:color w:val="000000"/>
          <w:sz w:val="20"/>
          <w:szCs w:val="20"/>
        </w:rPr>
        <w:t xml:space="preserve">, en el menor plazo posible, modificar su legislación para garantizar el acceso en igualdad de condiciones al matrimonio y uniones de hecho para parejas del mismo sexo, y </w:t>
      </w:r>
      <w:r w:rsidR="00DA02BF" w:rsidRPr="00886821">
        <w:rPr>
          <w:rFonts w:ascii="Segoe UI" w:eastAsia="Quattrocento Sans" w:hAnsi="Segoe UI" w:cs="Segoe UI"/>
          <w:color w:val="000000"/>
          <w:sz w:val="20"/>
          <w:szCs w:val="20"/>
        </w:rPr>
        <w:t>actualizar</w:t>
      </w:r>
      <w:r w:rsidRPr="00886821">
        <w:rPr>
          <w:rFonts w:ascii="Segoe UI" w:eastAsia="Quattrocento Sans" w:hAnsi="Segoe UI" w:cs="Segoe UI"/>
          <w:color w:val="000000"/>
          <w:sz w:val="20"/>
          <w:szCs w:val="20"/>
        </w:rPr>
        <w:t xml:space="preserve"> todas las normas legales orientadas a familias para que no exista distinción por la conformación de las parejas.</w:t>
      </w:r>
    </w:p>
    <w:p w14:paraId="30492537" w14:textId="406F51E8" w:rsidR="00E613E4" w:rsidRPr="00886821" w:rsidRDefault="0059155F">
      <w:pPr>
        <w:numPr>
          <w:ilvl w:val="0"/>
          <w:numId w:val="6"/>
        </w:numPr>
        <w:pBdr>
          <w:top w:val="nil"/>
          <w:left w:val="nil"/>
          <w:bottom w:val="nil"/>
          <w:right w:val="nil"/>
          <w:between w:val="nil"/>
        </w:pBdr>
        <w:spacing w:after="0" w:line="240" w:lineRule="auto"/>
        <w:ind w:left="709"/>
        <w:jc w:val="both"/>
        <w:rPr>
          <w:rFonts w:ascii="Segoe UI" w:eastAsia="Quattrocento Sans" w:hAnsi="Segoe UI" w:cs="Segoe UI"/>
          <w:color w:val="000000"/>
          <w:sz w:val="20"/>
          <w:szCs w:val="20"/>
        </w:rPr>
      </w:pPr>
      <w:bookmarkStart w:id="9" w:name="_tyjcwt" w:colFirst="0" w:colLast="0"/>
      <w:bookmarkEnd w:id="9"/>
      <w:r w:rsidRPr="00886821">
        <w:rPr>
          <w:rFonts w:ascii="Segoe UI" w:eastAsia="Quattrocento Sans" w:hAnsi="Segoe UI" w:cs="Segoe UI"/>
          <w:color w:val="000000"/>
          <w:sz w:val="20"/>
          <w:szCs w:val="20"/>
        </w:rPr>
        <w:t>El Estado deber</w:t>
      </w:r>
      <w:r w:rsidR="00DA02BF" w:rsidRPr="00886821">
        <w:rPr>
          <w:rFonts w:ascii="Segoe UI" w:eastAsia="Quattrocento Sans" w:hAnsi="Segoe UI" w:cs="Segoe UI"/>
          <w:color w:val="000000"/>
          <w:sz w:val="20"/>
          <w:szCs w:val="20"/>
        </w:rPr>
        <w:t>á</w:t>
      </w:r>
      <w:r w:rsidRPr="00886821">
        <w:rPr>
          <w:rFonts w:ascii="Segoe UI" w:eastAsia="Quattrocento Sans" w:hAnsi="Segoe UI" w:cs="Segoe UI"/>
          <w:color w:val="000000"/>
          <w:sz w:val="20"/>
          <w:szCs w:val="20"/>
        </w:rPr>
        <w:t xml:space="preserve"> </w:t>
      </w:r>
      <w:r w:rsidR="00DA02BF" w:rsidRPr="00886821">
        <w:rPr>
          <w:rFonts w:ascii="Segoe UI" w:eastAsia="Quattrocento Sans" w:hAnsi="Segoe UI" w:cs="Segoe UI"/>
          <w:color w:val="000000"/>
          <w:sz w:val="20"/>
          <w:szCs w:val="20"/>
        </w:rPr>
        <w:t>capacitar</w:t>
      </w:r>
      <w:r w:rsidRPr="00886821">
        <w:rPr>
          <w:rFonts w:ascii="Segoe UI" w:eastAsia="Quattrocento Sans" w:hAnsi="Segoe UI" w:cs="Segoe UI"/>
          <w:color w:val="000000"/>
          <w:sz w:val="20"/>
          <w:szCs w:val="20"/>
        </w:rPr>
        <w:t xml:space="preserve"> a jueces y juezas, y a funcionarios del RENIEC sobre las obligaciones asumidas por el Estado en los tratados internacionales para reconocer los vínculos familiares de parejas del mismo sexo, incluyendo la inscripción de los matrimonios realizados en el extranjero.</w:t>
      </w:r>
    </w:p>
    <w:p w14:paraId="0125811B" w14:textId="77777777" w:rsidR="00E613E4" w:rsidRPr="00886821" w:rsidRDefault="00E613E4">
      <w:pPr>
        <w:pBdr>
          <w:top w:val="nil"/>
          <w:left w:val="nil"/>
          <w:bottom w:val="nil"/>
          <w:right w:val="nil"/>
          <w:between w:val="nil"/>
        </w:pBdr>
        <w:spacing w:after="0" w:line="240" w:lineRule="auto"/>
        <w:ind w:left="792"/>
        <w:jc w:val="both"/>
        <w:rPr>
          <w:rFonts w:ascii="Segoe UI" w:eastAsia="Quattrocento Sans" w:hAnsi="Segoe UI" w:cs="Segoe UI"/>
          <w:b/>
          <w:color w:val="000000"/>
          <w:sz w:val="20"/>
          <w:szCs w:val="20"/>
        </w:rPr>
      </w:pPr>
    </w:p>
    <w:p w14:paraId="16D69F49" w14:textId="77777777" w:rsidR="00E613E4" w:rsidRPr="00886821" w:rsidRDefault="0059155F">
      <w:pPr>
        <w:numPr>
          <w:ilvl w:val="1"/>
          <w:numId w:val="3"/>
        </w:numPr>
        <w:pBdr>
          <w:top w:val="nil"/>
          <w:left w:val="nil"/>
          <w:bottom w:val="nil"/>
          <w:right w:val="nil"/>
          <w:between w:val="nil"/>
        </w:pBdr>
        <w:spacing w:after="0" w:line="240" w:lineRule="auto"/>
        <w:jc w:val="both"/>
        <w:rPr>
          <w:rFonts w:ascii="Segoe UI" w:eastAsia="Quattrocento Sans" w:hAnsi="Segoe UI" w:cs="Segoe UI"/>
          <w:b/>
          <w:color w:val="000000"/>
          <w:sz w:val="20"/>
          <w:szCs w:val="20"/>
        </w:rPr>
      </w:pPr>
      <w:r w:rsidRPr="00886821">
        <w:rPr>
          <w:rFonts w:ascii="Segoe UI" w:eastAsia="Quattrocento Sans" w:hAnsi="Segoe UI" w:cs="Segoe UI"/>
          <w:b/>
          <w:color w:val="000000"/>
          <w:sz w:val="20"/>
          <w:szCs w:val="20"/>
        </w:rPr>
        <w:t>Derechos de filiación de hijos e hijas de familias homoparentales</w:t>
      </w:r>
    </w:p>
    <w:p w14:paraId="42A96905" w14:textId="77777777" w:rsidR="00E613E4" w:rsidRPr="00886821" w:rsidRDefault="00E613E4">
      <w:pPr>
        <w:pBdr>
          <w:top w:val="nil"/>
          <w:left w:val="nil"/>
          <w:bottom w:val="nil"/>
          <w:right w:val="nil"/>
          <w:between w:val="nil"/>
        </w:pBdr>
        <w:spacing w:after="0" w:line="240" w:lineRule="auto"/>
        <w:ind w:left="284"/>
        <w:jc w:val="both"/>
        <w:rPr>
          <w:rFonts w:ascii="Segoe UI" w:eastAsia="Quattrocento Sans" w:hAnsi="Segoe UI" w:cs="Segoe UI"/>
          <w:color w:val="000000"/>
          <w:sz w:val="20"/>
          <w:szCs w:val="20"/>
        </w:rPr>
      </w:pPr>
    </w:p>
    <w:p w14:paraId="782EBE51" w14:textId="3AA3AAC5"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rPr>
      </w:pPr>
      <w:r w:rsidRPr="00886821">
        <w:rPr>
          <w:rFonts w:ascii="Segoe UI" w:eastAsia="Quattrocento Sans" w:hAnsi="Segoe UI" w:cs="Segoe UI"/>
          <w:color w:val="000000"/>
          <w:sz w:val="20"/>
          <w:szCs w:val="20"/>
        </w:rPr>
        <w:t xml:space="preserve">El Estado peruano no reconoce la maternidad de las madres no biológicas que forman una familia homoparental. El Artículo 52 de la Constitución Peruana indica que “son peruanos los nacidos en el exterior de padre o madre peruanos, inscritos en el registro correspondiente durante su minoría de edad”, reafirmado en la Ley N° 26574 Ley de Nacionalidad y en la Ley N° 26497 Ley Orgánica del RENIEC, pero este derecho no se garantiza para los hijos de padres del mismo sexo. En el caso de </w:t>
      </w:r>
      <w:r w:rsidR="008E41A5">
        <w:rPr>
          <w:rFonts w:ascii="Segoe UI" w:eastAsia="Quattrocento Sans" w:hAnsi="Segoe UI" w:cs="Segoe UI"/>
          <w:color w:val="000000"/>
          <w:sz w:val="20"/>
          <w:szCs w:val="20"/>
        </w:rPr>
        <w:t>una pareja de mujeres lesbianas</w:t>
      </w:r>
      <w:r w:rsidRPr="00886821">
        <w:rPr>
          <w:rFonts w:ascii="Segoe UI" w:eastAsia="Quattrocento Sans" w:hAnsi="Segoe UI" w:cs="Segoe UI"/>
          <w:color w:val="000000"/>
          <w:sz w:val="20"/>
          <w:szCs w:val="20"/>
        </w:rPr>
        <w:t xml:space="preserve">, </w:t>
      </w:r>
      <w:r w:rsidR="00DA02BF" w:rsidRPr="00886821">
        <w:rPr>
          <w:rFonts w:ascii="Segoe UI" w:eastAsia="Quattrocento Sans" w:hAnsi="Segoe UI" w:cs="Segoe UI"/>
          <w:color w:val="000000"/>
          <w:sz w:val="20"/>
          <w:szCs w:val="20"/>
        </w:rPr>
        <w:t xml:space="preserve">el hijo de esta pareja </w:t>
      </w:r>
      <w:r w:rsidRPr="00886821">
        <w:rPr>
          <w:rFonts w:ascii="Segoe UI" w:eastAsia="Quattrocento Sans" w:hAnsi="Segoe UI" w:cs="Segoe UI"/>
          <w:color w:val="000000"/>
          <w:sz w:val="20"/>
          <w:szCs w:val="20"/>
        </w:rPr>
        <w:t xml:space="preserve">nació en </w:t>
      </w:r>
      <w:r w:rsidR="00A37CDE">
        <w:rPr>
          <w:rFonts w:ascii="Segoe UI" w:eastAsia="Quattrocento Sans" w:hAnsi="Segoe UI" w:cs="Segoe UI"/>
          <w:color w:val="000000"/>
          <w:sz w:val="20"/>
          <w:szCs w:val="20"/>
        </w:rPr>
        <w:t>México</w:t>
      </w:r>
      <w:r w:rsidRPr="00886821">
        <w:rPr>
          <w:rFonts w:ascii="Segoe UI" w:eastAsia="Quattrocento Sans" w:hAnsi="Segoe UI" w:cs="Segoe UI"/>
          <w:color w:val="000000"/>
          <w:sz w:val="20"/>
          <w:szCs w:val="20"/>
        </w:rPr>
        <w:t xml:space="preserve"> en el 2014 y posee una partida de nacimiento mexicana </w:t>
      </w:r>
      <w:r w:rsidR="00DA02BF" w:rsidRPr="00886821">
        <w:rPr>
          <w:rFonts w:ascii="Segoe UI" w:eastAsia="Quattrocento Sans" w:hAnsi="Segoe UI" w:cs="Segoe UI"/>
          <w:color w:val="000000"/>
          <w:sz w:val="20"/>
          <w:szCs w:val="20"/>
        </w:rPr>
        <w:t>que consigna</w:t>
      </w:r>
      <w:r w:rsidRPr="00886821">
        <w:rPr>
          <w:rFonts w:ascii="Segoe UI" w:eastAsia="Quattrocento Sans" w:hAnsi="Segoe UI" w:cs="Segoe UI"/>
          <w:color w:val="000000"/>
          <w:sz w:val="20"/>
          <w:szCs w:val="20"/>
        </w:rPr>
        <w:t xml:space="preserve"> a ambas mujeres como las madres del menor. A pesar de presentar la documentación requerida</w:t>
      </w:r>
      <w:r w:rsidRPr="00886821">
        <w:rPr>
          <w:rFonts w:ascii="Segoe UI" w:eastAsia="Quattrocento Sans" w:hAnsi="Segoe UI" w:cs="Segoe UI"/>
          <w:sz w:val="20"/>
          <w:szCs w:val="20"/>
        </w:rPr>
        <w:t xml:space="preserve">, </w:t>
      </w:r>
      <w:r w:rsidRPr="00886821">
        <w:rPr>
          <w:rFonts w:ascii="Segoe UI" w:eastAsia="Quattrocento Sans" w:hAnsi="Segoe UI" w:cs="Segoe UI"/>
          <w:color w:val="000000"/>
          <w:sz w:val="20"/>
          <w:szCs w:val="20"/>
        </w:rPr>
        <w:t xml:space="preserve">RENIEC ha inscrito al menor únicamente como hijo de </w:t>
      </w:r>
      <w:r w:rsidR="008E41A5">
        <w:rPr>
          <w:rFonts w:ascii="Segoe UI" w:eastAsia="Quattrocento Sans" w:hAnsi="Segoe UI" w:cs="Segoe UI"/>
          <w:color w:val="000000"/>
          <w:sz w:val="20"/>
          <w:szCs w:val="20"/>
        </w:rPr>
        <w:t>la madre gestante</w:t>
      </w:r>
      <w:r w:rsidRPr="00886821">
        <w:rPr>
          <w:rFonts w:ascii="Segoe UI" w:eastAsia="Quattrocento Sans" w:hAnsi="Segoe UI" w:cs="Segoe UI"/>
          <w:color w:val="000000"/>
          <w:sz w:val="20"/>
          <w:szCs w:val="20"/>
        </w:rPr>
        <w:t xml:space="preserve">, impidiendo el ejercicio legal de la maternidad de </w:t>
      </w:r>
      <w:r w:rsidR="008E41A5">
        <w:rPr>
          <w:rFonts w:ascii="Segoe UI" w:eastAsia="Quattrocento Sans" w:hAnsi="Segoe UI" w:cs="Segoe UI"/>
          <w:color w:val="000000"/>
          <w:sz w:val="20"/>
          <w:szCs w:val="20"/>
        </w:rPr>
        <w:t>la madre no gestante</w:t>
      </w:r>
      <w:r w:rsidRPr="00886821">
        <w:rPr>
          <w:rFonts w:ascii="Segoe UI" w:eastAsia="Quattrocento Sans" w:hAnsi="Segoe UI" w:cs="Segoe UI"/>
          <w:color w:val="000000"/>
          <w:sz w:val="20"/>
          <w:szCs w:val="20"/>
        </w:rPr>
        <w:t xml:space="preserve"> y los derechos filiativos que de esa relación se derivan, además de vulnerar el derecho a la identidad y al nombre d</w:t>
      </w:r>
      <w:r w:rsidR="008E41A5">
        <w:rPr>
          <w:rFonts w:ascii="Segoe UI" w:eastAsia="Quattrocento Sans" w:hAnsi="Segoe UI" w:cs="Segoe UI"/>
          <w:color w:val="000000"/>
          <w:sz w:val="20"/>
          <w:szCs w:val="20"/>
        </w:rPr>
        <w:t>el menor</w:t>
      </w:r>
      <w:r w:rsidRPr="00886821">
        <w:rPr>
          <w:rFonts w:ascii="Segoe UI" w:eastAsia="Quattrocento Sans" w:hAnsi="Segoe UI" w:cs="Segoe UI"/>
          <w:color w:val="000000"/>
          <w:sz w:val="20"/>
          <w:szCs w:val="20"/>
        </w:rPr>
        <w:t>, produciendo una situación de desprotección debido a la discriminación por orientación sexual</w:t>
      </w:r>
      <w:r w:rsidR="00DA02BF" w:rsidRPr="00886821">
        <w:rPr>
          <w:rFonts w:ascii="Segoe UI" w:eastAsia="Quattrocento Sans" w:hAnsi="Segoe UI" w:cs="Segoe UI"/>
          <w:color w:val="000000"/>
          <w:sz w:val="20"/>
          <w:szCs w:val="20"/>
        </w:rPr>
        <w:t xml:space="preserve"> de sus madres</w:t>
      </w:r>
      <w:r w:rsidRPr="00886821">
        <w:rPr>
          <w:rFonts w:ascii="Segoe UI" w:eastAsia="Quattrocento Sans" w:hAnsi="Segoe UI" w:cs="Segoe UI"/>
          <w:color w:val="000000"/>
          <w:sz w:val="20"/>
          <w:szCs w:val="20"/>
        </w:rPr>
        <w:t>, en la que solo una está legalmente facultada para representarlo y hacerse responsable de su bienestar</w:t>
      </w:r>
      <w:r w:rsidRPr="00886821">
        <w:rPr>
          <w:rFonts w:ascii="Segoe UI" w:eastAsia="Quattrocento Sans" w:hAnsi="Segoe UI" w:cs="Segoe UI"/>
          <w:color w:val="000000"/>
          <w:sz w:val="20"/>
          <w:szCs w:val="20"/>
          <w:vertAlign w:val="superscript"/>
        </w:rPr>
        <w:footnoteReference w:id="18"/>
      </w:r>
      <w:r w:rsidRPr="00886821">
        <w:rPr>
          <w:rFonts w:ascii="Segoe UI" w:eastAsia="Quattrocento Sans" w:hAnsi="Segoe UI" w:cs="Segoe UI"/>
          <w:color w:val="000000"/>
          <w:sz w:val="20"/>
          <w:szCs w:val="20"/>
        </w:rPr>
        <w:t xml:space="preserve">. </w:t>
      </w:r>
    </w:p>
    <w:p w14:paraId="34481553" w14:textId="73B745B6"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rPr>
      </w:pPr>
      <w:r w:rsidRPr="00886821">
        <w:rPr>
          <w:rFonts w:ascii="Segoe UI" w:eastAsia="Quattrocento Sans" w:hAnsi="Segoe UI" w:cs="Segoe UI"/>
          <w:color w:val="000000"/>
          <w:sz w:val="20"/>
          <w:szCs w:val="20"/>
        </w:rPr>
        <w:t xml:space="preserve">Además, RENIEC no registra en su Sistema Informático los datos del Acta de MIGRACIONES donde figura el vínculo filial de ambas madres, emitió el DNI incluyendo únicamente a </w:t>
      </w:r>
      <w:r w:rsidR="008E41A5">
        <w:rPr>
          <w:rFonts w:ascii="Segoe UI" w:eastAsia="Quattrocento Sans" w:hAnsi="Segoe UI" w:cs="Segoe UI"/>
          <w:color w:val="000000"/>
          <w:sz w:val="20"/>
          <w:szCs w:val="20"/>
        </w:rPr>
        <w:t xml:space="preserve">la madre </w:t>
      </w:r>
      <w:r w:rsidR="008E41A5">
        <w:rPr>
          <w:rFonts w:ascii="Segoe UI" w:eastAsia="Quattrocento Sans" w:hAnsi="Segoe UI" w:cs="Segoe UI"/>
          <w:color w:val="000000"/>
          <w:sz w:val="20"/>
          <w:szCs w:val="20"/>
        </w:rPr>
        <w:lastRenderedPageBreak/>
        <w:t>gestante</w:t>
      </w:r>
      <w:r w:rsidRPr="00886821">
        <w:rPr>
          <w:rFonts w:ascii="Segoe UI" w:eastAsia="Quattrocento Sans" w:hAnsi="Segoe UI" w:cs="Segoe UI"/>
          <w:color w:val="000000"/>
          <w:sz w:val="20"/>
          <w:szCs w:val="20"/>
        </w:rPr>
        <w:t xml:space="preserve"> como la madre en el documento</w:t>
      </w:r>
      <w:r w:rsidRPr="00886821">
        <w:rPr>
          <w:rFonts w:ascii="Segoe UI" w:eastAsia="Quattrocento Sans" w:hAnsi="Segoe UI" w:cs="Segoe UI"/>
          <w:color w:val="000000"/>
          <w:sz w:val="20"/>
          <w:szCs w:val="20"/>
          <w:vertAlign w:val="superscript"/>
        </w:rPr>
        <w:footnoteReference w:id="19"/>
      </w:r>
      <w:r w:rsidRPr="00886821">
        <w:rPr>
          <w:rFonts w:ascii="Segoe UI" w:eastAsia="Quattrocento Sans" w:hAnsi="Segoe UI" w:cs="Segoe UI"/>
          <w:color w:val="000000"/>
          <w:sz w:val="20"/>
          <w:szCs w:val="20"/>
        </w:rPr>
        <w:t>, y ha indicado a las mujeres que ellas, a diferencia de otras familias, tendrían que portar permanentemente, adicionalmente al DNI del menor, el Acta de MIGRACIONES y un video en el que un funcionario de RENIEC confirma que el registro de MIGRACIONES es válido</w:t>
      </w:r>
      <w:r w:rsidRPr="00886821">
        <w:rPr>
          <w:rFonts w:ascii="Segoe UI" w:eastAsia="Quattrocento Sans" w:hAnsi="Segoe UI" w:cs="Segoe UI"/>
          <w:color w:val="000000"/>
          <w:sz w:val="20"/>
          <w:szCs w:val="20"/>
          <w:vertAlign w:val="superscript"/>
        </w:rPr>
        <w:footnoteReference w:id="20"/>
      </w:r>
      <w:r w:rsidRPr="00886821">
        <w:rPr>
          <w:rFonts w:ascii="Segoe UI" w:eastAsia="Quattrocento Sans" w:hAnsi="Segoe UI" w:cs="Segoe UI"/>
          <w:color w:val="000000"/>
          <w:sz w:val="20"/>
          <w:szCs w:val="20"/>
        </w:rPr>
        <w:t xml:space="preserve">. Debido a estas vulneraciones a sus derechos fundamentales, las organizaciones DEMUS, LIFS y Más Igualdad Perú </w:t>
      </w:r>
      <w:r w:rsidR="00886821">
        <w:rPr>
          <w:rFonts w:ascii="Segoe UI" w:eastAsia="Quattrocento Sans" w:hAnsi="Segoe UI" w:cs="Segoe UI"/>
          <w:color w:val="000000"/>
          <w:sz w:val="20"/>
          <w:szCs w:val="20"/>
        </w:rPr>
        <w:t>litigaron</w:t>
      </w:r>
      <w:r w:rsidRPr="00886821">
        <w:rPr>
          <w:rFonts w:ascii="Segoe UI" w:eastAsia="Quattrocento Sans" w:hAnsi="Segoe UI" w:cs="Segoe UI"/>
          <w:color w:val="000000"/>
          <w:sz w:val="20"/>
          <w:szCs w:val="20"/>
        </w:rPr>
        <w:t xml:space="preserve"> el caso mediante un proceso de amparo, </w:t>
      </w:r>
      <w:r w:rsidR="00DA02BF" w:rsidRPr="00886821">
        <w:rPr>
          <w:rFonts w:ascii="Segoe UI" w:eastAsia="Quattrocento Sans" w:hAnsi="Segoe UI" w:cs="Segoe UI"/>
          <w:color w:val="000000"/>
          <w:sz w:val="20"/>
          <w:szCs w:val="20"/>
        </w:rPr>
        <w:t>el que</w:t>
      </w:r>
      <w:r w:rsidR="00886821">
        <w:rPr>
          <w:rFonts w:ascii="Segoe UI" w:eastAsia="Quattrocento Sans" w:hAnsi="Segoe UI" w:cs="Segoe UI"/>
          <w:color w:val="000000"/>
          <w:sz w:val="20"/>
          <w:szCs w:val="20"/>
        </w:rPr>
        <w:t>, en el 2021, tras más de 2 años de espera,</w:t>
      </w:r>
      <w:r w:rsidR="00DA02BF" w:rsidRPr="00886821">
        <w:rPr>
          <w:rFonts w:ascii="Segoe UI" w:eastAsia="Quattrocento Sans" w:hAnsi="Segoe UI" w:cs="Segoe UI"/>
          <w:color w:val="000000"/>
          <w:sz w:val="20"/>
          <w:szCs w:val="20"/>
        </w:rPr>
        <w:t xml:space="preserve"> recibió sentencia favorable en primera instancia ordenando a RENIEC la inscripción de </w:t>
      </w:r>
      <w:r w:rsidR="008E41A5">
        <w:rPr>
          <w:rFonts w:ascii="Segoe UI" w:eastAsia="Quattrocento Sans" w:hAnsi="Segoe UI" w:cs="Segoe UI"/>
          <w:color w:val="000000"/>
          <w:sz w:val="20"/>
          <w:szCs w:val="20"/>
        </w:rPr>
        <w:t>la madre no gestante</w:t>
      </w:r>
      <w:r w:rsidR="00DA02BF" w:rsidRPr="00886821">
        <w:rPr>
          <w:rFonts w:ascii="Segoe UI" w:eastAsia="Quattrocento Sans" w:hAnsi="Segoe UI" w:cs="Segoe UI"/>
          <w:color w:val="000000"/>
          <w:sz w:val="20"/>
          <w:szCs w:val="20"/>
        </w:rPr>
        <w:t xml:space="preserve"> como madre del menor. A la fecha RENIEC ha apelado el fallo</w:t>
      </w:r>
      <w:r w:rsidR="00886821" w:rsidRPr="00886821">
        <w:rPr>
          <w:rStyle w:val="Refdenotaalpie"/>
          <w:rFonts w:ascii="Segoe UI" w:eastAsia="Quattrocento Sans" w:hAnsi="Segoe UI" w:cs="Segoe UI"/>
          <w:color w:val="000000"/>
          <w:sz w:val="20"/>
          <w:szCs w:val="20"/>
        </w:rPr>
        <w:footnoteReference w:id="21"/>
      </w:r>
      <w:r w:rsidRPr="00886821">
        <w:rPr>
          <w:rFonts w:ascii="Segoe UI" w:eastAsia="Quattrocento Sans" w:hAnsi="Segoe UI" w:cs="Segoe UI"/>
          <w:color w:val="000000"/>
          <w:sz w:val="20"/>
          <w:szCs w:val="20"/>
        </w:rPr>
        <w:t>.</w:t>
      </w:r>
    </w:p>
    <w:p w14:paraId="4C66DA35" w14:textId="77777777" w:rsidR="00E613E4" w:rsidRPr="00886821" w:rsidRDefault="00E613E4">
      <w:pPr>
        <w:pBdr>
          <w:top w:val="nil"/>
          <w:left w:val="nil"/>
          <w:bottom w:val="nil"/>
          <w:right w:val="nil"/>
          <w:between w:val="nil"/>
        </w:pBdr>
        <w:spacing w:after="0"/>
        <w:ind w:left="720"/>
        <w:jc w:val="both"/>
        <w:rPr>
          <w:rFonts w:ascii="Segoe UI" w:eastAsia="Quattrocento Sans" w:hAnsi="Segoe UI" w:cs="Segoe UI"/>
          <w:color w:val="000000"/>
          <w:sz w:val="20"/>
          <w:szCs w:val="20"/>
        </w:rPr>
      </w:pPr>
    </w:p>
    <w:p w14:paraId="20CE00EB" w14:textId="77777777"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rPr>
      </w:pPr>
      <w:r w:rsidRPr="00886821">
        <w:rPr>
          <w:rFonts w:ascii="Segoe UI" w:eastAsia="Quattrocento Sans" w:hAnsi="Segoe UI" w:cs="Segoe UI"/>
          <w:b/>
          <w:color w:val="000000"/>
          <w:sz w:val="20"/>
          <w:szCs w:val="20"/>
        </w:rPr>
        <w:t>Recomendaciones sugeridas para el Estado:</w:t>
      </w:r>
    </w:p>
    <w:p w14:paraId="1A05ECCC" w14:textId="77777777" w:rsidR="00E613E4" w:rsidRPr="00886821" w:rsidRDefault="00E613E4">
      <w:pPr>
        <w:pBdr>
          <w:top w:val="nil"/>
          <w:left w:val="nil"/>
          <w:bottom w:val="nil"/>
          <w:right w:val="nil"/>
          <w:between w:val="nil"/>
        </w:pBdr>
        <w:spacing w:after="0" w:line="240" w:lineRule="auto"/>
        <w:ind w:left="709"/>
        <w:jc w:val="both"/>
        <w:rPr>
          <w:rFonts w:ascii="Segoe UI" w:eastAsia="Quattrocento Sans" w:hAnsi="Segoe UI" w:cs="Segoe UI"/>
          <w:color w:val="000000"/>
          <w:sz w:val="20"/>
          <w:szCs w:val="20"/>
        </w:rPr>
      </w:pPr>
    </w:p>
    <w:p w14:paraId="705A1524" w14:textId="4C439CD4" w:rsidR="00E613E4" w:rsidRPr="00886821" w:rsidRDefault="0059155F">
      <w:pPr>
        <w:numPr>
          <w:ilvl w:val="0"/>
          <w:numId w:val="7"/>
        </w:numPr>
        <w:pBdr>
          <w:top w:val="nil"/>
          <w:left w:val="nil"/>
          <w:bottom w:val="nil"/>
          <w:right w:val="nil"/>
          <w:between w:val="nil"/>
        </w:pBdr>
        <w:spacing w:after="0" w:line="240" w:lineRule="auto"/>
        <w:ind w:left="709"/>
        <w:jc w:val="both"/>
        <w:rPr>
          <w:rFonts w:ascii="Segoe UI" w:eastAsia="Quattrocento Sans" w:hAnsi="Segoe UI" w:cs="Segoe UI"/>
          <w:color w:val="000000"/>
          <w:sz w:val="20"/>
          <w:szCs w:val="20"/>
        </w:rPr>
      </w:pPr>
      <w:bookmarkStart w:id="12" w:name="_3dy6vkm" w:colFirst="0" w:colLast="0"/>
      <w:bookmarkEnd w:id="12"/>
      <w:r w:rsidRPr="00886821">
        <w:rPr>
          <w:rFonts w:ascii="Segoe UI" w:eastAsia="Quattrocento Sans" w:hAnsi="Segoe UI" w:cs="Segoe UI"/>
          <w:color w:val="000000"/>
          <w:sz w:val="20"/>
          <w:szCs w:val="20"/>
        </w:rPr>
        <w:t>El Estado peruano deber</w:t>
      </w:r>
      <w:r w:rsidR="00886821">
        <w:rPr>
          <w:rFonts w:ascii="Segoe UI" w:eastAsia="Quattrocento Sans" w:hAnsi="Segoe UI" w:cs="Segoe UI"/>
          <w:color w:val="000000"/>
          <w:sz w:val="20"/>
          <w:szCs w:val="20"/>
        </w:rPr>
        <w:t>á</w:t>
      </w:r>
      <w:r w:rsidRPr="00886821">
        <w:rPr>
          <w:rFonts w:ascii="Segoe UI" w:eastAsia="Quattrocento Sans" w:hAnsi="Segoe UI" w:cs="Segoe UI"/>
          <w:color w:val="000000"/>
          <w:sz w:val="20"/>
          <w:szCs w:val="20"/>
        </w:rPr>
        <w:t xml:space="preserve"> modificar su legislación de registro civil, nacionalidad y otras normas legales que regulan la filiación para garantizar el derecho de los niños a la identidad y a la nacionalidad sin discriminación por la orientación sexual o identidad de género de sus madres</w:t>
      </w:r>
      <w:r w:rsidR="00886821">
        <w:rPr>
          <w:rFonts w:ascii="Segoe UI" w:eastAsia="Quattrocento Sans" w:hAnsi="Segoe UI" w:cs="Segoe UI"/>
          <w:color w:val="000000"/>
          <w:sz w:val="20"/>
          <w:szCs w:val="20"/>
        </w:rPr>
        <w:t>.</w:t>
      </w:r>
    </w:p>
    <w:p w14:paraId="4AE9E769" w14:textId="0E4CB9AA" w:rsidR="00E613E4" w:rsidRPr="00886821" w:rsidRDefault="0059155F">
      <w:pPr>
        <w:numPr>
          <w:ilvl w:val="0"/>
          <w:numId w:val="7"/>
        </w:numPr>
        <w:pBdr>
          <w:top w:val="nil"/>
          <w:left w:val="nil"/>
          <w:bottom w:val="nil"/>
          <w:right w:val="nil"/>
          <w:between w:val="nil"/>
        </w:pBdr>
        <w:spacing w:after="0" w:line="240" w:lineRule="auto"/>
        <w:ind w:left="709"/>
        <w:jc w:val="both"/>
        <w:rPr>
          <w:rFonts w:ascii="Segoe UI" w:eastAsia="Quattrocento Sans" w:hAnsi="Segoe UI" w:cs="Segoe UI"/>
          <w:color w:val="000000"/>
          <w:sz w:val="20"/>
          <w:szCs w:val="20"/>
        </w:rPr>
      </w:pPr>
      <w:bookmarkStart w:id="13" w:name="_1t3h5sf" w:colFirst="0" w:colLast="0"/>
      <w:bookmarkEnd w:id="13"/>
      <w:r w:rsidRPr="00886821">
        <w:rPr>
          <w:rFonts w:ascii="Segoe UI" w:eastAsia="Quattrocento Sans" w:hAnsi="Segoe UI" w:cs="Segoe UI"/>
          <w:color w:val="000000"/>
          <w:sz w:val="20"/>
          <w:szCs w:val="20"/>
        </w:rPr>
        <w:t>El Estado peruano deber</w:t>
      </w:r>
      <w:r w:rsidR="00886821">
        <w:rPr>
          <w:rFonts w:ascii="Segoe UI" w:eastAsia="Quattrocento Sans" w:hAnsi="Segoe UI" w:cs="Segoe UI"/>
          <w:color w:val="000000"/>
          <w:sz w:val="20"/>
          <w:szCs w:val="20"/>
        </w:rPr>
        <w:t>á</w:t>
      </w:r>
      <w:r w:rsidRPr="00886821">
        <w:rPr>
          <w:rFonts w:ascii="Segoe UI" w:eastAsia="Quattrocento Sans" w:hAnsi="Segoe UI" w:cs="Segoe UI"/>
          <w:color w:val="000000"/>
          <w:sz w:val="20"/>
          <w:szCs w:val="20"/>
        </w:rPr>
        <w:t xml:space="preserve"> capacitar a funcionarios del RENIEC, MRE, MIGRACIONES y Consulados para permitir la inscripción de los Hijos de Peruanos Nacidos en el Extranjero de familias homoparentales y monoparentales sin distinción por la orientación sexual de las madres</w:t>
      </w:r>
      <w:r w:rsidR="00886821">
        <w:rPr>
          <w:rFonts w:ascii="Segoe UI" w:eastAsia="Quattrocento Sans" w:hAnsi="Segoe UI" w:cs="Segoe UI"/>
          <w:color w:val="000000"/>
          <w:sz w:val="20"/>
          <w:szCs w:val="20"/>
        </w:rPr>
        <w:t>.</w:t>
      </w:r>
    </w:p>
    <w:p w14:paraId="0A5F7F30" w14:textId="77777777" w:rsidR="00E613E4" w:rsidRPr="00886821" w:rsidRDefault="00E613E4">
      <w:pPr>
        <w:spacing w:after="0" w:line="240" w:lineRule="auto"/>
        <w:ind w:left="426" w:hanging="426"/>
        <w:jc w:val="both"/>
        <w:rPr>
          <w:rFonts w:ascii="Segoe UI" w:eastAsia="Quattrocento Sans" w:hAnsi="Segoe UI" w:cs="Segoe UI"/>
          <w:color w:val="000000"/>
          <w:sz w:val="19"/>
          <w:szCs w:val="19"/>
        </w:rPr>
      </w:pPr>
    </w:p>
    <w:p w14:paraId="0C9F1853" w14:textId="58E45B7D" w:rsidR="00E613E4" w:rsidRPr="00886821" w:rsidRDefault="0059155F">
      <w:pPr>
        <w:numPr>
          <w:ilvl w:val="0"/>
          <w:numId w:val="3"/>
        </w:numPr>
        <w:pBdr>
          <w:top w:val="nil"/>
          <w:left w:val="nil"/>
          <w:bottom w:val="nil"/>
          <w:right w:val="nil"/>
          <w:between w:val="nil"/>
        </w:pBdr>
        <w:spacing w:after="0" w:line="240" w:lineRule="auto"/>
        <w:ind w:left="284" w:hanging="284"/>
        <w:jc w:val="both"/>
        <w:rPr>
          <w:rFonts w:ascii="Segoe UI" w:eastAsia="Quattrocento Sans" w:hAnsi="Segoe UI" w:cs="Segoe UI"/>
          <w:b/>
          <w:color w:val="000000"/>
          <w:sz w:val="20"/>
          <w:szCs w:val="20"/>
        </w:rPr>
      </w:pPr>
      <w:r w:rsidRPr="00886821">
        <w:rPr>
          <w:rFonts w:ascii="Segoe UI" w:eastAsia="Quattrocento Sans" w:hAnsi="Segoe UI" w:cs="Segoe UI"/>
          <w:b/>
          <w:color w:val="000000"/>
          <w:sz w:val="20"/>
          <w:szCs w:val="20"/>
        </w:rPr>
        <w:t>Criminalización de mujeres trans</w:t>
      </w:r>
    </w:p>
    <w:p w14:paraId="4E74F15B" w14:textId="77777777" w:rsidR="00E613E4" w:rsidRPr="00886821" w:rsidRDefault="00E613E4">
      <w:pPr>
        <w:spacing w:after="0" w:line="240" w:lineRule="auto"/>
        <w:jc w:val="both"/>
        <w:rPr>
          <w:rFonts w:ascii="Segoe UI" w:eastAsia="Quattrocento Sans" w:hAnsi="Segoe UI" w:cs="Segoe UI"/>
          <w:color w:val="000000"/>
          <w:sz w:val="20"/>
          <w:szCs w:val="20"/>
        </w:rPr>
      </w:pPr>
    </w:p>
    <w:p w14:paraId="775C1BA7" w14:textId="77777777"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rPr>
      </w:pPr>
      <w:r w:rsidRPr="00886821">
        <w:rPr>
          <w:rFonts w:ascii="Segoe UI" w:eastAsia="Quattrocento Sans" w:hAnsi="Segoe UI" w:cs="Segoe UI"/>
          <w:color w:val="000000"/>
          <w:sz w:val="20"/>
          <w:szCs w:val="20"/>
        </w:rPr>
        <w:t>En los casos de afectaciones a la integridad personal por parte de miembros de las fuerzas del orden, se registra que las víctimas son, en su mayoría, mujeres trans vinculadas al trabajo sexual</w:t>
      </w:r>
      <w:r w:rsidRPr="00886821">
        <w:rPr>
          <w:rFonts w:ascii="Segoe UI" w:eastAsia="Quattrocento Sans" w:hAnsi="Segoe UI" w:cs="Segoe UI"/>
          <w:color w:val="000000"/>
          <w:sz w:val="20"/>
          <w:szCs w:val="20"/>
          <w:vertAlign w:val="superscript"/>
        </w:rPr>
        <w:footnoteReference w:id="22"/>
      </w:r>
      <w:r w:rsidRPr="00886821">
        <w:rPr>
          <w:rFonts w:ascii="Segoe UI" w:eastAsia="Quattrocento Sans" w:hAnsi="Segoe UI" w:cs="Segoe UI"/>
          <w:color w:val="000000"/>
          <w:sz w:val="20"/>
          <w:szCs w:val="20"/>
        </w:rPr>
        <w:t xml:space="preserve"> o acusadas de ejercer la prostitución, con el objeto de justificar intervenciones municipales e incluso detenciones policiales arbitrarias</w:t>
      </w:r>
      <w:r w:rsidRPr="00886821">
        <w:rPr>
          <w:rFonts w:ascii="Segoe UI" w:eastAsia="Quattrocento Sans" w:hAnsi="Segoe UI" w:cs="Segoe UI"/>
          <w:color w:val="000000"/>
          <w:sz w:val="20"/>
          <w:szCs w:val="20"/>
          <w:vertAlign w:val="superscript"/>
        </w:rPr>
        <w:footnoteReference w:id="23"/>
      </w:r>
      <w:r w:rsidRPr="00886821">
        <w:rPr>
          <w:rFonts w:ascii="Segoe UI" w:eastAsia="Quattrocento Sans" w:hAnsi="Segoe UI" w:cs="Segoe UI"/>
          <w:color w:val="000000"/>
          <w:sz w:val="20"/>
          <w:szCs w:val="20"/>
        </w:rPr>
        <w:t xml:space="preserve">, pese a que la prostitución no es un </w:t>
      </w:r>
      <w:r w:rsidRPr="00886821">
        <w:rPr>
          <w:rFonts w:ascii="Segoe UI" w:eastAsia="Quattrocento Sans" w:hAnsi="Segoe UI" w:cs="Segoe UI"/>
          <w:sz w:val="20"/>
          <w:szCs w:val="20"/>
        </w:rPr>
        <w:t>delito.</w:t>
      </w:r>
    </w:p>
    <w:p w14:paraId="239DCF94" w14:textId="77777777" w:rsidR="00E613E4" w:rsidRPr="00886821" w:rsidRDefault="0059155F">
      <w:pPr>
        <w:numPr>
          <w:ilvl w:val="0"/>
          <w:numId w:val="4"/>
        </w:numPr>
        <w:pBdr>
          <w:top w:val="nil"/>
          <w:left w:val="nil"/>
          <w:bottom w:val="nil"/>
          <w:right w:val="nil"/>
          <w:between w:val="nil"/>
        </w:pBdr>
        <w:spacing w:after="0" w:line="240" w:lineRule="auto"/>
        <w:ind w:left="284"/>
        <w:jc w:val="both"/>
        <w:rPr>
          <w:rFonts w:ascii="Segoe UI" w:hAnsi="Segoe UI" w:cs="Segoe UI"/>
          <w:color w:val="000000"/>
        </w:rPr>
      </w:pPr>
      <w:r w:rsidRPr="00886821">
        <w:rPr>
          <w:rFonts w:ascii="Segoe UI" w:eastAsia="Quattrocento Sans" w:hAnsi="Segoe UI" w:cs="Segoe UI"/>
          <w:sz w:val="20"/>
          <w:szCs w:val="20"/>
        </w:rPr>
        <w:t>En</w:t>
      </w:r>
      <w:r w:rsidRPr="00886821">
        <w:rPr>
          <w:rFonts w:ascii="Segoe UI" w:eastAsia="Quattrocento Sans" w:hAnsi="Segoe UI" w:cs="Segoe UI"/>
          <w:color w:val="000000"/>
          <w:sz w:val="20"/>
          <w:szCs w:val="20"/>
        </w:rPr>
        <w:t xml:space="preserve"> muchos casos, se evidencian prácticas sistemáticas por parte de los miembros de serenazgo: primero, las suben a los patrulleros, las golpean e insultan. Luego, las trasladan hasta lugares lejanos, desolados y riesgosos; les quitan sus pertenencias, sus prendas de vestir y su dinero. En algunos casos las someten a diversas formas de violencia sexual: violaciones sexuales, desnudo forzado y tocamientos</w:t>
      </w:r>
      <w:r w:rsidRPr="00886821">
        <w:rPr>
          <w:rFonts w:ascii="Segoe UI" w:eastAsia="Quattrocento Sans" w:hAnsi="Segoe UI" w:cs="Segoe UI"/>
          <w:color w:val="000000"/>
          <w:sz w:val="20"/>
          <w:szCs w:val="20"/>
          <w:vertAlign w:val="superscript"/>
        </w:rPr>
        <w:footnoteReference w:id="24"/>
      </w:r>
      <w:r w:rsidRPr="00886821">
        <w:rPr>
          <w:rFonts w:ascii="Segoe UI" w:eastAsia="Quattrocento Sans" w:hAnsi="Segoe UI" w:cs="Segoe UI"/>
          <w:color w:val="000000"/>
          <w:sz w:val="20"/>
          <w:szCs w:val="20"/>
        </w:rPr>
        <w:t>.</w:t>
      </w:r>
    </w:p>
    <w:p w14:paraId="10F03D06" w14:textId="42BC7748" w:rsidR="00E613E4" w:rsidRPr="00886821" w:rsidRDefault="00886821" w:rsidP="00886821">
      <w:pPr>
        <w:numPr>
          <w:ilvl w:val="0"/>
          <w:numId w:val="4"/>
        </w:numPr>
        <w:pBdr>
          <w:top w:val="nil"/>
          <w:left w:val="nil"/>
          <w:bottom w:val="nil"/>
          <w:right w:val="nil"/>
          <w:between w:val="nil"/>
        </w:pBdr>
        <w:spacing w:after="0" w:line="240" w:lineRule="auto"/>
        <w:ind w:left="284"/>
        <w:jc w:val="both"/>
        <w:rPr>
          <w:rFonts w:ascii="Segoe UI" w:hAnsi="Segoe UI" w:cs="Segoe UI"/>
          <w:color w:val="000000"/>
        </w:rPr>
      </w:pPr>
      <w:r>
        <w:rPr>
          <w:rFonts w:ascii="Segoe UI" w:eastAsia="Quattrocento Sans" w:hAnsi="Segoe UI" w:cs="Segoe UI"/>
          <w:color w:val="000000"/>
          <w:sz w:val="20"/>
          <w:szCs w:val="20"/>
        </w:rPr>
        <w:t>No</w:t>
      </w:r>
      <w:r w:rsidR="0059155F" w:rsidRPr="00886821">
        <w:rPr>
          <w:rFonts w:ascii="Segoe UI" w:eastAsia="Quattrocento Sans" w:hAnsi="Segoe UI" w:cs="Segoe UI"/>
          <w:color w:val="000000"/>
          <w:sz w:val="20"/>
          <w:szCs w:val="20"/>
        </w:rPr>
        <w:t xml:space="preserve"> solo se trata de una práctica de las fuerzas de seguridad, sino que las mismas cuentan con respaldo institucional. En el año 2017 se denunció que once </w:t>
      </w:r>
      <w:r w:rsidR="0059155F" w:rsidRPr="00886821">
        <w:rPr>
          <w:rFonts w:ascii="Segoe UI" w:eastAsia="Quattrocento Sans" w:hAnsi="Segoe UI" w:cs="Segoe UI"/>
          <w:color w:val="000000"/>
          <w:sz w:val="20"/>
          <w:szCs w:val="20"/>
          <w:vertAlign w:val="superscript"/>
        </w:rPr>
        <w:footnoteReference w:id="25"/>
      </w:r>
      <w:r w:rsidR="0059155F" w:rsidRPr="00886821">
        <w:rPr>
          <w:rFonts w:ascii="Segoe UI" w:eastAsia="Quattrocento Sans" w:hAnsi="Segoe UI" w:cs="Segoe UI"/>
          <w:color w:val="000000"/>
          <w:sz w:val="20"/>
          <w:szCs w:val="20"/>
        </w:rPr>
        <w:t xml:space="preserve"> de </w:t>
      </w:r>
      <w:r w:rsidR="00FB0594" w:rsidRPr="00886821">
        <w:rPr>
          <w:rFonts w:ascii="Segoe UI" w:eastAsia="Quattrocento Sans" w:hAnsi="Segoe UI" w:cs="Segoe UI"/>
          <w:color w:val="000000"/>
          <w:sz w:val="20"/>
          <w:szCs w:val="20"/>
        </w:rPr>
        <w:t>44 planes</w:t>
      </w:r>
      <w:r w:rsidR="0059155F" w:rsidRPr="00886821">
        <w:rPr>
          <w:rFonts w:ascii="Segoe UI" w:eastAsia="Quattrocento Sans" w:hAnsi="Segoe UI" w:cs="Segoe UI"/>
          <w:color w:val="000000"/>
          <w:sz w:val="20"/>
          <w:szCs w:val="20"/>
        </w:rPr>
        <w:t xml:space="preserve"> distritales de seguridad ciudadana de Lima Metropolitana y sus distritos, incluían reportes estadísticos de </w:t>
      </w:r>
      <w:r w:rsidR="0059155F" w:rsidRPr="00886821">
        <w:rPr>
          <w:rFonts w:ascii="Segoe UI" w:eastAsia="Quattrocento Sans" w:hAnsi="Segoe UI" w:cs="Segoe UI"/>
          <w:color w:val="000000"/>
          <w:sz w:val="20"/>
          <w:szCs w:val="20"/>
        </w:rPr>
        <w:lastRenderedPageBreak/>
        <w:t>acciones de “erradicación de travestis y homosexuales”</w:t>
      </w:r>
      <w:r w:rsidR="0059155F" w:rsidRPr="00886821">
        <w:rPr>
          <w:rFonts w:ascii="Segoe UI" w:eastAsia="Quattrocento Sans" w:hAnsi="Segoe UI" w:cs="Segoe UI"/>
          <w:color w:val="000000"/>
          <w:sz w:val="20"/>
          <w:szCs w:val="20"/>
          <w:vertAlign w:val="superscript"/>
        </w:rPr>
        <w:footnoteReference w:id="26"/>
      </w:r>
      <w:r w:rsidR="0059155F" w:rsidRPr="00886821">
        <w:rPr>
          <w:rFonts w:ascii="Segoe UI" w:eastAsia="Quattrocento Sans" w:hAnsi="Segoe UI" w:cs="Segoe UI"/>
          <w:color w:val="000000"/>
          <w:sz w:val="20"/>
          <w:szCs w:val="20"/>
        </w:rPr>
        <w:t xml:space="preserve"> que se habrían practicado años anteriores.  En algunos casos, estas fueron de gran magnitud. En el distrito de La Victoria, por ejemplo, se reportó la “erradicación” de 1466 homosexuales en 2014, de 715 en 2015 y de 456 en 2016</w:t>
      </w:r>
      <w:r w:rsidR="0059155F" w:rsidRPr="00886821">
        <w:rPr>
          <w:rFonts w:ascii="Segoe UI" w:eastAsia="Quattrocento Sans" w:hAnsi="Segoe UI" w:cs="Segoe UI"/>
          <w:color w:val="000000"/>
          <w:sz w:val="20"/>
          <w:szCs w:val="20"/>
          <w:vertAlign w:val="superscript"/>
        </w:rPr>
        <w:footnoteReference w:id="27"/>
      </w:r>
      <w:r w:rsidR="0059155F" w:rsidRPr="00886821">
        <w:rPr>
          <w:rFonts w:ascii="Segoe UI" w:eastAsia="Quattrocento Sans" w:hAnsi="Segoe UI" w:cs="Segoe UI"/>
          <w:color w:val="000000"/>
          <w:sz w:val="20"/>
          <w:szCs w:val="20"/>
        </w:rPr>
        <w:t>.</w:t>
      </w:r>
      <w:bookmarkStart w:id="16" w:name="_4d34og8" w:colFirst="0" w:colLast="0"/>
      <w:bookmarkEnd w:id="16"/>
    </w:p>
    <w:p w14:paraId="6B61B9F6" w14:textId="77777777" w:rsidR="00E613E4" w:rsidRPr="00886821" w:rsidRDefault="00E613E4">
      <w:pPr>
        <w:spacing w:after="0" w:line="240" w:lineRule="auto"/>
        <w:ind w:left="284"/>
        <w:jc w:val="both"/>
        <w:rPr>
          <w:rFonts w:ascii="Segoe UI" w:eastAsia="Quattrocento Sans" w:hAnsi="Segoe UI" w:cs="Segoe UI"/>
          <w:b/>
          <w:sz w:val="20"/>
          <w:szCs w:val="20"/>
        </w:rPr>
      </w:pPr>
    </w:p>
    <w:p w14:paraId="1F2807B5" w14:textId="77777777" w:rsidR="00E613E4" w:rsidRPr="00886821" w:rsidRDefault="0059155F">
      <w:pPr>
        <w:numPr>
          <w:ilvl w:val="0"/>
          <w:numId w:val="4"/>
        </w:numPr>
        <w:spacing w:after="0" w:line="240" w:lineRule="auto"/>
        <w:ind w:left="284"/>
        <w:jc w:val="both"/>
        <w:rPr>
          <w:rFonts w:ascii="Segoe UI" w:hAnsi="Segoe UI" w:cs="Segoe UI"/>
        </w:rPr>
      </w:pPr>
      <w:r w:rsidRPr="00886821">
        <w:rPr>
          <w:rFonts w:ascii="Segoe UI" w:eastAsia="Quattrocento Sans" w:hAnsi="Segoe UI" w:cs="Segoe UI"/>
          <w:b/>
          <w:sz w:val="20"/>
          <w:szCs w:val="20"/>
        </w:rPr>
        <w:t>Recomendaciones sugeridas para el Estado:</w:t>
      </w:r>
    </w:p>
    <w:p w14:paraId="5DBC6F9D" w14:textId="77777777" w:rsidR="00E613E4" w:rsidRPr="00886821" w:rsidRDefault="00E613E4">
      <w:pPr>
        <w:spacing w:after="0" w:line="240" w:lineRule="auto"/>
        <w:jc w:val="both"/>
        <w:rPr>
          <w:rFonts w:ascii="Segoe UI" w:eastAsia="Quattrocento Sans" w:hAnsi="Segoe UI" w:cs="Segoe UI"/>
          <w:b/>
          <w:sz w:val="20"/>
          <w:szCs w:val="20"/>
        </w:rPr>
      </w:pPr>
    </w:p>
    <w:p w14:paraId="2112B11B" w14:textId="77777777" w:rsidR="00E613E4" w:rsidRPr="00886821" w:rsidRDefault="0059155F">
      <w:pPr>
        <w:numPr>
          <w:ilvl w:val="0"/>
          <w:numId w:val="2"/>
        </w:numPr>
        <w:spacing w:after="0" w:line="240" w:lineRule="auto"/>
        <w:ind w:left="709"/>
        <w:jc w:val="both"/>
        <w:rPr>
          <w:rFonts w:ascii="Segoe UI" w:eastAsia="Quattrocento Sans" w:hAnsi="Segoe UI" w:cs="Segoe UI"/>
          <w:sz w:val="20"/>
          <w:szCs w:val="20"/>
        </w:rPr>
      </w:pPr>
      <w:r w:rsidRPr="00886821">
        <w:rPr>
          <w:rFonts w:ascii="Segoe UI" w:eastAsia="Quattrocento Sans" w:hAnsi="Segoe UI" w:cs="Segoe UI"/>
          <w:sz w:val="20"/>
          <w:szCs w:val="20"/>
        </w:rPr>
        <w:t>Los gobiernos regionales y locales cuyos planes de seguridad ciudadana hayan reportado acciones de “erradicación de homosexuales y lesbianas” deberán iniciar de oficio una investigación exhaustiva sobre las personas que resultaran responsables y deberán hacer públicas las actuaciones realizadas.</w:t>
      </w:r>
    </w:p>
    <w:p w14:paraId="65210ED4" w14:textId="77777777" w:rsidR="00E613E4" w:rsidRPr="00886821" w:rsidRDefault="0059155F">
      <w:pPr>
        <w:numPr>
          <w:ilvl w:val="0"/>
          <w:numId w:val="2"/>
        </w:numPr>
        <w:spacing w:after="0" w:line="240" w:lineRule="auto"/>
        <w:ind w:left="709"/>
        <w:jc w:val="both"/>
        <w:rPr>
          <w:rFonts w:ascii="Segoe UI" w:eastAsia="Quattrocento Sans" w:hAnsi="Segoe UI" w:cs="Segoe UI"/>
          <w:sz w:val="20"/>
          <w:szCs w:val="20"/>
        </w:rPr>
      </w:pPr>
      <w:r w:rsidRPr="00886821">
        <w:rPr>
          <w:rFonts w:ascii="Segoe UI" w:eastAsia="Quattrocento Sans" w:hAnsi="Segoe UI" w:cs="Segoe UI"/>
          <w:sz w:val="20"/>
          <w:szCs w:val="20"/>
        </w:rPr>
        <w:t>El Ministerio del Interior deberá establecer la prohibición de incluir indicadores de “erradicación de homosexuales y travestis” en los Planes de seguridad ciudadana a nivel nacional.</w:t>
      </w:r>
    </w:p>
    <w:p w14:paraId="4042D9CB" w14:textId="77777777" w:rsidR="00E613E4" w:rsidRPr="00886821" w:rsidRDefault="00E613E4">
      <w:pPr>
        <w:spacing w:after="0" w:line="240" w:lineRule="auto"/>
        <w:jc w:val="both"/>
        <w:rPr>
          <w:rFonts w:ascii="Segoe UI" w:eastAsia="Quattrocento Sans" w:hAnsi="Segoe UI" w:cs="Segoe UI"/>
          <w:color w:val="000000"/>
          <w:sz w:val="19"/>
          <w:szCs w:val="19"/>
        </w:rPr>
      </w:pPr>
    </w:p>
    <w:sectPr w:rsidR="00E613E4" w:rsidRPr="00886821">
      <w:headerReference w:type="even" r:id="rId9"/>
      <w:footerReference w:type="default" r:id="rId10"/>
      <w:headerReference w:type="first" r:id="rId11"/>
      <w:footerReference w:type="first" r:id="rId12"/>
      <w:pgSz w:w="11907" w:h="16839"/>
      <w:pgMar w:top="1560" w:right="1701" w:bottom="1417" w:left="1701" w:header="708" w:footer="45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5F5CC" w14:textId="77777777" w:rsidR="002A68F3" w:rsidRDefault="002A68F3">
      <w:pPr>
        <w:spacing w:after="0" w:line="240" w:lineRule="auto"/>
      </w:pPr>
      <w:r>
        <w:separator/>
      </w:r>
    </w:p>
  </w:endnote>
  <w:endnote w:type="continuationSeparator" w:id="0">
    <w:p w14:paraId="3C650A0E" w14:textId="77777777" w:rsidR="002A68F3" w:rsidRDefault="002A6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Quattrocento San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74149" w14:textId="77777777" w:rsidR="00E613E4" w:rsidRDefault="00E613E4">
    <w:pPr>
      <w:pBdr>
        <w:top w:val="nil"/>
        <w:left w:val="nil"/>
        <w:bottom w:val="nil"/>
        <w:right w:val="nil"/>
        <w:between w:val="nil"/>
      </w:pBdr>
      <w:tabs>
        <w:tab w:val="center" w:pos="4419"/>
        <w:tab w:val="right" w:pos="8838"/>
      </w:tabs>
      <w:spacing w:after="0" w:line="240" w:lineRule="auto"/>
      <w:rPr>
        <w:rFonts w:ascii="Quattrocento Sans" w:eastAsia="Quattrocento Sans" w:hAnsi="Quattrocento Sans" w:cs="Quattrocento Sans"/>
        <w:b/>
        <w:color w:val="DE0000"/>
        <w:sz w:val="18"/>
        <w:szCs w:val="18"/>
      </w:rPr>
    </w:pPr>
  </w:p>
  <w:p w14:paraId="64D079A4" w14:textId="77777777" w:rsidR="00E613E4" w:rsidRDefault="00E613E4">
    <w:pPr>
      <w:pBdr>
        <w:top w:val="nil"/>
        <w:left w:val="nil"/>
        <w:bottom w:val="nil"/>
        <w:right w:val="nil"/>
        <w:between w:val="nil"/>
      </w:pBdr>
      <w:tabs>
        <w:tab w:val="center" w:pos="4419"/>
        <w:tab w:val="right" w:pos="8838"/>
      </w:tabs>
      <w:spacing w:after="0" w:line="240" w:lineRule="auto"/>
      <w:jc w:val="center"/>
      <w:rPr>
        <w:rFonts w:ascii="Quattrocento Sans" w:eastAsia="Quattrocento Sans" w:hAnsi="Quattrocento Sans" w:cs="Quattrocento Sans"/>
        <w:color w:val="000000"/>
        <w:sz w:val="18"/>
        <w:szCs w:val="18"/>
      </w:rPr>
    </w:pPr>
  </w:p>
  <w:p w14:paraId="2CD7668A" w14:textId="77777777" w:rsidR="00E613E4" w:rsidRDefault="0059155F">
    <w:pPr>
      <w:pBdr>
        <w:top w:val="nil"/>
        <w:left w:val="nil"/>
        <w:bottom w:val="nil"/>
        <w:right w:val="nil"/>
        <w:between w:val="nil"/>
      </w:pBdr>
      <w:tabs>
        <w:tab w:val="center" w:pos="4419"/>
        <w:tab w:val="right" w:pos="8838"/>
      </w:tabs>
      <w:spacing w:after="0" w:line="240" w:lineRule="auto"/>
      <w:jc w:val="center"/>
      <w:rPr>
        <w:rFonts w:ascii="Quattrocento Sans" w:eastAsia="Quattrocento Sans" w:hAnsi="Quattrocento Sans" w:cs="Quattrocento Sans"/>
        <w:color w:val="000000"/>
        <w:sz w:val="18"/>
        <w:szCs w:val="18"/>
      </w:rPr>
    </w:pPr>
    <w:r>
      <w:rPr>
        <w:rFonts w:ascii="Quattrocento Sans" w:eastAsia="Quattrocento Sans" w:hAnsi="Quattrocento Sans" w:cs="Quattrocento Sans"/>
        <w:color w:val="000000"/>
        <w:sz w:val="18"/>
        <w:szCs w:val="18"/>
      </w:rPr>
      <w:t xml:space="preserve">Página </w:t>
    </w:r>
    <w:r>
      <w:rPr>
        <w:rFonts w:ascii="Quattrocento Sans" w:eastAsia="Quattrocento Sans" w:hAnsi="Quattrocento Sans" w:cs="Quattrocento Sans"/>
        <w:b/>
        <w:color w:val="000000"/>
        <w:sz w:val="20"/>
        <w:szCs w:val="20"/>
      </w:rPr>
      <w:fldChar w:fldCharType="begin"/>
    </w:r>
    <w:r>
      <w:rPr>
        <w:rFonts w:ascii="Quattrocento Sans" w:eastAsia="Quattrocento Sans" w:hAnsi="Quattrocento Sans" w:cs="Quattrocento Sans"/>
        <w:b/>
        <w:color w:val="000000"/>
        <w:sz w:val="20"/>
        <w:szCs w:val="20"/>
      </w:rPr>
      <w:instrText>PAGE</w:instrText>
    </w:r>
    <w:r>
      <w:rPr>
        <w:rFonts w:ascii="Quattrocento Sans" w:eastAsia="Quattrocento Sans" w:hAnsi="Quattrocento Sans" w:cs="Quattrocento Sans"/>
        <w:b/>
        <w:color w:val="000000"/>
        <w:sz w:val="20"/>
        <w:szCs w:val="20"/>
      </w:rPr>
      <w:fldChar w:fldCharType="separate"/>
    </w:r>
    <w:r w:rsidR="00FB0594">
      <w:rPr>
        <w:rFonts w:ascii="Quattrocento Sans" w:eastAsia="Quattrocento Sans" w:hAnsi="Quattrocento Sans" w:cs="Quattrocento Sans"/>
        <w:b/>
        <w:noProof/>
        <w:color w:val="000000"/>
        <w:sz w:val="20"/>
        <w:szCs w:val="20"/>
      </w:rPr>
      <w:t>2</w:t>
    </w:r>
    <w:r>
      <w:rPr>
        <w:rFonts w:ascii="Quattrocento Sans" w:eastAsia="Quattrocento Sans" w:hAnsi="Quattrocento Sans" w:cs="Quattrocento Sans"/>
        <w:b/>
        <w:color w:val="000000"/>
        <w:sz w:val="20"/>
        <w:szCs w:val="20"/>
      </w:rPr>
      <w:fldChar w:fldCharType="end"/>
    </w:r>
    <w:r>
      <w:rPr>
        <w:rFonts w:ascii="Quattrocento Sans" w:eastAsia="Quattrocento Sans" w:hAnsi="Quattrocento Sans" w:cs="Quattrocento Sans"/>
        <w:color w:val="000000"/>
        <w:sz w:val="18"/>
        <w:szCs w:val="18"/>
      </w:rPr>
      <w:t xml:space="preserve"> de </w:t>
    </w:r>
    <w:r>
      <w:rPr>
        <w:rFonts w:ascii="Quattrocento Sans" w:eastAsia="Quattrocento Sans" w:hAnsi="Quattrocento Sans" w:cs="Quattrocento Sans"/>
        <w:b/>
        <w:color w:val="000000"/>
        <w:sz w:val="20"/>
        <w:szCs w:val="20"/>
      </w:rPr>
      <w:fldChar w:fldCharType="begin"/>
    </w:r>
    <w:r>
      <w:rPr>
        <w:rFonts w:ascii="Quattrocento Sans" w:eastAsia="Quattrocento Sans" w:hAnsi="Quattrocento Sans" w:cs="Quattrocento Sans"/>
        <w:b/>
        <w:color w:val="000000"/>
        <w:sz w:val="20"/>
        <w:szCs w:val="20"/>
      </w:rPr>
      <w:instrText>NUMPAGES</w:instrText>
    </w:r>
    <w:r>
      <w:rPr>
        <w:rFonts w:ascii="Quattrocento Sans" w:eastAsia="Quattrocento Sans" w:hAnsi="Quattrocento Sans" w:cs="Quattrocento Sans"/>
        <w:b/>
        <w:color w:val="000000"/>
        <w:sz w:val="20"/>
        <w:szCs w:val="20"/>
      </w:rPr>
      <w:fldChar w:fldCharType="separate"/>
    </w:r>
    <w:r w:rsidR="00FB0594">
      <w:rPr>
        <w:rFonts w:ascii="Quattrocento Sans" w:eastAsia="Quattrocento Sans" w:hAnsi="Quattrocento Sans" w:cs="Quattrocento Sans"/>
        <w:b/>
        <w:noProof/>
        <w:color w:val="000000"/>
        <w:sz w:val="20"/>
        <w:szCs w:val="20"/>
      </w:rPr>
      <w:t>3</w:t>
    </w:r>
    <w:r>
      <w:rPr>
        <w:rFonts w:ascii="Quattrocento Sans" w:eastAsia="Quattrocento Sans" w:hAnsi="Quattrocento Sans" w:cs="Quattrocento Sans"/>
        <w:b/>
        <w:color w:val="000000"/>
        <w:sz w:val="20"/>
        <w:szCs w:val="20"/>
      </w:rPr>
      <w:fldChar w:fldCharType="end"/>
    </w:r>
  </w:p>
  <w:p w14:paraId="5E858D6E" w14:textId="77777777" w:rsidR="00E613E4" w:rsidRDefault="00E613E4">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B05EB" w14:textId="77777777" w:rsidR="00E613E4" w:rsidRDefault="00E613E4">
    <w:pPr>
      <w:pBdr>
        <w:top w:val="nil"/>
        <w:left w:val="nil"/>
        <w:bottom w:val="nil"/>
        <w:right w:val="nil"/>
        <w:between w:val="nil"/>
      </w:pBdr>
      <w:tabs>
        <w:tab w:val="center" w:pos="4419"/>
        <w:tab w:val="right" w:pos="8838"/>
      </w:tabs>
      <w:spacing w:after="0" w:line="240" w:lineRule="auto"/>
      <w:rPr>
        <w:rFonts w:ascii="Quattrocento Sans" w:eastAsia="Quattrocento Sans" w:hAnsi="Quattrocento Sans" w:cs="Quattrocento Sans"/>
        <w:b/>
        <w:color w:val="DE0000"/>
        <w:sz w:val="18"/>
        <w:szCs w:val="18"/>
      </w:rPr>
    </w:pPr>
  </w:p>
  <w:p w14:paraId="63DEDD30" w14:textId="77777777" w:rsidR="00E613E4" w:rsidRDefault="00E613E4">
    <w:pPr>
      <w:pBdr>
        <w:top w:val="nil"/>
        <w:left w:val="nil"/>
        <w:bottom w:val="nil"/>
        <w:right w:val="nil"/>
        <w:between w:val="nil"/>
      </w:pBdr>
      <w:tabs>
        <w:tab w:val="center" w:pos="4419"/>
        <w:tab w:val="right" w:pos="8838"/>
      </w:tabs>
      <w:spacing w:after="0" w:line="240" w:lineRule="auto"/>
      <w:jc w:val="center"/>
      <w:rPr>
        <w:rFonts w:ascii="Quattrocento Sans" w:eastAsia="Quattrocento Sans" w:hAnsi="Quattrocento Sans" w:cs="Quattrocento Sans"/>
        <w:color w:val="000000"/>
        <w:sz w:val="18"/>
        <w:szCs w:val="18"/>
      </w:rPr>
    </w:pPr>
  </w:p>
  <w:p w14:paraId="77D86BF3" w14:textId="77777777" w:rsidR="00E613E4" w:rsidRDefault="0059155F">
    <w:pPr>
      <w:pBdr>
        <w:top w:val="nil"/>
        <w:left w:val="nil"/>
        <w:bottom w:val="nil"/>
        <w:right w:val="nil"/>
        <w:between w:val="nil"/>
      </w:pBdr>
      <w:tabs>
        <w:tab w:val="center" w:pos="4419"/>
        <w:tab w:val="right" w:pos="8838"/>
      </w:tabs>
      <w:spacing w:after="0" w:line="240" w:lineRule="auto"/>
      <w:jc w:val="center"/>
      <w:rPr>
        <w:rFonts w:ascii="Quattrocento Sans" w:eastAsia="Quattrocento Sans" w:hAnsi="Quattrocento Sans" w:cs="Quattrocento Sans"/>
        <w:color w:val="000000"/>
        <w:sz w:val="18"/>
        <w:szCs w:val="18"/>
      </w:rPr>
    </w:pPr>
    <w:r>
      <w:rPr>
        <w:rFonts w:ascii="Quattrocento Sans" w:eastAsia="Quattrocento Sans" w:hAnsi="Quattrocento Sans" w:cs="Quattrocento Sans"/>
        <w:color w:val="000000"/>
        <w:sz w:val="18"/>
        <w:szCs w:val="18"/>
      </w:rPr>
      <w:t xml:space="preserve">Página </w:t>
    </w:r>
    <w:r>
      <w:rPr>
        <w:rFonts w:ascii="Quattrocento Sans" w:eastAsia="Quattrocento Sans" w:hAnsi="Quattrocento Sans" w:cs="Quattrocento Sans"/>
        <w:b/>
        <w:color w:val="000000"/>
        <w:sz w:val="20"/>
        <w:szCs w:val="20"/>
      </w:rPr>
      <w:fldChar w:fldCharType="begin"/>
    </w:r>
    <w:r>
      <w:rPr>
        <w:rFonts w:ascii="Quattrocento Sans" w:eastAsia="Quattrocento Sans" w:hAnsi="Quattrocento Sans" w:cs="Quattrocento Sans"/>
        <w:b/>
        <w:color w:val="000000"/>
        <w:sz w:val="20"/>
        <w:szCs w:val="20"/>
      </w:rPr>
      <w:instrText>PAGE</w:instrText>
    </w:r>
    <w:r>
      <w:rPr>
        <w:rFonts w:ascii="Quattrocento Sans" w:eastAsia="Quattrocento Sans" w:hAnsi="Quattrocento Sans" w:cs="Quattrocento Sans"/>
        <w:b/>
        <w:color w:val="000000"/>
        <w:sz w:val="20"/>
        <w:szCs w:val="20"/>
      </w:rPr>
      <w:fldChar w:fldCharType="separate"/>
    </w:r>
    <w:r w:rsidR="00FB0594">
      <w:rPr>
        <w:rFonts w:ascii="Quattrocento Sans" w:eastAsia="Quattrocento Sans" w:hAnsi="Quattrocento Sans" w:cs="Quattrocento Sans"/>
        <w:b/>
        <w:noProof/>
        <w:color w:val="000000"/>
        <w:sz w:val="20"/>
        <w:szCs w:val="20"/>
      </w:rPr>
      <w:t>1</w:t>
    </w:r>
    <w:r>
      <w:rPr>
        <w:rFonts w:ascii="Quattrocento Sans" w:eastAsia="Quattrocento Sans" w:hAnsi="Quattrocento Sans" w:cs="Quattrocento Sans"/>
        <w:b/>
        <w:color w:val="000000"/>
        <w:sz w:val="20"/>
        <w:szCs w:val="20"/>
      </w:rPr>
      <w:fldChar w:fldCharType="end"/>
    </w:r>
    <w:r>
      <w:rPr>
        <w:rFonts w:ascii="Quattrocento Sans" w:eastAsia="Quattrocento Sans" w:hAnsi="Quattrocento Sans" w:cs="Quattrocento Sans"/>
        <w:color w:val="000000"/>
        <w:sz w:val="18"/>
        <w:szCs w:val="18"/>
      </w:rPr>
      <w:t xml:space="preserve"> de </w:t>
    </w:r>
    <w:r>
      <w:rPr>
        <w:rFonts w:ascii="Quattrocento Sans" w:eastAsia="Quattrocento Sans" w:hAnsi="Quattrocento Sans" w:cs="Quattrocento Sans"/>
        <w:b/>
        <w:color w:val="000000"/>
        <w:sz w:val="20"/>
        <w:szCs w:val="20"/>
      </w:rPr>
      <w:fldChar w:fldCharType="begin"/>
    </w:r>
    <w:r>
      <w:rPr>
        <w:rFonts w:ascii="Quattrocento Sans" w:eastAsia="Quattrocento Sans" w:hAnsi="Quattrocento Sans" w:cs="Quattrocento Sans"/>
        <w:b/>
        <w:color w:val="000000"/>
        <w:sz w:val="20"/>
        <w:szCs w:val="20"/>
      </w:rPr>
      <w:instrText>NUMPAGES</w:instrText>
    </w:r>
    <w:r>
      <w:rPr>
        <w:rFonts w:ascii="Quattrocento Sans" w:eastAsia="Quattrocento Sans" w:hAnsi="Quattrocento Sans" w:cs="Quattrocento Sans"/>
        <w:b/>
        <w:color w:val="000000"/>
        <w:sz w:val="20"/>
        <w:szCs w:val="20"/>
      </w:rPr>
      <w:fldChar w:fldCharType="separate"/>
    </w:r>
    <w:r w:rsidR="00FB0594">
      <w:rPr>
        <w:rFonts w:ascii="Quattrocento Sans" w:eastAsia="Quattrocento Sans" w:hAnsi="Quattrocento Sans" w:cs="Quattrocento Sans"/>
        <w:b/>
        <w:noProof/>
        <w:color w:val="000000"/>
        <w:sz w:val="20"/>
        <w:szCs w:val="20"/>
      </w:rPr>
      <w:t>2</w:t>
    </w:r>
    <w:r>
      <w:rPr>
        <w:rFonts w:ascii="Quattrocento Sans" w:eastAsia="Quattrocento Sans" w:hAnsi="Quattrocento Sans" w:cs="Quattrocento Sans"/>
        <w:b/>
        <w:color w:val="000000"/>
        <w:sz w:val="20"/>
        <w:szCs w:val="20"/>
      </w:rPr>
      <w:fldChar w:fldCharType="end"/>
    </w:r>
  </w:p>
  <w:p w14:paraId="44B25099" w14:textId="77777777" w:rsidR="00E613E4" w:rsidRDefault="00E613E4">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12DC4" w14:textId="77777777" w:rsidR="002A68F3" w:rsidRDefault="002A68F3">
      <w:pPr>
        <w:spacing w:after="0" w:line="240" w:lineRule="auto"/>
      </w:pPr>
      <w:r>
        <w:separator/>
      </w:r>
    </w:p>
  </w:footnote>
  <w:footnote w:type="continuationSeparator" w:id="0">
    <w:p w14:paraId="770DE402" w14:textId="77777777" w:rsidR="002A68F3" w:rsidRDefault="002A68F3">
      <w:pPr>
        <w:spacing w:after="0" w:line="240" w:lineRule="auto"/>
      </w:pPr>
      <w:r>
        <w:continuationSeparator/>
      </w:r>
    </w:p>
  </w:footnote>
  <w:footnote w:id="1">
    <w:p w14:paraId="2B56F9BF" w14:textId="1ACEB2F7" w:rsidR="00E613E4" w:rsidRPr="00886821" w:rsidRDefault="0059155F">
      <w:pPr>
        <w:pBdr>
          <w:top w:val="nil"/>
          <w:left w:val="nil"/>
          <w:bottom w:val="nil"/>
          <w:right w:val="nil"/>
          <w:between w:val="nil"/>
        </w:pBdr>
        <w:spacing w:after="0" w:line="240" w:lineRule="auto"/>
        <w:rPr>
          <w:rFonts w:ascii="Segoe UI" w:eastAsia="Quattrocento Sans" w:hAnsi="Segoe UI" w:cs="Segoe UI"/>
          <w:color w:val="000000"/>
          <w:sz w:val="20"/>
          <w:szCs w:val="20"/>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RPP Noticias (2020).</w:t>
      </w:r>
      <w:r w:rsidR="008E41A5">
        <w:rPr>
          <w:rFonts w:ascii="Segoe UI" w:eastAsia="Quattrocento Sans" w:hAnsi="Segoe UI" w:cs="Segoe UI"/>
          <w:color w:val="000000"/>
          <w:sz w:val="18"/>
          <w:szCs w:val="18"/>
        </w:rPr>
        <w:t xml:space="preserve"> </w:t>
      </w:r>
      <w:r w:rsidRPr="00886821">
        <w:rPr>
          <w:rFonts w:ascii="Segoe UI" w:eastAsia="Quattrocento Sans" w:hAnsi="Segoe UI" w:cs="Segoe UI"/>
          <w:color w:val="000000"/>
          <w:sz w:val="18"/>
          <w:szCs w:val="18"/>
        </w:rPr>
        <w:t xml:space="preserve">Restricción de salida por días no es pretexto para ninguna medida de homofobia. Recuperado de </w:t>
      </w:r>
      <w:hyperlink r:id="rId1">
        <w:r w:rsidRPr="00886821">
          <w:rPr>
            <w:rFonts w:ascii="Segoe UI" w:eastAsia="Quattrocento Sans" w:hAnsi="Segoe UI" w:cs="Segoe UI"/>
            <w:color w:val="0563C1"/>
            <w:sz w:val="18"/>
            <w:szCs w:val="18"/>
            <w:u w:val="single"/>
          </w:rPr>
          <w:t>https://rpp.pe/politica/gobierno/martin-vizcarra-restriccion-de-salida-por-dias-no-es-pretexto-para-ninguna-medida-de-homofobia-video-noticia-1256046</w:t>
        </w:r>
      </w:hyperlink>
      <w:r w:rsidRPr="00886821">
        <w:rPr>
          <w:rFonts w:ascii="Segoe UI" w:eastAsia="Quattrocento Sans" w:hAnsi="Segoe UI" w:cs="Segoe UI"/>
          <w:color w:val="000000"/>
          <w:sz w:val="18"/>
          <w:szCs w:val="18"/>
        </w:rPr>
        <w:t xml:space="preserve"> </w:t>
      </w:r>
    </w:p>
  </w:footnote>
  <w:footnote w:id="2">
    <w:p w14:paraId="42B7D5A6" w14:textId="40D375C9" w:rsidR="00E613E4" w:rsidRPr="00886821" w:rsidRDefault="0059155F">
      <w:pPr>
        <w:pBdr>
          <w:top w:val="nil"/>
          <w:left w:val="nil"/>
          <w:bottom w:val="nil"/>
          <w:right w:val="nil"/>
          <w:between w:val="nil"/>
        </w:pBdr>
        <w:spacing w:after="0" w:line="240" w:lineRule="auto"/>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Cuenta de Twitter</w:t>
      </w:r>
      <w:r w:rsidR="008E41A5">
        <w:rPr>
          <w:rFonts w:ascii="Segoe UI" w:eastAsia="Quattrocento Sans" w:hAnsi="Segoe UI" w:cs="Segoe UI"/>
          <w:color w:val="000000"/>
          <w:sz w:val="18"/>
          <w:szCs w:val="18"/>
        </w:rPr>
        <w:t xml:space="preserve">. </w:t>
      </w:r>
      <w:r w:rsidRPr="00886821">
        <w:rPr>
          <w:rFonts w:ascii="Segoe UI" w:eastAsia="Quattrocento Sans" w:hAnsi="Segoe UI" w:cs="Segoe UI"/>
          <w:color w:val="000000"/>
          <w:sz w:val="18"/>
          <w:szCs w:val="18"/>
        </w:rPr>
        <w:t xml:space="preserve">Recuperado de </w:t>
      </w:r>
      <w:hyperlink r:id="rId2">
        <w:r w:rsidRPr="00886821">
          <w:rPr>
            <w:rFonts w:ascii="Segoe UI" w:eastAsia="Quattrocento Sans" w:hAnsi="Segoe UI" w:cs="Segoe UI"/>
            <w:color w:val="0563C1"/>
            <w:sz w:val="18"/>
            <w:szCs w:val="18"/>
            <w:u w:val="single"/>
          </w:rPr>
          <w:t>https://twitter.com/alex_rm2510/status/1246440562338783237</w:t>
        </w:r>
      </w:hyperlink>
      <w:r w:rsidRPr="00886821">
        <w:rPr>
          <w:rFonts w:ascii="Segoe UI" w:eastAsia="Quattrocento Sans" w:hAnsi="Segoe UI" w:cs="Segoe UI"/>
          <w:color w:val="000000"/>
          <w:sz w:val="18"/>
          <w:szCs w:val="18"/>
        </w:rPr>
        <w:t xml:space="preserve"> </w:t>
      </w:r>
    </w:p>
  </w:footnote>
  <w:footnote w:id="3">
    <w:p w14:paraId="218C232A" w14:textId="0FB39F8B" w:rsidR="00E613E4" w:rsidRPr="00886821" w:rsidRDefault="0059155F">
      <w:pPr>
        <w:pBdr>
          <w:top w:val="nil"/>
          <w:left w:val="nil"/>
          <w:bottom w:val="nil"/>
          <w:right w:val="nil"/>
          <w:between w:val="nil"/>
        </w:pBdr>
        <w:spacing w:after="0" w:line="240" w:lineRule="auto"/>
        <w:rPr>
          <w:rFonts w:ascii="Segoe UI" w:eastAsia="Arial" w:hAnsi="Segoe UI" w:cs="Segoe UI"/>
          <w:color w:val="000000"/>
          <w:sz w:val="20"/>
          <w:szCs w:val="20"/>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Cuenta de Twitter. Recuperado de </w:t>
      </w:r>
      <w:hyperlink r:id="rId3">
        <w:r w:rsidRPr="00886821">
          <w:rPr>
            <w:rFonts w:ascii="Segoe UI" w:eastAsia="Quattrocento Sans" w:hAnsi="Segoe UI" w:cs="Segoe UI"/>
            <w:color w:val="0563C1"/>
            <w:sz w:val="18"/>
            <w:szCs w:val="18"/>
            <w:u w:val="single"/>
          </w:rPr>
          <w:t>https://twitter.com/m_siccha/status/1246557062483578880</w:t>
        </w:r>
      </w:hyperlink>
      <w:r w:rsidRPr="00886821">
        <w:rPr>
          <w:rFonts w:ascii="Segoe UI" w:eastAsia="Arial" w:hAnsi="Segoe UI" w:cs="Segoe UI"/>
          <w:color w:val="000000"/>
          <w:sz w:val="18"/>
          <w:szCs w:val="18"/>
        </w:rPr>
        <w:t xml:space="preserve"> </w:t>
      </w:r>
    </w:p>
  </w:footnote>
  <w:footnote w:id="4">
    <w:p w14:paraId="182DBE47" w14:textId="77777777" w:rsidR="00E613E4" w:rsidRPr="00886821" w:rsidRDefault="0059155F">
      <w:pPr>
        <w:pBdr>
          <w:top w:val="nil"/>
          <w:left w:val="nil"/>
          <w:bottom w:val="nil"/>
          <w:right w:val="nil"/>
          <w:between w:val="nil"/>
        </w:pBdr>
        <w:spacing w:after="0" w:line="240" w:lineRule="auto"/>
        <w:rPr>
          <w:rFonts w:ascii="Segoe UI" w:eastAsia="Quattrocento Sans" w:hAnsi="Segoe UI" w:cs="Segoe UI"/>
          <w:color w:val="000000"/>
          <w:sz w:val="20"/>
          <w:szCs w:val="20"/>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Diario Peru21 (2020). Indignante: A mujeres trans las hacen gritar “Quiero ser un hombre” y las obligan a hacer ranas en comisaría de Bellavista [VIDEO]. Recuperado de </w:t>
      </w:r>
      <w:hyperlink r:id="rId4">
        <w:r w:rsidRPr="00886821">
          <w:rPr>
            <w:rFonts w:ascii="Segoe UI" w:eastAsia="Quattrocento Sans" w:hAnsi="Segoe UI" w:cs="Segoe UI"/>
            <w:color w:val="0563C1"/>
            <w:sz w:val="18"/>
            <w:szCs w:val="18"/>
            <w:u w:val="single"/>
          </w:rPr>
          <w:t>https://peru21.pe/lima/coronavirus-peru-i-lgtb-i-indignante-a-mujeres-trans-las-hacen-gritar-quiero-ser-un-hombre-y-las-obligan-a-hacer-ranas-en-comisaria-de-bellavista-noticia/</w:t>
        </w:r>
      </w:hyperlink>
      <w:r w:rsidRPr="00886821">
        <w:rPr>
          <w:rFonts w:ascii="Segoe UI" w:eastAsia="Quattrocento Sans" w:hAnsi="Segoe UI" w:cs="Segoe UI"/>
          <w:color w:val="000000"/>
          <w:sz w:val="18"/>
          <w:szCs w:val="18"/>
        </w:rPr>
        <w:t xml:space="preserve"> </w:t>
      </w:r>
    </w:p>
  </w:footnote>
  <w:footnote w:id="5">
    <w:p w14:paraId="2DE9703A" w14:textId="77777777" w:rsidR="00E613E4" w:rsidRPr="00886821" w:rsidRDefault="0059155F">
      <w:pPr>
        <w:pBdr>
          <w:top w:val="nil"/>
          <w:left w:val="nil"/>
          <w:bottom w:val="nil"/>
          <w:right w:val="nil"/>
          <w:between w:val="nil"/>
        </w:pBdr>
        <w:spacing w:after="0" w:line="240" w:lineRule="auto"/>
        <w:rPr>
          <w:rFonts w:ascii="Segoe UI" w:eastAsia="Quattrocento Sans" w:hAnsi="Segoe UI" w:cs="Segoe UI"/>
          <w:color w:val="000000"/>
          <w:sz w:val="20"/>
          <w:szCs w:val="20"/>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Cuenta de Twitter de Féminas Perú. Recuperado de </w:t>
      </w:r>
      <w:hyperlink r:id="rId5">
        <w:r w:rsidRPr="00886821">
          <w:rPr>
            <w:rFonts w:ascii="Segoe UI" w:eastAsia="Quattrocento Sans" w:hAnsi="Segoe UI" w:cs="Segoe UI"/>
            <w:color w:val="0563C1"/>
            <w:sz w:val="18"/>
            <w:szCs w:val="18"/>
            <w:u w:val="single"/>
          </w:rPr>
          <w:t>https://twitter.com/feminasperu/status/1246538068116602880</w:t>
        </w:r>
      </w:hyperlink>
      <w:r w:rsidRPr="00886821">
        <w:rPr>
          <w:rFonts w:ascii="Segoe UI" w:eastAsia="Quattrocento Sans" w:hAnsi="Segoe UI" w:cs="Segoe UI"/>
          <w:color w:val="000000"/>
          <w:sz w:val="18"/>
          <w:szCs w:val="18"/>
        </w:rPr>
        <w:t xml:space="preserve"> </w:t>
      </w:r>
    </w:p>
  </w:footnote>
  <w:footnote w:id="6">
    <w:p w14:paraId="6F833104" w14:textId="77777777" w:rsidR="00E613E4" w:rsidRPr="00886821"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Documento disponible en: </w:t>
      </w:r>
      <w:hyperlink r:id="rId6">
        <w:r w:rsidRPr="00886821">
          <w:rPr>
            <w:rFonts w:ascii="Segoe UI" w:eastAsia="Quattrocento Sans" w:hAnsi="Segoe UI" w:cs="Segoe UI"/>
            <w:color w:val="0563C1"/>
            <w:sz w:val="18"/>
            <w:szCs w:val="18"/>
            <w:u w:val="single"/>
          </w:rPr>
          <w:t>https://www.minjus.gob.pe/wp-content/uploads/2014/07/DS-005-2014-JUS-Aprobacion_PNDH.pdf</w:t>
        </w:r>
      </w:hyperlink>
      <w:r w:rsidRPr="00886821">
        <w:rPr>
          <w:rFonts w:ascii="Segoe UI" w:eastAsia="Quattrocento Sans" w:hAnsi="Segoe UI" w:cs="Segoe UI"/>
          <w:color w:val="000000"/>
          <w:sz w:val="18"/>
          <w:szCs w:val="18"/>
        </w:rPr>
        <w:t xml:space="preserve"> </w:t>
      </w:r>
    </w:p>
  </w:footnote>
  <w:footnote w:id="7">
    <w:p w14:paraId="16FC5F64" w14:textId="77777777" w:rsidR="00E613E4" w:rsidRPr="00886821"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Documento disponible en: </w:t>
      </w:r>
      <w:hyperlink r:id="rId7">
        <w:r w:rsidRPr="00886821">
          <w:rPr>
            <w:rFonts w:ascii="Segoe UI" w:eastAsia="Quattrocento Sans" w:hAnsi="Segoe UI" w:cs="Segoe UI"/>
            <w:color w:val="0563C1"/>
            <w:sz w:val="18"/>
            <w:szCs w:val="18"/>
            <w:u w:val="single"/>
          </w:rPr>
          <w:t>https://www.minjus.gob.pe/wp-content/uploads/2018/02/PNDH-2018-2021.pdf</w:t>
        </w:r>
      </w:hyperlink>
      <w:r w:rsidRPr="00886821">
        <w:rPr>
          <w:rFonts w:ascii="Segoe UI" w:eastAsia="Quattrocento Sans" w:hAnsi="Segoe UI" w:cs="Segoe UI"/>
          <w:color w:val="000000"/>
          <w:sz w:val="18"/>
          <w:szCs w:val="18"/>
        </w:rPr>
        <w:t xml:space="preserve"> </w:t>
      </w:r>
    </w:p>
  </w:footnote>
  <w:footnote w:id="8">
    <w:p w14:paraId="6AE43965" w14:textId="77777777" w:rsidR="00E613E4" w:rsidRPr="00886821"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Primera encuesta virtual para personas LGBTI realizada por el Instituto Nacional de Estadística e Informática (INEI). Disponible en:</w:t>
      </w:r>
    </w:p>
    <w:p w14:paraId="507ACF20" w14:textId="77777777" w:rsidR="00E613E4" w:rsidRPr="00886821" w:rsidRDefault="002A68F3">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hyperlink r:id="rId8">
        <w:r w:rsidR="0059155F" w:rsidRPr="00886821">
          <w:rPr>
            <w:rFonts w:ascii="Segoe UI" w:eastAsia="Quattrocento Sans" w:hAnsi="Segoe UI" w:cs="Segoe UI"/>
            <w:color w:val="0000FF"/>
            <w:sz w:val="18"/>
            <w:szCs w:val="18"/>
            <w:u w:val="single"/>
          </w:rPr>
          <w:t>https://www.inei.gob.pe/media/MenuRecursivo/boletines/lgbti.pdf</w:t>
        </w:r>
      </w:hyperlink>
    </w:p>
  </w:footnote>
  <w:footnote w:id="9">
    <w:p w14:paraId="1268ED26" w14:textId="77777777" w:rsidR="00E613E4" w:rsidRPr="00886821"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INEI. Primera Encuesta Virtual para Personas LGBTI, 2017, pp. 22. </w:t>
      </w:r>
    </w:p>
  </w:footnote>
  <w:footnote w:id="10">
    <w:p w14:paraId="5E5E7B35" w14:textId="77777777" w:rsidR="00E613E4" w:rsidRPr="00886821"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Ibidem.</w:t>
      </w:r>
    </w:p>
    <w:bookmarkStart w:id="4" w:name="_2s8eyo1" w:colFirst="0" w:colLast="0"/>
    <w:bookmarkEnd w:id="4"/>
  </w:footnote>
  <w:footnote w:id="11">
    <w:p w14:paraId="69A98721" w14:textId="77777777" w:rsidR="00E613E4" w:rsidRPr="00886821"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bookmarkStart w:id="5" w:name="_2s8eyo1" w:colFirst="0" w:colLast="0"/>
      <w:bookmarkEnd w:id="5"/>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Promsex. </w:t>
      </w:r>
      <w:r w:rsidRPr="00886821">
        <w:rPr>
          <w:rFonts w:ascii="Segoe UI" w:eastAsia="Quattrocento Sans" w:hAnsi="Segoe UI" w:cs="Segoe UI"/>
          <w:i/>
          <w:color w:val="000000"/>
          <w:sz w:val="18"/>
          <w:szCs w:val="18"/>
        </w:rPr>
        <w:t>Informe Anual Sobre derechos humanos de personas TLGB en el Perú 2015-2016</w:t>
      </w:r>
      <w:r w:rsidRPr="00886821">
        <w:rPr>
          <w:rFonts w:ascii="Segoe UI" w:eastAsia="Quattrocento Sans" w:hAnsi="Segoe UI" w:cs="Segoe UI"/>
          <w:color w:val="000000"/>
          <w:sz w:val="18"/>
          <w:szCs w:val="18"/>
        </w:rPr>
        <w:t>, pp. 41</w:t>
      </w:r>
    </w:p>
    <w:bookmarkStart w:id="6" w:name="_17dp8vu" w:colFirst="0" w:colLast="0"/>
    <w:bookmarkEnd w:id="6"/>
  </w:footnote>
  <w:footnote w:id="12">
    <w:p w14:paraId="27B1E5E4" w14:textId="47337D4B" w:rsidR="00E613E4" w:rsidRPr="00886821"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bookmarkStart w:id="7" w:name="_17dp8vu" w:colFirst="0" w:colLast="0"/>
      <w:bookmarkEnd w:id="7"/>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w:t>
      </w:r>
      <w:r w:rsidR="00FB0594" w:rsidRPr="00886821">
        <w:rPr>
          <w:rFonts w:ascii="Segoe UI" w:eastAsia="Quattrocento Sans" w:hAnsi="Segoe UI" w:cs="Segoe UI"/>
          <w:sz w:val="18"/>
          <w:szCs w:val="18"/>
        </w:rPr>
        <w:t>Ibidem</w:t>
      </w:r>
      <w:r w:rsidRPr="00886821">
        <w:rPr>
          <w:rFonts w:ascii="Segoe UI" w:eastAsia="Quattrocento Sans" w:hAnsi="Segoe UI" w:cs="Segoe UI"/>
          <w:color w:val="000000"/>
          <w:sz w:val="18"/>
          <w:szCs w:val="18"/>
        </w:rPr>
        <w:t>, pp. 30</w:t>
      </w:r>
    </w:p>
  </w:footnote>
  <w:footnote w:id="13">
    <w:p w14:paraId="6ECD1AB1" w14:textId="2B1C55A7" w:rsidR="00E613E4" w:rsidRPr="00886821"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Diario Peru21 (2011). Sancionan a radio por palabras de </w:t>
      </w:r>
      <w:r w:rsidR="008E41A5">
        <w:rPr>
          <w:rFonts w:ascii="Segoe UI" w:eastAsia="Quattrocento Sans" w:hAnsi="Segoe UI" w:cs="Segoe UI"/>
          <w:color w:val="000000"/>
          <w:sz w:val="18"/>
          <w:szCs w:val="18"/>
        </w:rPr>
        <w:t>PB</w:t>
      </w:r>
      <w:r w:rsidRPr="00886821">
        <w:rPr>
          <w:rFonts w:ascii="Segoe UI" w:eastAsia="Quattrocento Sans" w:hAnsi="Segoe UI" w:cs="Segoe UI"/>
          <w:color w:val="000000"/>
          <w:sz w:val="18"/>
          <w:szCs w:val="18"/>
        </w:rPr>
        <w:t xml:space="preserve">. Recuperado de </w:t>
      </w:r>
    </w:p>
    <w:p w14:paraId="4D85E15A" w14:textId="77777777" w:rsidR="00E613E4" w:rsidRPr="00886821" w:rsidRDefault="002A68F3">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hyperlink r:id="rId9">
        <w:r w:rsidR="0059155F" w:rsidRPr="00886821">
          <w:rPr>
            <w:rFonts w:ascii="Segoe UI" w:eastAsia="Quattrocento Sans" w:hAnsi="Segoe UI" w:cs="Segoe UI"/>
            <w:color w:val="0563C1"/>
            <w:sz w:val="18"/>
            <w:szCs w:val="18"/>
            <w:u w:val="single"/>
          </w:rPr>
          <w:t>http://archivo.peru21.pe/noticia/1330615/sancionan-radio-palabras-butters</w:t>
        </w:r>
      </w:hyperlink>
    </w:p>
  </w:footnote>
  <w:footnote w:id="14">
    <w:p w14:paraId="242306A6" w14:textId="77777777" w:rsidR="00E613E4" w:rsidRPr="00886821"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Mediante Ley No. 30506, de fecha 30 de septiembre de 2016</w:t>
      </w:r>
    </w:p>
  </w:footnote>
  <w:footnote w:id="15">
    <w:p w14:paraId="6EC2D6AF" w14:textId="77777777" w:rsidR="00E613E4" w:rsidRPr="00886821" w:rsidRDefault="0059155F">
      <w:pPr>
        <w:pBdr>
          <w:top w:val="nil"/>
          <w:left w:val="nil"/>
          <w:bottom w:val="nil"/>
          <w:right w:val="nil"/>
          <w:between w:val="nil"/>
        </w:pBdr>
        <w:spacing w:after="0" w:line="240" w:lineRule="auto"/>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INEI. (2018). Primera Encuesta Virtual para Personas LGBTI. Recuperado de </w:t>
      </w:r>
      <w:hyperlink r:id="rId10">
        <w:r w:rsidRPr="00886821">
          <w:rPr>
            <w:rFonts w:ascii="Segoe UI" w:eastAsia="Quattrocento Sans" w:hAnsi="Segoe UI" w:cs="Segoe UI"/>
            <w:color w:val="0563C1"/>
            <w:sz w:val="18"/>
            <w:szCs w:val="18"/>
            <w:u w:val="single"/>
          </w:rPr>
          <w:t>https://www.inei.gob.pe/media/MenuRecursivo/boletines/lgbti.pdf</w:t>
        </w:r>
      </w:hyperlink>
    </w:p>
  </w:footnote>
  <w:footnote w:id="16">
    <w:p w14:paraId="43B2E33F" w14:textId="0E971C25" w:rsidR="00E613E4" w:rsidRPr="00886821" w:rsidRDefault="0059155F">
      <w:pPr>
        <w:pBdr>
          <w:top w:val="nil"/>
          <w:left w:val="nil"/>
          <w:bottom w:val="nil"/>
          <w:right w:val="nil"/>
          <w:between w:val="nil"/>
        </w:pBdr>
        <w:spacing w:after="0" w:line="240" w:lineRule="auto"/>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Congreso de la República (</w:t>
      </w:r>
      <w:r w:rsidR="00A37CDE">
        <w:rPr>
          <w:rFonts w:ascii="Segoe UI" w:eastAsia="Quattrocento Sans" w:hAnsi="Segoe UI" w:cs="Segoe UI"/>
          <w:color w:val="000000"/>
          <w:sz w:val="18"/>
          <w:szCs w:val="18"/>
        </w:rPr>
        <w:t xml:space="preserve">2021). Proyecto de Ley 525/2021-CR Ley de Matrimonio Igualitario. Recuperado de </w:t>
      </w:r>
      <w:hyperlink r:id="rId11" w:anchor="/expediente/2021/525" w:history="1">
        <w:r w:rsidR="00A37CDE" w:rsidRPr="00D825B5">
          <w:rPr>
            <w:rStyle w:val="Hipervnculo"/>
            <w:rFonts w:ascii="Segoe UI" w:eastAsia="Quattrocento Sans" w:hAnsi="Segoe UI" w:cs="Segoe UI"/>
            <w:sz w:val="18"/>
            <w:szCs w:val="18"/>
          </w:rPr>
          <w:t>https://wb2server.congreso.gob.pe/spley-portal/#/expediente/2021/525</w:t>
        </w:r>
      </w:hyperlink>
      <w:r w:rsidR="00A37CDE">
        <w:rPr>
          <w:rFonts w:ascii="Segoe UI" w:eastAsia="Quattrocento Sans" w:hAnsi="Segoe UI" w:cs="Segoe UI"/>
          <w:color w:val="000000"/>
          <w:sz w:val="18"/>
          <w:szCs w:val="18"/>
        </w:rPr>
        <w:t xml:space="preserve"> </w:t>
      </w:r>
      <w:r w:rsidRPr="00886821">
        <w:rPr>
          <w:rFonts w:ascii="Segoe UI" w:eastAsia="Quattrocento Sans" w:hAnsi="Segoe UI" w:cs="Segoe UI"/>
          <w:color w:val="000000"/>
          <w:sz w:val="18"/>
          <w:szCs w:val="18"/>
        </w:rPr>
        <w:t xml:space="preserve"> </w:t>
      </w:r>
    </w:p>
  </w:footnote>
  <w:footnote w:id="17">
    <w:p w14:paraId="40C4C27A" w14:textId="77777777" w:rsidR="00E613E4" w:rsidRPr="00886821" w:rsidRDefault="0059155F">
      <w:pPr>
        <w:pBdr>
          <w:top w:val="nil"/>
          <w:left w:val="nil"/>
          <w:bottom w:val="nil"/>
          <w:right w:val="nil"/>
          <w:between w:val="nil"/>
        </w:pBdr>
        <w:spacing w:after="0" w:line="240" w:lineRule="auto"/>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Corte Superior de Justicia de Lima (2019). Décimo Primer Juzgado Constitucional. Expediente 10776 -2017. Recuperado de </w:t>
      </w:r>
      <w:hyperlink r:id="rId12">
        <w:r w:rsidRPr="00886821">
          <w:rPr>
            <w:rFonts w:ascii="Segoe UI" w:eastAsia="Quattrocento Sans" w:hAnsi="Segoe UI" w:cs="Segoe UI"/>
            <w:color w:val="0563C1"/>
            <w:sz w:val="18"/>
            <w:szCs w:val="18"/>
            <w:u w:val="single"/>
          </w:rPr>
          <w:t>https://static.legis.pe/wp-content/uploads/2019/04/Exp.-10776-2017-Legis.pe_.pdf.pdf?fbclid=IwAR065zt_4vonSkd5cPWhNqAJQW-nuEOgxqXp9V-P7mkq5o6kSK5EvLd54dA</w:t>
        </w:r>
      </w:hyperlink>
      <w:r w:rsidRPr="00886821">
        <w:rPr>
          <w:rFonts w:ascii="Segoe UI" w:eastAsia="Quattrocento Sans" w:hAnsi="Segoe UI" w:cs="Segoe UI"/>
          <w:color w:val="000000"/>
          <w:sz w:val="18"/>
          <w:szCs w:val="18"/>
        </w:rPr>
        <w:t xml:space="preserve"> </w:t>
      </w:r>
    </w:p>
  </w:footnote>
  <w:footnote w:id="18">
    <w:p w14:paraId="57658CF3" w14:textId="77777777" w:rsidR="00E613E4" w:rsidRPr="00886821" w:rsidRDefault="0059155F">
      <w:pPr>
        <w:pBdr>
          <w:top w:val="nil"/>
          <w:left w:val="nil"/>
          <w:bottom w:val="nil"/>
          <w:right w:val="nil"/>
          <w:between w:val="nil"/>
        </w:pBdr>
        <w:spacing w:after="0" w:line="240" w:lineRule="auto"/>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DEMUS (2017). Apelaremos decisión de RENIEC que deja desprotegido a hijo de madres lesbianas al no reconocerlas en DNI. Recuperado de </w:t>
      </w:r>
      <w:hyperlink r:id="rId13">
        <w:r w:rsidRPr="00886821">
          <w:rPr>
            <w:rFonts w:ascii="Segoe UI" w:eastAsia="Quattrocento Sans" w:hAnsi="Segoe UI" w:cs="Segoe UI"/>
            <w:color w:val="0563C1"/>
            <w:sz w:val="18"/>
            <w:szCs w:val="18"/>
            <w:u w:val="single"/>
          </w:rPr>
          <w:t>http://www.demus.org.pe/noticias/apelaran-decision-de-reniec-que-deja-desprotegido-a-hijo-de-madres-lesbianas-al-no-reconocerlas-en-dni/</w:t>
        </w:r>
      </w:hyperlink>
    </w:p>
  </w:footnote>
  <w:footnote w:id="19">
    <w:p w14:paraId="6DDD1CD1" w14:textId="5EB5F174" w:rsidR="00E613E4" w:rsidRPr="00886821" w:rsidRDefault="0059155F">
      <w:pPr>
        <w:pBdr>
          <w:top w:val="nil"/>
          <w:left w:val="nil"/>
          <w:bottom w:val="nil"/>
          <w:right w:val="nil"/>
          <w:between w:val="nil"/>
        </w:pBdr>
        <w:spacing w:after="0" w:line="240" w:lineRule="auto"/>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La Mula (2017). </w:t>
      </w:r>
      <w:r w:rsidR="008E41A5">
        <w:rPr>
          <w:rFonts w:ascii="Segoe UI" w:eastAsia="Quattrocento Sans" w:hAnsi="Segoe UI" w:cs="Segoe UI"/>
          <w:color w:val="000000"/>
          <w:sz w:val="18"/>
          <w:szCs w:val="18"/>
        </w:rPr>
        <w:t>D</w:t>
      </w:r>
      <w:r w:rsidRPr="00886821">
        <w:rPr>
          <w:rFonts w:ascii="Segoe UI" w:eastAsia="Quattrocento Sans" w:hAnsi="Segoe UI" w:cs="Segoe UI"/>
          <w:color w:val="000000"/>
          <w:sz w:val="18"/>
          <w:szCs w:val="18"/>
        </w:rPr>
        <w:t xml:space="preserve"> tiene dos mamás, pero el Reniec emite DNI del menor sin reconocer a una de ellas. Recuperado de </w:t>
      </w:r>
      <w:hyperlink r:id="rId14" w:history="1">
        <w:r w:rsidR="008E41A5" w:rsidRPr="00720FD2">
          <w:rPr>
            <w:rStyle w:val="Hipervnculo"/>
          </w:rPr>
          <w:t>https://cutt.ly/SOWj4HV</w:t>
        </w:r>
      </w:hyperlink>
      <w:r w:rsidR="008E41A5">
        <w:t xml:space="preserve"> </w:t>
      </w:r>
    </w:p>
  </w:footnote>
  <w:footnote w:id="20">
    <w:p w14:paraId="56A77642" w14:textId="354CEEF6" w:rsidR="00E613E4" w:rsidRPr="00886821" w:rsidRDefault="0059155F">
      <w:pPr>
        <w:pBdr>
          <w:top w:val="nil"/>
          <w:left w:val="nil"/>
          <w:bottom w:val="nil"/>
          <w:right w:val="nil"/>
          <w:between w:val="nil"/>
        </w:pBdr>
        <w:spacing w:after="0" w:line="240" w:lineRule="auto"/>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La Mula visitó a las mamás de </w:t>
      </w:r>
      <w:r w:rsidR="008E41A5">
        <w:rPr>
          <w:rFonts w:ascii="Segoe UI" w:eastAsia="Quattrocento Sans" w:hAnsi="Segoe UI" w:cs="Segoe UI"/>
          <w:color w:val="000000"/>
          <w:sz w:val="18"/>
          <w:szCs w:val="18"/>
        </w:rPr>
        <w:t>D</w:t>
      </w:r>
      <w:r w:rsidRPr="00886821">
        <w:rPr>
          <w:rFonts w:ascii="Segoe UI" w:eastAsia="Quattrocento Sans" w:hAnsi="Segoe UI" w:cs="Segoe UI"/>
          <w:color w:val="000000"/>
          <w:sz w:val="18"/>
          <w:szCs w:val="18"/>
        </w:rPr>
        <w:t xml:space="preserve">. En el minuto 5:29. Recuperado de </w:t>
      </w:r>
      <w:hyperlink r:id="rId15">
        <w:r w:rsidRPr="00886821">
          <w:rPr>
            <w:rFonts w:ascii="Segoe UI" w:eastAsia="Quattrocento Sans" w:hAnsi="Segoe UI" w:cs="Segoe UI"/>
            <w:color w:val="0563C1"/>
            <w:sz w:val="18"/>
            <w:szCs w:val="18"/>
            <w:u w:val="single"/>
          </w:rPr>
          <w:t>https://www.youtube.com/watch?v=lma6f6NyYJQ</w:t>
        </w:r>
      </w:hyperlink>
      <w:r w:rsidRPr="00886821">
        <w:rPr>
          <w:rFonts w:ascii="Segoe UI" w:eastAsia="Quattrocento Sans" w:hAnsi="Segoe UI" w:cs="Segoe UI"/>
          <w:color w:val="000000"/>
          <w:sz w:val="18"/>
          <w:szCs w:val="18"/>
        </w:rPr>
        <w:t xml:space="preserve"> </w:t>
      </w:r>
    </w:p>
    <w:bookmarkStart w:id="10" w:name="_3rdcrjn" w:colFirst="0" w:colLast="0"/>
    <w:bookmarkEnd w:id="10"/>
  </w:footnote>
  <w:footnote w:id="21">
    <w:p w14:paraId="47D93E71" w14:textId="3931B8EC" w:rsidR="00886821" w:rsidRPr="00886821" w:rsidRDefault="00886821">
      <w:pPr>
        <w:pStyle w:val="Textonotapie"/>
        <w:rPr>
          <w:rFonts w:ascii="Segoe UI" w:hAnsi="Segoe UI" w:cs="Segoe UI"/>
          <w:lang w:val="es-MX"/>
        </w:rPr>
      </w:pPr>
      <w:bookmarkStart w:id="11" w:name="_3rdcrjn" w:colFirst="0" w:colLast="0"/>
      <w:bookmarkEnd w:id="11"/>
      <w:r w:rsidRPr="00886821">
        <w:rPr>
          <w:rStyle w:val="Refdenotaalpie"/>
          <w:rFonts w:ascii="Segoe UI" w:hAnsi="Segoe UI" w:cs="Segoe UI"/>
          <w:sz w:val="18"/>
          <w:szCs w:val="18"/>
        </w:rPr>
        <w:footnoteRef/>
      </w:r>
      <w:r w:rsidRPr="00886821">
        <w:rPr>
          <w:rFonts w:ascii="Segoe UI" w:hAnsi="Segoe UI" w:cs="Segoe UI"/>
          <w:sz w:val="18"/>
          <w:szCs w:val="18"/>
        </w:rPr>
        <w:t xml:space="preserve"> </w:t>
      </w:r>
      <w:r w:rsidRPr="00886821">
        <w:rPr>
          <w:rFonts w:ascii="Segoe UI" w:hAnsi="Segoe UI" w:cs="Segoe UI"/>
          <w:sz w:val="18"/>
          <w:szCs w:val="18"/>
          <w:lang w:val="es-MX"/>
        </w:rPr>
        <w:t xml:space="preserve">Agencia Presentes (2021). Poder Judicial peruano reconoce la </w:t>
      </w:r>
      <w:proofErr w:type="spellStart"/>
      <w:r w:rsidRPr="00886821">
        <w:rPr>
          <w:rFonts w:ascii="Segoe UI" w:hAnsi="Segoe UI" w:cs="Segoe UI"/>
          <w:sz w:val="18"/>
          <w:szCs w:val="18"/>
          <w:lang w:val="es-MX"/>
        </w:rPr>
        <w:t>comaternidad</w:t>
      </w:r>
      <w:proofErr w:type="spellEnd"/>
      <w:r w:rsidRPr="00886821">
        <w:rPr>
          <w:rFonts w:ascii="Segoe UI" w:hAnsi="Segoe UI" w:cs="Segoe UI"/>
          <w:sz w:val="18"/>
          <w:szCs w:val="18"/>
          <w:lang w:val="es-MX"/>
        </w:rPr>
        <w:t xml:space="preserve">, tras 5 años de lucha de </w:t>
      </w:r>
      <w:r w:rsidR="008E41A5">
        <w:rPr>
          <w:rFonts w:ascii="Segoe UI" w:hAnsi="Segoe UI" w:cs="Segoe UI"/>
          <w:sz w:val="18"/>
          <w:szCs w:val="18"/>
          <w:lang w:val="es-MX"/>
        </w:rPr>
        <w:t>J y D</w:t>
      </w:r>
      <w:r w:rsidRPr="00886821">
        <w:rPr>
          <w:rFonts w:ascii="Segoe UI" w:hAnsi="Segoe UI" w:cs="Segoe UI"/>
          <w:sz w:val="18"/>
          <w:szCs w:val="18"/>
          <w:lang w:val="es-MX"/>
        </w:rPr>
        <w:t xml:space="preserve">. Recuperado de </w:t>
      </w:r>
      <w:hyperlink r:id="rId16" w:history="1">
        <w:r w:rsidRPr="00886821">
          <w:rPr>
            <w:rStyle w:val="Hipervnculo"/>
            <w:rFonts w:ascii="Segoe UI" w:hAnsi="Segoe UI" w:cs="Segoe UI"/>
            <w:sz w:val="18"/>
            <w:szCs w:val="18"/>
            <w:lang w:val="es-MX"/>
          </w:rPr>
          <w:t>https://agenciapresentes.org/2021/10/18/poder-judicial-peruano-reconoce-la-comaternidad-de-una-pareja-de-lesbianas-tras-5-anos-de-lucha/</w:t>
        </w:r>
      </w:hyperlink>
      <w:r w:rsidRPr="00886821">
        <w:rPr>
          <w:rFonts w:ascii="Segoe UI" w:hAnsi="Segoe UI" w:cs="Segoe UI"/>
          <w:lang w:val="es-MX"/>
        </w:rPr>
        <w:t xml:space="preserve"> </w:t>
      </w:r>
    </w:p>
  </w:footnote>
  <w:footnote w:id="22">
    <w:p w14:paraId="0C384302" w14:textId="77777777" w:rsidR="00E613E4" w:rsidRPr="00886821"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Promsex. </w:t>
      </w:r>
      <w:r w:rsidRPr="00886821">
        <w:rPr>
          <w:rFonts w:ascii="Segoe UI" w:eastAsia="Quattrocento Sans" w:hAnsi="Segoe UI" w:cs="Segoe UI"/>
          <w:i/>
          <w:color w:val="000000"/>
          <w:sz w:val="18"/>
          <w:szCs w:val="18"/>
        </w:rPr>
        <w:t xml:space="preserve">Informe Anual Sobre derechos humanos de personas TLGB en el Perú 2015-2016, </w:t>
      </w:r>
      <w:r w:rsidRPr="00886821">
        <w:rPr>
          <w:rFonts w:ascii="Segoe UI" w:eastAsia="Quattrocento Sans" w:hAnsi="Segoe UI" w:cs="Segoe UI"/>
          <w:color w:val="000000"/>
          <w:sz w:val="18"/>
          <w:szCs w:val="18"/>
        </w:rPr>
        <w:t xml:space="preserve">pp. 65; e Iessdeh. </w:t>
      </w:r>
      <w:r w:rsidRPr="00886821">
        <w:rPr>
          <w:rFonts w:ascii="Segoe UI" w:eastAsia="Quattrocento Sans" w:hAnsi="Segoe UI" w:cs="Segoe UI"/>
          <w:i/>
          <w:color w:val="000000"/>
          <w:sz w:val="18"/>
          <w:szCs w:val="18"/>
        </w:rPr>
        <w:t>Informe Anual del Observatorio de Derechos LGBT - 2016</w:t>
      </w:r>
      <w:r w:rsidRPr="00886821">
        <w:rPr>
          <w:rFonts w:ascii="Segoe UI" w:eastAsia="Quattrocento Sans" w:hAnsi="Segoe UI" w:cs="Segoe UI"/>
          <w:color w:val="000000"/>
          <w:sz w:val="18"/>
          <w:szCs w:val="18"/>
        </w:rPr>
        <w:t>, pp. 28.</w:t>
      </w:r>
    </w:p>
    <w:bookmarkStart w:id="14" w:name="_26in1rg" w:colFirst="0" w:colLast="0"/>
    <w:bookmarkEnd w:id="14"/>
  </w:footnote>
  <w:footnote w:id="23">
    <w:p w14:paraId="656F68E2" w14:textId="77777777" w:rsidR="00E613E4" w:rsidRPr="00886821" w:rsidRDefault="0059155F">
      <w:pPr>
        <w:pBdr>
          <w:top w:val="nil"/>
          <w:left w:val="nil"/>
          <w:bottom w:val="nil"/>
          <w:right w:val="nil"/>
          <w:between w:val="nil"/>
        </w:pBdr>
        <w:tabs>
          <w:tab w:val="left" w:pos="7170"/>
        </w:tabs>
        <w:spacing w:after="0" w:line="240" w:lineRule="auto"/>
        <w:jc w:val="both"/>
        <w:rPr>
          <w:rFonts w:ascii="Segoe UI" w:eastAsia="Quattrocento Sans" w:hAnsi="Segoe UI" w:cs="Segoe UI"/>
          <w:color w:val="000000"/>
          <w:sz w:val="18"/>
          <w:szCs w:val="18"/>
        </w:rPr>
      </w:pPr>
      <w:bookmarkStart w:id="15" w:name="_26in1rg" w:colFirst="0" w:colLast="0"/>
      <w:bookmarkEnd w:id="15"/>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Iessdeh. </w:t>
      </w:r>
      <w:r w:rsidRPr="00886821">
        <w:rPr>
          <w:rFonts w:ascii="Segoe UI" w:eastAsia="Quattrocento Sans" w:hAnsi="Segoe UI" w:cs="Segoe UI"/>
          <w:i/>
          <w:color w:val="000000"/>
          <w:sz w:val="18"/>
          <w:szCs w:val="18"/>
        </w:rPr>
        <w:t>Informe Anual del Observatorio de Derechos LGBT – 2016</w:t>
      </w:r>
      <w:r w:rsidRPr="00886821">
        <w:rPr>
          <w:rFonts w:ascii="Segoe UI" w:eastAsia="Quattrocento Sans" w:hAnsi="Segoe UI" w:cs="Segoe UI"/>
          <w:color w:val="000000"/>
          <w:sz w:val="18"/>
          <w:szCs w:val="18"/>
        </w:rPr>
        <w:t>, pp. 24</w:t>
      </w:r>
    </w:p>
  </w:footnote>
  <w:footnote w:id="24">
    <w:p w14:paraId="7E17990A" w14:textId="77777777" w:rsidR="00E613E4" w:rsidRPr="00886821"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Ibidem., pp.66</w:t>
      </w:r>
    </w:p>
  </w:footnote>
  <w:footnote w:id="25">
    <w:p w14:paraId="6A5706E5" w14:textId="77777777" w:rsidR="00E613E4" w:rsidRPr="00886821"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Corresponden a los distritos de Barranco, Cieneguilla, Comas, La Victoria, Lima Cercado, Lima Metropolitana, San Juan de Lurigancho, San Luis, San Martín de Porres, San Miguel y Santiago de Surco.</w:t>
      </w:r>
    </w:p>
  </w:footnote>
  <w:footnote w:id="26">
    <w:p w14:paraId="27B07F8C" w14:textId="77777777" w:rsidR="00E613E4" w:rsidRPr="00886821"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Ver más en: </w:t>
      </w:r>
      <w:hyperlink r:id="rId17">
        <w:r w:rsidRPr="00886821">
          <w:rPr>
            <w:rFonts w:ascii="Segoe UI" w:eastAsia="Quattrocento Sans" w:hAnsi="Segoe UI" w:cs="Segoe UI"/>
            <w:color w:val="0563C1"/>
            <w:sz w:val="18"/>
            <w:szCs w:val="18"/>
            <w:u w:val="single"/>
          </w:rPr>
          <w:t>https://www.americatv.com.pe/noticias/redes-sociales/smp-contempla-erradicacion-homosexuales-su-plan-seguridad-ciudadana-n291529</w:t>
        </w:r>
      </w:hyperlink>
      <w:r w:rsidRPr="00886821">
        <w:rPr>
          <w:rFonts w:ascii="Segoe UI" w:eastAsia="Quattrocento Sans" w:hAnsi="Segoe UI" w:cs="Segoe UI"/>
          <w:color w:val="000000"/>
          <w:sz w:val="18"/>
          <w:szCs w:val="18"/>
        </w:rPr>
        <w:t xml:space="preserve"> y </w:t>
      </w:r>
      <w:hyperlink r:id="rId18">
        <w:r w:rsidRPr="00886821">
          <w:rPr>
            <w:rFonts w:ascii="Segoe UI" w:eastAsia="Quattrocento Sans" w:hAnsi="Segoe UI" w:cs="Segoe UI"/>
            <w:color w:val="0563C1"/>
            <w:sz w:val="18"/>
            <w:szCs w:val="18"/>
            <w:u w:val="single"/>
          </w:rPr>
          <w:t>https://elcomercio.pe/lima/sucesos/discriminacion-municipal-distritos-contemplan-erradicacion-homosexuales-noticia-457704-noticia/</w:t>
        </w:r>
      </w:hyperlink>
      <w:r w:rsidRPr="00886821">
        <w:rPr>
          <w:rFonts w:ascii="Segoe UI" w:eastAsia="Quattrocento Sans" w:hAnsi="Segoe UI" w:cs="Segoe UI"/>
          <w:color w:val="000000"/>
          <w:sz w:val="18"/>
          <w:szCs w:val="18"/>
        </w:rPr>
        <w:t xml:space="preserve"> </w:t>
      </w:r>
    </w:p>
  </w:footnote>
  <w:footnote w:id="27">
    <w:p w14:paraId="3919D71B" w14:textId="77777777" w:rsidR="00E613E4" w:rsidRPr="00886821" w:rsidRDefault="0059155F">
      <w:pPr>
        <w:pBdr>
          <w:top w:val="nil"/>
          <w:left w:val="nil"/>
          <w:bottom w:val="nil"/>
          <w:right w:val="nil"/>
          <w:between w:val="nil"/>
        </w:pBdr>
        <w:spacing w:after="0" w:line="240" w:lineRule="auto"/>
        <w:jc w:val="both"/>
        <w:rPr>
          <w:rFonts w:ascii="Segoe UI" w:eastAsia="Quattrocento Sans" w:hAnsi="Segoe UI" w:cs="Segoe UI"/>
          <w:color w:val="000000"/>
          <w:sz w:val="18"/>
          <w:szCs w:val="18"/>
        </w:rPr>
      </w:pPr>
      <w:r w:rsidRPr="00886821">
        <w:rPr>
          <w:rFonts w:ascii="Segoe UI" w:hAnsi="Segoe UI" w:cs="Segoe UI"/>
          <w:vertAlign w:val="superscript"/>
        </w:rPr>
        <w:footnoteRef/>
      </w:r>
      <w:r w:rsidRPr="00886821">
        <w:rPr>
          <w:rFonts w:ascii="Segoe UI" w:eastAsia="Quattrocento Sans" w:hAnsi="Segoe UI" w:cs="Segoe UI"/>
          <w:color w:val="000000"/>
          <w:sz w:val="18"/>
          <w:szCs w:val="18"/>
        </w:rPr>
        <w:t xml:space="preserve"> Fuente: Promsex. Informe Anual Sobre derechos humanos de personas TLGB en el Perú 2015-2016, pp. 161.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471FC" w14:textId="77777777" w:rsidR="00E613E4" w:rsidRDefault="002A68F3">
    <w:pPr>
      <w:pBdr>
        <w:top w:val="nil"/>
        <w:left w:val="nil"/>
        <w:bottom w:val="nil"/>
        <w:right w:val="nil"/>
        <w:between w:val="nil"/>
      </w:pBdr>
      <w:tabs>
        <w:tab w:val="center" w:pos="4419"/>
        <w:tab w:val="right" w:pos="8838"/>
      </w:tabs>
      <w:spacing w:after="0" w:line="240" w:lineRule="auto"/>
      <w:rPr>
        <w:color w:val="000000"/>
      </w:rPr>
    </w:pPr>
    <w:r>
      <w:rPr>
        <w:color w:val="000000"/>
      </w:rPr>
      <w:pict w14:anchorId="61505A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257.25pt;height:309.75pt;z-index:-251658240;mso-position-horizontal:center;mso-position-horizontal-relative:margin;mso-position-vertical:center;mso-position-vertical-relative:margin">
          <v:imagedata r:id="rId1" o:title="image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BFAD7" w14:textId="4F3B7989" w:rsidR="00E613E4" w:rsidRPr="00512CFA" w:rsidRDefault="0059155F" w:rsidP="00512CFA">
    <w:pPr>
      <w:pBdr>
        <w:top w:val="nil"/>
        <w:left w:val="nil"/>
        <w:bottom w:val="nil"/>
        <w:right w:val="nil"/>
        <w:between w:val="nil"/>
      </w:pBdr>
      <w:tabs>
        <w:tab w:val="center" w:pos="4419"/>
        <w:tab w:val="right" w:pos="8838"/>
      </w:tabs>
      <w:spacing w:after="0" w:line="240" w:lineRule="auto"/>
      <w:jc w:val="right"/>
      <w:rPr>
        <w:color w:val="FF0000"/>
        <w:sz w:val="20"/>
        <w:szCs w:val="20"/>
      </w:rPr>
    </w:pPr>
    <w:r>
      <w:rPr>
        <w:noProof/>
        <w:color w:val="000000"/>
      </w:rPr>
      <w:drawing>
        <wp:anchor distT="0" distB="0" distL="114300" distR="114300" simplePos="0" relativeHeight="251657216" behindDoc="1" locked="0" layoutInCell="1" allowOverlap="1" wp14:anchorId="629B5593" wp14:editId="7371E44D">
          <wp:simplePos x="0" y="0"/>
          <wp:positionH relativeFrom="column">
            <wp:posOffset>-3810</wp:posOffset>
          </wp:positionH>
          <wp:positionV relativeFrom="paragraph">
            <wp:posOffset>-1905</wp:posOffset>
          </wp:positionV>
          <wp:extent cx="1423112" cy="71839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423112" cy="718396"/>
                  </a:xfrm>
                  <a:prstGeom prst="rect">
                    <a:avLst/>
                  </a:prstGeom>
                  <a:ln/>
                </pic:spPr>
              </pic:pic>
            </a:graphicData>
          </a:graphic>
        </wp:anchor>
      </w:drawing>
    </w:r>
    <w:r w:rsidR="00512CFA">
      <w:rPr>
        <w:color w:val="000000"/>
      </w:rPr>
      <w:tab/>
    </w:r>
    <w:r w:rsidR="00512CFA">
      <w:rPr>
        <w:color w:val="000000"/>
      </w:rPr>
      <w:tab/>
    </w:r>
    <w:r w:rsidR="00512CFA" w:rsidRPr="00512CFA">
      <w:rPr>
        <w:color w:val="FF0000"/>
        <w:sz w:val="20"/>
        <w:szCs w:val="20"/>
      </w:rPr>
      <w:t>comunica@masigualdad.pe</w:t>
    </w:r>
  </w:p>
  <w:p w14:paraId="534BBC39" w14:textId="4DDCE56C" w:rsidR="00512CFA" w:rsidRPr="00512CFA" w:rsidRDefault="00512CFA" w:rsidP="00512CFA">
    <w:pPr>
      <w:pBdr>
        <w:top w:val="nil"/>
        <w:left w:val="nil"/>
        <w:bottom w:val="nil"/>
        <w:right w:val="nil"/>
        <w:between w:val="nil"/>
      </w:pBdr>
      <w:tabs>
        <w:tab w:val="center" w:pos="4419"/>
        <w:tab w:val="right" w:pos="8838"/>
      </w:tabs>
      <w:spacing w:after="0" w:line="240" w:lineRule="auto"/>
      <w:jc w:val="right"/>
      <w:rPr>
        <w:color w:val="000000"/>
        <w:sz w:val="20"/>
        <w:szCs w:val="20"/>
      </w:rPr>
    </w:pPr>
    <w:r w:rsidRPr="00512CFA">
      <w:rPr>
        <w:color w:val="FF0000"/>
        <w:sz w:val="20"/>
        <w:szCs w:val="20"/>
      </w:rPr>
      <w:t>www.masigualdad.pe</w:t>
    </w:r>
    <w:r w:rsidRPr="00512CFA">
      <w:rPr>
        <w:color w:val="000000"/>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52201"/>
    <w:multiLevelType w:val="multilevel"/>
    <w:tmpl w:val="7EBEDDCC"/>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 w15:restartNumberingAfterBreak="0">
    <w:nsid w:val="275E6EC1"/>
    <w:multiLevelType w:val="multilevel"/>
    <w:tmpl w:val="4674304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4AD7DA6"/>
    <w:multiLevelType w:val="multilevel"/>
    <w:tmpl w:val="45FC4D8C"/>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3" w15:restartNumberingAfterBreak="0">
    <w:nsid w:val="3C3E6771"/>
    <w:multiLevelType w:val="multilevel"/>
    <w:tmpl w:val="2DEC424C"/>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4" w15:restartNumberingAfterBreak="0">
    <w:nsid w:val="3E1E50B7"/>
    <w:multiLevelType w:val="multilevel"/>
    <w:tmpl w:val="8F88B9DA"/>
    <w:lvl w:ilvl="0">
      <w:start w:val="1"/>
      <w:numFmt w:val="decimal"/>
      <w:lvlText w:val="%1."/>
      <w:lvlJc w:val="left"/>
      <w:pPr>
        <w:ind w:left="720" w:hanging="360"/>
      </w:pPr>
      <w:rPr>
        <w:rFonts w:ascii="Quattrocento Sans" w:eastAsia="Quattrocento Sans" w:hAnsi="Quattrocento Sans" w:cs="Quattrocento Sans"/>
        <w:b w:val="0"/>
        <w:i w:val="0"/>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FC56054"/>
    <w:multiLevelType w:val="multilevel"/>
    <w:tmpl w:val="63226C1C"/>
    <w:lvl w:ilvl="0">
      <w:start w:val="1"/>
      <w:numFmt w:val="lowerLetter"/>
      <w:lvlText w:val="%1)"/>
      <w:lvlJc w:val="left"/>
      <w:pPr>
        <w:ind w:left="644" w:hanging="358"/>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15:restartNumberingAfterBreak="0">
    <w:nsid w:val="6BE924AC"/>
    <w:multiLevelType w:val="multilevel"/>
    <w:tmpl w:val="08669558"/>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7" w15:restartNumberingAfterBreak="0">
    <w:nsid w:val="6F765916"/>
    <w:multiLevelType w:val="multilevel"/>
    <w:tmpl w:val="C39020B6"/>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num w:numId="1">
    <w:abstractNumId w:val="5"/>
  </w:num>
  <w:num w:numId="2">
    <w:abstractNumId w:val="7"/>
  </w:num>
  <w:num w:numId="3">
    <w:abstractNumId w:val="1"/>
  </w:num>
  <w:num w:numId="4">
    <w:abstractNumId w:val="4"/>
  </w:num>
  <w:num w:numId="5">
    <w:abstractNumId w:val="2"/>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3E4"/>
    <w:rsid w:val="002A68F3"/>
    <w:rsid w:val="00512CFA"/>
    <w:rsid w:val="0059155F"/>
    <w:rsid w:val="00886821"/>
    <w:rsid w:val="00887E13"/>
    <w:rsid w:val="008E22C1"/>
    <w:rsid w:val="008E41A5"/>
    <w:rsid w:val="00A37CDE"/>
    <w:rsid w:val="00BE61F6"/>
    <w:rsid w:val="00D06798"/>
    <w:rsid w:val="00DA02BF"/>
    <w:rsid w:val="00E613E4"/>
    <w:rsid w:val="00FB0594"/>
    <w:rsid w:val="00FE04F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FA1E5"/>
  <w15:docId w15:val="{B07386A6-4C05-447C-AF07-C278B415A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PE" w:eastAsia="es-P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notapie">
    <w:name w:val="footnote text"/>
    <w:basedOn w:val="Normal"/>
    <w:link w:val="TextonotapieCar"/>
    <w:uiPriority w:val="99"/>
    <w:semiHidden/>
    <w:unhideWhenUsed/>
    <w:rsid w:val="0088682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86821"/>
    <w:rPr>
      <w:sz w:val="20"/>
      <w:szCs w:val="20"/>
    </w:rPr>
  </w:style>
  <w:style w:type="character" w:styleId="Refdenotaalpie">
    <w:name w:val="footnote reference"/>
    <w:basedOn w:val="Fuentedeprrafopredeter"/>
    <w:uiPriority w:val="99"/>
    <w:semiHidden/>
    <w:unhideWhenUsed/>
    <w:rsid w:val="00886821"/>
    <w:rPr>
      <w:vertAlign w:val="superscript"/>
    </w:rPr>
  </w:style>
  <w:style w:type="character" w:styleId="Hipervnculo">
    <w:name w:val="Hyperlink"/>
    <w:basedOn w:val="Fuentedeprrafopredeter"/>
    <w:uiPriority w:val="99"/>
    <w:unhideWhenUsed/>
    <w:rsid w:val="00886821"/>
    <w:rPr>
      <w:color w:val="0000FF" w:themeColor="hyperlink"/>
      <w:u w:val="single"/>
    </w:rPr>
  </w:style>
  <w:style w:type="character" w:styleId="Mencinsinresolver">
    <w:name w:val="Unresolved Mention"/>
    <w:basedOn w:val="Fuentedeprrafopredeter"/>
    <w:uiPriority w:val="99"/>
    <w:semiHidden/>
    <w:unhideWhenUsed/>
    <w:rsid w:val="00886821"/>
    <w:rPr>
      <w:color w:val="605E5C"/>
      <w:shd w:val="clear" w:color="auto" w:fill="E1DFDD"/>
    </w:rPr>
  </w:style>
  <w:style w:type="paragraph" w:styleId="Encabezado">
    <w:name w:val="header"/>
    <w:basedOn w:val="Normal"/>
    <w:link w:val="EncabezadoCar"/>
    <w:uiPriority w:val="99"/>
    <w:unhideWhenUsed/>
    <w:rsid w:val="00512CF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CFA"/>
  </w:style>
  <w:style w:type="paragraph" w:styleId="Piedepgina">
    <w:name w:val="footer"/>
    <w:basedOn w:val="Normal"/>
    <w:link w:val="PiedepginaCar"/>
    <w:uiPriority w:val="99"/>
    <w:unhideWhenUsed/>
    <w:rsid w:val="00512CF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C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dn.www.gob.pe/uploads/document/file/574872/DS_057-2020-PCM.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inei.gob.pe/media/MenuRecursivo/boletines/lgbti.pdf" TargetMode="External"/><Relationship Id="rId13" Type="http://schemas.openxmlformats.org/officeDocument/2006/relationships/hyperlink" Target="http://www.demus.org.pe/noticias/apelaran-decision-de-reniec-que-deja-desprotegido-a-hijo-de-madres-lesbianas-al-no-reconocerlas-en-dni/" TargetMode="External"/><Relationship Id="rId18" Type="http://schemas.openxmlformats.org/officeDocument/2006/relationships/hyperlink" Target="https://elcomercio.pe/lima/sucesos/discriminacion-municipal-distritos-contemplan-erradicacion-homosexuales-noticia-457704-noticia/" TargetMode="External"/><Relationship Id="rId3" Type="http://schemas.openxmlformats.org/officeDocument/2006/relationships/hyperlink" Target="https://twitter.com/m_siccha/status/1246557062483578880?fbclid=IwAR2OQpHZZVIlK7b1xPgDy2MsY868bjknvnv60kX1DZzMCS3AqTAH1vXQWrQ" TargetMode="External"/><Relationship Id="rId7" Type="http://schemas.openxmlformats.org/officeDocument/2006/relationships/hyperlink" Target="https://www.minjus.gob.pe/wp-content/uploads/2018/02/PNDH-2018-2021.pdf" TargetMode="External"/><Relationship Id="rId12" Type="http://schemas.openxmlformats.org/officeDocument/2006/relationships/hyperlink" Target="https://static.legis.pe/wp-content/uploads/2019/04/Exp.-10776-2017-Legis.pe_.pdf.pdf?fbclid=IwAR065zt_4vonSkd5cPWhNqAJQW-nuEOgxqXp9V-P7mkq5o6kSK5EvLd54dA" TargetMode="External"/><Relationship Id="rId17" Type="http://schemas.openxmlformats.org/officeDocument/2006/relationships/hyperlink" Target="https://www.americatv.com.pe/noticias/redes-sociales/smp-contempla-erradicacion-homosexuales-su-plan-seguridad-ciudadana-n291529" TargetMode="External"/><Relationship Id="rId2" Type="http://schemas.openxmlformats.org/officeDocument/2006/relationships/hyperlink" Target="https://twitter.com/alex_rm2510/status/1246440562338783237?s=21" TargetMode="External"/><Relationship Id="rId16" Type="http://schemas.openxmlformats.org/officeDocument/2006/relationships/hyperlink" Target="https://agenciapresentes.org/2021/10/18/poder-judicial-peruano-reconoce-la-comaternidad-de-una-pareja-de-lesbianas-tras-5-anos-de-lucha/" TargetMode="External"/><Relationship Id="rId1" Type="http://schemas.openxmlformats.org/officeDocument/2006/relationships/hyperlink" Target="https://rpp.pe/politica/gobierno/martin-vizcarra-restriccion-de-salida-por-dias-no-es-pretexto-para-ninguna-medida-de-homofobia-video-noticia-1256046" TargetMode="External"/><Relationship Id="rId6" Type="http://schemas.openxmlformats.org/officeDocument/2006/relationships/hyperlink" Target="https://www.minjus.gob.pe/wp-content/uploads/2014/07/DS-005-2014-JUS-Aprobacion_PNDH.pdf" TargetMode="External"/><Relationship Id="rId11" Type="http://schemas.openxmlformats.org/officeDocument/2006/relationships/hyperlink" Target="https://wb2server.congreso.gob.pe/spley-portal/" TargetMode="External"/><Relationship Id="rId5" Type="http://schemas.openxmlformats.org/officeDocument/2006/relationships/hyperlink" Target="https://twitter.com/feminasperu/status/1246538068116602880?s=20" TargetMode="External"/><Relationship Id="rId15" Type="http://schemas.openxmlformats.org/officeDocument/2006/relationships/hyperlink" Target="https://www.youtube.com/watch?v=lma6f6NyYJQ" TargetMode="External"/><Relationship Id="rId10" Type="http://schemas.openxmlformats.org/officeDocument/2006/relationships/hyperlink" Target="https://www.inei.gob.pe/media/MenuRecursivo/boletines/lgbti.pdf" TargetMode="External"/><Relationship Id="rId4" Type="http://schemas.openxmlformats.org/officeDocument/2006/relationships/hyperlink" Target="https://peru21.pe/lima/coronavirus-peru-i-lgtb-i-indignante-a-mujeres-trans-las-hacen-gritar-quiero-ser-un-hombre-y-las-obligan-a-hacer-ranas-en-comisaria-de-bellavista-noticia/" TargetMode="External"/><Relationship Id="rId9" Type="http://schemas.openxmlformats.org/officeDocument/2006/relationships/hyperlink" Target="http://archivo.peru21.pe/noticia/1330615/sancionan-radio-palabras-butters" TargetMode="External"/><Relationship Id="rId14" Type="http://schemas.openxmlformats.org/officeDocument/2006/relationships/hyperlink" Target="https://cutt.ly/SOWj4H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6F5F43-8968-4354-B78D-CE20873F276B}">
  <ds:schemaRefs>
    <ds:schemaRef ds:uri="http://schemas.openxmlformats.org/officeDocument/2006/bibliography"/>
  </ds:schemaRefs>
</ds:datastoreItem>
</file>

<file path=customXml/itemProps2.xml><?xml version="1.0" encoding="utf-8"?>
<ds:datastoreItem xmlns:ds="http://schemas.openxmlformats.org/officeDocument/2006/customXml" ds:itemID="{B80A248C-F3EB-4AFF-8176-2125BD3BE1B1}"/>
</file>

<file path=customXml/itemProps3.xml><?xml version="1.0" encoding="utf-8"?>
<ds:datastoreItem xmlns:ds="http://schemas.openxmlformats.org/officeDocument/2006/customXml" ds:itemID="{3C1DDB0F-D432-46F4-B7C9-993E57E0218A}"/>
</file>

<file path=customXml/itemProps4.xml><?xml version="1.0" encoding="utf-8"?>
<ds:datastoreItem xmlns:ds="http://schemas.openxmlformats.org/officeDocument/2006/customXml" ds:itemID="{4590221C-F962-421F-8E1C-C9D4214B9AF6}"/>
</file>

<file path=docProps/app.xml><?xml version="1.0" encoding="utf-8"?>
<Properties xmlns="http://schemas.openxmlformats.org/officeDocument/2006/extended-properties" xmlns:vt="http://schemas.openxmlformats.org/officeDocument/2006/docPropsVTypes">
  <Template>Normal.dotm</Template>
  <TotalTime>29</TotalTime>
  <Pages>1</Pages>
  <Words>2865</Words>
  <Characters>15763</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Gabriela Zavaleta Vera</cp:lastModifiedBy>
  <cp:revision>8</cp:revision>
  <dcterms:created xsi:type="dcterms:W3CDTF">2022-01-15T04:23:00Z</dcterms:created>
  <dcterms:modified xsi:type="dcterms:W3CDTF">2022-02-02T16:46:00Z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