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57C" w:rsidRPr="0072183F" w:rsidRDefault="006A657C" w:rsidP="006A657C">
      <w:pPr>
        <w:spacing w:after="200" w:line="276" w:lineRule="auto"/>
        <w:jc w:val="center"/>
        <w:rPr>
          <w:rFonts w:ascii="Garamond" w:eastAsia="Calibri" w:hAnsi="Garamond" w:cs="Times New Roman"/>
          <w:b/>
          <w:bCs/>
          <w:sz w:val="28"/>
          <w:szCs w:val="28"/>
          <w:lang w:val="en-US"/>
        </w:rPr>
      </w:pPr>
      <w:r w:rsidRPr="0072183F">
        <w:rPr>
          <w:rFonts w:ascii="Garamond" w:hAnsi="Garamond"/>
          <w:b/>
          <w:bCs/>
          <w:sz w:val="28"/>
          <w:szCs w:val="28"/>
          <w:lang w:val="en-US"/>
        </w:rPr>
        <w:t>Introductory Statement</w:t>
      </w:r>
      <w:r>
        <w:rPr>
          <w:rFonts w:ascii="Garamond" w:hAnsi="Garamond"/>
          <w:b/>
          <w:bCs/>
          <w:sz w:val="28"/>
          <w:szCs w:val="28"/>
          <w:lang w:val="en-US"/>
        </w:rPr>
        <w:t xml:space="preserve"> by Mrs. </w:t>
      </w:r>
      <w:proofErr w:type="spellStart"/>
      <w:r>
        <w:rPr>
          <w:rFonts w:ascii="Garamond" w:hAnsi="Garamond"/>
          <w:b/>
          <w:bCs/>
          <w:sz w:val="28"/>
          <w:szCs w:val="28"/>
          <w:lang w:val="en-US"/>
        </w:rPr>
        <w:t>Tove</w:t>
      </w:r>
      <w:proofErr w:type="spellEnd"/>
      <w:r>
        <w:rPr>
          <w:rFonts w:ascii="Garamond" w:hAnsi="Garamond"/>
          <w:b/>
          <w:bCs/>
          <w:sz w:val="28"/>
          <w:szCs w:val="28"/>
          <w:lang w:val="en-US"/>
        </w:rPr>
        <w:t xml:space="preserve"> </w:t>
      </w:r>
      <w:proofErr w:type="spellStart"/>
      <w:r>
        <w:rPr>
          <w:rFonts w:ascii="Garamond" w:hAnsi="Garamond"/>
          <w:b/>
          <w:bCs/>
          <w:sz w:val="28"/>
          <w:szCs w:val="28"/>
          <w:lang w:val="en-US"/>
        </w:rPr>
        <w:t>Søvndahl</w:t>
      </w:r>
      <w:proofErr w:type="spellEnd"/>
      <w:r>
        <w:rPr>
          <w:rFonts w:ascii="Garamond" w:hAnsi="Garamond"/>
          <w:b/>
          <w:bCs/>
          <w:sz w:val="28"/>
          <w:szCs w:val="28"/>
          <w:lang w:val="en-US"/>
        </w:rPr>
        <w:t xml:space="preserve"> Gant, senior advisor,</w:t>
      </w:r>
      <w:r w:rsidRPr="0072183F">
        <w:rPr>
          <w:rFonts w:ascii="Garamond" w:hAnsi="Garamond"/>
          <w:b/>
          <w:bCs/>
          <w:sz w:val="28"/>
          <w:szCs w:val="28"/>
          <w:lang w:val="en-US"/>
        </w:rPr>
        <w:t xml:space="preserve"> on behalf of the Government of Greenland </w:t>
      </w:r>
      <w:r w:rsidRPr="0072183F">
        <w:rPr>
          <w:rFonts w:ascii="Garamond" w:eastAsia="Calibri" w:hAnsi="Garamond" w:cs="Times New Roman"/>
          <w:b/>
          <w:bCs/>
          <w:sz w:val="28"/>
          <w:szCs w:val="28"/>
          <w:lang w:val="en-US"/>
        </w:rPr>
        <w:t xml:space="preserve">at the occasion of the interactive dialogue with </w:t>
      </w:r>
    </w:p>
    <w:p w:rsidR="006A657C" w:rsidRDefault="006A657C" w:rsidP="006A657C">
      <w:pPr>
        <w:spacing w:after="200" w:line="276" w:lineRule="auto"/>
        <w:jc w:val="center"/>
        <w:rPr>
          <w:rFonts w:ascii="Garamond" w:eastAsia="Calibri" w:hAnsi="Garamond" w:cs="Times New Roman"/>
          <w:b/>
          <w:bCs/>
          <w:sz w:val="28"/>
          <w:szCs w:val="28"/>
          <w:lang w:val="en-US"/>
        </w:rPr>
      </w:pPr>
      <w:proofErr w:type="gramStart"/>
      <w:r w:rsidRPr="0072183F">
        <w:rPr>
          <w:rFonts w:ascii="Garamond" w:eastAsia="Calibri" w:hAnsi="Garamond" w:cs="Times New Roman"/>
          <w:b/>
          <w:bCs/>
          <w:sz w:val="28"/>
          <w:szCs w:val="28"/>
          <w:lang w:val="en-US"/>
        </w:rPr>
        <w:t>the</w:t>
      </w:r>
      <w:proofErr w:type="gramEnd"/>
      <w:r w:rsidRPr="0072183F">
        <w:rPr>
          <w:rFonts w:ascii="Garamond" w:eastAsia="Calibri" w:hAnsi="Garamond" w:cs="Times New Roman"/>
          <w:b/>
          <w:bCs/>
          <w:sz w:val="28"/>
          <w:szCs w:val="28"/>
          <w:lang w:val="en-US"/>
        </w:rPr>
        <w:t xml:space="preserve"> Committee on the Elimination of Discrimination Against Women</w:t>
      </w:r>
    </w:p>
    <w:p w:rsidR="006A657C" w:rsidRPr="0072183F" w:rsidRDefault="006A657C" w:rsidP="006A657C">
      <w:pPr>
        <w:spacing w:after="200" w:line="276" w:lineRule="auto"/>
        <w:jc w:val="center"/>
        <w:rPr>
          <w:rFonts w:ascii="Garamond" w:eastAsia="Calibri" w:hAnsi="Garamond" w:cs="Times New Roman"/>
          <w:b/>
          <w:bCs/>
          <w:sz w:val="28"/>
          <w:szCs w:val="28"/>
          <w:lang w:val="en-US"/>
        </w:rPr>
      </w:pPr>
      <w:r>
        <w:rPr>
          <w:rFonts w:ascii="Garamond" w:eastAsia="Calibri" w:hAnsi="Garamond" w:cs="Times New Roman"/>
          <w:b/>
          <w:bCs/>
          <w:sz w:val="28"/>
          <w:szCs w:val="28"/>
          <w:lang w:val="en-US"/>
        </w:rPr>
        <w:t>22-24 February 2021</w:t>
      </w:r>
    </w:p>
    <w:p w:rsidR="006A657C" w:rsidRDefault="006A657C" w:rsidP="006A657C">
      <w:pPr>
        <w:spacing w:after="200" w:line="276" w:lineRule="auto"/>
        <w:jc w:val="center"/>
        <w:rPr>
          <w:rFonts w:ascii="Garamond" w:eastAsia="Calibri" w:hAnsi="Garamond" w:cs="Times New Roman"/>
          <w:b/>
          <w:bCs/>
          <w:sz w:val="28"/>
          <w:szCs w:val="28"/>
          <w:lang w:val="en-US"/>
        </w:rPr>
      </w:pPr>
      <w:r w:rsidRPr="0072183F">
        <w:rPr>
          <w:rFonts w:ascii="Garamond" w:eastAsia="Calibri" w:hAnsi="Garamond" w:cs="Times New Roman"/>
          <w:b/>
          <w:bCs/>
          <w:sz w:val="28"/>
          <w:szCs w:val="28"/>
          <w:lang w:val="en-US"/>
        </w:rPr>
        <w:t>(</w:t>
      </w:r>
      <w:proofErr w:type="gramStart"/>
      <w:r w:rsidRPr="0072183F">
        <w:rPr>
          <w:rFonts w:ascii="Garamond" w:eastAsia="Calibri" w:hAnsi="Garamond" w:cs="Times New Roman"/>
          <w:b/>
          <w:bCs/>
          <w:sz w:val="28"/>
          <w:szCs w:val="28"/>
          <w:lang w:val="en-US"/>
        </w:rPr>
        <w:t>9</w:t>
      </w:r>
      <w:r w:rsidRPr="0072183F">
        <w:rPr>
          <w:rFonts w:ascii="Garamond" w:eastAsia="Calibri" w:hAnsi="Garamond" w:cs="Times New Roman"/>
          <w:b/>
          <w:bCs/>
          <w:sz w:val="28"/>
          <w:szCs w:val="28"/>
          <w:vertAlign w:val="superscript"/>
          <w:lang w:val="en-US"/>
        </w:rPr>
        <w:t>th</w:t>
      </w:r>
      <w:proofErr w:type="gramEnd"/>
      <w:r w:rsidRPr="0072183F">
        <w:rPr>
          <w:rFonts w:ascii="Garamond" w:eastAsia="Calibri" w:hAnsi="Garamond" w:cs="Times New Roman"/>
          <w:b/>
          <w:bCs/>
          <w:sz w:val="28"/>
          <w:szCs w:val="28"/>
          <w:lang w:val="en-US"/>
        </w:rPr>
        <w:t xml:space="preserve"> periodic report)</w:t>
      </w:r>
    </w:p>
    <w:p w:rsidR="006A657C" w:rsidRDefault="006A657C" w:rsidP="006A657C">
      <w:pPr>
        <w:spacing w:after="200" w:line="276" w:lineRule="auto"/>
        <w:jc w:val="center"/>
        <w:rPr>
          <w:rFonts w:ascii="Garamond" w:eastAsia="Calibri" w:hAnsi="Garamond" w:cs="Times New Roman"/>
          <w:b/>
          <w:bCs/>
          <w:sz w:val="28"/>
          <w:szCs w:val="28"/>
          <w:lang w:val="en-US"/>
        </w:rPr>
      </w:pPr>
    </w:p>
    <w:p w:rsidR="006A657C" w:rsidRPr="0072183F" w:rsidRDefault="006A657C" w:rsidP="006A657C">
      <w:pPr>
        <w:spacing w:after="200" w:line="276" w:lineRule="auto"/>
        <w:jc w:val="center"/>
        <w:rPr>
          <w:rFonts w:ascii="Garamond" w:eastAsia="Calibri" w:hAnsi="Garamond" w:cs="Times New Roman"/>
          <w:b/>
          <w:bCs/>
          <w:sz w:val="28"/>
          <w:szCs w:val="28"/>
          <w:lang w:val="en-US"/>
        </w:rPr>
      </w:pPr>
      <w:r>
        <w:rPr>
          <w:rFonts w:ascii="Garamond" w:eastAsia="Calibri" w:hAnsi="Garamond" w:cs="Times New Roman"/>
          <w:b/>
          <w:bCs/>
          <w:sz w:val="28"/>
          <w:szCs w:val="28"/>
          <w:lang w:val="en-US"/>
        </w:rPr>
        <w:t>(CHECK AGAINST DELIVERY)</w:t>
      </w:r>
    </w:p>
    <w:p w:rsidR="006A657C" w:rsidRPr="0072183F" w:rsidRDefault="006A657C" w:rsidP="006A657C">
      <w:pPr>
        <w:rPr>
          <w:rFonts w:ascii="Garamond" w:hAnsi="Garamond"/>
          <w:sz w:val="28"/>
          <w:szCs w:val="28"/>
          <w:lang w:val="en-US"/>
        </w:rPr>
      </w:pP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Madame Chairperson, distinguished members of the Committee.</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 xml:space="preserve">On behalf of the Government of Greenland, it is my </w:t>
      </w:r>
      <w:r w:rsidRPr="0072183F">
        <w:rPr>
          <w:rFonts w:ascii="Garamond" w:hAnsi="Garamond"/>
          <w:sz w:val="28"/>
          <w:szCs w:val="28"/>
          <w:lang w:val="en-GB"/>
        </w:rPr>
        <w:t>honour</w:t>
      </w:r>
      <w:r w:rsidRPr="0072183F">
        <w:rPr>
          <w:rFonts w:ascii="Garamond" w:hAnsi="Garamond"/>
          <w:sz w:val="28"/>
          <w:szCs w:val="28"/>
          <w:lang w:val="en-US"/>
        </w:rPr>
        <w:t xml:space="preserve"> to present to you the most recent developments and status pertaining to our efforts in Greenland to eliminate discrimination against women and to their empowerment. Before I begin, let me assure you of the Greenland government’s sincere commitments to uphold its obligations under the CEDAW Convention and thank the Committee for its unwavering interest </w:t>
      </w:r>
      <w:proofErr w:type="gramStart"/>
      <w:r w:rsidRPr="0072183F">
        <w:rPr>
          <w:rFonts w:ascii="Garamond" w:hAnsi="Garamond"/>
          <w:sz w:val="28"/>
          <w:szCs w:val="28"/>
          <w:lang w:val="en-US"/>
        </w:rPr>
        <w:t>and</w:t>
      </w:r>
      <w:proofErr w:type="gramEnd"/>
      <w:r w:rsidRPr="0072183F">
        <w:rPr>
          <w:rFonts w:ascii="Garamond" w:hAnsi="Garamond"/>
          <w:sz w:val="28"/>
          <w:szCs w:val="28"/>
          <w:lang w:val="en-US"/>
        </w:rPr>
        <w:t xml:space="preserve"> attention to the situation in Greenland.</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 xml:space="preserve">As </w:t>
      </w:r>
      <w:proofErr w:type="gramStart"/>
      <w:r w:rsidRPr="0072183F">
        <w:rPr>
          <w:rFonts w:ascii="Garamond" w:hAnsi="Garamond"/>
          <w:sz w:val="28"/>
          <w:szCs w:val="28"/>
          <w:lang w:val="en-US"/>
        </w:rPr>
        <w:t>you’ve</w:t>
      </w:r>
      <w:proofErr w:type="gramEnd"/>
      <w:r w:rsidRPr="0072183F">
        <w:rPr>
          <w:rFonts w:ascii="Garamond" w:hAnsi="Garamond"/>
          <w:sz w:val="28"/>
          <w:szCs w:val="28"/>
          <w:lang w:val="en-US"/>
        </w:rPr>
        <w:t xml:space="preserve"> seen from our 9</w:t>
      </w:r>
      <w:r w:rsidRPr="0072183F">
        <w:rPr>
          <w:rFonts w:ascii="Garamond" w:hAnsi="Garamond"/>
          <w:sz w:val="28"/>
          <w:szCs w:val="28"/>
          <w:vertAlign w:val="superscript"/>
          <w:lang w:val="en-US"/>
        </w:rPr>
        <w:t>th</w:t>
      </w:r>
      <w:r w:rsidRPr="0072183F">
        <w:rPr>
          <w:rFonts w:ascii="Garamond" w:hAnsi="Garamond"/>
          <w:sz w:val="28"/>
          <w:szCs w:val="28"/>
          <w:lang w:val="en-US"/>
        </w:rPr>
        <w:t xml:space="preserve"> periodic report as well as to the responses to the List of </w:t>
      </w:r>
      <w:r>
        <w:rPr>
          <w:rFonts w:ascii="Garamond" w:hAnsi="Garamond"/>
          <w:sz w:val="28"/>
          <w:szCs w:val="28"/>
          <w:lang w:val="en-US"/>
        </w:rPr>
        <w:t>I</w:t>
      </w:r>
      <w:r w:rsidRPr="0072183F">
        <w:rPr>
          <w:rFonts w:ascii="Garamond" w:hAnsi="Garamond"/>
          <w:sz w:val="28"/>
          <w:szCs w:val="28"/>
          <w:lang w:val="en-US"/>
        </w:rPr>
        <w:t>ssues of November 20</w:t>
      </w:r>
      <w:r>
        <w:rPr>
          <w:rFonts w:ascii="Garamond" w:hAnsi="Garamond"/>
          <w:sz w:val="28"/>
          <w:szCs w:val="28"/>
          <w:lang w:val="en-US"/>
        </w:rPr>
        <w:t>19</w:t>
      </w:r>
      <w:r w:rsidRPr="0072183F">
        <w:rPr>
          <w:rFonts w:ascii="Garamond" w:hAnsi="Garamond"/>
          <w:sz w:val="28"/>
          <w:szCs w:val="28"/>
          <w:lang w:val="en-US"/>
        </w:rPr>
        <w:t xml:space="preserve">, Greenland has been working diligently in furthering gender equality. As the latest and most encouraging developments, we would like to highlight the following areas that </w:t>
      </w:r>
      <w:proofErr w:type="gramStart"/>
      <w:r w:rsidRPr="0072183F">
        <w:rPr>
          <w:rFonts w:ascii="Garamond" w:hAnsi="Garamond"/>
          <w:sz w:val="28"/>
          <w:szCs w:val="28"/>
          <w:lang w:val="en-US"/>
        </w:rPr>
        <w:t>are closely related</w:t>
      </w:r>
      <w:proofErr w:type="gramEnd"/>
      <w:r w:rsidRPr="0072183F">
        <w:rPr>
          <w:rFonts w:ascii="Garamond" w:hAnsi="Garamond"/>
          <w:sz w:val="28"/>
          <w:szCs w:val="28"/>
          <w:lang w:val="en-US"/>
        </w:rPr>
        <w:t xml:space="preserve"> to the rights enounced under article 11 of the Convention.</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 xml:space="preserve">On </w:t>
      </w:r>
      <w:proofErr w:type="gramStart"/>
      <w:r w:rsidRPr="0072183F">
        <w:rPr>
          <w:rFonts w:ascii="Garamond" w:hAnsi="Garamond"/>
          <w:sz w:val="28"/>
          <w:szCs w:val="28"/>
          <w:lang w:val="en-US"/>
        </w:rPr>
        <w:t>the 1</w:t>
      </w:r>
      <w:r w:rsidRPr="0072183F">
        <w:rPr>
          <w:rFonts w:ascii="Garamond" w:hAnsi="Garamond"/>
          <w:sz w:val="28"/>
          <w:szCs w:val="28"/>
          <w:vertAlign w:val="superscript"/>
          <w:lang w:val="en-US"/>
        </w:rPr>
        <w:t>st</w:t>
      </w:r>
      <w:r w:rsidRPr="0072183F">
        <w:rPr>
          <w:rFonts w:ascii="Garamond" w:hAnsi="Garamond"/>
          <w:sz w:val="28"/>
          <w:szCs w:val="28"/>
          <w:lang w:val="en-US"/>
        </w:rPr>
        <w:t xml:space="preserve"> of January</w:t>
      </w:r>
      <w:proofErr w:type="gramEnd"/>
      <w:r w:rsidRPr="0072183F">
        <w:rPr>
          <w:rFonts w:ascii="Garamond" w:hAnsi="Garamond"/>
          <w:sz w:val="28"/>
          <w:szCs w:val="28"/>
          <w:lang w:val="en-US"/>
        </w:rPr>
        <w:t xml:space="preserve"> 2021, </w:t>
      </w:r>
      <w:r>
        <w:rPr>
          <w:rFonts w:ascii="Garamond" w:hAnsi="Garamond"/>
          <w:sz w:val="28"/>
          <w:szCs w:val="28"/>
          <w:lang w:val="en-US"/>
        </w:rPr>
        <w:t>the</w:t>
      </w:r>
      <w:r w:rsidRPr="0072183F">
        <w:rPr>
          <w:rFonts w:ascii="Garamond" w:hAnsi="Garamond"/>
          <w:sz w:val="28"/>
          <w:szCs w:val="28"/>
          <w:lang w:val="en-US"/>
        </w:rPr>
        <w:t xml:space="preserve"> new law on</w:t>
      </w:r>
      <w:r>
        <w:rPr>
          <w:rFonts w:ascii="Garamond" w:hAnsi="Garamond"/>
          <w:sz w:val="28"/>
          <w:szCs w:val="28"/>
          <w:lang w:val="en-US"/>
        </w:rPr>
        <w:t xml:space="preserve"> leave in conjunction with</w:t>
      </w:r>
      <w:r w:rsidRPr="0072183F">
        <w:rPr>
          <w:rFonts w:ascii="Garamond" w:hAnsi="Garamond"/>
          <w:sz w:val="28"/>
          <w:szCs w:val="28"/>
          <w:lang w:val="en-US"/>
        </w:rPr>
        <w:t xml:space="preserve"> pregnancy, childbirth and adoption entered into force. With the new </w:t>
      </w:r>
      <w:proofErr w:type="gramStart"/>
      <w:r w:rsidRPr="0072183F">
        <w:rPr>
          <w:rFonts w:ascii="Garamond" w:hAnsi="Garamond"/>
          <w:sz w:val="28"/>
          <w:szCs w:val="28"/>
          <w:lang w:val="en-US"/>
        </w:rPr>
        <w:t>law</w:t>
      </w:r>
      <w:proofErr w:type="gramEnd"/>
      <w:r w:rsidRPr="0072183F">
        <w:rPr>
          <w:rFonts w:ascii="Garamond" w:hAnsi="Garamond"/>
          <w:sz w:val="28"/>
          <w:szCs w:val="28"/>
          <w:lang w:val="en-US"/>
        </w:rPr>
        <w:t xml:space="preserve"> the pregnancy leave is </w:t>
      </w:r>
      <w:r>
        <w:rPr>
          <w:rFonts w:ascii="Garamond" w:hAnsi="Garamond"/>
          <w:sz w:val="28"/>
          <w:szCs w:val="28"/>
          <w:lang w:val="en-US"/>
        </w:rPr>
        <w:t>extended</w:t>
      </w:r>
      <w:r w:rsidRPr="0072183F">
        <w:rPr>
          <w:rFonts w:ascii="Garamond" w:hAnsi="Garamond"/>
          <w:sz w:val="28"/>
          <w:szCs w:val="28"/>
          <w:lang w:val="en-US"/>
        </w:rPr>
        <w:t xml:space="preserve"> from two to four weeks. The childbirth leave remains at 15 weeks for the mother and three weeks for the father or co-mother (in the case of same-sex parenting) within the same 15 weeks. However, the ensuing parental leave shareable with the father or the co-</w:t>
      </w:r>
      <w:proofErr w:type="gramStart"/>
      <w:r w:rsidRPr="0072183F">
        <w:rPr>
          <w:rFonts w:ascii="Garamond" w:hAnsi="Garamond"/>
          <w:sz w:val="28"/>
          <w:szCs w:val="28"/>
          <w:lang w:val="en-US"/>
        </w:rPr>
        <w:t>mother,</w:t>
      </w:r>
      <w:proofErr w:type="gramEnd"/>
      <w:r w:rsidRPr="0072183F">
        <w:rPr>
          <w:rFonts w:ascii="Garamond" w:hAnsi="Garamond"/>
          <w:sz w:val="28"/>
          <w:szCs w:val="28"/>
          <w:lang w:val="en-US"/>
        </w:rPr>
        <w:t xml:space="preserve"> is extended with 4 weeks to a total of 21 weeks. The limits of 15 weeks and 21 weeks respectively </w:t>
      </w:r>
      <w:proofErr w:type="gramStart"/>
      <w:r w:rsidRPr="0072183F">
        <w:rPr>
          <w:rFonts w:ascii="Garamond" w:hAnsi="Garamond"/>
          <w:sz w:val="28"/>
          <w:szCs w:val="28"/>
          <w:lang w:val="en-US"/>
        </w:rPr>
        <w:t>are extended</w:t>
      </w:r>
      <w:proofErr w:type="gramEnd"/>
      <w:r w:rsidRPr="0072183F">
        <w:rPr>
          <w:rFonts w:ascii="Garamond" w:hAnsi="Garamond"/>
          <w:sz w:val="28"/>
          <w:szCs w:val="28"/>
          <w:lang w:val="en-US"/>
        </w:rPr>
        <w:t xml:space="preserve"> with 4 weeks each in the case of multiple births (e.g. twins, triplets etc.). The leaves are all paid leaves and the right to childbirth leave applies equally in case of adoption.</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Over the last 5-6 years, we have seen a sharp decrease in the general unemployment rate for both men and women from an average of 9.1 percent in 2015 to 5.1 percent in 2019. This trend affects</w:t>
      </w:r>
      <w:r>
        <w:rPr>
          <w:rFonts w:ascii="Garamond" w:hAnsi="Garamond"/>
          <w:sz w:val="28"/>
          <w:szCs w:val="28"/>
          <w:lang w:val="en-US"/>
        </w:rPr>
        <w:t xml:space="preserve"> positively</w:t>
      </w:r>
      <w:r w:rsidRPr="0072183F">
        <w:rPr>
          <w:rFonts w:ascii="Garamond" w:hAnsi="Garamond"/>
          <w:sz w:val="28"/>
          <w:szCs w:val="28"/>
          <w:lang w:val="en-US"/>
        </w:rPr>
        <w:t xml:space="preserve"> the whole </w:t>
      </w:r>
      <w:r>
        <w:rPr>
          <w:rFonts w:ascii="Garamond" w:hAnsi="Garamond"/>
          <w:sz w:val="28"/>
          <w:szCs w:val="28"/>
          <w:lang w:val="en-US"/>
        </w:rPr>
        <w:t xml:space="preserve">of </w:t>
      </w:r>
      <w:r w:rsidRPr="0072183F">
        <w:rPr>
          <w:rFonts w:ascii="Garamond" w:hAnsi="Garamond"/>
          <w:sz w:val="28"/>
          <w:szCs w:val="28"/>
          <w:lang w:val="en-US"/>
        </w:rPr>
        <w:t xml:space="preserve">society and households regardless of sex. In the </w:t>
      </w:r>
      <w:proofErr w:type="gramStart"/>
      <w:r w:rsidRPr="0072183F">
        <w:rPr>
          <w:rFonts w:ascii="Garamond" w:hAnsi="Garamond"/>
          <w:sz w:val="28"/>
          <w:szCs w:val="28"/>
          <w:lang w:val="en-US"/>
        </w:rPr>
        <w:t>9</w:t>
      </w:r>
      <w:r w:rsidRPr="0072183F">
        <w:rPr>
          <w:rFonts w:ascii="Garamond" w:hAnsi="Garamond"/>
          <w:sz w:val="28"/>
          <w:szCs w:val="28"/>
          <w:vertAlign w:val="superscript"/>
          <w:lang w:val="en-US"/>
        </w:rPr>
        <w:t>th</w:t>
      </w:r>
      <w:proofErr w:type="gramEnd"/>
      <w:r w:rsidRPr="0072183F">
        <w:rPr>
          <w:rFonts w:ascii="Garamond" w:hAnsi="Garamond"/>
          <w:sz w:val="28"/>
          <w:szCs w:val="28"/>
          <w:lang w:val="en-US"/>
        </w:rPr>
        <w:t xml:space="preserve"> periodic report, we reported that women are over-represented in the </w:t>
      </w:r>
      <w:r w:rsidRPr="0072183F">
        <w:rPr>
          <w:rFonts w:ascii="Garamond" w:hAnsi="Garamond"/>
          <w:sz w:val="28"/>
          <w:szCs w:val="28"/>
          <w:lang w:val="en-US"/>
        </w:rPr>
        <w:lastRenderedPageBreak/>
        <w:t xml:space="preserve">unemployment statistics. This is however no longer the case. The most recent figures from 2019, and the still unpublished figures from 2020, show that the percentage of women who are unemployed is now below men, meaning that in percentage terms women are less affected by unemployment than </w:t>
      </w:r>
      <w:proofErr w:type="gramStart"/>
      <w:r w:rsidRPr="0072183F">
        <w:rPr>
          <w:rFonts w:ascii="Garamond" w:hAnsi="Garamond"/>
          <w:sz w:val="28"/>
          <w:szCs w:val="28"/>
          <w:lang w:val="en-US"/>
        </w:rPr>
        <w:t>men</w:t>
      </w:r>
      <w:proofErr w:type="gramEnd"/>
      <w:r w:rsidRPr="0072183F">
        <w:rPr>
          <w:rFonts w:ascii="Garamond" w:hAnsi="Garamond"/>
          <w:sz w:val="28"/>
          <w:szCs w:val="28"/>
          <w:lang w:val="en-US"/>
        </w:rPr>
        <w:t xml:space="preserve">. </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 xml:space="preserve">Women and girls continue to outperform men and boys in upper secondary education, vocational education as well as in higher education. Since the introduction of the Ph.D. degree at the University of Greenland in 2001, 16 persons have earned the degree with 12 being women. In the last two years alone </w:t>
      </w:r>
      <w:proofErr w:type="gramStart"/>
      <w:r w:rsidRPr="0072183F">
        <w:rPr>
          <w:rFonts w:ascii="Garamond" w:hAnsi="Garamond"/>
          <w:sz w:val="28"/>
          <w:szCs w:val="28"/>
          <w:lang w:val="en-US"/>
        </w:rPr>
        <w:t>4</w:t>
      </w:r>
      <w:proofErr w:type="gramEnd"/>
      <w:r w:rsidRPr="0072183F">
        <w:rPr>
          <w:rFonts w:ascii="Garamond" w:hAnsi="Garamond"/>
          <w:sz w:val="28"/>
          <w:szCs w:val="28"/>
          <w:lang w:val="en-US"/>
        </w:rPr>
        <w:t xml:space="preserve"> women, and no men, have earned the doctoral degree.</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 xml:space="preserve">There are also indications of positive trends when it comes to women in politics. Since our reporting for the </w:t>
      </w:r>
      <w:proofErr w:type="gramStart"/>
      <w:r w:rsidRPr="0072183F">
        <w:rPr>
          <w:rFonts w:ascii="Garamond" w:hAnsi="Garamond"/>
          <w:sz w:val="28"/>
          <w:szCs w:val="28"/>
          <w:lang w:val="en-US"/>
        </w:rPr>
        <w:t>9</w:t>
      </w:r>
      <w:r w:rsidRPr="0072183F">
        <w:rPr>
          <w:rFonts w:ascii="Garamond" w:hAnsi="Garamond"/>
          <w:sz w:val="28"/>
          <w:szCs w:val="28"/>
          <w:vertAlign w:val="superscript"/>
          <w:lang w:val="en-US"/>
        </w:rPr>
        <w:t>th</w:t>
      </w:r>
      <w:proofErr w:type="gramEnd"/>
      <w:r w:rsidRPr="0072183F">
        <w:rPr>
          <w:rFonts w:ascii="Garamond" w:hAnsi="Garamond"/>
          <w:sz w:val="28"/>
          <w:szCs w:val="28"/>
          <w:lang w:val="en-US"/>
        </w:rPr>
        <w:t xml:space="preserve"> periodic report, the women/men ratio of the cabinet members – the ministers of our government –improved with 3 out of 10 ministers now being women.</w:t>
      </w:r>
      <w:r w:rsidR="00A95938">
        <w:rPr>
          <w:rFonts w:ascii="Garamond" w:hAnsi="Garamond"/>
          <w:sz w:val="28"/>
          <w:szCs w:val="28"/>
          <w:lang w:val="en-US"/>
        </w:rPr>
        <w:t xml:space="preserve"> (Let me quickly note that our government is a caretaker government since the dissolution of the Parliament last week and until a new government is formed after the general elections that are set for April 6).</w:t>
      </w:r>
      <w:r w:rsidRPr="0072183F">
        <w:rPr>
          <w:rFonts w:ascii="Garamond" w:hAnsi="Garamond"/>
          <w:sz w:val="28"/>
          <w:szCs w:val="28"/>
          <w:lang w:val="en-US"/>
        </w:rPr>
        <w:t xml:space="preserve"> However, this is not at the same level as for the ruling governments in the years 2009-2017 that reached ratios as high as 5/10 or an equal number of female and male ministers in the cabinet. We believe that the years 2018-2020 were an exception to a general upward trend towards equality. Here it is important also to point to the fact that since 2011, women have occupied the two Greenlandic seats in the Danish Parliament (the Folketing). It </w:t>
      </w:r>
      <w:proofErr w:type="gramStart"/>
      <w:r w:rsidRPr="0072183F">
        <w:rPr>
          <w:rFonts w:ascii="Garamond" w:hAnsi="Garamond"/>
          <w:sz w:val="28"/>
          <w:szCs w:val="28"/>
          <w:lang w:val="en-US"/>
        </w:rPr>
        <w:t>should also be mentioned</w:t>
      </w:r>
      <w:proofErr w:type="gramEnd"/>
      <w:r w:rsidRPr="0072183F">
        <w:rPr>
          <w:rFonts w:ascii="Garamond" w:hAnsi="Garamond"/>
          <w:sz w:val="28"/>
          <w:szCs w:val="28"/>
          <w:lang w:val="en-US"/>
        </w:rPr>
        <w:t xml:space="preserve"> that at municipal level, 3 out of 5 mayors are women.</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We have noted that the Danish Institute for Human Rights in their joint report with the Human Rights Council of Greenland writes that political participation in decision-making is not exclusively related to gender distribution</w:t>
      </w:r>
      <w:r>
        <w:rPr>
          <w:rFonts w:ascii="Garamond" w:hAnsi="Garamond"/>
          <w:sz w:val="28"/>
          <w:szCs w:val="28"/>
          <w:lang w:val="en-US"/>
        </w:rPr>
        <w:t>,</w:t>
      </w:r>
      <w:r w:rsidRPr="0072183F">
        <w:rPr>
          <w:rFonts w:ascii="Garamond" w:hAnsi="Garamond"/>
          <w:sz w:val="28"/>
          <w:szCs w:val="28"/>
          <w:lang w:val="en-US"/>
        </w:rPr>
        <w:t xml:space="preserve"> and attracts attention to the debate environment and the social practices in political decision making, describing that the “</w:t>
      </w:r>
      <w:proofErr w:type="spellStart"/>
      <w:r w:rsidRPr="0072183F">
        <w:rPr>
          <w:rFonts w:ascii="Garamond" w:hAnsi="Garamond"/>
          <w:sz w:val="28"/>
          <w:szCs w:val="28"/>
          <w:lang w:val="en-US"/>
        </w:rPr>
        <w:t>MeToo</w:t>
      </w:r>
      <w:proofErr w:type="spellEnd"/>
      <w:r w:rsidRPr="0072183F">
        <w:rPr>
          <w:rFonts w:ascii="Garamond" w:hAnsi="Garamond"/>
          <w:sz w:val="28"/>
          <w:szCs w:val="28"/>
          <w:lang w:val="en-US"/>
        </w:rPr>
        <w:t xml:space="preserve">” movement/ campaign has arrived in Greenland. In reference to the case of sexual harassment mentioned in the said report, we can inform that this case led to a criminal charge and </w:t>
      </w:r>
      <w:proofErr w:type="gramStart"/>
      <w:r w:rsidRPr="0072183F">
        <w:rPr>
          <w:rFonts w:ascii="Garamond" w:hAnsi="Garamond"/>
          <w:sz w:val="28"/>
          <w:szCs w:val="28"/>
          <w:lang w:val="en-US"/>
        </w:rPr>
        <w:t>was brought</w:t>
      </w:r>
      <w:proofErr w:type="gramEnd"/>
      <w:r w:rsidRPr="0072183F">
        <w:rPr>
          <w:rFonts w:ascii="Garamond" w:hAnsi="Garamond"/>
          <w:sz w:val="28"/>
          <w:szCs w:val="28"/>
          <w:lang w:val="en-US"/>
        </w:rPr>
        <w:t xml:space="preserve"> to court. In January of this year, the District Court made its ruling convicting the defendant on four counts of affronts to public decency and a penalty of 60 days of incarceration. </w:t>
      </w:r>
    </w:p>
    <w:p w:rsidR="006A657C" w:rsidRPr="0072183F" w:rsidRDefault="006A657C" w:rsidP="006A657C">
      <w:pPr>
        <w:rPr>
          <w:rFonts w:ascii="Garamond" w:hAnsi="Garamond"/>
          <w:sz w:val="28"/>
          <w:szCs w:val="28"/>
          <w:lang w:val="en-US"/>
        </w:rPr>
      </w:pPr>
      <w:r w:rsidRPr="0072183F">
        <w:rPr>
          <w:rFonts w:ascii="Garamond" w:hAnsi="Garamond"/>
          <w:sz w:val="28"/>
          <w:szCs w:val="28"/>
          <w:lang w:val="en-US"/>
        </w:rPr>
        <w:t xml:space="preserve">The case and the ruling of the court attracted an enormous public attention and debate, which have been conducive in heightening the awareness of abusive, degrading and discriminatory practices towards women and the importance of putting an end to behaviors and practices that violates the dignity of women. Following the </w:t>
      </w:r>
      <w:proofErr w:type="gramStart"/>
      <w:r w:rsidRPr="0072183F">
        <w:rPr>
          <w:rFonts w:ascii="Garamond" w:hAnsi="Garamond"/>
          <w:sz w:val="28"/>
          <w:szCs w:val="28"/>
          <w:lang w:val="en-US"/>
        </w:rPr>
        <w:t>conviction</w:t>
      </w:r>
      <w:proofErr w:type="gramEnd"/>
      <w:r w:rsidRPr="0072183F">
        <w:rPr>
          <w:rFonts w:ascii="Garamond" w:hAnsi="Garamond"/>
          <w:sz w:val="28"/>
          <w:szCs w:val="28"/>
          <w:lang w:val="en-US"/>
        </w:rPr>
        <w:t xml:space="preserve"> one of the largest political parties announced the development of a policy against sexual harassment. My government welcomes this announcement and hopes that this will </w:t>
      </w:r>
      <w:r w:rsidRPr="0072183F">
        <w:rPr>
          <w:rFonts w:ascii="Garamond" w:hAnsi="Garamond"/>
          <w:sz w:val="28"/>
          <w:szCs w:val="28"/>
          <w:lang w:val="en-US"/>
        </w:rPr>
        <w:lastRenderedPageBreak/>
        <w:t xml:space="preserve">inspire </w:t>
      </w:r>
      <w:proofErr w:type="gramStart"/>
      <w:r w:rsidRPr="0072183F">
        <w:rPr>
          <w:rFonts w:ascii="Garamond" w:hAnsi="Garamond"/>
          <w:sz w:val="28"/>
          <w:szCs w:val="28"/>
          <w:lang w:val="en-US"/>
        </w:rPr>
        <w:t>more political parties to revisit their gender equality policies with the aim of building a gender equal culture in politics and political decision-making</w:t>
      </w:r>
      <w:proofErr w:type="gramEnd"/>
      <w:r w:rsidRPr="0072183F">
        <w:rPr>
          <w:rFonts w:ascii="Garamond" w:hAnsi="Garamond"/>
          <w:sz w:val="28"/>
          <w:szCs w:val="28"/>
          <w:lang w:val="en-US"/>
        </w:rPr>
        <w:t xml:space="preserve">.   </w:t>
      </w:r>
    </w:p>
    <w:p w:rsidR="006A657C" w:rsidRPr="0072183F" w:rsidRDefault="006A657C" w:rsidP="006A657C">
      <w:pPr>
        <w:rPr>
          <w:rFonts w:ascii="Garamond" w:hAnsi="Garamond"/>
          <w:sz w:val="28"/>
          <w:szCs w:val="28"/>
          <w:lang w:val="en-US"/>
        </w:rPr>
      </w:pPr>
      <w:r w:rsidRPr="0072183F">
        <w:rPr>
          <w:rFonts w:ascii="Garamond" w:hAnsi="Garamond"/>
          <w:sz w:val="28"/>
          <w:szCs w:val="28"/>
          <w:lang w:val="en"/>
        </w:rPr>
        <w:t xml:space="preserve">With these remarks, we hope that we have given you an overview of the most recent developments, and indications of our challenges. We look forward to our dialogue with you where we can learn from you and discuss further with you on how we can accelerate progress to eliminate discrimination against women in Greenland. </w:t>
      </w:r>
    </w:p>
    <w:p w:rsidR="006A657C" w:rsidRPr="0072183F" w:rsidRDefault="006A657C" w:rsidP="006A657C">
      <w:pPr>
        <w:rPr>
          <w:rFonts w:ascii="Garamond" w:hAnsi="Garamond"/>
          <w:sz w:val="28"/>
          <w:szCs w:val="28"/>
        </w:rPr>
      </w:pPr>
      <w:r w:rsidRPr="0072183F">
        <w:rPr>
          <w:rFonts w:ascii="Garamond" w:hAnsi="Garamond"/>
          <w:sz w:val="28"/>
          <w:szCs w:val="28"/>
        </w:rPr>
        <w:t>Thank you</w:t>
      </w:r>
      <w:bookmarkStart w:id="0" w:name="_GoBack"/>
      <w:bookmarkEnd w:id="0"/>
      <w:permStart w:id="228593554" w:edGrp="everyone"/>
      <w:permEnd w:id="228593554"/>
    </w:p>
    <w:p w:rsidR="006A657C" w:rsidRPr="0072183F" w:rsidRDefault="006A657C" w:rsidP="006A657C">
      <w:pPr>
        <w:rPr>
          <w:rFonts w:ascii="Garamond" w:hAnsi="Garamond"/>
          <w:sz w:val="28"/>
          <w:szCs w:val="28"/>
        </w:rPr>
      </w:pPr>
    </w:p>
    <w:p w:rsidR="006A657C" w:rsidRPr="0072183F" w:rsidRDefault="006A657C" w:rsidP="006A657C">
      <w:pPr>
        <w:rPr>
          <w:rFonts w:ascii="Garamond" w:hAnsi="Garamond"/>
          <w:sz w:val="28"/>
          <w:szCs w:val="28"/>
        </w:rPr>
      </w:pPr>
    </w:p>
    <w:p w:rsidR="00FD2CF8" w:rsidRDefault="00FD2CF8"/>
    <w:sectPr w:rsidR="00FD2CF8">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RmMrC/cwTr8J7gsJF3+05NgvHC6Nyh7KdgGnLSKlebpa1x0b/bUc8mta35NTwdUbM3mXmVBEUuALMBL4tj3IcA==" w:salt="f/+FCW/PeF6VFTI+k6aZ6Q=="/>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57C"/>
    <w:rsid w:val="00320DF8"/>
    <w:rsid w:val="0060225E"/>
    <w:rsid w:val="006A657C"/>
    <w:rsid w:val="00A95938"/>
    <w:rsid w:val="00FD2CF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5EB05A-4331-402F-80B2-22AC4C23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5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3D1699-5F50-4E55-8C9C-C1E3135B6588}"/>
</file>

<file path=customXml/itemProps2.xml><?xml version="1.0" encoding="utf-8"?>
<ds:datastoreItem xmlns:ds="http://schemas.openxmlformats.org/officeDocument/2006/customXml" ds:itemID="{52D0714B-44D0-4348-B43C-19B4857ABDDC}"/>
</file>

<file path=customXml/itemProps3.xml><?xml version="1.0" encoding="utf-8"?>
<ds:datastoreItem xmlns:ds="http://schemas.openxmlformats.org/officeDocument/2006/customXml" ds:itemID="{FDF76954-AEFF-468C-9D83-80BA84FFA2F6}"/>
</file>

<file path=docProps/app.xml><?xml version="1.0" encoding="utf-8"?>
<Properties xmlns="http://schemas.openxmlformats.org/officeDocument/2006/extended-properties" xmlns:vt="http://schemas.openxmlformats.org/officeDocument/2006/docPropsVTypes">
  <Template>Normal.dotm</Template>
  <TotalTime>18</TotalTime>
  <Pages>3</Pages>
  <Words>838</Words>
  <Characters>4782</Characters>
  <Application>Microsoft Office Word</Application>
  <DocSecurity>8</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Naalakkersuisut</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Tove Søvndahl Gant</dc:creator>
  <cp:keywords/>
  <dc:description/>
  <cp:lastModifiedBy>Fleche Isabelle</cp:lastModifiedBy>
  <cp:revision>4</cp:revision>
  <dcterms:created xsi:type="dcterms:W3CDTF">2021-02-10T12:07:00Z</dcterms:created>
  <dcterms:modified xsi:type="dcterms:W3CDTF">2021-02-22T13:09:00Z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