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227A225D" w:rsidR="00D02038" w:rsidRDefault="00822C8D" w:rsidP="00822C8D">
      <w:bookmarkStart w:id="0" w:name="_GoBack"/>
      <w:bookmarkEnd w:id="0"/>
      <w:r>
        <w:rPr>
          <w:rFonts w:ascii="Arial" w:hAnsi="Arial" w:cs="Arial"/>
          <w:noProof/>
          <w:color w:val="1A0DAB"/>
          <w:sz w:val="20"/>
          <w:szCs w:val="20"/>
          <w:lang w:val="en-GB" w:eastAsia="en-GB"/>
        </w:rPr>
        <w:drawing>
          <wp:anchor distT="0" distB="0" distL="114300" distR="114300" simplePos="0" relativeHeight="251669504" behindDoc="1" locked="0" layoutInCell="1" allowOverlap="1" wp14:anchorId="0A9EAEE2" wp14:editId="5BA67E64">
            <wp:simplePos x="0" y="0"/>
            <wp:positionH relativeFrom="column">
              <wp:posOffset>1857331</wp:posOffset>
            </wp:positionH>
            <wp:positionV relativeFrom="paragraph">
              <wp:posOffset>-472966</wp:posOffset>
            </wp:positionV>
            <wp:extent cx="2535555" cy="160845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extLst>
                        <a:ext uri="{28A0092B-C50C-407E-A947-70E740481C1C}">
                          <a14:useLocalDpi xmlns:a14="http://schemas.microsoft.com/office/drawing/2010/main" val="0"/>
                        </a:ext>
                      </a:extLst>
                    </a:blip>
                    <a:stretch>
                      <a:fillRect/>
                    </a:stretch>
                  </pic:blipFill>
                  <pic:spPr>
                    <a:xfrm>
                      <a:off x="0" y="0"/>
                      <a:ext cx="2535555" cy="1608455"/>
                    </a:xfrm>
                    <a:prstGeom prst="rect">
                      <a:avLst/>
                    </a:prstGeom>
                  </pic:spPr>
                </pic:pic>
              </a:graphicData>
            </a:graphic>
            <wp14:sizeRelH relativeFrom="page">
              <wp14:pctWidth>0</wp14:pctWidth>
            </wp14:sizeRelH>
            <wp14:sizeRelV relativeFrom="page">
              <wp14:pctHeight>0</wp14:pctHeight>
            </wp14:sizeRelV>
          </wp:anchor>
        </w:drawing>
      </w:r>
    </w:p>
    <w:p w14:paraId="0A37501D" w14:textId="6F2C865E" w:rsidR="00D02038" w:rsidRDefault="00D02038" w:rsidP="00D02038">
      <w:pPr>
        <w:jc w:val="center"/>
      </w:pPr>
    </w:p>
    <w:p w14:paraId="5DAB6C7B" w14:textId="1E1D0F5F" w:rsidR="00D02038" w:rsidRDefault="00664471" w:rsidP="00D02038">
      <w:pPr>
        <w:jc w:val="center"/>
      </w:pPr>
      <w:r>
        <w:rPr>
          <w:noProof/>
          <w:lang w:val="en-GB" w:eastAsia="en-GB"/>
        </w:rPr>
        <w:drawing>
          <wp:anchor distT="0" distB="0" distL="114300" distR="114300" simplePos="0" relativeHeight="251671552" behindDoc="1" locked="0" layoutInCell="1" allowOverlap="1" wp14:anchorId="5ADD2F0A" wp14:editId="534F4ED6">
            <wp:simplePos x="0" y="0"/>
            <wp:positionH relativeFrom="column">
              <wp:posOffset>-182880</wp:posOffset>
            </wp:positionH>
            <wp:positionV relativeFrom="paragraph">
              <wp:posOffset>236505</wp:posOffset>
            </wp:positionV>
            <wp:extent cx="2531745" cy="253174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31745" cy="2531745"/>
                    </a:xfrm>
                    <a:prstGeom prst="rect">
                      <a:avLst/>
                    </a:prstGeom>
                  </pic:spPr>
                </pic:pic>
              </a:graphicData>
            </a:graphic>
            <wp14:sizeRelH relativeFrom="page">
              <wp14:pctWidth>0</wp14:pctWidth>
            </wp14:sizeRelH>
            <wp14:sizeRelV relativeFrom="page">
              <wp14:pctHeight>0</wp14:pctHeight>
            </wp14:sizeRelV>
          </wp:anchor>
        </w:drawing>
      </w:r>
    </w:p>
    <w:p w14:paraId="02EB378F" w14:textId="54F66DB6" w:rsidR="00D02038" w:rsidRDefault="00D02038" w:rsidP="00D02038">
      <w:pPr>
        <w:jc w:val="center"/>
      </w:pPr>
    </w:p>
    <w:p w14:paraId="6A05A809" w14:textId="395790BF" w:rsidR="00E5140C" w:rsidRDefault="00664471" w:rsidP="006900CA">
      <w:pPr>
        <w:jc w:val="center"/>
        <w:rPr>
          <w:b/>
          <w:sz w:val="28"/>
          <w:szCs w:val="28"/>
          <w:lang w:val="en-GB"/>
        </w:rPr>
      </w:pPr>
      <w:r>
        <w:rPr>
          <w:noProof/>
          <w:lang w:val="en-GB" w:eastAsia="en-GB"/>
        </w:rPr>
        <w:drawing>
          <wp:anchor distT="0" distB="0" distL="114300" distR="114300" simplePos="0" relativeHeight="251673600" behindDoc="1" locked="0" layoutInCell="1" allowOverlap="1" wp14:anchorId="79AC2470" wp14:editId="24905CB5">
            <wp:simplePos x="0" y="0"/>
            <wp:positionH relativeFrom="column">
              <wp:posOffset>4150995</wp:posOffset>
            </wp:positionH>
            <wp:positionV relativeFrom="paragraph">
              <wp:posOffset>43180</wp:posOffset>
            </wp:positionV>
            <wp:extent cx="2021205" cy="1586865"/>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21205" cy="158686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1672576" behindDoc="1" locked="0" layoutInCell="1" allowOverlap="1" wp14:anchorId="4D2F5507" wp14:editId="4AD9FD74">
            <wp:simplePos x="0" y="0"/>
            <wp:positionH relativeFrom="column">
              <wp:posOffset>2413000</wp:posOffset>
            </wp:positionH>
            <wp:positionV relativeFrom="paragraph">
              <wp:posOffset>38385</wp:posOffset>
            </wp:positionV>
            <wp:extent cx="1029970" cy="1457325"/>
            <wp:effectExtent l="0" t="0" r="0" b="0"/>
            <wp:wrapNone/>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11" cstate="print">
                      <a:extLst>
                        <a:ext uri="{28A0092B-C50C-407E-A947-70E740481C1C}">
                          <a14:useLocalDpi xmlns:a14="http://schemas.microsoft.com/office/drawing/2010/main" val="0"/>
                        </a:ext>
                        <a:ext uri="{96DAC541-7B7A-43D3-8B79-37D633B846F1}">
                          <asvg:svgBlip xmlns:asvg="http://schemas.microsoft.com/office/drawing/2016/SVG/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12"/>
                        </a:ext>
                      </a:extLst>
                    </a:blip>
                    <a:stretch>
                      <a:fillRect/>
                    </a:stretch>
                  </pic:blipFill>
                  <pic:spPr>
                    <a:xfrm>
                      <a:off x="0" y="0"/>
                      <a:ext cx="1029970" cy="1457325"/>
                    </a:xfrm>
                    <a:prstGeom prst="rect">
                      <a:avLst/>
                    </a:prstGeom>
                  </pic:spPr>
                </pic:pic>
              </a:graphicData>
            </a:graphic>
            <wp14:sizeRelH relativeFrom="page">
              <wp14:pctWidth>0</wp14:pctWidth>
            </wp14:sizeRelH>
            <wp14:sizeRelV relativeFrom="page">
              <wp14:pctHeight>0</wp14:pctHeight>
            </wp14:sizeRelV>
          </wp:anchor>
        </w:drawing>
      </w:r>
    </w:p>
    <w:p w14:paraId="74D4B8B8" w14:textId="19B83E7B" w:rsidR="0094321E" w:rsidRDefault="0094321E" w:rsidP="00162940">
      <w:pPr>
        <w:tabs>
          <w:tab w:val="left" w:pos="284"/>
        </w:tabs>
        <w:rPr>
          <w:b/>
          <w:sz w:val="28"/>
          <w:szCs w:val="28"/>
          <w:lang w:val="en-GB"/>
        </w:rPr>
      </w:pPr>
    </w:p>
    <w:p w14:paraId="5BD9CA36" w14:textId="656D2F2B" w:rsidR="00664471" w:rsidRDefault="00664471" w:rsidP="00664471"/>
    <w:p w14:paraId="0DD0B93B" w14:textId="7E15C67E" w:rsidR="0094321E" w:rsidRDefault="0094321E" w:rsidP="00162940">
      <w:pPr>
        <w:tabs>
          <w:tab w:val="left" w:pos="284"/>
        </w:tabs>
        <w:rPr>
          <w:b/>
          <w:sz w:val="28"/>
          <w:szCs w:val="28"/>
          <w:lang w:val="en-GB"/>
        </w:rPr>
      </w:pPr>
    </w:p>
    <w:p w14:paraId="1CA782D0" w14:textId="129CAAA3" w:rsidR="0094321E" w:rsidRDefault="0094321E" w:rsidP="00162940">
      <w:pPr>
        <w:tabs>
          <w:tab w:val="left" w:pos="284"/>
        </w:tabs>
        <w:rPr>
          <w:b/>
          <w:sz w:val="28"/>
          <w:szCs w:val="28"/>
          <w:lang w:val="en-GB"/>
        </w:rPr>
      </w:pPr>
    </w:p>
    <w:p w14:paraId="4DAFA9A6" w14:textId="77777777" w:rsidR="00664471" w:rsidRDefault="00664471" w:rsidP="00664471">
      <w:pPr>
        <w:tabs>
          <w:tab w:val="left" w:pos="284"/>
        </w:tabs>
        <w:rPr>
          <w:b/>
          <w:sz w:val="36"/>
          <w:szCs w:val="36"/>
          <w:lang w:val="en-GB"/>
        </w:rPr>
      </w:pPr>
    </w:p>
    <w:p w14:paraId="0B13822E" w14:textId="655374AB" w:rsidR="00D02038" w:rsidRPr="006900CA" w:rsidRDefault="00D02038" w:rsidP="0094321E">
      <w:pPr>
        <w:tabs>
          <w:tab w:val="left" w:pos="284"/>
        </w:tabs>
        <w:jc w:val="center"/>
        <w:rPr>
          <w:b/>
          <w:sz w:val="36"/>
          <w:szCs w:val="36"/>
          <w:lang w:val="en-GB"/>
        </w:rPr>
      </w:pPr>
      <w:r w:rsidRPr="006900CA">
        <w:rPr>
          <w:b/>
          <w:sz w:val="36"/>
          <w:szCs w:val="36"/>
          <w:lang w:val="en-GB"/>
        </w:rPr>
        <w:t>Written Contribution</w:t>
      </w:r>
      <w:r w:rsidR="00831C1E">
        <w:rPr>
          <w:b/>
          <w:sz w:val="36"/>
          <w:szCs w:val="36"/>
          <w:lang w:val="en-GB"/>
        </w:rPr>
        <w:t xml:space="preserve"> </w:t>
      </w:r>
      <w:r w:rsidR="00831C1E" w:rsidRPr="00831C1E">
        <w:rPr>
          <w:b/>
          <w:sz w:val="36"/>
          <w:szCs w:val="36"/>
          <w:lang w:val="en-GB"/>
        </w:rPr>
        <w:t xml:space="preserve">on the position of LGBTI persons </w:t>
      </w:r>
      <w:r w:rsidR="000876DF">
        <w:rPr>
          <w:b/>
          <w:sz w:val="36"/>
          <w:szCs w:val="36"/>
          <w:lang w:val="en-GB"/>
        </w:rPr>
        <w:t xml:space="preserve">in </w:t>
      </w:r>
      <w:r w:rsidRPr="006900CA">
        <w:rPr>
          <w:b/>
          <w:sz w:val="36"/>
          <w:szCs w:val="36"/>
          <w:lang w:val="en-GB"/>
        </w:rPr>
        <w:t>the</w:t>
      </w:r>
      <w:r w:rsidR="000876DF">
        <w:rPr>
          <w:b/>
          <w:sz w:val="36"/>
          <w:szCs w:val="36"/>
          <w:lang w:val="en-GB"/>
        </w:rPr>
        <w:t xml:space="preserve"> Republic of Serbia to the</w:t>
      </w:r>
    </w:p>
    <w:p w14:paraId="72A3D3EC" w14:textId="70910831" w:rsidR="003204CE" w:rsidRDefault="0094321E" w:rsidP="0094321E">
      <w:pPr>
        <w:jc w:val="center"/>
        <w:rPr>
          <w:b/>
          <w:sz w:val="36"/>
          <w:szCs w:val="36"/>
          <w:lang w:val="en-GB"/>
        </w:rPr>
      </w:pPr>
      <w:r>
        <w:rPr>
          <w:b/>
          <w:sz w:val="36"/>
          <w:szCs w:val="36"/>
          <w:lang w:val="en-GB"/>
        </w:rPr>
        <w:t>UNITED NATIONS COMMITTEE ON ECONOMIC, SOCIAL AND CULTURAL RIGHTS</w:t>
      </w:r>
    </w:p>
    <w:p w14:paraId="06F433CB" w14:textId="6173AD1D" w:rsidR="0094321E" w:rsidRDefault="0094321E" w:rsidP="00D02038">
      <w:pPr>
        <w:jc w:val="center"/>
        <w:rPr>
          <w:b/>
          <w:sz w:val="36"/>
          <w:szCs w:val="36"/>
          <w:lang w:val="en-GB"/>
        </w:rPr>
      </w:pPr>
    </w:p>
    <w:p w14:paraId="2DC51E7B" w14:textId="77777777" w:rsidR="0094321E" w:rsidRDefault="0094321E" w:rsidP="00D02038">
      <w:pPr>
        <w:jc w:val="center"/>
        <w:rPr>
          <w:b/>
          <w:sz w:val="28"/>
          <w:szCs w:val="28"/>
          <w:lang w:val="en-GB"/>
        </w:rPr>
      </w:pPr>
    </w:p>
    <w:p w14:paraId="0D0B940D" w14:textId="7171D381" w:rsidR="003204CE" w:rsidRDefault="0094321E" w:rsidP="00D02038">
      <w:pPr>
        <w:jc w:val="center"/>
        <w:rPr>
          <w:b/>
          <w:sz w:val="28"/>
          <w:szCs w:val="28"/>
          <w:u w:val="single"/>
          <w:lang w:val="en-GB"/>
        </w:rPr>
      </w:pPr>
      <w:r>
        <w:rPr>
          <w:b/>
          <w:sz w:val="28"/>
          <w:szCs w:val="28"/>
          <w:u w:val="single"/>
          <w:lang w:val="en-GB"/>
        </w:rPr>
        <w:t>CIVIL SOCIETY SUBMISSION</w:t>
      </w:r>
    </w:p>
    <w:p w14:paraId="36CBFE04" w14:textId="4ADCA68F" w:rsidR="0094321E" w:rsidRDefault="0094321E" w:rsidP="00D02038">
      <w:pPr>
        <w:jc w:val="center"/>
        <w:rPr>
          <w:b/>
          <w:sz w:val="28"/>
          <w:szCs w:val="28"/>
          <w:u w:val="single"/>
          <w:lang w:val="en-GB"/>
        </w:rPr>
      </w:pPr>
    </w:p>
    <w:p w14:paraId="29E89B69" w14:textId="77777777" w:rsidR="00E453E1" w:rsidRPr="00C622B9" w:rsidRDefault="00E453E1" w:rsidP="000876DF">
      <w:pPr>
        <w:rPr>
          <w:b/>
          <w:sz w:val="28"/>
          <w:szCs w:val="28"/>
          <w:u w:val="single"/>
          <w:lang w:val="en-GB"/>
        </w:rPr>
      </w:pPr>
    </w:p>
    <w:p w14:paraId="0E27B00A" w14:textId="77777777" w:rsidR="003204CE" w:rsidRDefault="003204CE" w:rsidP="00D02038">
      <w:pPr>
        <w:jc w:val="center"/>
        <w:rPr>
          <w:b/>
          <w:sz w:val="28"/>
          <w:szCs w:val="28"/>
          <w:lang w:val="en-GB"/>
        </w:rPr>
      </w:pPr>
    </w:p>
    <w:p w14:paraId="5092D81E" w14:textId="294B7A1A" w:rsidR="003204CE" w:rsidRPr="00A7436F" w:rsidRDefault="00443C5E" w:rsidP="00D02038">
      <w:pPr>
        <w:jc w:val="center"/>
        <w:rPr>
          <w:b/>
          <w:sz w:val="28"/>
          <w:szCs w:val="28"/>
          <w:lang w:val="en-GB"/>
        </w:rPr>
      </w:pPr>
      <w:r w:rsidRPr="00672CA4">
        <w:rPr>
          <w:b/>
          <w:sz w:val="28"/>
          <w:szCs w:val="28"/>
          <w:lang w:val="en-GB"/>
        </w:rPr>
        <w:t>January</w:t>
      </w:r>
      <w:r w:rsidR="0094544D" w:rsidRPr="00672CA4">
        <w:rPr>
          <w:b/>
          <w:sz w:val="28"/>
          <w:szCs w:val="28"/>
          <w:lang w:val="en-GB"/>
        </w:rPr>
        <w:t xml:space="preserve"> 20</w:t>
      </w:r>
      <w:r w:rsidR="00C622B9" w:rsidRPr="00672CA4">
        <w:rPr>
          <w:b/>
          <w:sz w:val="28"/>
          <w:szCs w:val="28"/>
          <w:lang w:val="en-GB"/>
        </w:rPr>
        <w:t>2</w:t>
      </w:r>
      <w:r w:rsidRPr="00672CA4">
        <w:rPr>
          <w:b/>
          <w:sz w:val="28"/>
          <w:szCs w:val="28"/>
          <w:lang w:val="en-GB"/>
        </w:rPr>
        <w:t>2</w:t>
      </w:r>
    </w:p>
    <w:p w14:paraId="1154E0BD" w14:textId="77777777" w:rsidR="00E453E1" w:rsidRDefault="00E453E1" w:rsidP="00E453E1">
      <w:pPr>
        <w:jc w:val="center"/>
        <w:rPr>
          <w:b/>
          <w:sz w:val="28"/>
          <w:szCs w:val="28"/>
          <w:lang w:val="en-GB"/>
        </w:rPr>
      </w:pPr>
    </w:p>
    <w:p w14:paraId="26003A99" w14:textId="27165811" w:rsidR="00E453E1" w:rsidRDefault="00E453E1" w:rsidP="00E453E1">
      <w:pPr>
        <w:jc w:val="center"/>
        <w:rPr>
          <w:b/>
          <w:sz w:val="28"/>
          <w:szCs w:val="28"/>
          <w:lang w:val="en-GB"/>
        </w:rPr>
      </w:pPr>
      <w:r>
        <w:rPr>
          <w:b/>
          <w:sz w:val="28"/>
          <w:szCs w:val="28"/>
          <w:lang w:val="en-GB"/>
        </w:rPr>
        <w:t>SUPPORTED BY:</w:t>
      </w:r>
    </w:p>
    <w:p w14:paraId="797ACDE0" w14:textId="1F3D4C7C" w:rsidR="00E453E1" w:rsidRDefault="00E453E1" w:rsidP="00E453E1">
      <w:pPr>
        <w:jc w:val="center"/>
        <w:rPr>
          <w:b/>
          <w:sz w:val="28"/>
          <w:szCs w:val="28"/>
          <w:lang w:val="en-GB"/>
        </w:rPr>
      </w:pPr>
      <w:r>
        <w:rPr>
          <w:b/>
          <w:noProof/>
          <w:sz w:val="28"/>
          <w:szCs w:val="28"/>
          <w:lang w:val="en-GB" w:eastAsia="en-GB"/>
        </w:rPr>
        <w:drawing>
          <wp:anchor distT="0" distB="0" distL="114300" distR="114300" simplePos="0" relativeHeight="251663360" behindDoc="0" locked="0" layoutInCell="1" allowOverlap="1" wp14:anchorId="31E225EF" wp14:editId="44F640A1">
            <wp:simplePos x="0" y="0"/>
            <wp:positionH relativeFrom="column">
              <wp:posOffset>2159000</wp:posOffset>
            </wp:positionH>
            <wp:positionV relativeFrom="paragraph">
              <wp:posOffset>3175</wp:posOffset>
            </wp:positionV>
            <wp:extent cx="1531620" cy="417830"/>
            <wp:effectExtent l="0" t="0" r="5080" b="1270"/>
            <wp:wrapSquare wrapText="bothSides"/>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rawin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531620" cy="417830"/>
                    </a:xfrm>
                    <a:prstGeom prst="rect">
                      <a:avLst/>
                    </a:prstGeom>
                  </pic:spPr>
                </pic:pic>
              </a:graphicData>
            </a:graphic>
            <wp14:sizeRelH relativeFrom="page">
              <wp14:pctWidth>0</wp14:pctWidth>
            </wp14:sizeRelH>
            <wp14:sizeRelV relativeFrom="page">
              <wp14:pctHeight>0</wp14:pctHeight>
            </wp14:sizeRelV>
          </wp:anchor>
        </w:drawing>
      </w:r>
    </w:p>
    <w:p w14:paraId="39CAF4A5" w14:textId="3A18432C" w:rsidR="000B2337" w:rsidRPr="000B2337" w:rsidRDefault="000B2337" w:rsidP="000B2337">
      <w:pPr>
        <w:rPr>
          <w:rFonts w:asciiTheme="majorHAnsi" w:eastAsiaTheme="majorEastAsia" w:hAnsiTheme="majorHAnsi" w:cstheme="majorBidi"/>
          <w:b/>
          <w:sz w:val="28"/>
          <w:szCs w:val="28"/>
        </w:rPr>
      </w:pPr>
      <w:r>
        <w:rPr>
          <w:b/>
          <w:sz w:val="28"/>
          <w:szCs w:val="28"/>
        </w:rPr>
        <w:br w:type="page"/>
      </w:r>
    </w:p>
    <w:p w14:paraId="4253D2DD" w14:textId="3708467F" w:rsidR="003204CE" w:rsidRPr="002F4D00" w:rsidRDefault="003204CE" w:rsidP="003204CE">
      <w:pPr>
        <w:pStyle w:val="Heading1"/>
        <w:rPr>
          <w:b/>
          <w:color w:val="auto"/>
          <w:sz w:val="28"/>
          <w:szCs w:val="28"/>
        </w:rPr>
      </w:pPr>
      <w:r w:rsidRPr="002F4D00">
        <w:rPr>
          <w:b/>
          <w:color w:val="auto"/>
          <w:sz w:val="28"/>
          <w:szCs w:val="28"/>
        </w:rPr>
        <w:lastRenderedPageBreak/>
        <w:t>Statement of Interest</w:t>
      </w:r>
    </w:p>
    <w:p w14:paraId="256BA35D" w14:textId="1CFD2089" w:rsidR="0087508F" w:rsidRDefault="00E636D3" w:rsidP="003204CE">
      <w:pPr>
        <w:pStyle w:val="ListParagraph"/>
        <w:numPr>
          <w:ilvl w:val="0"/>
          <w:numId w:val="2"/>
        </w:numPr>
        <w:jc w:val="both"/>
        <w:rPr>
          <w:lang w:val="en-GB"/>
        </w:rPr>
      </w:pPr>
      <w:r w:rsidRPr="0087508F">
        <w:rPr>
          <w:lang w:val="en-GB"/>
        </w:rPr>
        <w:t xml:space="preserve">ERA – LGBTI Equal Rights Association for Western Balkans and </w:t>
      </w:r>
      <w:r w:rsidR="00D73618" w:rsidRPr="0087508F">
        <w:rPr>
          <w:lang w:val="en-GB"/>
        </w:rPr>
        <w:t>Turkey</w:t>
      </w:r>
      <w:r w:rsidR="00D73618">
        <w:rPr>
          <w:lang w:val="en-GB"/>
        </w:rPr>
        <w:t xml:space="preserve"> </w:t>
      </w:r>
      <w:r w:rsidR="00D73618" w:rsidRPr="0087508F">
        <w:rPr>
          <w:lang w:val="en-GB"/>
        </w:rPr>
        <w:t>is</w:t>
      </w:r>
      <w:r w:rsidR="003204CE" w:rsidRPr="0087508F">
        <w:rPr>
          <w:lang w:val="en-GB"/>
        </w:rPr>
        <w:t xml:space="preserve"> submitting this Written Contribution to the </w:t>
      </w:r>
      <w:r w:rsidR="005A32A5">
        <w:rPr>
          <w:lang w:val="en-GB"/>
        </w:rPr>
        <w:t xml:space="preserve">United Nations Committee on Economic, Social and Cultural Rights (hereinafter: </w:t>
      </w:r>
      <w:r w:rsidR="00D5145E">
        <w:rPr>
          <w:lang w:val="en-GB"/>
        </w:rPr>
        <w:t>the Committee</w:t>
      </w:r>
      <w:r w:rsidR="005A32A5">
        <w:rPr>
          <w:lang w:val="en-GB"/>
        </w:rPr>
        <w:t>)</w:t>
      </w:r>
      <w:r w:rsidR="003204CE" w:rsidRPr="0087508F">
        <w:rPr>
          <w:lang w:val="en-GB"/>
        </w:rPr>
        <w:t>, which focuses on the</w:t>
      </w:r>
      <w:r w:rsidR="00DD0BBE">
        <w:rPr>
          <w:lang w:val="en-GB"/>
        </w:rPr>
        <w:t xml:space="preserve"> </w:t>
      </w:r>
      <w:r w:rsidR="003204CE" w:rsidRPr="0087508F">
        <w:rPr>
          <w:lang w:val="en-GB"/>
        </w:rPr>
        <w:t xml:space="preserve">position of </w:t>
      </w:r>
      <w:r w:rsidR="00BB19E3">
        <w:rPr>
          <w:lang w:val="en-GB"/>
        </w:rPr>
        <w:t>lesbian, gay, bisexual, trans and intersex (hereinafter: LGBTI)</w:t>
      </w:r>
      <w:r w:rsidR="003204CE" w:rsidRPr="0087508F">
        <w:rPr>
          <w:lang w:val="en-GB"/>
        </w:rPr>
        <w:t xml:space="preserve"> persons in the country. </w:t>
      </w:r>
      <w:r w:rsidR="00DD0BBE">
        <w:rPr>
          <w:lang w:val="en-GB"/>
        </w:rPr>
        <w:t>The report was assembled by ERA</w:t>
      </w:r>
      <w:r w:rsidR="00DD0BBE">
        <w:t xml:space="preserve">’s Advocacy Consultant </w:t>
      </w:r>
      <w:proofErr w:type="spellStart"/>
      <w:r w:rsidR="00DD0BBE">
        <w:t>Vuk</w:t>
      </w:r>
      <w:proofErr w:type="spellEnd"/>
      <w:r w:rsidR="00DD0BBE">
        <w:t xml:space="preserve"> Rai</w:t>
      </w:r>
      <w:r w:rsidR="00DD0BBE">
        <w:rPr>
          <w:lang w:val="sr-Latn-RS"/>
        </w:rPr>
        <w:t>čević.</w:t>
      </w:r>
    </w:p>
    <w:p w14:paraId="44E928A5" w14:textId="0DD54DD4" w:rsidR="003B4946" w:rsidRDefault="00E636D3" w:rsidP="003B4946">
      <w:pPr>
        <w:pStyle w:val="ListParagraph"/>
        <w:numPr>
          <w:ilvl w:val="0"/>
          <w:numId w:val="2"/>
        </w:numPr>
        <w:jc w:val="both"/>
        <w:rPr>
          <w:lang w:val="en-GB"/>
        </w:rPr>
      </w:pPr>
      <w:r w:rsidRPr="0087508F">
        <w:rPr>
          <w:u w:val="single"/>
          <w:lang w:val="en-GB"/>
        </w:rPr>
        <w:t>ERA – LGBTI Equal Rights Association for Western Balkans and Turkey</w:t>
      </w:r>
      <w:r w:rsidRPr="003204CE">
        <w:rPr>
          <w:vertAlign w:val="superscript"/>
          <w:lang w:val="en-GB"/>
        </w:rPr>
        <w:footnoteReference w:id="1"/>
      </w:r>
      <w:r w:rsidRPr="0087508F">
        <w:rPr>
          <w:lang w:val="en-GB"/>
        </w:rPr>
        <w:t xml:space="preserve">, is an umbrella regional association operating in 9 countries (Albania, Bosnia &amp; Herzegovina, Croatia, </w:t>
      </w:r>
      <w:proofErr w:type="spellStart"/>
      <w:r w:rsidR="00443C5E">
        <w:rPr>
          <w:lang w:val="en-GB"/>
        </w:rPr>
        <w:t>N.</w:t>
      </w:r>
      <w:r w:rsidRPr="0087508F">
        <w:rPr>
          <w:lang w:val="en-GB"/>
        </w:rPr>
        <w:t>Macedonia</w:t>
      </w:r>
      <w:proofErr w:type="spellEnd"/>
      <w:r w:rsidRPr="0087508F">
        <w:rPr>
          <w:lang w:val="en-GB"/>
        </w:rPr>
        <w:t>, Kosovo, Montenegro, Serbia, Slovenia and Turkey) with a current member</w:t>
      </w:r>
      <w:r w:rsidR="00F669C3">
        <w:rPr>
          <w:lang w:val="en-GB"/>
        </w:rPr>
        <w:t xml:space="preserve">ship of </w:t>
      </w:r>
      <w:r w:rsidR="005A32A5">
        <w:rPr>
          <w:lang w:val="en-GB"/>
        </w:rPr>
        <w:t>7</w:t>
      </w:r>
      <w:r w:rsidR="00443C5E">
        <w:rPr>
          <w:lang w:val="en-GB"/>
        </w:rPr>
        <w:t>6</w:t>
      </w:r>
      <w:r w:rsidR="00F669C3">
        <w:rPr>
          <w:lang w:val="en-GB"/>
        </w:rPr>
        <w:t xml:space="preserve"> </w:t>
      </w:r>
      <w:r w:rsidR="00BB19E3">
        <w:rPr>
          <w:lang w:val="en-GB"/>
        </w:rPr>
        <w:t xml:space="preserve">LGBTI </w:t>
      </w:r>
      <w:r w:rsidR="00F669C3">
        <w:rPr>
          <w:lang w:val="en-GB"/>
        </w:rPr>
        <w:t xml:space="preserve">organisations and </w:t>
      </w:r>
      <w:r w:rsidR="0038680D">
        <w:rPr>
          <w:lang w:val="en-GB"/>
        </w:rPr>
        <w:t xml:space="preserve">objectives to </w:t>
      </w:r>
      <w:r w:rsidRPr="0087508F">
        <w:rPr>
          <w:lang w:val="en-GB"/>
        </w:rPr>
        <w:t xml:space="preserve">strengthen capacities of LGBTI organisations in the region, lobby and advocate nationally, regionally and internationally for LGBTI rights </w:t>
      </w:r>
      <w:r w:rsidR="0038680D">
        <w:rPr>
          <w:lang w:val="en-GB"/>
        </w:rPr>
        <w:t>and</w:t>
      </w:r>
      <w:r w:rsidRPr="0087508F">
        <w:rPr>
          <w:lang w:val="en-GB"/>
        </w:rPr>
        <w:t xml:space="preserve"> strengthen and improve the visibility of LGBTI movement and communities.</w:t>
      </w:r>
    </w:p>
    <w:p w14:paraId="611DE3F5" w14:textId="6D3EFBAB" w:rsidR="000876DF" w:rsidRPr="002F4D00" w:rsidRDefault="000876DF" w:rsidP="000876DF">
      <w:pPr>
        <w:pStyle w:val="Heading1"/>
        <w:rPr>
          <w:b/>
          <w:bCs/>
          <w:color w:val="000000" w:themeColor="text1"/>
          <w:sz w:val="28"/>
          <w:szCs w:val="28"/>
          <w:lang w:val="en-GB"/>
        </w:rPr>
      </w:pPr>
      <w:r w:rsidRPr="002F4D00">
        <w:rPr>
          <w:b/>
          <w:bCs/>
          <w:color w:val="000000" w:themeColor="text1"/>
          <w:sz w:val="28"/>
          <w:szCs w:val="28"/>
          <w:lang w:val="en-GB"/>
        </w:rPr>
        <w:t>Introduction</w:t>
      </w:r>
    </w:p>
    <w:p w14:paraId="56FB3F69" w14:textId="2822EFFA" w:rsidR="000876DF" w:rsidRPr="000876DF" w:rsidRDefault="000876DF" w:rsidP="000876DF">
      <w:pPr>
        <w:pStyle w:val="ListParagraph"/>
        <w:numPr>
          <w:ilvl w:val="0"/>
          <w:numId w:val="2"/>
        </w:numPr>
        <w:tabs>
          <w:tab w:val="left" w:pos="284"/>
        </w:tabs>
        <w:jc w:val="both"/>
        <w:rPr>
          <w:b/>
          <w:sz w:val="36"/>
          <w:szCs w:val="36"/>
          <w:lang w:val="en-GB"/>
        </w:rPr>
      </w:pPr>
      <w:r w:rsidRPr="000876DF">
        <w:rPr>
          <w:rFonts w:cstheme="minorHAnsi"/>
        </w:rPr>
        <w:t xml:space="preserve">This report will primarily focus on the analysis of the issues affecting LGBTI persons highlighted within the </w:t>
      </w:r>
      <w:r w:rsidRPr="000876DF">
        <w:rPr>
          <w:rFonts w:cs="Calibri"/>
        </w:rPr>
        <w:t>Concluding observations on the Second periodic report of Serbia</w:t>
      </w:r>
      <w:r w:rsidR="008834F3">
        <w:rPr>
          <w:rStyle w:val="FootnoteReference"/>
          <w:rFonts w:cs="Calibri"/>
        </w:rPr>
        <w:footnoteReference w:id="2"/>
      </w:r>
      <w:r w:rsidRPr="000876DF">
        <w:rPr>
          <w:rFonts w:cs="Calibri"/>
        </w:rPr>
        <w:t xml:space="preserve"> of the</w:t>
      </w:r>
      <w:r w:rsidR="00186041">
        <w:rPr>
          <w:rFonts w:cs="Calibri"/>
        </w:rPr>
        <w:t xml:space="preserve"> United Nations</w:t>
      </w:r>
      <w:r w:rsidRPr="000876DF">
        <w:rPr>
          <w:rFonts w:cs="Calibri"/>
        </w:rPr>
        <w:t xml:space="preserve"> Committee</w:t>
      </w:r>
      <w:r w:rsidR="00186041">
        <w:rPr>
          <w:rFonts w:cs="Calibri"/>
        </w:rPr>
        <w:t xml:space="preserve"> on Economic, Social and Cultural Rights (hereinafter: the Committee)</w:t>
      </w:r>
      <w:r w:rsidRPr="000876DF">
        <w:rPr>
          <w:rFonts w:cs="Calibri"/>
        </w:rPr>
        <w:t>, the Third Periodic Report of the Republic of Serbia and the List of issues</w:t>
      </w:r>
      <w:r>
        <w:rPr>
          <w:rFonts w:cs="Calibri"/>
        </w:rPr>
        <w:t xml:space="preserve"> provided by the Committee</w:t>
      </w:r>
      <w:r w:rsidRPr="000876DF">
        <w:rPr>
          <w:rFonts w:cs="Calibri"/>
        </w:rPr>
        <w:t xml:space="preserve"> </w:t>
      </w:r>
      <w:r w:rsidRPr="000876DF">
        <w:rPr>
          <w:rFonts w:cstheme="minorHAnsi"/>
        </w:rPr>
        <w:t xml:space="preserve">in relation to the Third Periodic Report of Serbia. However, as the very first specific </w:t>
      </w:r>
      <w:r w:rsidRPr="000876DF">
        <w:rPr>
          <w:bCs/>
          <w:lang w:val="en-GB"/>
        </w:rPr>
        <w:t xml:space="preserve">written contribution on the position of LGBTI persons in Serbia to be submitted to the Committee, the report will also present relevant data portraying the socio-economic and cultural rights of LGBTI persons in Serbia, with special focus on </w:t>
      </w:r>
      <w:proofErr w:type="gramStart"/>
      <w:r w:rsidRPr="000876DF">
        <w:rPr>
          <w:bCs/>
          <w:lang w:val="en-GB"/>
        </w:rPr>
        <w:t>trans</w:t>
      </w:r>
      <w:proofErr w:type="gramEnd"/>
      <w:r w:rsidRPr="000876DF">
        <w:rPr>
          <w:bCs/>
          <w:lang w:val="en-GB"/>
        </w:rPr>
        <w:t xml:space="preserve"> and intersex persons. Given in mind the </w:t>
      </w:r>
      <w:r w:rsidR="00443C5E">
        <w:rPr>
          <w:bCs/>
          <w:lang w:val="en-GB"/>
        </w:rPr>
        <w:t xml:space="preserve">COVID-19 </w:t>
      </w:r>
      <w:r w:rsidRPr="000876DF">
        <w:rPr>
          <w:bCs/>
          <w:lang w:val="en-GB"/>
        </w:rPr>
        <w:t xml:space="preserve">pandemic, the report will also present data regarding the impact of the COVID-19 on the LGBTI communities of Serbia. </w:t>
      </w:r>
    </w:p>
    <w:p w14:paraId="48D86839" w14:textId="5B749D90" w:rsidR="00E03D24" w:rsidRPr="002F4D00" w:rsidRDefault="00E03D24" w:rsidP="00E03D24">
      <w:pPr>
        <w:pStyle w:val="Heading1"/>
        <w:rPr>
          <w:b/>
          <w:color w:val="auto"/>
          <w:sz w:val="28"/>
          <w:szCs w:val="28"/>
          <w:lang w:val="en-GB"/>
        </w:rPr>
      </w:pPr>
      <w:r w:rsidRPr="002F4D00">
        <w:rPr>
          <w:b/>
          <w:color w:val="auto"/>
          <w:sz w:val="28"/>
          <w:szCs w:val="28"/>
          <w:lang w:val="en-GB"/>
        </w:rPr>
        <w:t>Legal and Policy Framework</w:t>
      </w:r>
    </w:p>
    <w:p w14:paraId="7F57D646" w14:textId="67C434F6" w:rsidR="00E453E1" w:rsidRPr="00E453E1" w:rsidRDefault="00330A0F" w:rsidP="00E453E1">
      <w:pPr>
        <w:pStyle w:val="Heading2"/>
        <w:rPr>
          <w:color w:val="auto"/>
          <w:sz w:val="24"/>
          <w:szCs w:val="24"/>
          <w:u w:val="single"/>
        </w:rPr>
      </w:pPr>
      <w:r w:rsidRPr="0013193D">
        <w:rPr>
          <w:color w:val="auto"/>
          <w:sz w:val="24"/>
          <w:szCs w:val="24"/>
          <w:u w:val="single"/>
        </w:rPr>
        <w:t xml:space="preserve">Constitution of </w:t>
      </w:r>
      <w:r w:rsidR="00A43917">
        <w:rPr>
          <w:color w:val="auto"/>
          <w:sz w:val="24"/>
          <w:szCs w:val="24"/>
          <w:u w:val="single"/>
        </w:rPr>
        <w:t>Serbia</w:t>
      </w:r>
    </w:p>
    <w:p w14:paraId="1259BCC1" w14:textId="16952B78" w:rsidR="006E3F04" w:rsidRDefault="006E3F04" w:rsidP="000876DF">
      <w:pPr>
        <w:pStyle w:val="ListParagraph"/>
        <w:numPr>
          <w:ilvl w:val="0"/>
          <w:numId w:val="2"/>
        </w:numPr>
        <w:jc w:val="both"/>
      </w:pPr>
      <w:r w:rsidRPr="006E3F04">
        <w:t xml:space="preserve">Equality before the law based on different personal grounds is enshrined in Article </w:t>
      </w:r>
      <w:r w:rsidR="00A43917">
        <w:t>21</w:t>
      </w:r>
      <w:r w:rsidRPr="006E3F04">
        <w:t xml:space="preserve"> of the Constitution of the Republic of </w:t>
      </w:r>
      <w:r w:rsidR="00A43917">
        <w:t>Serbia</w:t>
      </w:r>
      <w:r>
        <w:rPr>
          <w:rStyle w:val="FootnoteReference"/>
        </w:rPr>
        <w:footnoteReference w:id="3"/>
      </w:r>
      <w:r w:rsidR="005A32A5">
        <w:t xml:space="preserve"> (hereinafter: the Constitution)</w:t>
      </w:r>
      <w:r w:rsidRPr="006E3F04">
        <w:t xml:space="preserve">. </w:t>
      </w:r>
      <w:r>
        <w:t>Sexual orientation, gender identity</w:t>
      </w:r>
      <w:r w:rsidR="001A3862">
        <w:t xml:space="preserve"> and expression</w:t>
      </w:r>
      <w:r>
        <w:t xml:space="preserve"> and sex characteristics </w:t>
      </w:r>
      <w:r w:rsidR="00CF0BE3">
        <w:t xml:space="preserve">(hereinafter: SOGIESC) </w:t>
      </w:r>
      <w:r>
        <w:t>are</w:t>
      </w:r>
      <w:r w:rsidRPr="006E3F04">
        <w:t xml:space="preserve"> not explicitly mentioned, however the article contains a phrase “</w:t>
      </w:r>
      <w:r w:rsidRPr="00844581">
        <w:rPr>
          <w:i/>
          <w:iCs/>
        </w:rPr>
        <w:t>or other personal grounds</w:t>
      </w:r>
      <w:r w:rsidRPr="006E3F04">
        <w:t xml:space="preserve">” which </w:t>
      </w:r>
      <w:r w:rsidR="007A212B">
        <w:t>keeps an open list of</w:t>
      </w:r>
      <w:r w:rsidRPr="006E3F04">
        <w:t xml:space="preserve"> </w:t>
      </w:r>
      <w:r>
        <w:t>different personal grounds</w:t>
      </w:r>
      <w:r w:rsidRPr="006E3F04">
        <w:t>.</w:t>
      </w:r>
      <w:r w:rsidR="00544A3F">
        <w:rPr>
          <w:rStyle w:val="FootnoteReference"/>
        </w:rPr>
        <w:footnoteReference w:id="4"/>
      </w:r>
    </w:p>
    <w:p w14:paraId="7DD722DB" w14:textId="77777777" w:rsidR="00544A3F" w:rsidRDefault="00544A3F" w:rsidP="00544A3F">
      <w:pPr>
        <w:pStyle w:val="ListParagraph"/>
        <w:numPr>
          <w:ilvl w:val="0"/>
          <w:numId w:val="2"/>
        </w:numPr>
        <w:jc w:val="both"/>
      </w:pPr>
      <w:r>
        <w:t xml:space="preserve">The Constitution also guarantees the right to work (Article 60), the right to </w:t>
      </w:r>
      <w:r w:rsidR="005A32A5">
        <w:t xml:space="preserve">health protection, both physical and mental </w:t>
      </w:r>
      <w:r>
        <w:t>(</w:t>
      </w:r>
      <w:r w:rsidR="005A32A5">
        <w:t>Article 68</w:t>
      </w:r>
      <w:r>
        <w:t xml:space="preserve">), the right to </w:t>
      </w:r>
      <w:r w:rsidRPr="005A32A5">
        <w:t>social protection</w:t>
      </w:r>
      <w:r>
        <w:t xml:space="preserve"> and </w:t>
      </w:r>
      <w:r w:rsidRPr="005A32A5">
        <w:t>social assistance in order to overcome social and life difficulties and create conditions for meeting basic living needs</w:t>
      </w:r>
      <w:r>
        <w:t xml:space="preserve"> (Article 69) and the right to education (Article 71). </w:t>
      </w:r>
    </w:p>
    <w:p w14:paraId="774A0543" w14:textId="640DBB4B" w:rsidR="00443C5E" w:rsidRDefault="00443C5E" w:rsidP="00544A3F">
      <w:pPr>
        <w:pStyle w:val="ListParagraph"/>
        <w:numPr>
          <w:ilvl w:val="0"/>
          <w:numId w:val="2"/>
        </w:numPr>
        <w:jc w:val="both"/>
      </w:pPr>
      <w:r>
        <w:lastRenderedPageBreak/>
        <w:t>According to the Law on Prohibition of Discrimination (Official Gazette of Serbia Np. 52/2021), sexual orientation, gender identity and sex characteristics are listed as protected grounds of discrimination.</w:t>
      </w:r>
      <w:r>
        <w:rPr>
          <w:rStyle w:val="FootnoteReference"/>
        </w:rPr>
        <w:footnoteReference w:id="5"/>
      </w:r>
      <w:r>
        <w:t xml:space="preserve"> </w:t>
      </w:r>
    </w:p>
    <w:p w14:paraId="6380B8D4" w14:textId="4A866FBE" w:rsidR="00C51A87" w:rsidRDefault="005A32A5" w:rsidP="000876DF">
      <w:pPr>
        <w:pStyle w:val="ListParagraph"/>
        <w:numPr>
          <w:ilvl w:val="0"/>
          <w:numId w:val="2"/>
        </w:numPr>
        <w:jc w:val="both"/>
      </w:pPr>
      <w:r>
        <w:t xml:space="preserve">Same-sex partnerships and same-sex families are not legally recognized in the Republic of Serbia. </w:t>
      </w:r>
    </w:p>
    <w:p w14:paraId="0108B440" w14:textId="77777777" w:rsidR="00BA7D32" w:rsidRPr="007C32D7" w:rsidRDefault="006E3F04" w:rsidP="007C32D7">
      <w:pPr>
        <w:pStyle w:val="Heading2"/>
        <w:rPr>
          <w:color w:val="000000" w:themeColor="text1"/>
          <w:sz w:val="24"/>
          <w:szCs w:val="24"/>
          <w:u w:val="single"/>
        </w:rPr>
      </w:pPr>
      <w:r w:rsidRPr="007C32D7">
        <w:rPr>
          <w:color w:val="000000" w:themeColor="text1"/>
          <w:sz w:val="24"/>
          <w:szCs w:val="24"/>
          <w:u w:val="single"/>
          <w:lang w:val="en-GB"/>
        </w:rPr>
        <w:t>Antidiscrimination legislation</w:t>
      </w:r>
    </w:p>
    <w:p w14:paraId="3BA64BD0" w14:textId="4A471359" w:rsidR="009C30C7" w:rsidRPr="00544A3F" w:rsidRDefault="007A212B" w:rsidP="000876DF">
      <w:pPr>
        <w:pStyle w:val="ListParagraph"/>
        <w:numPr>
          <w:ilvl w:val="0"/>
          <w:numId w:val="2"/>
        </w:numPr>
        <w:spacing w:after="0"/>
        <w:jc w:val="both"/>
      </w:pPr>
      <w:r>
        <w:rPr>
          <w:rFonts w:eastAsiaTheme="majorEastAsia" w:cstheme="minorHAnsi"/>
          <w:lang w:val="en-GB"/>
        </w:rPr>
        <w:t>T</w:t>
      </w:r>
      <w:r w:rsidR="00643552" w:rsidRPr="00643552">
        <w:rPr>
          <w:rFonts w:eastAsiaTheme="majorEastAsia" w:cstheme="minorHAnsi"/>
          <w:lang w:val="en-GB"/>
        </w:rPr>
        <w:t>he 200</w:t>
      </w:r>
      <w:r w:rsidR="009C30C7">
        <w:rPr>
          <w:rFonts w:eastAsiaTheme="majorEastAsia" w:cstheme="minorHAnsi"/>
          <w:lang w:val="en-GB"/>
        </w:rPr>
        <w:t>9</w:t>
      </w:r>
      <w:r w:rsidR="00643552" w:rsidRPr="00643552">
        <w:rPr>
          <w:rFonts w:eastAsiaTheme="majorEastAsia" w:cstheme="minorHAnsi"/>
          <w:lang w:val="en-GB"/>
        </w:rPr>
        <w:t xml:space="preserve"> Anti-Discrimination Law</w:t>
      </w:r>
      <w:r>
        <w:rPr>
          <w:rStyle w:val="FootnoteReference"/>
          <w:rFonts w:eastAsiaTheme="majorEastAsia" w:cstheme="minorHAnsi"/>
          <w:lang w:val="en-GB"/>
        </w:rPr>
        <w:footnoteReference w:id="6"/>
      </w:r>
      <w:r w:rsidR="00643552" w:rsidRPr="00643552">
        <w:rPr>
          <w:rFonts w:eastAsiaTheme="majorEastAsia" w:cstheme="minorHAnsi"/>
          <w:lang w:val="en-GB"/>
        </w:rPr>
        <w:t xml:space="preserve"> </w:t>
      </w:r>
      <w:r w:rsidR="00CF0BE3">
        <w:rPr>
          <w:rFonts w:eastAsiaTheme="majorEastAsia" w:cstheme="minorHAnsi"/>
          <w:lang w:val="en-GB"/>
        </w:rPr>
        <w:t xml:space="preserve">is the first law of its kind in the Republic of Serbia. The law </w:t>
      </w:r>
      <w:r w:rsidR="00643552" w:rsidRPr="00643552">
        <w:rPr>
          <w:rFonts w:eastAsiaTheme="majorEastAsia" w:cstheme="minorHAnsi"/>
          <w:lang w:val="en-GB"/>
        </w:rPr>
        <w:t>includes sexual orientation</w:t>
      </w:r>
      <w:r w:rsidR="009C30C7">
        <w:rPr>
          <w:rFonts w:eastAsiaTheme="majorEastAsia" w:cstheme="minorHAnsi"/>
          <w:lang w:val="en-GB"/>
        </w:rPr>
        <w:t xml:space="preserve"> and</w:t>
      </w:r>
      <w:r w:rsidR="00643552" w:rsidRPr="00643552">
        <w:rPr>
          <w:rFonts w:eastAsiaTheme="majorEastAsia" w:cstheme="minorHAnsi"/>
          <w:lang w:val="en-GB"/>
        </w:rPr>
        <w:t xml:space="preserve"> gender identity on the list of protected </w:t>
      </w:r>
      <w:r w:rsidR="00CF0BE3">
        <w:rPr>
          <w:rFonts w:eastAsiaTheme="majorEastAsia" w:cstheme="minorHAnsi"/>
          <w:lang w:val="en-GB"/>
        </w:rPr>
        <w:t xml:space="preserve">personal </w:t>
      </w:r>
      <w:r w:rsidR="00985C4A">
        <w:rPr>
          <w:rFonts w:eastAsiaTheme="majorEastAsia" w:cstheme="minorHAnsi"/>
          <w:lang w:val="en-GB"/>
        </w:rPr>
        <w:t>grounds</w:t>
      </w:r>
      <w:r w:rsidR="00643552" w:rsidRPr="00643552">
        <w:rPr>
          <w:rFonts w:eastAsiaTheme="majorEastAsia" w:cstheme="minorHAnsi"/>
          <w:lang w:val="en-GB"/>
        </w:rPr>
        <w:t xml:space="preserve"> against discrimination.</w:t>
      </w:r>
      <w:r w:rsidR="009C30C7">
        <w:rPr>
          <w:rFonts w:eastAsiaTheme="majorEastAsia" w:cstheme="minorHAnsi"/>
          <w:lang w:val="en-GB"/>
        </w:rPr>
        <w:t xml:space="preserve"> Gender expression and sex characteristics are not yet included as personal grounds.</w:t>
      </w:r>
      <w:bookmarkStart w:id="2" w:name="_Toc51018606"/>
      <w:r w:rsidR="005A32A5">
        <w:rPr>
          <w:rFonts w:eastAsiaTheme="majorEastAsia" w:cstheme="minorHAnsi"/>
          <w:lang w:val="en-GB"/>
        </w:rPr>
        <w:t xml:space="preserve"> </w:t>
      </w:r>
    </w:p>
    <w:p w14:paraId="23BE2A81" w14:textId="0E597260" w:rsidR="00443C5E" w:rsidRPr="00337992" w:rsidRDefault="00443C5E" w:rsidP="000876DF">
      <w:pPr>
        <w:pStyle w:val="ListParagraph"/>
        <w:numPr>
          <w:ilvl w:val="0"/>
          <w:numId w:val="2"/>
        </w:numPr>
        <w:spacing w:after="0"/>
        <w:jc w:val="both"/>
      </w:pPr>
      <w:r>
        <w:rPr>
          <w:rFonts w:eastAsiaTheme="majorEastAsia" w:cstheme="minorHAnsi"/>
          <w:lang w:val="en-GB"/>
        </w:rPr>
        <w:t>In 2021 list of amendments have been adopted that, among other issues, includes sex characteristics as protected ground of discrimination. With that, this became the first Serbian legislation</w:t>
      </w:r>
      <w:r w:rsidR="00544A3F">
        <w:rPr>
          <w:rFonts w:eastAsiaTheme="majorEastAsia" w:cstheme="minorHAnsi"/>
          <w:lang w:val="en-GB"/>
        </w:rPr>
        <w:t xml:space="preserve"> that recognises intersex people</w:t>
      </w:r>
      <w:r>
        <w:rPr>
          <w:rFonts w:eastAsiaTheme="majorEastAsia" w:cstheme="minorHAnsi"/>
          <w:lang w:val="en-GB"/>
        </w:rPr>
        <w:t xml:space="preserve">. </w:t>
      </w:r>
    </w:p>
    <w:p w14:paraId="48E748B7" w14:textId="4ED2A5BA" w:rsidR="00337992" w:rsidRPr="00CF0BE3" w:rsidRDefault="00337992" w:rsidP="000876DF">
      <w:pPr>
        <w:pStyle w:val="ListParagraph"/>
        <w:numPr>
          <w:ilvl w:val="0"/>
          <w:numId w:val="2"/>
        </w:numPr>
        <w:spacing w:after="0"/>
        <w:jc w:val="both"/>
      </w:pPr>
      <w:r>
        <w:rPr>
          <w:rFonts w:eastAsiaTheme="majorEastAsia" w:cstheme="minorHAnsi"/>
          <w:lang w:val="en-GB"/>
        </w:rPr>
        <w:t xml:space="preserve">The </w:t>
      </w:r>
      <w:r w:rsidR="00443C5E">
        <w:rPr>
          <w:rFonts w:eastAsiaTheme="majorEastAsia" w:cstheme="minorHAnsi"/>
          <w:lang w:val="en-GB"/>
        </w:rPr>
        <w:t xml:space="preserve">2021 </w:t>
      </w:r>
      <w:r>
        <w:rPr>
          <w:rFonts w:eastAsiaTheme="majorEastAsia" w:cstheme="minorHAnsi"/>
          <w:lang w:val="en-GB"/>
        </w:rPr>
        <w:t>Anti-Discrimination Law prohibits discrimination in the field of labour (Article 16)</w:t>
      </w:r>
      <w:r w:rsidR="00443C5E">
        <w:rPr>
          <w:rFonts w:eastAsiaTheme="majorEastAsia" w:cstheme="minorHAnsi"/>
          <w:lang w:val="en-GB"/>
        </w:rPr>
        <w:t>, in access to public services (Article 17),</w:t>
      </w:r>
      <w:r>
        <w:rPr>
          <w:rFonts w:eastAsiaTheme="majorEastAsia" w:cstheme="minorHAnsi"/>
          <w:lang w:val="en-GB"/>
        </w:rPr>
        <w:t xml:space="preserve"> and education (Article 19). </w:t>
      </w:r>
      <w:r w:rsidR="00443C5E">
        <w:rPr>
          <w:rFonts w:eastAsiaTheme="majorEastAsia" w:cstheme="minorHAnsi"/>
          <w:lang w:val="en-GB"/>
        </w:rPr>
        <w:t xml:space="preserve">The law includes explicit provisions for prohibition of discrimination on the ground of sex, gender, gender identity (Article 20) and sexual orientation (Article 21). </w:t>
      </w:r>
      <w:r>
        <w:rPr>
          <w:rFonts w:eastAsiaTheme="majorEastAsia" w:cstheme="minorHAnsi"/>
          <w:lang w:val="en-GB"/>
        </w:rPr>
        <w:t>Article 27 stipulates that d</w:t>
      </w:r>
      <w:r w:rsidRPr="00337992">
        <w:rPr>
          <w:rFonts w:eastAsiaTheme="majorEastAsia" w:cstheme="minorHAnsi"/>
          <w:lang w:val="en-GB"/>
        </w:rPr>
        <w:t>iscrimination against persons or groups of persons with regard to their health condition, as well as members of their families, is prohibited.</w:t>
      </w:r>
    </w:p>
    <w:p w14:paraId="20C235FD" w14:textId="4F7D1EB4" w:rsidR="00CF0BE3" w:rsidRPr="00CF0BE3" w:rsidRDefault="00CF0BE3" w:rsidP="000876DF">
      <w:pPr>
        <w:pStyle w:val="rtejustify"/>
        <w:numPr>
          <w:ilvl w:val="0"/>
          <w:numId w:val="2"/>
        </w:numPr>
        <w:spacing w:before="0" w:beforeAutospacing="0" w:after="0" w:afterAutospacing="0"/>
        <w:ind w:left="714" w:hanging="357"/>
        <w:jc w:val="both"/>
        <w:rPr>
          <w:rFonts w:asciiTheme="minorHAnsi" w:hAnsiTheme="minorHAnsi" w:cstheme="minorHAnsi"/>
          <w:color w:val="222222"/>
          <w:sz w:val="22"/>
          <w:szCs w:val="22"/>
        </w:rPr>
      </w:pPr>
      <w:r w:rsidRPr="00CF0BE3">
        <w:rPr>
          <w:rFonts w:asciiTheme="minorHAnsi" w:eastAsiaTheme="majorEastAsia" w:hAnsiTheme="minorHAnsi" w:cstheme="minorHAnsi"/>
          <w:sz w:val="22"/>
          <w:szCs w:val="22"/>
          <w:lang w:val="en-GB"/>
        </w:rPr>
        <w:t xml:space="preserve">Other anti-discrimination </w:t>
      </w:r>
      <w:r w:rsidR="00880E66">
        <w:rPr>
          <w:rFonts w:asciiTheme="minorHAnsi" w:eastAsiaTheme="majorEastAsia" w:hAnsiTheme="minorHAnsi" w:cstheme="minorHAnsi"/>
          <w:sz w:val="22"/>
          <w:szCs w:val="22"/>
          <w:lang w:val="en-GB"/>
        </w:rPr>
        <w:t>provisions</w:t>
      </w:r>
      <w:r w:rsidRPr="00CF0BE3">
        <w:rPr>
          <w:rFonts w:asciiTheme="minorHAnsi" w:eastAsiaTheme="majorEastAsia" w:hAnsiTheme="minorHAnsi" w:cstheme="minorHAnsi"/>
          <w:sz w:val="22"/>
          <w:szCs w:val="22"/>
          <w:lang w:val="en-GB"/>
        </w:rPr>
        <w:t xml:space="preserve"> that prohibit discrimination based on gender, gender </w:t>
      </w:r>
      <w:r>
        <w:rPr>
          <w:rFonts w:asciiTheme="minorHAnsi" w:eastAsiaTheme="majorEastAsia" w:hAnsiTheme="minorHAnsi" w:cstheme="minorHAnsi"/>
          <w:sz w:val="22"/>
          <w:szCs w:val="22"/>
          <w:lang w:val="en-GB"/>
        </w:rPr>
        <w:t>identity</w:t>
      </w:r>
      <w:r w:rsidRPr="00CF0BE3">
        <w:rPr>
          <w:rFonts w:asciiTheme="minorHAnsi" w:eastAsiaTheme="majorEastAsia" w:hAnsiTheme="minorHAnsi" w:cstheme="minorHAnsi"/>
          <w:sz w:val="22"/>
          <w:szCs w:val="22"/>
          <w:lang w:val="en-GB"/>
        </w:rPr>
        <w:t xml:space="preserve">, and/or sexual orientation have been included in various pieces of legislation, including the </w:t>
      </w:r>
      <w:r w:rsidR="00767E6F">
        <w:rPr>
          <w:rFonts w:asciiTheme="minorHAnsi" w:eastAsiaTheme="majorEastAsia" w:hAnsiTheme="minorHAnsi" w:cstheme="minorHAnsi"/>
          <w:sz w:val="22"/>
          <w:szCs w:val="22"/>
          <w:lang w:val="en-GB"/>
        </w:rPr>
        <w:t>Criminal</w:t>
      </w:r>
      <w:r w:rsidRPr="00CF0BE3">
        <w:rPr>
          <w:rFonts w:asciiTheme="minorHAnsi" w:eastAsiaTheme="majorEastAsia" w:hAnsiTheme="minorHAnsi" w:cstheme="minorHAnsi"/>
          <w:sz w:val="22"/>
          <w:szCs w:val="22"/>
          <w:lang w:val="en-GB"/>
        </w:rPr>
        <w:t xml:space="preserve"> Code, Media Law, Labour Law, Asylum Law etc.</w:t>
      </w:r>
      <w:r>
        <w:rPr>
          <w:rFonts w:asciiTheme="minorHAnsi" w:eastAsiaTheme="majorEastAsia" w:hAnsiTheme="minorHAnsi" w:cstheme="minorHAnsi"/>
          <w:sz w:val="22"/>
          <w:szCs w:val="22"/>
          <w:lang w:val="en-GB"/>
        </w:rPr>
        <w:t xml:space="preserve"> However, these laws mostly do not grant protection on all of the abovementioned personal grounds.</w:t>
      </w:r>
      <w:r w:rsidR="00337992">
        <w:rPr>
          <w:rFonts w:asciiTheme="minorHAnsi" w:eastAsiaTheme="majorEastAsia" w:hAnsiTheme="minorHAnsi" w:cstheme="minorHAnsi"/>
          <w:sz w:val="22"/>
          <w:szCs w:val="22"/>
          <w:lang w:val="en-GB"/>
        </w:rPr>
        <w:t xml:space="preserve"> The amendments of these laws and their harmonization in order to include sexual orientation and gender identity were not completed in accordance with the Strategy for Prevention and Protection from Discrimination for the period 2013-2018, while no new strategy has been adopted</w:t>
      </w:r>
      <w:r w:rsidR="00337992">
        <w:rPr>
          <w:rStyle w:val="FootnoteReference"/>
          <w:rFonts w:asciiTheme="minorHAnsi" w:eastAsiaTheme="majorEastAsia" w:hAnsiTheme="minorHAnsi" w:cstheme="minorHAnsi"/>
          <w:sz w:val="22"/>
          <w:szCs w:val="22"/>
          <w:lang w:val="en-GB"/>
        </w:rPr>
        <w:footnoteReference w:id="7"/>
      </w:r>
      <w:r w:rsidR="00337992">
        <w:rPr>
          <w:rFonts w:asciiTheme="minorHAnsi" w:eastAsiaTheme="majorEastAsia" w:hAnsiTheme="minorHAnsi" w:cstheme="minorHAnsi"/>
          <w:sz w:val="22"/>
          <w:szCs w:val="22"/>
          <w:lang w:val="en-GB"/>
        </w:rPr>
        <w:t>.</w:t>
      </w:r>
    </w:p>
    <w:p w14:paraId="530D14CA" w14:textId="77777777" w:rsidR="009C30C7" w:rsidRPr="009C30C7" w:rsidRDefault="009C30C7" w:rsidP="009C30C7">
      <w:pPr>
        <w:pStyle w:val="ListParagraph"/>
        <w:spacing w:after="0"/>
        <w:jc w:val="both"/>
      </w:pPr>
    </w:p>
    <w:p w14:paraId="7CFA166C" w14:textId="54BA76CF" w:rsidR="009C30C7" w:rsidRPr="007C32D7" w:rsidRDefault="009C30C7" w:rsidP="009C30C7">
      <w:pPr>
        <w:pStyle w:val="Heading3"/>
        <w:rPr>
          <w:i/>
          <w:iCs/>
          <w:color w:val="000000" w:themeColor="text1"/>
          <w:sz w:val="22"/>
          <w:szCs w:val="22"/>
          <w:u w:val="single"/>
        </w:rPr>
      </w:pPr>
      <w:r w:rsidRPr="007C32D7">
        <w:rPr>
          <w:i/>
          <w:iCs/>
          <w:color w:val="000000" w:themeColor="text1"/>
          <w:sz w:val="22"/>
          <w:szCs w:val="22"/>
          <w:u w:val="single"/>
        </w:rPr>
        <w:t xml:space="preserve">Controversies over the process of amending the Law on Prohibition </w:t>
      </w:r>
      <w:r w:rsidR="001846A7">
        <w:rPr>
          <w:i/>
          <w:iCs/>
          <w:color w:val="000000" w:themeColor="text1"/>
          <w:sz w:val="22"/>
          <w:szCs w:val="22"/>
          <w:u w:val="single"/>
        </w:rPr>
        <w:t>of</w:t>
      </w:r>
      <w:r w:rsidRPr="007C32D7">
        <w:rPr>
          <w:i/>
          <w:iCs/>
          <w:color w:val="000000" w:themeColor="text1"/>
          <w:sz w:val="22"/>
          <w:szCs w:val="22"/>
          <w:u w:val="single"/>
        </w:rPr>
        <w:t xml:space="preserve"> Discrimination</w:t>
      </w:r>
      <w:bookmarkEnd w:id="2"/>
    </w:p>
    <w:p w14:paraId="094CA70C" w14:textId="232DE409" w:rsidR="00443C5E" w:rsidRPr="009C30C7" w:rsidRDefault="00443C5E" w:rsidP="000876DF">
      <w:pPr>
        <w:pStyle w:val="ListParagraph"/>
        <w:numPr>
          <w:ilvl w:val="0"/>
          <w:numId w:val="2"/>
        </w:numPr>
        <w:jc w:val="both"/>
        <w:rPr>
          <w:rFonts w:cstheme="minorHAnsi"/>
        </w:rPr>
      </w:pPr>
      <w:r>
        <w:rPr>
          <w:rFonts w:cstheme="minorHAnsi"/>
        </w:rPr>
        <w:t xml:space="preserve">In January 2021 the state </w:t>
      </w:r>
      <w:r w:rsidRPr="009C30C7">
        <w:rPr>
          <w:rFonts w:cstheme="minorHAnsi"/>
        </w:rPr>
        <w:t xml:space="preserve">charge </w:t>
      </w:r>
      <w:r>
        <w:rPr>
          <w:rFonts w:cstheme="minorHAnsi"/>
        </w:rPr>
        <w:t>re-</w:t>
      </w:r>
      <w:r w:rsidRPr="009C30C7">
        <w:rPr>
          <w:rFonts w:cstheme="minorHAnsi"/>
        </w:rPr>
        <w:t>opened the possibility on submitting comments and suggestions to the Draft Law</w:t>
      </w:r>
      <w:r>
        <w:rPr>
          <w:rFonts w:cstheme="minorHAnsi"/>
        </w:rPr>
        <w:t>. ERA</w:t>
      </w:r>
      <w:r w:rsidRPr="00443C5E">
        <w:rPr>
          <w:rFonts w:cstheme="minorHAnsi"/>
        </w:rPr>
        <w:t xml:space="preserve">, together with its members: Da se </w:t>
      </w:r>
      <w:proofErr w:type="spellStart"/>
      <w:r w:rsidRPr="00443C5E">
        <w:rPr>
          <w:rFonts w:cstheme="minorHAnsi"/>
        </w:rPr>
        <w:t>Zna</w:t>
      </w:r>
      <w:proofErr w:type="spellEnd"/>
      <w:r w:rsidRPr="00443C5E">
        <w:rPr>
          <w:rFonts w:cstheme="minorHAnsi"/>
        </w:rPr>
        <w:t xml:space="preserve">!, </w:t>
      </w:r>
      <w:proofErr w:type="spellStart"/>
      <w:r w:rsidRPr="00443C5E">
        <w:rPr>
          <w:rFonts w:cstheme="minorHAnsi"/>
        </w:rPr>
        <w:t>Geten</w:t>
      </w:r>
      <w:proofErr w:type="spellEnd"/>
      <w:r w:rsidRPr="00443C5E">
        <w:rPr>
          <w:rFonts w:cstheme="minorHAnsi"/>
        </w:rPr>
        <w:t xml:space="preserve">, XY Spectrum, Group Come Out, and Association Rainbow, submitted a revised list of suggestions to contribute towards the advancement of the draft law on anti-discrimination. </w:t>
      </w:r>
      <w:r>
        <w:rPr>
          <w:rFonts w:cstheme="minorHAnsi"/>
        </w:rPr>
        <w:t xml:space="preserve">Most of those were incorporated and adopted in the final law, including sex characteristics, intersectional discrimination and multiple discrimination. </w:t>
      </w:r>
    </w:p>
    <w:p w14:paraId="5A5049B5" w14:textId="482BA699" w:rsidR="009C30C7" w:rsidRPr="007C32D7" w:rsidRDefault="00337992" w:rsidP="00CF0BE3">
      <w:pPr>
        <w:pStyle w:val="Heading3"/>
        <w:rPr>
          <w:i/>
          <w:iCs/>
          <w:color w:val="000000" w:themeColor="text1"/>
          <w:sz w:val="22"/>
          <w:szCs w:val="22"/>
          <w:u w:val="single"/>
        </w:rPr>
      </w:pPr>
      <w:bookmarkStart w:id="3" w:name="_Toc51018607"/>
      <w:r>
        <w:rPr>
          <w:i/>
          <w:iCs/>
          <w:color w:val="000000" w:themeColor="text1"/>
          <w:sz w:val="22"/>
          <w:szCs w:val="22"/>
          <w:u w:val="single"/>
        </w:rPr>
        <w:t>Controversies over</w:t>
      </w:r>
      <w:r w:rsidR="009C30C7" w:rsidRPr="007C32D7">
        <w:rPr>
          <w:i/>
          <w:iCs/>
          <w:color w:val="000000" w:themeColor="text1"/>
          <w:sz w:val="22"/>
          <w:szCs w:val="22"/>
          <w:u w:val="single"/>
        </w:rPr>
        <w:t xml:space="preserve"> the</w:t>
      </w:r>
      <w:r>
        <w:rPr>
          <w:i/>
          <w:iCs/>
          <w:color w:val="000000" w:themeColor="text1"/>
          <w:sz w:val="22"/>
          <w:szCs w:val="22"/>
          <w:u w:val="single"/>
        </w:rPr>
        <w:t xml:space="preserve"> election of the</w:t>
      </w:r>
      <w:r w:rsidR="009C30C7" w:rsidRPr="007C32D7">
        <w:rPr>
          <w:i/>
          <w:iCs/>
          <w:color w:val="000000" w:themeColor="text1"/>
          <w:sz w:val="22"/>
          <w:szCs w:val="22"/>
          <w:u w:val="single"/>
        </w:rPr>
        <w:t xml:space="preserve"> Commissioner for the Protection of Equality</w:t>
      </w:r>
      <w:bookmarkEnd w:id="3"/>
    </w:p>
    <w:p w14:paraId="6633FDB8" w14:textId="548EDC67" w:rsidR="009C30C7" w:rsidRDefault="009C30C7" w:rsidP="000876DF">
      <w:pPr>
        <w:pStyle w:val="rtejustify"/>
        <w:numPr>
          <w:ilvl w:val="0"/>
          <w:numId w:val="2"/>
        </w:numPr>
        <w:spacing w:before="0" w:beforeAutospacing="0" w:after="0" w:afterAutospacing="0" w:line="20" w:lineRule="atLeast"/>
        <w:ind w:left="714" w:hanging="357"/>
        <w:jc w:val="both"/>
        <w:rPr>
          <w:rFonts w:asciiTheme="minorHAnsi" w:hAnsiTheme="minorHAnsi" w:cstheme="minorHAnsi"/>
          <w:color w:val="222222"/>
          <w:sz w:val="22"/>
          <w:szCs w:val="22"/>
        </w:rPr>
      </w:pPr>
      <w:r w:rsidRPr="009C30C7">
        <w:rPr>
          <w:rFonts w:asciiTheme="minorHAnsi" w:hAnsiTheme="minorHAnsi" w:cstheme="minorHAnsi"/>
          <w:color w:val="222222"/>
          <w:sz w:val="22"/>
          <w:szCs w:val="22"/>
        </w:rPr>
        <w:t>The system of protection against discrimination in Serbia ha</w:t>
      </w:r>
      <w:r w:rsidR="00337992">
        <w:rPr>
          <w:rFonts w:asciiTheme="minorHAnsi" w:hAnsiTheme="minorHAnsi" w:cstheme="minorHAnsi"/>
          <w:color w:val="222222"/>
          <w:sz w:val="22"/>
          <w:szCs w:val="22"/>
        </w:rPr>
        <w:t>d</w:t>
      </w:r>
      <w:r w:rsidRPr="009C30C7">
        <w:rPr>
          <w:rFonts w:asciiTheme="minorHAnsi" w:hAnsiTheme="minorHAnsi" w:cstheme="minorHAnsi"/>
          <w:color w:val="222222"/>
          <w:sz w:val="22"/>
          <w:szCs w:val="22"/>
        </w:rPr>
        <w:t xml:space="preserve"> been put to danger, as the institution of the</w:t>
      </w:r>
      <w:r w:rsidRPr="009C30C7">
        <w:rPr>
          <w:rStyle w:val="apple-converted-space"/>
          <w:rFonts w:asciiTheme="minorHAnsi" w:hAnsiTheme="minorHAnsi" w:cstheme="minorHAnsi"/>
          <w:color w:val="222222"/>
          <w:sz w:val="22"/>
          <w:szCs w:val="22"/>
        </w:rPr>
        <w:t> </w:t>
      </w:r>
      <w:hyperlink r:id="rId14" w:history="1">
        <w:r w:rsidRPr="00FF2AA7">
          <w:rPr>
            <w:rStyle w:val="Strong"/>
            <w:rFonts w:asciiTheme="minorHAnsi" w:hAnsiTheme="minorHAnsi" w:cstheme="minorHAnsi"/>
            <w:b w:val="0"/>
            <w:bCs w:val="0"/>
            <w:color w:val="000000" w:themeColor="text1"/>
            <w:sz w:val="22"/>
            <w:szCs w:val="22"/>
          </w:rPr>
          <w:t>Commissioner for the Protection of Equality</w:t>
        </w:r>
      </w:hyperlink>
      <w:r w:rsidRPr="009C30C7">
        <w:rPr>
          <w:rFonts w:asciiTheme="minorHAnsi" w:hAnsiTheme="minorHAnsi" w:cstheme="minorHAnsi"/>
          <w:color w:val="222222"/>
          <w:sz w:val="22"/>
          <w:szCs w:val="22"/>
        </w:rPr>
        <w:t>,</w:t>
      </w:r>
      <w:r w:rsidRPr="009C30C7">
        <w:rPr>
          <w:rStyle w:val="apple-converted-space"/>
          <w:rFonts w:asciiTheme="minorHAnsi" w:hAnsiTheme="minorHAnsi" w:cstheme="minorHAnsi"/>
          <w:color w:val="222222"/>
          <w:sz w:val="22"/>
          <w:szCs w:val="22"/>
        </w:rPr>
        <w:t> </w:t>
      </w:r>
      <w:r w:rsidRPr="009C30C7">
        <w:rPr>
          <w:rFonts w:asciiTheme="minorHAnsi" w:hAnsiTheme="minorHAnsi" w:cstheme="minorHAnsi"/>
          <w:color w:val="000000"/>
          <w:sz w:val="22"/>
          <w:szCs w:val="22"/>
        </w:rPr>
        <w:t>an independent national human rights body established under the Law on Protection from Discrimination 10 years ago,</w:t>
      </w:r>
      <w:r w:rsidRPr="009C30C7">
        <w:rPr>
          <w:rFonts w:asciiTheme="minorHAnsi" w:hAnsiTheme="minorHAnsi" w:cstheme="minorHAnsi"/>
          <w:color w:val="222222"/>
          <w:sz w:val="22"/>
          <w:szCs w:val="22"/>
        </w:rPr>
        <w:t> </w:t>
      </w:r>
      <w:r w:rsidR="00337992">
        <w:rPr>
          <w:rFonts w:asciiTheme="minorHAnsi" w:hAnsiTheme="minorHAnsi" w:cstheme="minorHAnsi"/>
          <w:color w:val="222222"/>
          <w:sz w:val="22"/>
          <w:szCs w:val="22"/>
        </w:rPr>
        <w:t>was</w:t>
      </w:r>
      <w:r w:rsidRPr="009C30C7">
        <w:rPr>
          <w:rFonts w:asciiTheme="minorHAnsi" w:hAnsiTheme="minorHAnsi" w:cstheme="minorHAnsi"/>
          <w:color w:val="222222"/>
          <w:sz w:val="22"/>
          <w:szCs w:val="22"/>
        </w:rPr>
        <w:t xml:space="preserve"> completely blocked. The mandate of the Commissioner for the Protection of Equality</w:t>
      </w:r>
      <w:r w:rsidRPr="009C30C7">
        <w:rPr>
          <w:rStyle w:val="apple-converted-space"/>
          <w:rFonts w:asciiTheme="minorHAnsi" w:hAnsiTheme="minorHAnsi" w:cstheme="minorHAnsi"/>
          <w:color w:val="222222"/>
          <w:sz w:val="22"/>
          <w:szCs w:val="22"/>
        </w:rPr>
        <w:t> </w:t>
      </w:r>
      <w:r w:rsidRPr="009C30C7">
        <w:rPr>
          <w:rFonts w:asciiTheme="minorHAnsi" w:hAnsiTheme="minorHAnsi" w:cstheme="minorHAnsi"/>
          <w:color w:val="222222"/>
          <w:sz w:val="22"/>
          <w:szCs w:val="22"/>
        </w:rPr>
        <w:t>Brankica Janković officially ended on 27 May 2020 and the new Commissioner was not elected</w:t>
      </w:r>
      <w:r w:rsidR="00337992">
        <w:rPr>
          <w:rFonts w:asciiTheme="minorHAnsi" w:hAnsiTheme="minorHAnsi" w:cstheme="minorHAnsi"/>
          <w:color w:val="222222"/>
          <w:sz w:val="22"/>
          <w:szCs w:val="22"/>
        </w:rPr>
        <w:t xml:space="preserve"> until late November 2020</w:t>
      </w:r>
      <w:r w:rsidRPr="009C30C7">
        <w:rPr>
          <w:rFonts w:asciiTheme="minorHAnsi" w:hAnsiTheme="minorHAnsi" w:cstheme="minorHAnsi"/>
          <w:color w:val="222222"/>
          <w:sz w:val="22"/>
          <w:szCs w:val="22"/>
        </w:rPr>
        <w:t>. This is a consequence of a failure to elect the new Commissioner in a timely manner and before the Serbian parliament prior to the parlialmentary elections</w:t>
      </w:r>
      <w:r w:rsidR="00FF2AA7">
        <w:rPr>
          <w:rFonts w:asciiTheme="minorHAnsi" w:hAnsiTheme="minorHAnsi" w:cstheme="minorHAnsi"/>
          <w:color w:val="222222"/>
          <w:sz w:val="22"/>
          <w:szCs w:val="22"/>
        </w:rPr>
        <w:t xml:space="preserve"> that were held </w:t>
      </w:r>
      <w:r w:rsidR="00FF2AA7">
        <w:rPr>
          <w:rFonts w:asciiTheme="minorHAnsi" w:hAnsiTheme="minorHAnsi" w:cstheme="minorHAnsi"/>
          <w:color w:val="222222"/>
          <w:sz w:val="22"/>
          <w:szCs w:val="22"/>
        </w:rPr>
        <w:lastRenderedPageBreak/>
        <w:t>on 21 June 2020</w:t>
      </w:r>
      <w:r w:rsidRPr="009C30C7">
        <w:rPr>
          <w:rFonts w:asciiTheme="minorHAnsi" w:hAnsiTheme="minorHAnsi" w:cstheme="minorHAnsi"/>
          <w:color w:val="222222"/>
          <w:sz w:val="22"/>
          <w:szCs w:val="22"/>
        </w:rPr>
        <w:t>. It is absolutely unacceptable for the actors responsible to have allowed such developments to happen, putting at question the rule of law in Serbia</w:t>
      </w:r>
      <w:r>
        <w:rPr>
          <w:rFonts w:asciiTheme="minorHAnsi" w:hAnsiTheme="minorHAnsi" w:cstheme="minorHAnsi"/>
          <w:color w:val="222222"/>
          <w:sz w:val="22"/>
          <w:szCs w:val="22"/>
        </w:rPr>
        <w:t>.</w:t>
      </w:r>
    </w:p>
    <w:p w14:paraId="7C35D74D" w14:textId="21E48E4B" w:rsidR="00CF0BE3" w:rsidRDefault="009C30C7" w:rsidP="000876DF">
      <w:pPr>
        <w:pStyle w:val="rtejustify"/>
        <w:numPr>
          <w:ilvl w:val="0"/>
          <w:numId w:val="2"/>
        </w:numPr>
        <w:spacing w:before="0" w:beforeAutospacing="0" w:after="0" w:afterAutospacing="0" w:line="20" w:lineRule="atLeast"/>
        <w:ind w:left="714" w:hanging="357"/>
        <w:jc w:val="both"/>
        <w:rPr>
          <w:rFonts w:asciiTheme="minorHAnsi" w:hAnsiTheme="minorHAnsi" w:cstheme="minorHAnsi"/>
          <w:color w:val="222222"/>
          <w:sz w:val="22"/>
          <w:szCs w:val="22"/>
        </w:rPr>
      </w:pPr>
      <w:r w:rsidRPr="009C30C7">
        <w:rPr>
          <w:rFonts w:asciiTheme="minorHAnsi" w:hAnsiTheme="minorHAnsi" w:cstheme="minorHAnsi"/>
          <w:color w:val="222222"/>
          <w:sz w:val="22"/>
          <w:szCs w:val="22"/>
        </w:rPr>
        <w:t xml:space="preserve">The non-functioning of this human rights mechanism of protection against discrimination </w:t>
      </w:r>
      <w:r w:rsidR="00337992">
        <w:rPr>
          <w:rFonts w:asciiTheme="minorHAnsi" w:hAnsiTheme="minorHAnsi" w:cstheme="minorHAnsi"/>
          <w:color w:val="222222"/>
          <w:sz w:val="22"/>
          <w:szCs w:val="22"/>
        </w:rPr>
        <w:t>was</w:t>
      </w:r>
      <w:r>
        <w:rPr>
          <w:rFonts w:asciiTheme="minorHAnsi" w:hAnsiTheme="minorHAnsi" w:cstheme="minorHAnsi"/>
          <w:color w:val="222222"/>
          <w:sz w:val="22"/>
          <w:szCs w:val="22"/>
        </w:rPr>
        <w:t xml:space="preserve"> </w:t>
      </w:r>
      <w:r w:rsidRPr="009C30C7">
        <w:rPr>
          <w:rFonts w:asciiTheme="minorHAnsi" w:hAnsiTheme="minorHAnsi" w:cstheme="minorHAnsi"/>
          <w:color w:val="222222"/>
          <w:sz w:val="22"/>
          <w:szCs w:val="22"/>
        </w:rPr>
        <w:t>strongly affect</w:t>
      </w:r>
      <w:r>
        <w:rPr>
          <w:rFonts w:asciiTheme="minorHAnsi" w:hAnsiTheme="minorHAnsi" w:cstheme="minorHAnsi"/>
          <w:color w:val="222222"/>
          <w:sz w:val="22"/>
          <w:szCs w:val="22"/>
        </w:rPr>
        <w:t>ing</w:t>
      </w:r>
      <w:r w:rsidRPr="009C30C7">
        <w:rPr>
          <w:rFonts w:asciiTheme="minorHAnsi" w:hAnsiTheme="minorHAnsi" w:cstheme="minorHAnsi"/>
          <w:color w:val="222222"/>
          <w:sz w:val="22"/>
          <w:szCs w:val="22"/>
        </w:rPr>
        <w:t xml:space="preserve"> LGBTI citizens of Serbia</w:t>
      </w:r>
      <w:r w:rsidR="0070205D">
        <w:rPr>
          <w:rFonts w:asciiTheme="minorHAnsi" w:hAnsiTheme="minorHAnsi" w:cstheme="minorHAnsi"/>
          <w:color w:val="222222"/>
          <w:sz w:val="22"/>
          <w:szCs w:val="22"/>
        </w:rPr>
        <w:t>, including</w:t>
      </w:r>
      <w:r w:rsidRPr="009C30C7">
        <w:rPr>
          <w:rFonts w:asciiTheme="minorHAnsi" w:hAnsiTheme="minorHAnsi" w:cstheme="minorHAnsi"/>
          <w:color w:val="222222"/>
          <w:sz w:val="22"/>
          <w:szCs w:val="22"/>
        </w:rPr>
        <w:t xml:space="preserve"> </w:t>
      </w:r>
      <w:r w:rsidR="00337992">
        <w:rPr>
          <w:rFonts w:asciiTheme="minorHAnsi" w:hAnsiTheme="minorHAnsi" w:cstheme="minorHAnsi"/>
          <w:color w:val="222222"/>
          <w:sz w:val="22"/>
          <w:szCs w:val="22"/>
        </w:rPr>
        <w:t xml:space="preserve">in the field of protection of their socio-economic rights </w:t>
      </w:r>
      <w:r w:rsidRPr="009C30C7">
        <w:rPr>
          <w:rFonts w:asciiTheme="minorHAnsi" w:hAnsiTheme="minorHAnsi" w:cstheme="minorHAnsi"/>
          <w:color w:val="222222"/>
          <w:sz w:val="22"/>
          <w:szCs w:val="22"/>
        </w:rPr>
        <w:t>and especially those who belong to multiple vulnerable and marginalized groups, including those who used this mechanism as a free and accessible tool for protection from discrimination</w:t>
      </w:r>
      <w:r>
        <w:rPr>
          <w:rFonts w:asciiTheme="minorHAnsi" w:hAnsiTheme="minorHAnsi" w:cstheme="minorHAnsi"/>
          <w:color w:val="222222"/>
          <w:sz w:val="22"/>
          <w:szCs w:val="22"/>
        </w:rPr>
        <w:t xml:space="preserve"> and </w:t>
      </w:r>
      <w:r w:rsidR="00337992">
        <w:rPr>
          <w:rFonts w:asciiTheme="minorHAnsi" w:hAnsiTheme="minorHAnsi" w:cstheme="minorHAnsi"/>
          <w:color w:val="222222"/>
          <w:sz w:val="22"/>
          <w:szCs w:val="22"/>
        </w:rPr>
        <w:t>was</w:t>
      </w:r>
      <w:r>
        <w:rPr>
          <w:rFonts w:asciiTheme="minorHAnsi" w:hAnsiTheme="minorHAnsi" w:cstheme="minorHAnsi"/>
          <w:color w:val="222222"/>
          <w:sz w:val="22"/>
          <w:szCs w:val="22"/>
        </w:rPr>
        <w:t xml:space="preserve"> directly against the obligations taken under the </w:t>
      </w:r>
      <w:r w:rsidR="00CF0BE3">
        <w:rPr>
          <w:rFonts w:asciiTheme="minorHAnsi" w:hAnsiTheme="minorHAnsi" w:cstheme="minorHAnsi"/>
          <w:color w:val="222222"/>
          <w:sz w:val="22"/>
          <w:szCs w:val="22"/>
        </w:rPr>
        <w:t xml:space="preserve">Cycle III </w:t>
      </w:r>
      <w:r>
        <w:rPr>
          <w:rFonts w:asciiTheme="minorHAnsi" w:hAnsiTheme="minorHAnsi" w:cstheme="minorHAnsi"/>
          <w:color w:val="222222"/>
          <w:sz w:val="22"/>
          <w:szCs w:val="22"/>
        </w:rPr>
        <w:t>recommendation</w:t>
      </w:r>
      <w:r w:rsidR="00CF0BE3">
        <w:rPr>
          <w:rFonts w:asciiTheme="minorHAnsi" w:hAnsiTheme="minorHAnsi" w:cstheme="minorHAnsi"/>
          <w:color w:val="222222"/>
          <w:sz w:val="22"/>
          <w:szCs w:val="22"/>
        </w:rPr>
        <w:t>s</w:t>
      </w:r>
      <w:r>
        <w:rPr>
          <w:rFonts w:asciiTheme="minorHAnsi" w:hAnsiTheme="minorHAnsi" w:cstheme="minorHAnsi"/>
          <w:color w:val="222222"/>
          <w:sz w:val="22"/>
          <w:szCs w:val="22"/>
        </w:rPr>
        <w:t xml:space="preserve"> provided to the Republic of Serbia</w:t>
      </w:r>
      <w:r w:rsidR="00337992">
        <w:rPr>
          <w:rFonts w:asciiTheme="minorHAnsi" w:hAnsiTheme="minorHAnsi" w:cstheme="minorHAnsi"/>
          <w:color w:val="222222"/>
          <w:sz w:val="22"/>
          <w:szCs w:val="22"/>
        </w:rPr>
        <w:t xml:space="preserve"> under Universal Periodic Review (hereinafter: UPR Cycle III)</w:t>
      </w:r>
      <w:r w:rsidR="00337992">
        <w:rPr>
          <w:rStyle w:val="FootnoteReference"/>
          <w:rFonts w:asciiTheme="minorHAnsi" w:hAnsiTheme="minorHAnsi" w:cstheme="minorHAnsi"/>
          <w:color w:val="222222"/>
          <w:sz w:val="22"/>
          <w:szCs w:val="22"/>
        </w:rPr>
        <w:footnoteReference w:id="8"/>
      </w:r>
      <w:r w:rsidRPr="009C30C7">
        <w:rPr>
          <w:rFonts w:asciiTheme="minorHAnsi" w:hAnsiTheme="minorHAnsi" w:cstheme="minorHAnsi"/>
          <w:color w:val="222222"/>
          <w:sz w:val="22"/>
          <w:szCs w:val="22"/>
        </w:rPr>
        <w:t>. </w:t>
      </w:r>
    </w:p>
    <w:p w14:paraId="46D6E64E" w14:textId="373DFC63" w:rsidR="007C32D7" w:rsidRPr="00320DEA" w:rsidRDefault="009C30C7" w:rsidP="000876DF">
      <w:pPr>
        <w:pStyle w:val="rtejustify"/>
        <w:numPr>
          <w:ilvl w:val="0"/>
          <w:numId w:val="2"/>
        </w:numPr>
        <w:spacing w:before="0" w:beforeAutospacing="0" w:after="0" w:afterAutospacing="0" w:line="20" w:lineRule="atLeast"/>
        <w:ind w:left="714" w:hanging="357"/>
        <w:jc w:val="both"/>
        <w:rPr>
          <w:rFonts w:asciiTheme="minorHAnsi" w:hAnsiTheme="minorHAnsi" w:cstheme="minorHAnsi"/>
          <w:color w:val="222222"/>
          <w:sz w:val="22"/>
          <w:szCs w:val="22"/>
        </w:rPr>
      </w:pPr>
      <w:r w:rsidRPr="00CF0BE3">
        <w:rPr>
          <w:rFonts w:asciiTheme="minorHAnsi" w:hAnsiTheme="minorHAnsi" w:cstheme="minorHAnsi"/>
          <w:sz w:val="22"/>
          <w:szCs w:val="22"/>
        </w:rPr>
        <w:t xml:space="preserve">In its latest </w:t>
      </w:r>
      <w:hyperlink r:id="rId15" w:history="1">
        <w:r w:rsidRPr="00895B61">
          <w:rPr>
            <w:rStyle w:val="Hyperlink"/>
            <w:rFonts w:asciiTheme="minorHAnsi" w:hAnsiTheme="minorHAnsi" w:cstheme="minorHAnsi"/>
            <w:color w:val="E32D91" w:themeColor="accent1"/>
            <w:sz w:val="22"/>
            <w:szCs w:val="22"/>
          </w:rPr>
          <w:t>annual report</w:t>
        </w:r>
      </w:hyperlink>
      <w:r w:rsidRPr="00895B61">
        <w:rPr>
          <w:rFonts w:asciiTheme="minorHAnsi" w:hAnsiTheme="minorHAnsi" w:cstheme="minorHAnsi"/>
          <w:color w:val="E32D91" w:themeColor="accent1"/>
          <w:sz w:val="22"/>
          <w:szCs w:val="22"/>
        </w:rPr>
        <w:t xml:space="preserve"> </w:t>
      </w:r>
      <w:r w:rsidRPr="00CF0BE3">
        <w:rPr>
          <w:rFonts w:asciiTheme="minorHAnsi" w:hAnsiTheme="minorHAnsi" w:cstheme="minorHAnsi"/>
          <w:sz w:val="22"/>
          <w:szCs w:val="22"/>
        </w:rPr>
        <w:t xml:space="preserve">for </w:t>
      </w:r>
      <w:r w:rsidR="00544A3F">
        <w:rPr>
          <w:rFonts w:asciiTheme="minorHAnsi" w:hAnsiTheme="minorHAnsi" w:cstheme="minorHAnsi"/>
          <w:sz w:val="22"/>
          <w:szCs w:val="22"/>
        </w:rPr>
        <w:t>202</w:t>
      </w:r>
      <w:r w:rsidR="00664471">
        <w:rPr>
          <w:rFonts w:asciiTheme="minorHAnsi" w:hAnsiTheme="minorHAnsi" w:cstheme="minorHAnsi"/>
          <w:sz w:val="22"/>
          <w:szCs w:val="22"/>
        </w:rPr>
        <w:t>0</w:t>
      </w:r>
      <w:r w:rsidRPr="00CF0BE3">
        <w:rPr>
          <w:rFonts w:asciiTheme="minorHAnsi" w:hAnsiTheme="minorHAnsi" w:cstheme="minorHAnsi"/>
          <w:sz w:val="22"/>
          <w:szCs w:val="22"/>
        </w:rPr>
        <w:t>, the Commissioner for the Protection of Equality repeated what was already stated in every annual report published by this body – that LGBTI persons</w:t>
      </w:r>
      <w:r w:rsidR="00544A3F">
        <w:rPr>
          <w:rFonts w:asciiTheme="minorHAnsi" w:hAnsiTheme="minorHAnsi" w:cstheme="minorHAnsi"/>
          <w:sz w:val="22"/>
          <w:szCs w:val="22"/>
        </w:rPr>
        <w:t xml:space="preserve"> </w:t>
      </w:r>
      <w:r w:rsidRPr="00CF0BE3">
        <w:rPr>
          <w:rFonts w:asciiTheme="minorHAnsi" w:hAnsiTheme="minorHAnsi" w:cstheme="minorHAnsi"/>
          <w:sz w:val="22"/>
          <w:szCs w:val="22"/>
        </w:rPr>
        <w:t xml:space="preserve">are among the most discriminated in Serbia. </w:t>
      </w:r>
      <w:r w:rsidR="00544A3F">
        <w:rPr>
          <w:rFonts w:asciiTheme="minorHAnsi" w:hAnsiTheme="minorHAnsi" w:cstheme="minorHAnsi"/>
          <w:sz w:val="22"/>
          <w:szCs w:val="22"/>
        </w:rPr>
        <w:t>W</w:t>
      </w:r>
      <w:r w:rsidRPr="00CF0BE3">
        <w:rPr>
          <w:rFonts w:asciiTheme="minorHAnsi" w:hAnsiTheme="minorHAnsi" w:cstheme="minorHAnsi"/>
          <w:sz w:val="22"/>
          <w:szCs w:val="22"/>
        </w:rPr>
        <w:t xml:space="preserve">hen it comes to filing complaints to this institution, the number of complaints based on discrimination on sexual orientation has significantly reduced, from 42 in 2018 </w:t>
      </w:r>
      <w:r w:rsidR="00544A3F">
        <w:rPr>
          <w:rFonts w:asciiTheme="minorHAnsi" w:hAnsiTheme="minorHAnsi" w:cstheme="minorHAnsi"/>
          <w:sz w:val="22"/>
          <w:szCs w:val="22"/>
        </w:rPr>
        <w:t>and</w:t>
      </w:r>
      <w:r w:rsidRPr="00CF0BE3">
        <w:rPr>
          <w:rFonts w:asciiTheme="minorHAnsi" w:hAnsiTheme="minorHAnsi" w:cstheme="minorHAnsi"/>
          <w:sz w:val="22"/>
          <w:szCs w:val="22"/>
        </w:rPr>
        <w:t xml:space="preserve"> 18 in 2019</w:t>
      </w:r>
      <w:r w:rsidR="00544A3F">
        <w:rPr>
          <w:rFonts w:asciiTheme="minorHAnsi" w:hAnsiTheme="minorHAnsi" w:cstheme="minorHAnsi"/>
          <w:sz w:val="22"/>
          <w:szCs w:val="22"/>
        </w:rPr>
        <w:t xml:space="preserve"> to 7 in 2020. The fact that a significant part of </w:t>
      </w:r>
      <w:r w:rsidR="00664471">
        <w:rPr>
          <w:rFonts w:asciiTheme="minorHAnsi" w:hAnsiTheme="minorHAnsi" w:cstheme="minorHAnsi"/>
          <w:sz w:val="22"/>
          <w:szCs w:val="22"/>
        </w:rPr>
        <w:t>2020</w:t>
      </w:r>
      <w:r w:rsidR="00544A3F">
        <w:rPr>
          <w:rFonts w:asciiTheme="minorHAnsi" w:hAnsiTheme="minorHAnsi" w:cstheme="minorHAnsi"/>
          <w:sz w:val="22"/>
          <w:szCs w:val="22"/>
        </w:rPr>
        <w:t xml:space="preserve"> Serbia was without active Commissioner had this negative effect on the reporting of discrimination. </w:t>
      </w:r>
    </w:p>
    <w:p w14:paraId="00857284" w14:textId="0364A17D" w:rsidR="00320DEA" w:rsidRPr="007C32D7" w:rsidRDefault="00320DEA" w:rsidP="000876DF">
      <w:pPr>
        <w:pStyle w:val="rtejustify"/>
        <w:numPr>
          <w:ilvl w:val="0"/>
          <w:numId w:val="2"/>
        </w:numPr>
        <w:spacing w:before="0" w:beforeAutospacing="0" w:after="0" w:afterAutospacing="0" w:line="20" w:lineRule="atLeast"/>
        <w:ind w:left="714" w:hanging="357"/>
        <w:jc w:val="both"/>
        <w:rPr>
          <w:rFonts w:asciiTheme="minorHAnsi" w:hAnsiTheme="minorHAnsi" w:cstheme="minorHAnsi"/>
          <w:color w:val="222222"/>
          <w:sz w:val="22"/>
          <w:szCs w:val="22"/>
        </w:rPr>
      </w:pPr>
      <w:proofErr w:type="spellStart"/>
      <w:r>
        <w:rPr>
          <w:rFonts w:asciiTheme="minorHAnsi" w:hAnsiTheme="minorHAnsi" w:cstheme="minorHAnsi"/>
          <w:sz w:val="22"/>
          <w:szCs w:val="22"/>
        </w:rPr>
        <w:t>Brankica</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Jankovi</w:t>
      </w:r>
      <w:proofErr w:type="spellEnd"/>
      <w:r>
        <w:rPr>
          <w:rFonts w:asciiTheme="minorHAnsi" w:hAnsiTheme="minorHAnsi" w:cstheme="minorHAnsi"/>
          <w:sz w:val="22"/>
          <w:szCs w:val="22"/>
          <w:lang w:val="sr-Latn-RS"/>
        </w:rPr>
        <w:t xml:space="preserve">ć </w:t>
      </w:r>
      <w:r>
        <w:rPr>
          <w:rFonts w:asciiTheme="minorHAnsi" w:hAnsiTheme="minorHAnsi" w:cstheme="minorHAnsi"/>
          <w:sz w:val="22"/>
          <w:szCs w:val="22"/>
        </w:rPr>
        <w:t xml:space="preserve">was re-elected as the Commissioner for the Protection of Equality on 26 November 2020, 6 months after her first mandate ended. The election process has been labeled by civil society as non-transparent, non-inclusive and </w:t>
      </w:r>
      <w:r w:rsidR="001C27D1">
        <w:rPr>
          <w:rFonts w:asciiTheme="minorHAnsi" w:hAnsiTheme="minorHAnsi" w:cstheme="minorHAnsi"/>
          <w:sz w:val="22"/>
          <w:szCs w:val="22"/>
        </w:rPr>
        <w:t>taken overnight</w:t>
      </w:r>
      <w:r>
        <w:rPr>
          <w:rFonts w:asciiTheme="minorHAnsi" w:hAnsiTheme="minorHAnsi" w:cstheme="minorHAnsi"/>
          <w:sz w:val="22"/>
          <w:szCs w:val="22"/>
        </w:rPr>
        <w:t>. Namely because she was the only candidate for the position and there was no information about her candidacy up until the day of the session of the parliamentary body in charge of the election process.</w:t>
      </w:r>
      <w:r w:rsidR="001C27D1">
        <w:rPr>
          <w:rStyle w:val="FootnoteReference"/>
          <w:rFonts w:asciiTheme="minorHAnsi" w:hAnsiTheme="minorHAnsi" w:cstheme="minorHAnsi"/>
          <w:sz w:val="22"/>
          <w:szCs w:val="22"/>
        </w:rPr>
        <w:footnoteReference w:id="9"/>
      </w:r>
    </w:p>
    <w:p w14:paraId="7CDC3A58" w14:textId="27F04013" w:rsidR="00CF0BE3" w:rsidRPr="00A75357" w:rsidRDefault="009C30C7" w:rsidP="007C32D7">
      <w:pPr>
        <w:pStyle w:val="rtejustify"/>
        <w:spacing w:before="0" w:beforeAutospacing="0" w:after="0" w:afterAutospacing="0" w:line="20" w:lineRule="atLeast"/>
        <w:ind w:left="714"/>
        <w:jc w:val="both"/>
        <w:rPr>
          <w:rFonts w:asciiTheme="minorHAnsi" w:hAnsiTheme="minorHAnsi" w:cstheme="minorHAnsi"/>
          <w:color w:val="222222"/>
          <w:sz w:val="22"/>
          <w:szCs w:val="22"/>
        </w:rPr>
      </w:pPr>
      <w:r w:rsidRPr="00CF0BE3">
        <w:rPr>
          <w:rFonts w:asciiTheme="minorHAnsi" w:hAnsiTheme="minorHAnsi" w:cstheme="minorHAnsi"/>
          <w:sz w:val="22"/>
          <w:szCs w:val="22"/>
        </w:rPr>
        <w:t xml:space="preserve"> </w:t>
      </w:r>
      <w:r w:rsidR="00643552" w:rsidRPr="00CF0BE3">
        <w:rPr>
          <w:rFonts w:asciiTheme="minorHAnsi" w:eastAsiaTheme="majorEastAsia" w:hAnsiTheme="minorHAnsi" w:cstheme="minorHAnsi"/>
          <w:sz w:val="22"/>
          <w:szCs w:val="22"/>
          <w:lang w:val="en-GB"/>
        </w:rPr>
        <w:t xml:space="preserve"> </w:t>
      </w:r>
    </w:p>
    <w:p w14:paraId="6A66EAFA" w14:textId="42AFF390" w:rsidR="00A75357" w:rsidRPr="002C38F8" w:rsidRDefault="00A75357" w:rsidP="002C38F8">
      <w:pPr>
        <w:pStyle w:val="Heading2"/>
        <w:rPr>
          <w:color w:val="000000" w:themeColor="text1"/>
          <w:sz w:val="24"/>
          <w:szCs w:val="24"/>
          <w:u w:val="single"/>
          <w:lang w:val="en-GB"/>
        </w:rPr>
      </w:pPr>
      <w:r w:rsidRPr="002C38F8">
        <w:rPr>
          <w:color w:val="000000" w:themeColor="text1"/>
          <w:sz w:val="24"/>
          <w:szCs w:val="24"/>
          <w:u w:val="single"/>
          <w:lang w:val="en-GB"/>
        </w:rPr>
        <w:t>Strategy for prevention and protection from discrimination missing</w:t>
      </w:r>
    </w:p>
    <w:p w14:paraId="62A81C1B" w14:textId="2C77FC14" w:rsidR="00CA622D" w:rsidRDefault="00CA622D" w:rsidP="000876DF">
      <w:pPr>
        <w:pStyle w:val="ListParagraph"/>
        <w:numPr>
          <w:ilvl w:val="0"/>
          <w:numId w:val="2"/>
        </w:numPr>
        <w:jc w:val="both"/>
        <w:rPr>
          <w:lang w:val="en-GB"/>
        </w:rPr>
      </w:pPr>
      <w:r w:rsidRPr="00CA622D">
        <w:rPr>
          <w:lang w:val="en-GB"/>
        </w:rPr>
        <w:t xml:space="preserve">The Strategy for Prevention and Protection </w:t>
      </w:r>
      <w:r w:rsidR="00D73618">
        <w:rPr>
          <w:lang w:val="en-GB"/>
        </w:rPr>
        <w:t xml:space="preserve">from </w:t>
      </w:r>
      <w:r w:rsidRPr="00CA622D">
        <w:rPr>
          <w:lang w:val="en-GB"/>
        </w:rPr>
        <w:t xml:space="preserve">Discrimination for the period from 2013 to 2018 (hereinafter: the Strategy) </w:t>
      </w:r>
      <w:r>
        <w:rPr>
          <w:lang w:val="en-GB"/>
        </w:rPr>
        <w:t>was</w:t>
      </w:r>
      <w:r w:rsidRPr="00CA622D">
        <w:rPr>
          <w:lang w:val="en-GB"/>
        </w:rPr>
        <w:t xml:space="preserve"> the first such strategy adopted as a harmonized system of measures, conditions and public policy instruments that the Republic of Serbia should have implemented in order to prevent or reduction of all forms and special cases of discrimination, and especially towards certain persons or groups of persons with regard to their personal characteristics.</w:t>
      </w:r>
    </w:p>
    <w:p w14:paraId="788551EA" w14:textId="7228B213" w:rsidR="006C37F0" w:rsidRPr="00CA622D" w:rsidRDefault="006C37F0" w:rsidP="000876DF">
      <w:pPr>
        <w:pStyle w:val="ListParagraph"/>
        <w:numPr>
          <w:ilvl w:val="0"/>
          <w:numId w:val="2"/>
        </w:numPr>
        <w:jc w:val="both"/>
        <w:rPr>
          <w:lang w:val="en-GB"/>
        </w:rPr>
      </w:pPr>
      <w:r>
        <w:rPr>
          <w:lang w:val="en-GB"/>
        </w:rPr>
        <w:t xml:space="preserve">No new strategy has been adopted since, neither have measures defined by the Strategy been </w:t>
      </w:r>
      <w:r w:rsidR="006A2AFD">
        <w:rPr>
          <w:lang w:val="en-GB"/>
        </w:rPr>
        <w:t>met</w:t>
      </w:r>
      <w:r>
        <w:rPr>
          <w:lang w:val="en-GB"/>
        </w:rPr>
        <w:t xml:space="preserve">. With the lack of implementation of the Strategy up until the submission of this report and no new strategy being adopted, the position of LGBTI persons in Serbia is significantly declining and is contrary to the recommendations </w:t>
      </w:r>
      <w:r w:rsidR="00FF2AA7">
        <w:rPr>
          <w:lang w:val="en-GB"/>
        </w:rPr>
        <w:t xml:space="preserve">provided under </w:t>
      </w:r>
      <w:r w:rsidR="00337992">
        <w:rPr>
          <w:lang w:val="en-GB"/>
        </w:rPr>
        <w:t xml:space="preserve">e.g. UPR </w:t>
      </w:r>
      <w:r w:rsidR="00FF2AA7">
        <w:rPr>
          <w:lang w:val="en-GB"/>
        </w:rPr>
        <w:t xml:space="preserve">Cycle III of Serbia </w:t>
      </w:r>
      <w:r w:rsidR="00337992">
        <w:rPr>
          <w:lang w:val="en-GB"/>
        </w:rPr>
        <w:t xml:space="preserve">(which were </w:t>
      </w:r>
      <w:r>
        <w:rPr>
          <w:lang w:val="en-GB"/>
        </w:rPr>
        <w:t>supported by the Republic of Serbia</w:t>
      </w:r>
      <w:r w:rsidR="00337992">
        <w:rPr>
          <w:lang w:val="en-GB"/>
        </w:rPr>
        <w:t>)</w:t>
      </w:r>
      <w:r w:rsidR="006A2AFD">
        <w:rPr>
          <w:lang w:val="en-GB"/>
        </w:rPr>
        <w:t xml:space="preserve">. As there were no new developments, this report will analyse the </w:t>
      </w:r>
      <w:proofErr w:type="gramStart"/>
      <w:r w:rsidR="006A2AFD">
        <w:rPr>
          <w:lang w:val="en-GB"/>
        </w:rPr>
        <w:t>Strategy, that</w:t>
      </w:r>
      <w:proofErr w:type="gramEnd"/>
      <w:r w:rsidR="006A2AFD">
        <w:rPr>
          <w:lang w:val="en-GB"/>
        </w:rPr>
        <w:t xml:space="preserve"> partially</w:t>
      </w:r>
      <w:r w:rsidR="00337992">
        <w:rPr>
          <w:lang w:val="en-GB"/>
        </w:rPr>
        <w:t xml:space="preserve"> was</w:t>
      </w:r>
      <w:r w:rsidR="00320DEA">
        <w:rPr>
          <w:lang w:val="en-GB"/>
        </w:rPr>
        <w:t xml:space="preserve"> also</w:t>
      </w:r>
      <w:r w:rsidR="00337992">
        <w:rPr>
          <w:lang w:val="en-GB"/>
        </w:rPr>
        <w:t xml:space="preserve"> supposed to improve social, economic and cultural rights of LGBTI persons</w:t>
      </w:r>
      <w:r w:rsidR="006A2AFD">
        <w:rPr>
          <w:lang w:val="en-GB"/>
        </w:rPr>
        <w:t>.</w:t>
      </w:r>
    </w:p>
    <w:p w14:paraId="6D1B4EFF" w14:textId="525A67C3" w:rsidR="00CA622D" w:rsidRPr="00CA622D" w:rsidRDefault="00CA622D" w:rsidP="000876DF">
      <w:pPr>
        <w:pStyle w:val="ListParagraph"/>
        <w:numPr>
          <w:ilvl w:val="0"/>
          <w:numId w:val="2"/>
        </w:numPr>
        <w:jc w:val="both"/>
        <w:rPr>
          <w:lang w:val="en-GB"/>
        </w:rPr>
      </w:pPr>
      <w:r w:rsidRPr="00CA622D">
        <w:rPr>
          <w:lang w:val="en-GB"/>
        </w:rPr>
        <w:t>The strategy refer</w:t>
      </w:r>
      <w:r>
        <w:rPr>
          <w:lang w:val="en-GB"/>
        </w:rPr>
        <w:t>red</w:t>
      </w:r>
      <w:r w:rsidRPr="00CA622D">
        <w:rPr>
          <w:lang w:val="en-GB"/>
        </w:rPr>
        <w:t xml:space="preserve"> to the prevention and prohibition of all forms, types and special cases of discrimination. The strategy cover</w:t>
      </w:r>
      <w:r>
        <w:rPr>
          <w:lang w:val="en-GB"/>
        </w:rPr>
        <w:t>ed</w:t>
      </w:r>
      <w:r w:rsidRPr="00CA622D">
        <w:rPr>
          <w:lang w:val="en-GB"/>
        </w:rPr>
        <w:t xml:space="preserve"> all persons and groups of persons with regard to their personal characteristics, especially national minorities and vulnerable social groups that are most often exposed to discrimination, including gays, lesbians, bisexuals and trans people (hereinafter: LGBT persons). The strategy did not include the position of intersex persons (who are not yet recognized in the Law on Prohibition of Discrimination or in any other law). </w:t>
      </w:r>
      <w:r w:rsidR="003A0973">
        <w:rPr>
          <w:lang w:val="en-GB"/>
        </w:rPr>
        <w:t>N</w:t>
      </w:r>
      <w:r w:rsidRPr="00CA622D">
        <w:rPr>
          <w:lang w:val="en-GB"/>
        </w:rPr>
        <w:t>on-binary individuals were also not recognized.</w:t>
      </w:r>
    </w:p>
    <w:p w14:paraId="70060AF5" w14:textId="3ACC9E93" w:rsidR="00A75357" w:rsidRDefault="00CA622D" w:rsidP="000876DF">
      <w:pPr>
        <w:pStyle w:val="ListParagraph"/>
        <w:numPr>
          <w:ilvl w:val="0"/>
          <w:numId w:val="2"/>
        </w:numPr>
        <w:jc w:val="both"/>
        <w:rPr>
          <w:lang w:val="en-GB"/>
        </w:rPr>
      </w:pPr>
      <w:r w:rsidRPr="00CA622D">
        <w:rPr>
          <w:lang w:val="en-GB"/>
        </w:rPr>
        <w:lastRenderedPageBreak/>
        <w:t xml:space="preserve">The strategy was accompanied by an appropriate Action Plan, adopted for the period 2014-2018. It is noticeable that the Action Plan did not include </w:t>
      </w:r>
      <w:r w:rsidR="00516AD1">
        <w:rPr>
          <w:lang w:val="en-GB"/>
        </w:rPr>
        <w:t xml:space="preserve">the year of </w:t>
      </w:r>
      <w:r w:rsidRPr="00CA622D">
        <w:rPr>
          <w:lang w:val="en-GB"/>
        </w:rPr>
        <w:t xml:space="preserve">2013, and the reason for that lies in the fact that it was adopted with a significant delay in relation to the date of adoption of the Strategy itself. Namely, the Government of the Republic of Serbia (hereinafter: </w:t>
      </w:r>
      <w:r w:rsidR="003A0973" w:rsidRPr="00CA622D">
        <w:rPr>
          <w:lang w:val="en-GB"/>
        </w:rPr>
        <w:t>The</w:t>
      </w:r>
      <w:r w:rsidRPr="00CA622D">
        <w:rPr>
          <w:lang w:val="en-GB"/>
        </w:rPr>
        <w:t xml:space="preserve"> Government) adopted the Strategy at the session held on </w:t>
      </w:r>
      <w:r w:rsidR="003A0973">
        <w:rPr>
          <w:lang w:val="en-GB"/>
        </w:rPr>
        <w:t xml:space="preserve">27 </w:t>
      </w:r>
      <w:r w:rsidRPr="00CA622D">
        <w:rPr>
          <w:lang w:val="en-GB"/>
        </w:rPr>
        <w:t xml:space="preserve">June 2013, while the accompanying Action Plan was adopted by the Conclusion of the Government only after more than fifteen months </w:t>
      </w:r>
      <w:r w:rsidR="003A0973">
        <w:rPr>
          <w:lang w:val="en-GB"/>
        </w:rPr>
        <w:t>–</w:t>
      </w:r>
      <w:r w:rsidRPr="00CA622D">
        <w:rPr>
          <w:lang w:val="en-GB"/>
        </w:rPr>
        <w:t xml:space="preserve"> </w:t>
      </w:r>
      <w:r w:rsidR="003A0973">
        <w:rPr>
          <w:lang w:val="en-GB"/>
        </w:rPr>
        <w:t xml:space="preserve">on 8 </w:t>
      </w:r>
      <w:r w:rsidRPr="00CA622D">
        <w:rPr>
          <w:lang w:val="en-GB"/>
        </w:rPr>
        <w:t>October 2014.</w:t>
      </w:r>
    </w:p>
    <w:p w14:paraId="38FC2663" w14:textId="3DE84DDE" w:rsidR="00CA622D" w:rsidRPr="00CA622D" w:rsidRDefault="00CA622D" w:rsidP="000876DF">
      <w:pPr>
        <w:pStyle w:val="ListParagraph"/>
        <w:numPr>
          <w:ilvl w:val="0"/>
          <w:numId w:val="2"/>
        </w:numPr>
        <w:jc w:val="both"/>
        <w:rPr>
          <w:lang w:val="en-GB"/>
        </w:rPr>
      </w:pPr>
      <w:r w:rsidRPr="00CA622D">
        <w:rPr>
          <w:lang w:val="en-GB"/>
        </w:rPr>
        <w:t xml:space="preserve">Since LGBT persons </w:t>
      </w:r>
      <w:r>
        <w:rPr>
          <w:lang w:val="en-GB"/>
        </w:rPr>
        <w:t>were</w:t>
      </w:r>
      <w:r w:rsidRPr="00CA622D">
        <w:rPr>
          <w:lang w:val="en-GB"/>
        </w:rPr>
        <w:t xml:space="preserve"> explicitly recognized as persons exposed to discrimination and discriminatory treatment, Part IV </w:t>
      </w:r>
      <w:r>
        <w:rPr>
          <w:lang w:val="en-GB"/>
        </w:rPr>
        <w:t>of the Strategy wa</w:t>
      </w:r>
      <w:r w:rsidRPr="00CA622D">
        <w:rPr>
          <w:lang w:val="en-GB"/>
        </w:rPr>
        <w:t>s dedicated to them. The strategy in this part refer</w:t>
      </w:r>
      <w:r>
        <w:rPr>
          <w:lang w:val="en-GB"/>
        </w:rPr>
        <w:t>red</w:t>
      </w:r>
      <w:r w:rsidRPr="00CA622D">
        <w:rPr>
          <w:lang w:val="en-GB"/>
        </w:rPr>
        <w:t xml:space="preserve"> to various international and domestic regulations governing the position of LGBT people. The issue of preventing discrimination against persons on the basis of their sexual orientation and gender identity was described as a "sensitive topic in the Serbian public". The strategy state</w:t>
      </w:r>
      <w:r>
        <w:rPr>
          <w:lang w:val="en-GB"/>
        </w:rPr>
        <w:t>d</w:t>
      </w:r>
      <w:r w:rsidRPr="00CA622D">
        <w:rPr>
          <w:lang w:val="en-GB"/>
        </w:rPr>
        <w:t xml:space="preserve"> that various forms of discrimination, violence and threats against LGBT people are still present today. Publicly and privately expressed homophobia and hate speech, as well as open forms of violence motivated by intolerance towards non-heterosexual affiliation, are the most common forms of discrimination and human rights violations against LGBT people. Security, especially in relation to the exercise of the right to peaceful assembly, ha</w:t>
      </w:r>
      <w:r w:rsidR="006C37F0">
        <w:rPr>
          <w:lang w:val="en-GB"/>
        </w:rPr>
        <w:t>d</w:t>
      </w:r>
      <w:r w:rsidRPr="00CA622D">
        <w:rPr>
          <w:lang w:val="en-GB"/>
        </w:rPr>
        <w:t xml:space="preserve"> been identified as a top priority for LGBT people.</w:t>
      </w:r>
    </w:p>
    <w:p w14:paraId="18B73B93" w14:textId="0F1F7DB9" w:rsidR="00CA622D" w:rsidRDefault="00CA622D" w:rsidP="000876DF">
      <w:pPr>
        <w:pStyle w:val="ListParagraph"/>
        <w:numPr>
          <w:ilvl w:val="0"/>
          <w:numId w:val="2"/>
        </w:numPr>
        <w:jc w:val="both"/>
        <w:rPr>
          <w:lang w:val="en-GB"/>
        </w:rPr>
      </w:pPr>
      <w:r w:rsidRPr="00CA622D">
        <w:rPr>
          <w:lang w:val="en-GB"/>
        </w:rPr>
        <w:t>As a comprehensive strategic document, the strategy should</w:t>
      </w:r>
      <w:r w:rsidR="006C37F0">
        <w:rPr>
          <w:lang w:val="en-GB"/>
        </w:rPr>
        <w:t xml:space="preserve"> have</w:t>
      </w:r>
      <w:r w:rsidRPr="00CA622D">
        <w:rPr>
          <w:lang w:val="en-GB"/>
        </w:rPr>
        <w:t xml:space="preserve"> undoubtedly be</w:t>
      </w:r>
      <w:r w:rsidR="006C37F0">
        <w:rPr>
          <w:lang w:val="en-GB"/>
        </w:rPr>
        <w:t>en</w:t>
      </w:r>
      <w:r w:rsidRPr="00CA622D">
        <w:rPr>
          <w:lang w:val="en-GB"/>
        </w:rPr>
        <w:t xml:space="preserve"> of great importance in terms of improving the position of LGBT people in Serbian society and should</w:t>
      </w:r>
      <w:r w:rsidR="006C37F0">
        <w:rPr>
          <w:lang w:val="en-GB"/>
        </w:rPr>
        <w:t xml:space="preserve"> had</w:t>
      </w:r>
      <w:r w:rsidRPr="00CA622D">
        <w:rPr>
          <w:lang w:val="en-GB"/>
        </w:rPr>
        <w:t>, through the accompanying Action Plan, set the framework for the adoption of laws and bylaws to improve their legal status and implement public policy measures to promote their equality.</w:t>
      </w:r>
    </w:p>
    <w:p w14:paraId="0513B4C5" w14:textId="47FE8950" w:rsidR="00544A3F" w:rsidRPr="00544A3F" w:rsidRDefault="006C37F0" w:rsidP="00544A3F">
      <w:pPr>
        <w:pStyle w:val="ListParagraph"/>
        <w:numPr>
          <w:ilvl w:val="0"/>
          <w:numId w:val="2"/>
        </w:numPr>
        <w:jc w:val="both"/>
        <w:rPr>
          <w:lang w:val="en-GB"/>
        </w:rPr>
      </w:pPr>
      <w:r>
        <w:rPr>
          <w:lang w:val="en-GB"/>
        </w:rPr>
        <w:t>T</w:t>
      </w:r>
      <w:r w:rsidRPr="006C37F0">
        <w:rPr>
          <w:lang w:val="en-GB"/>
        </w:rPr>
        <w:t xml:space="preserve">here are far more measures and goals </w:t>
      </w:r>
      <w:r>
        <w:rPr>
          <w:lang w:val="en-GB"/>
        </w:rPr>
        <w:t xml:space="preserve">referring to LGBT persons </w:t>
      </w:r>
      <w:r w:rsidRPr="006C37F0">
        <w:rPr>
          <w:lang w:val="en-GB"/>
        </w:rPr>
        <w:t>that have not been met, including the following:</w:t>
      </w:r>
    </w:p>
    <w:p w14:paraId="75A1BE59" w14:textId="4FC50B0A" w:rsidR="00844581" w:rsidRPr="00544A3F" w:rsidRDefault="00544A3F" w:rsidP="00544A3F">
      <w:pPr>
        <w:pStyle w:val="ListParagraph"/>
        <w:spacing w:after="0"/>
        <w:jc w:val="both"/>
        <w:rPr>
          <w:lang w:val="en-GB"/>
        </w:rPr>
      </w:pPr>
      <w:r>
        <w:rPr>
          <w:lang w:val="en-GB"/>
        </w:rPr>
        <w:t>23.1.</w:t>
      </w:r>
      <w:r w:rsidR="006C37F0" w:rsidRPr="006C37F0">
        <w:rPr>
          <w:lang w:val="en-GB"/>
        </w:rPr>
        <w:t xml:space="preserve"> The Law on Amendments to the Law on Registry Books, among other things, regulates the data on gender reassignment in the birth register. The data on the change of sex is entered in the registry book on the basis of the decision of the competent body, which is passed on the basis of the prescribed certificate of the competent health institution. The bylaw on the manner of issuance and the form of the certificate was passed at the beginning of 2019 and is very important for the application of the law itself. However, this legal solution still deviates from international human rights standards of legal recognition </w:t>
      </w:r>
      <w:r>
        <w:rPr>
          <w:lang w:val="en-GB"/>
        </w:rPr>
        <w:t>based on self-determination</w:t>
      </w:r>
      <w:r w:rsidR="006C37F0" w:rsidRPr="006C37F0">
        <w:rPr>
          <w:lang w:val="en-GB"/>
        </w:rPr>
        <w:t xml:space="preserve">, since </w:t>
      </w:r>
      <w:proofErr w:type="gramStart"/>
      <w:r w:rsidR="006C37F0" w:rsidRPr="006C37F0">
        <w:rPr>
          <w:lang w:val="en-GB"/>
        </w:rPr>
        <w:t>trans</w:t>
      </w:r>
      <w:proofErr w:type="gramEnd"/>
      <w:r w:rsidR="006C37F0" w:rsidRPr="006C37F0">
        <w:rPr>
          <w:lang w:val="en-GB"/>
        </w:rPr>
        <w:t xml:space="preserve"> people are still </w:t>
      </w:r>
      <w:r>
        <w:rPr>
          <w:lang w:val="en-GB"/>
        </w:rPr>
        <w:t xml:space="preserve">pathologized and </w:t>
      </w:r>
      <w:r w:rsidR="006C37F0" w:rsidRPr="006C37F0">
        <w:rPr>
          <w:lang w:val="en-GB"/>
        </w:rPr>
        <w:t>required to perform hormone therapy and psychiatric evaluation.</w:t>
      </w:r>
    </w:p>
    <w:p w14:paraId="241607D5" w14:textId="5027DEA7" w:rsidR="00544A3F" w:rsidRDefault="00544A3F" w:rsidP="00544A3F">
      <w:pPr>
        <w:pStyle w:val="ListParagraph"/>
        <w:spacing w:after="0"/>
        <w:jc w:val="both"/>
      </w:pPr>
      <w:r>
        <w:rPr>
          <w:lang w:val="en-GB"/>
        </w:rPr>
        <w:t>23.2.</w:t>
      </w:r>
      <w:r w:rsidR="006C37F0" w:rsidRPr="006C37F0">
        <w:rPr>
          <w:lang w:val="en-GB"/>
        </w:rPr>
        <w:t xml:space="preserve"> </w:t>
      </w:r>
      <w:r w:rsidRPr="00544A3F">
        <w:rPr>
          <w:lang w:val="en-GB"/>
        </w:rPr>
        <w:t>The process of adopting a relevant</w:t>
      </w:r>
      <w:r>
        <w:rPr>
          <w:lang w:val="en-GB"/>
        </w:rPr>
        <w:t xml:space="preserve"> </w:t>
      </w:r>
      <w:r w:rsidRPr="00544A3F">
        <w:rPr>
          <w:lang w:val="en-GB"/>
        </w:rPr>
        <w:t>law was initiated in 2021, but halted.</w:t>
      </w:r>
      <w:r w:rsidR="00664471">
        <w:rPr>
          <w:lang w:val="en-GB"/>
        </w:rPr>
        <w:t xml:space="preserve"> </w:t>
      </w:r>
      <w:r w:rsidRPr="00544A3F">
        <w:rPr>
          <w:lang w:val="en-GB"/>
        </w:rPr>
        <w:t>The lack of a comprehensive law regulating the matter</w:t>
      </w:r>
      <w:r>
        <w:rPr>
          <w:lang w:val="en-GB"/>
        </w:rPr>
        <w:t xml:space="preserve"> </w:t>
      </w:r>
      <w:r w:rsidRPr="00544A3F">
        <w:rPr>
          <w:lang w:val="en-GB"/>
        </w:rPr>
        <w:t>affects the wide scope of socio-economic rights of LGBT persons in Serbia.</w:t>
      </w:r>
      <w:r>
        <w:rPr>
          <w:lang w:val="en-GB"/>
        </w:rPr>
        <w:t xml:space="preserve"> </w:t>
      </w:r>
      <w:r w:rsidR="00F6205C" w:rsidRPr="00544A3F">
        <w:rPr>
          <w:lang w:val="en-GB"/>
        </w:rPr>
        <w:t>It is important to mention that civil society has made a Model law on same</w:t>
      </w:r>
      <w:r w:rsidR="00483DA0" w:rsidRPr="00544A3F">
        <w:rPr>
          <w:lang w:val="en-GB"/>
        </w:rPr>
        <w:t xml:space="preserve"> </w:t>
      </w:r>
      <w:r w:rsidR="00F6205C" w:rsidRPr="00544A3F">
        <w:rPr>
          <w:lang w:val="en-GB"/>
        </w:rPr>
        <w:t>sex partnerships back in 201</w:t>
      </w:r>
      <w:r w:rsidR="00483DA0" w:rsidRPr="00544A3F">
        <w:rPr>
          <w:lang w:val="en-GB"/>
        </w:rPr>
        <w:t>2</w:t>
      </w:r>
      <w:r w:rsidR="00F6205C" w:rsidRPr="00544A3F">
        <w:rPr>
          <w:lang w:val="en-GB"/>
        </w:rPr>
        <w:t xml:space="preserve">. In cooperation with legal experts, </w:t>
      </w:r>
      <w:r w:rsidR="00571333" w:rsidRPr="00544A3F">
        <w:rPr>
          <w:lang w:val="en-GB"/>
        </w:rPr>
        <w:t xml:space="preserve">CSO </w:t>
      </w:r>
      <w:r w:rsidR="00F6205C" w:rsidRPr="00544A3F">
        <w:rPr>
          <w:lang w:val="en-GB"/>
        </w:rPr>
        <w:t>LABRIS revised and modernised the Model law in April 2020</w:t>
      </w:r>
      <w:r w:rsidR="00483DA0">
        <w:rPr>
          <w:rStyle w:val="FootnoteReference"/>
          <w:lang w:val="en-GB"/>
        </w:rPr>
        <w:footnoteReference w:id="10"/>
      </w:r>
      <w:r w:rsidR="00F6205C" w:rsidRPr="00544A3F">
        <w:rPr>
          <w:lang w:val="en-GB"/>
        </w:rPr>
        <w:t>. The new Model law</w:t>
      </w:r>
      <w:r w:rsidR="00F6205C">
        <w:rPr>
          <w:rStyle w:val="FootnoteReference"/>
          <w:lang w:val="en-GB"/>
        </w:rPr>
        <w:footnoteReference w:id="11"/>
      </w:r>
      <w:r w:rsidR="00F6205C" w:rsidRPr="00544A3F">
        <w:rPr>
          <w:lang w:val="en-GB"/>
        </w:rPr>
        <w:t xml:space="preserve"> was disseminated among relevant state institutions, but these institutions did not react and have ignored LABRIS</w:t>
      </w:r>
      <w:r w:rsidR="00F6205C">
        <w:t>’ invitations to meet and discuss the Model law and actions to take accordingly.</w:t>
      </w:r>
    </w:p>
    <w:p w14:paraId="42A44E43" w14:textId="50DF5D95" w:rsidR="00844581" w:rsidRPr="00544A3F" w:rsidRDefault="00544A3F" w:rsidP="00544A3F">
      <w:pPr>
        <w:pStyle w:val="ListParagraph"/>
        <w:spacing w:after="0"/>
        <w:jc w:val="both"/>
        <w:rPr>
          <w:lang w:val="en-GB"/>
        </w:rPr>
      </w:pPr>
      <w:r w:rsidRPr="00544A3F">
        <w:rPr>
          <w:lang w:val="en-GB"/>
        </w:rPr>
        <w:lastRenderedPageBreak/>
        <w:t>23.3.</w:t>
      </w:r>
      <w:r w:rsidR="006C37F0" w:rsidRPr="00544A3F">
        <w:rPr>
          <w:lang w:val="en-GB"/>
        </w:rPr>
        <w:t xml:space="preserve"> The drafting of the model of the Law on Amendments to the Law on Inheritance has not started, in the sense of equalizing marital and extramarital union, i.e. recognizing the right to same-sex partners to inherit in the first hereditary line.</w:t>
      </w:r>
    </w:p>
    <w:p w14:paraId="2938BAE1" w14:textId="6AEB7F96" w:rsidR="00844581" w:rsidRPr="00544A3F" w:rsidRDefault="00544A3F" w:rsidP="00544A3F">
      <w:pPr>
        <w:pStyle w:val="ListParagraph"/>
        <w:spacing w:after="0"/>
        <w:jc w:val="both"/>
        <w:rPr>
          <w:lang w:val="en-GB"/>
        </w:rPr>
      </w:pPr>
      <w:r>
        <w:rPr>
          <w:lang w:val="en-GB"/>
        </w:rPr>
        <w:t>23.4.</w:t>
      </w:r>
      <w:r w:rsidR="006C37F0" w:rsidRPr="006C37F0">
        <w:rPr>
          <w:lang w:val="en-GB"/>
        </w:rPr>
        <w:t xml:space="preserve"> Drafting of the Law on Amendments to the Law on Social Protection has not started in the part that refers to special measures in relation to certain vulnerable social groups, in order to achieve more effective protection of LGBT people, i</w:t>
      </w:r>
      <w:r w:rsidR="006C37F0">
        <w:rPr>
          <w:lang w:val="en-GB"/>
        </w:rPr>
        <w:t>.</w:t>
      </w:r>
      <w:r w:rsidR="006C37F0" w:rsidRPr="006C37F0">
        <w:rPr>
          <w:lang w:val="en-GB"/>
        </w:rPr>
        <w:t>e</w:t>
      </w:r>
      <w:r w:rsidR="006C37F0">
        <w:rPr>
          <w:lang w:val="en-GB"/>
        </w:rPr>
        <w:t>.</w:t>
      </w:r>
      <w:r w:rsidR="006C37F0" w:rsidRPr="006C37F0">
        <w:rPr>
          <w:lang w:val="en-GB"/>
        </w:rPr>
        <w:t xml:space="preserve"> expanding the grounds of discrimination in providing social protection </w:t>
      </w:r>
      <w:r w:rsidR="003A0973">
        <w:rPr>
          <w:lang w:val="en-GB"/>
        </w:rPr>
        <w:t>to</w:t>
      </w:r>
      <w:r w:rsidR="006C37F0" w:rsidRPr="006C37F0">
        <w:rPr>
          <w:lang w:val="en-GB"/>
        </w:rPr>
        <w:t xml:space="preserve"> gender identity </w:t>
      </w:r>
      <w:r w:rsidR="00E06460">
        <w:rPr>
          <w:lang w:val="en-GB"/>
        </w:rPr>
        <w:t>and expression</w:t>
      </w:r>
      <w:r w:rsidR="006C37F0" w:rsidRPr="006C37F0">
        <w:rPr>
          <w:lang w:val="en-GB"/>
        </w:rPr>
        <w:t>.</w:t>
      </w:r>
    </w:p>
    <w:p w14:paraId="2838F34A" w14:textId="44132E94" w:rsidR="002C38F8" w:rsidRPr="00544A3F" w:rsidRDefault="00544A3F" w:rsidP="00544A3F">
      <w:pPr>
        <w:pStyle w:val="ListParagraph"/>
        <w:spacing w:after="0"/>
        <w:jc w:val="both"/>
        <w:rPr>
          <w:lang w:val="en-GB"/>
        </w:rPr>
      </w:pPr>
      <w:r>
        <w:rPr>
          <w:lang w:val="en-GB"/>
        </w:rPr>
        <w:t>23.5.</w:t>
      </w:r>
      <w:r w:rsidR="006C37F0" w:rsidRPr="006C37F0">
        <w:rPr>
          <w:lang w:val="en-GB"/>
        </w:rPr>
        <w:t xml:space="preserve"> The adopted amendments to the </w:t>
      </w:r>
      <w:r w:rsidR="00E06460" w:rsidRPr="006C37F0">
        <w:rPr>
          <w:lang w:val="en-GB"/>
        </w:rPr>
        <w:t>Labour</w:t>
      </w:r>
      <w:r w:rsidR="006C37F0" w:rsidRPr="006C37F0">
        <w:rPr>
          <w:lang w:val="en-GB"/>
        </w:rPr>
        <w:t xml:space="preserve"> Law in 2014 and 2017 did not explicitly include gender identity as personal characteristic in connection with the prohibition of discrimination, and the derogative term</w:t>
      </w:r>
      <w:r w:rsidR="006C37F0">
        <w:rPr>
          <w:lang w:val="en-GB"/>
        </w:rPr>
        <w:t>s</w:t>
      </w:r>
      <w:r w:rsidR="006C37F0" w:rsidRPr="006C37F0">
        <w:rPr>
          <w:lang w:val="en-GB"/>
        </w:rPr>
        <w:t xml:space="preserve"> </w:t>
      </w:r>
      <w:r w:rsidR="006C37F0">
        <w:rPr>
          <w:lang w:val="en-GB"/>
        </w:rPr>
        <w:t xml:space="preserve">referring to </w:t>
      </w:r>
      <w:r w:rsidR="006C37F0" w:rsidRPr="006C37F0">
        <w:rPr>
          <w:lang w:val="en-GB"/>
        </w:rPr>
        <w:t>sexual orientatio</w:t>
      </w:r>
      <w:r w:rsidR="006C37F0">
        <w:rPr>
          <w:lang w:val="en-GB"/>
        </w:rPr>
        <w:t>n</w:t>
      </w:r>
      <w:r w:rsidR="006A2AFD">
        <w:rPr>
          <w:lang w:val="en-GB"/>
        </w:rPr>
        <w:t xml:space="preserve"> were not changed</w:t>
      </w:r>
      <w:r w:rsidR="006C37F0" w:rsidRPr="006C37F0">
        <w:rPr>
          <w:lang w:val="en-GB"/>
        </w:rPr>
        <w:t xml:space="preserve">, which is contained in Art. 18 of this </w:t>
      </w:r>
      <w:proofErr w:type="gramStart"/>
      <w:r w:rsidR="006C37F0" w:rsidRPr="006C37F0">
        <w:rPr>
          <w:lang w:val="en-GB"/>
        </w:rPr>
        <w:t xml:space="preserve">law, </w:t>
      </w:r>
      <w:r w:rsidR="00E06460">
        <w:rPr>
          <w:lang w:val="en-GB"/>
        </w:rPr>
        <w:t>that</w:t>
      </w:r>
      <w:proofErr w:type="gramEnd"/>
      <w:r w:rsidR="006C37F0" w:rsidRPr="006C37F0">
        <w:rPr>
          <w:lang w:val="en-GB"/>
        </w:rPr>
        <w:t xml:space="preserve"> regulates the prohibition of discrimination.</w:t>
      </w:r>
    </w:p>
    <w:p w14:paraId="1CAF485C" w14:textId="3C189A8E" w:rsidR="00844581" w:rsidRPr="00544A3F" w:rsidRDefault="00544A3F" w:rsidP="00544A3F">
      <w:pPr>
        <w:pStyle w:val="ListParagraph"/>
        <w:spacing w:after="0"/>
        <w:jc w:val="both"/>
        <w:rPr>
          <w:lang w:val="en-GB"/>
        </w:rPr>
      </w:pPr>
      <w:r>
        <w:rPr>
          <w:lang w:val="en-GB"/>
        </w:rPr>
        <w:t>23.6.</w:t>
      </w:r>
      <w:r w:rsidR="00844581">
        <w:rPr>
          <w:lang w:val="en-GB"/>
        </w:rPr>
        <w:t xml:space="preserve"> </w:t>
      </w:r>
      <w:r w:rsidR="006C37F0" w:rsidRPr="006A2AFD">
        <w:rPr>
          <w:lang w:val="en-GB"/>
        </w:rPr>
        <w:t>In the field of sports, the legal framework prohibiting discrimination is recognized in the new Law on Sports, which was adopted in February 2016, but the prohibition of discrimination does not explicitly cover discrimination based on sexual orientation and gender identity</w:t>
      </w:r>
      <w:r w:rsidR="00760D8E">
        <w:rPr>
          <w:lang w:val="en-GB"/>
        </w:rPr>
        <w:t xml:space="preserve"> (or gender expression and sex characteristics)</w:t>
      </w:r>
      <w:r w:rsidR="006C37F0" w:rsidRPr="006A2AFD">
        <w:rPr>
          <w:lang w:val="en-GB"/>
        </w:rPr>
        <w:t>.</w:t>
      </w:r>
    </w:p>
    <w:p w14:paraId="086DF830" w14:textId="2720C2CA" w:rsidR="00844581" w:rsidRPr="00544A3F" w:rsidRDefault="00544A3F" w:rsidP="00544A3F">
      <w:pPr>
        <w:pStyle w:val="ListParagraph"/>
        <w:jc w:val="both"/>
        <w:rPr>
          <w:lang w:val="en-GB"/>
        </w:rPr>
      </w:pPr>
      <w:r>
        <w:rPr>
          <w:lang w:val="en-GB"/>
        </w:rPr>
        <w:t>23.7.</w:t>
      </w:r>
      <w:r w:rsidR="00844581">
        <w:rPr>
          <w:lang w:val="en-GB"/>
        </w:rPr>
        <w:t xml:space="preserve"> </w:t>
      </w:r>
      <w:r w:rsidR="006C37F0" w:rsidRPr="006A2AFD">
        <w:rPr>
          <w:lang w:val="en-GB"/>
        </w:rPr>
        <w:t>In the field of health, the abolition of certain discriminatory practices and the development of mandatory instructions regarding the donation of blood to LGBT people has also not been implemented.</w:t>
      </w:r>
    </w:p>
    <w:p w14:paraId="03954375" w14:textId="4C90A7DC" w:rsidR="00A75357" w:rsidRPr="006A2AFD" w:rsidRDefault="00544A3F" w:rsidP="006A2AFD">
      <w:pPr>
        <w:pStyle w:val="ListParagraph"/>
        <w:jc w:val="both"/>
        <w:rPr>
          <w:lang w:val="en-GB"/>
        </w:rPr>
      </w:pPr>
      <w:r>
        <w:rPr>
          <w:lang w:val="en-GB"/>
        </w:rPr>
        <w:t>23.8.</w:t>
      </w:r>
      <w:r w:rsidR="00844581">
        <w:rPr>
          <w:lang w:val="en-GB"/>
        </w:rPr>
        <w:t xml:space="preserve"> </w:t>
      </w:r>
      <w:r w:rsidR="006C37F0" w:rsidRPr="006A2AFD">
        <w:rPr>
          <w:lang w:val="en-GB"/>
        </w:rPr>
        <w:t>Professional training of civil servants regarding the application of anti-discrimination regulations in relation to vulnerable social groups, including LGBT people, has not been provided.</w:t>
      </w:r>
    </w:p>
    <w:p w14:paraId="50E887DD" w14:textId="60E79BE9" w:rsidR="00643552" w:rsidRPr="002F4D00" w:rsidRDefault="002C38F8" w:rsidP="00E12F00">
      <w:pPr>
        <w:pStyle w:val="Heading1"/>
        <w:rPr>
          <w:b/>
          <w:color w:val="auto"/>
          <w:sz w:val="28"/>
          <w:szCs w:val="28"/>
          <w:lang w:val="en-GB"/>
        </w:rPr>
      </w:pPr>
      <w:r w:rsidRPr="002F4D00">
        <w:rPr>
          <w:b/>
          <w:color w:val="auto"/>
          <w:sz w:val="28"/>
          <w:szCs w:val="28"/>
          <w:lang w:val="en-GB"/>
        </w:rPr>
        <w:t>Relevant data related to the socio-economic rights of LGBTI persons</w:t>
      </w:r>
    </w:p>
    <w:p w14:paraId="0A5629CF" w14:textId="630BD3E9" w:rsidR="002C38F8" w:rsidRPr="002C38F8" w:rsidRDefault="002C38F8" w:rsidP="002C38F8">
      <w:pPr>
        <w:pStyle w:val="Heading2"/>
        <w:spacing w:before="0" w:line="240" w:lineRule="auto"/>
        <w:rPr>
          <w:color w:val="000000" w:themeColor="text1"/>
          <w:sz w:val="24"/>
          <w:szCs w:val="24"/>
          <w:u w:val="single"/>
        </w:rPr>
      </w:pPr>
      <w:r w:rsidRPr="002C38F8">
        <w:rPr>
          <w:color w:val="000000" w:themeColor="text1"/>
          <w:sz w:val="24"/>
          <w:szCs w:val="24"/>
          <w:u w:val="single"/>
        </w:rPr>
        <w:t>EU LGBTI Survey II</w:t>
      </w:r>
    </w:p>
    <w:p w14:paraId="1698D676" w14:textId="4DDF56F0" w:rsidR="000E44C1" w:rsidRPr="000E44C1" w:rsidRDefault="000E44C1" w:rsidP="000E44C1">
      <w:pPr>
        <w:pStyle w:val="NormalWeb"/>
        <w:numPr>
          <w:ilvl w:val="0"/>
          <w:numId w:val="2"/>
        </w:numPr>
        <w:jc w:val="both"/>
        <w:rPr>
          <w:rFonts w:asciiTheme="minorHAnsi" w:hAnsiTheme="minorHAnsi" w:cstheme="minorHAnsi"/>
          <w:sz w:val="22"/>
          <w:szCs w:val="22"/>
        </w:rPr>
      </w:pPr>
      <w:r w:rsidRPr="000E44C1">
        <w:rPr>
          <w:rFonts w:asciiTheme="minorHAnsi" w:hAnsiTheme="minorHAnsi" w:cstheme="minorHAnsi"/>
          <w:sz w:val="22"/>
          <w:szCs w:val="22"/>
        </w:rPr>
        <w:t>The European Union’s Fundamental Rights Agency (FRA) launched the findings of its second Europe-wide LGBTI survey in May 2020. For the first time the report looks not only at the living experiences of LGBTI people in the European Union</w:t>
      </w:r>
      <w:r w:rsidR="007C1DC9">
        <w:rPr>
          <w:rFonts w:asciiTheme="minorHAnsi" w:hAnsiTheme="minorHAnsi" w:cstheme="minorHAnsi"/>
          <w:sz w:val="22"/>
          <w:szCs w:val="22"/>
        </w:rPr>
        <w:t xml:space="preserve"> (including the United Kingdom)</w:t>
      </w:r>
      <w:r w:rsidRPr="000E44C1">
        <w:rPr>
          <w:rFonts w:asciiTheme="minorHAnsi" w:hAnsiTheme="minorHAnsi" w:cstheme="minorHAnsi"/>
          <w:sz w:val="22"/>
          <w:szCs w:val="22"/>
        </w:rPr>
        <w:t xml:space="preserve">, but also in two EU accession countries, North Macedonia and Serbia. A total of 139,799 persons aged 15 or older who describe themselves as LGBTI completed the online EU-LGBTI II Survey across all the countries involved. The survey was conducted online from 27 May to 22 July 2019. Its questionnaire covered a wide range of issues, such as experiences of discrimination, harassment or violence, rights awareness, openness about being LGBTI, positive and negative experiences at work and in education, socio-economic and living conditions, health and well-being, and housing issues. </w:t>
      </w:r>
    </w:p>
    <w:p w14:paraId="11F6E344" w14:textId="6D769926" w:rsidR="002C38F8" w:rsidRPr="002C38F8" w:rsidRDefault="002C38F8" w:rsidP="000876DF">
      <w:pPr>
        <w:numPr>
          <w:ilvl w:val="0"/>
          <w:numId w:val="2"/>
        </w:numPr>
        <w:spacing w:after="0" w:line="240" w:lineRule="auto"/>
        <w:jc w:val="both"/>
        <w:rPr>
          <w:rFonts w:eastAsia="Times New Roman" w:cstheme="minorHAnsi"/>
          <w:color w:val="232323"/>
          <w:lang w:eastAsia="en-GB"/>
        </w:rPr>
      </w:pPr>
      <w:r w:rsidRPr="002C38F8">
        <w:rPr>
          <w:rFonts w:eastAsia="Times New Roman" w:cstheme="minorHAnsi"/>
          <w:lang w:eastAsia="en-GB"/>
        </w:rPr>
        <w:t>The results from the survey</w:t>
      </w:r>
      <w:r>
        <w:rPr>
          <w:rFonts w:eastAsia="Times New Roman" w:cstheme="minorHAnsi"/>
          <w:lang w:eastAsia="en-GB"/>
        </w:rPr>
        <w:t xml:space="preserve">, </w:t>
      </w:r>
      <w:proofErr w:type="gramStart"/>
      <w:r>
        <w:rPr>
          <w:rFonts w:eastAsia="Times New Roman" w:cstheme="minorHAnsi"/>
          <w:lang w:eastAsia="en-GB"/>
        </w:rPr>
        <w:t xml:space="preserve">conducted </w:t>
      </w:r>
      <w:r w:rsidRPr="002C38F8">
        <w:rPr>
          <w:rFonts w:eastAsia="Times New Roman" w:cstheme="minorHAnsi"/>
          <w:lang w:eastAsia="en-GB"/>
        </w:rPr>
        <w:t xml:space="preserve"> present</w:t>
      </w:r>
      <w:proofErr w:type="gramEnd"/>
      <w:r w:rsidRPr="002C38F8">
        <w:rPr>
          <w:rFonts w:eastAsia="Times New Roman" w:cstheme="minorHAnsi"/>
          <w:lang w:eastAsia="en-GB"/>
        </w:rPr>
        <w:t xml:space="preserve"> the largest international LGBTI survey of its kind.</w:t>
      </w:r>
      <w:r>
        <w:rPr>
          <w:rStyle w:val="FootnoteReference"/>
          <w:rFonts w:eastAsia="Times New Roman" w:cstheme="minorHAnsi"/>
          <w:lang w:eastAsia="en-GB"/>
        </w:rPr>
        <w:footnoteReference w:id="12"/>
      </w:r>
      <w:r w:rsidRPr="002C38F8">
        <w:rPr>
          <w:rFonts w:eastAsia="Times New Roman" w:cstheme="minorHAnsi"/>
          <w:lang w:eastAsia="en-GB"/>
        </w:rPr>
        <w:t xml:space="preserve"> </w:t>
      </w:r>
      <w:r w:rsidRPr="002C38F8">
        <w:rPr>
          <w:rFonts w:eastAsia="Times New Roman" w:cstheme="minorHAnsi"/>
          <w:color w:val="232323"/>
          <w:lang w:eastAsia="en-GB"/>
        </w:rPr>
        <w:t xml:space="preserve">The results </w:t>
      </w:r>
      <w:r w:rsidR="00E12F00">
        <w:rPr>
          <w:rFonts w:eastAsia="Times New Roman" w:cstheme="minorHAnsi"/>
          <w:color w:val="232323"/>
          <w:lang w:eastAsia="en-GB"/>
        </w:rPr>
        <w:t>show</w:t>
      </w:r>
      <w:r w:rsidRPr="002C38F8">
        <w:rPr>
          <w:rFonts w:eastAsia="Times New Roman" w:cstheme="minorHAnsi"/>
          <w:color w:val="232323"/>
          <w:lang w:eastAsia="en-GB"/>
        </w:rPr>
        <w:t xml:space="preserve">, </w:t>
      </w:r>
      <w:r w:rsidRPr="002C38F8">
        <w:rPr>
          <w:rFonts w:eastAsia="Times New Roman" w:cstheme="minorHAnsi"/>
          <w:i/>
          <w:iCs/>
          <w:color w:val="232323"/>
          <w:lang w:eastAsia="en-GB"/>
        </w:rPr>
        <w:t>inter alia</w:t>
      </w:r>
      <w:r w:rsidRPr="002C38F8">
        <w:rPr>
          <w:rFonts w:eastAsia="Times New Roman" w:cstheme="minorHAnsi"/>
          <w:color w:val="232323"/>
          <w:lang w:eastAsia="en-GB"/>
        </w:rPr>
        <w:t>, the following</w:t>
      </w:r>
      <w:r w:rsidR="00320DEA">
        <w:rPr>
          <w:rFonts w:eastAsia="Times New Roman" w:cstheme="minorHAnsi"/>
          <w:color w:val="232323"/>
          <w:lang w:eastAsia="en-GB"/>
        </w:rPr>
        <w:t xml:space="preserve"> responses from the LGBTI participants of the survey</w:t>
      </w:r>
      <w:r w:rsidRPr="002C38F8">
        <w:rPr>
          <w:rFonts w:eastAsia="Times New Roman" w:cstheme="minorHAnsi"/>
          <w:color w:val="232323"/>
          <w:lang w:eastAsia="en-GB"/>
        </w:rPr>
        <w:t>:</w:t>
      </w:r>
    </w:p>
    <w:p w14:paraId="00CFA6EC" w14:textId="26D4C9A9" w:rsidR="002C38F8" w:rsidRDefault="002C38F8" w:rsidP="002C38F8">
      <w:pPr>
        <w:pStyle w:val="ListParagraph"/>
        <w:numPr>
          <w:ilvl w:val="0"/>
          <w:numId w:val="30"/>
        </w:numPr>
        <w:spacing w:after="0"/>
        <w:jc w:val="both"/>
        <w:rPr>
          <w:rFonts w:eastAsia="Times New Roman" w:cstheme="minorHAnsi"/>
          <w:color w:val="232323"/>
          <w:lang w:eastAsia="en-GB"/>
        </w:rPr>
      </w:pPr>
      <w:r w:rsidRPr="002C38F8">
        <w:rPr>
          <w:rFonts w:eastAsia="Times New Roman" w:cstheme="minorHAnsi"/>
          <w:color w:val="232323"/>
          <w:lang w:eastAsia="en-GB"/>
        </w:rPr>
        <w:t xml:space="preserve">24% felt discriminated against at work in the year before the survey in Serbia. </w:t>
      </w:r>
    </w:p>
    <w:p w14:paraId="5C7F648A" w14:textId="44CAA653" w:rsidR="002C38F8" w:rsidRDefault="002C38F8" w:rsidP="002C38F8">
      <w:pPr>
        <w:pStyle w:val="ListParagraph"/>
        <w:numPr>
          <w:ilvl w:val="0"/>
          <w:numId w:val="30"/>
        </w:numPr>
        <w:spacing w:after="0"/>
        <w:jc w:val="both"/>
        <w:rPr>
          <w:rFonts w:eastAsia="Times New Roman" w:cstheme="minorHAnsi"/>
          <w:color w:val="232323"/>
          <w:lang w:eastAsia="en-GB"/>
        </w:rPr>
      </w:pPr>
      <w:r w:rsidRPr="002C38F8">
        <w:rPr>
          <w:rFonts w:eastAsia="Times New Roman" w:cstheme="minorHAnsi"/>
          <w:color w:val="232323"/>
          <w:lang w:eastAsia="en-GB"/>
        </w:rPr>
        <w:t xml:space="preserve">Discrimination affects many areas of life, such as going to a café, restaurant, </w:t>
      </w:r>
      <w:proofErr w:type="gramStart"/>
      <w:r w:rsidRPr="002C38F8">
        <w:rPr>
          <w:rFonts w:eastAsia="Times New Roman" w:cstheme="minorHAnsi"/>
          <w:color w:val="232323"/>
          <w:lang w:eastAsia="en-GB"/>
        </w:rPr>
        <w:t>hospital</w:t>
      </w:r>
      <w:proofErr w:type="gramEnd"/>
      <w:r w:rsidRPr="002C38F8">
        <w:rPr>
          <w:rFonts w:eastAsia="Times New Roman" w:cstheme="minorHAnsi"/>
          <w:color w:val="232323"/>
          <w:lang w:eastAsia="en-GB"/>
        </w:rPr>
        <w:t xml:space="preserve"> or to a shop. Overall, in Serbia in 2019</w:t>
      </w:r>
      <w:r w:rsidR="00E12F00">
        <w:rPr>
          <w:rFonts w:eastAsia="Times New Roman" w:cstheme="minorHAnsi"/>
          <w:color w:val="232323"/>
          <w:lang w:eastAsia="en-GB"/>
        </w:rPr>
        <w:t>,</w:t>
      </w:r>
      <w:r w:rsidRPr="002C38F8">
        <w:rPr>
          <w:rFonts w:eastAsia="Times New Roman" w:cstheme="minorHAnsi"/>
          <w:color w:val="232323"/>
          <w:lang w:eastAsia="en-GB"/>
        </w:rPr>
        <w:t xml:space="preserve"> 45% felt discriminated against in at least one area of life in the year before the survey.</w:t>
      </w:r>
    </w:p>
    <w:p w14:paraId="401C45FD" w14:textId="77777777" w:rsidR="002C38F8" w:rsidRDefault="002C38F8" w:rsidP="002C38F8">
      <w:pPr>
        <w:pStyle w:val="ListParagraph"/>
        <w:numPr>
          <w:ilvl w:val="0"/>
          <w:numId w:val="30"/>
        </w:numPr>
        <w:spacing w:after="0"/>
        <w:jc w:val="both"/>
        <w:rPr>
          <w:rFonts w:eastAsia="Times New Roman" w:cstheme="minorHAnsi"/>
          <w:color w:val="232323"/>
          <w:lang w:eastAsia="en-GB"/>
        </w:rPr>
      </w:pPr>
      <w:r w:rsidRPr="002C38F8">
        <w:rPr>
          <w:rFonts w:eastAsia="Times New Roman" w:cstheme="minorHAnsi"/>
          <w:color w:val="232323"/>
          <w:lang w:eastAsia="en-GB"/>
        </w:rPr>
        <w:t>9% reported their discrimination experiences to an equality body or another organisation in Serbia.</w:t>
      </w:r>
    </w:p>
    <w:p w14:paraId="0525C132" w14:textId="77777777" w:rsidR="002C38F8" w:rsidRDefault="002C38F8" w:rsidP="002C38F8">
      <w:pPr>
        <w:pStyle w:val="ListParagraph"/>
        <w:numPr>
          <w:ilvl w:val="0"/>
          <w:numId w:val="30"/>
        </w:numPr>
        <w:spacing w:after="0"/>
        <w:jc w:val="both"/>
        <w:rPr>
          <w:rFonts w:eastAsia="Times New Roman" w:cstheme="minorHAnsi"/>
          <w:color w:val="232323"/>
          <w:lang w:eastAsia="en-GB"/>
        </w:rPr>
      </w:pPr>
      <w:r w:rsidRPr="002C38F8">
        <w:rPr>
          <w:rFonts w:eastAsia="Times New Roman" w:cstheme="minorHAnsi"/>
          <w:color w:val="232323"/>
          <w:lang w:eastAsia="en-GB"/>
        </w:rPr>
        <w:t>42% of LGBTI students (15-17 years old) in Serbia say were hiding being LGBTI at school.</w:t>
      </w:r>
    </w:p>
    <w:p w14:paraId="3FAAD2A6" w14:textId="77777777" w:rsidR="002C38F8" w:rsidRDefault="002C38F8" w:rsidP="002C38F8">
      <w:pPr>
        <w:pStyle w:val="ListParagraph"/>
        <w:numPr>
          <w:ilvl w:val="0"/>
          <w:numId w:val="30"/>
        </w:numPr>
        <w:spacing w:after="0"/>
        <w:jc w:val="both"/>
        <w:rPr>
          <w:rFonts w:eastAsia="Times New Roman" w:cstheme="minorHAnsi"/>
          <w:color w:val="232323"/>
          <w:lang w:eastAsia="en-GB"/>
        </w:rPr>
      </w:pPr>
      <w:r w:rsidRPr="002C38F8">
        <w:rPr>
          <w:rFonts w:eastAsia="Times New Roman" w:cstheme="minorHAnsi"/>
          <w:color w:val="232323"/>
          <w:lang w:eastAsia="en-GB"/>
        </w:rPr>
        <w:lastRenderedPageBreak/>
        <w:t>34% of LGBTI students (15-17 years old) in Serbia say that in school someone often or always supported, defended or protected their rights as an LGBTI person.</w:t>
      </w:r>
    </w:p>
    <w:p w14:paraId="4871867E" w14:textId="77777777" w:rsidR="002C38F8" w:rsidRDefault="002C38F8" w:rsidP="002C38F8">
      <w:pPr>
        <w:pStyle w:val="ListParagraph"/>
        <w:numPr>
          <w:ilvl w:val="0"/>
          <w:numId w:val="30"/>
        </w:numPr>
        <w:spacing w:after="0"/>
        <w:jc w:val="both"/>
        <w:rPr>
          <w:rFonts w:eastAsia="Times New Roman" w:cstheme="minorHAnsi"/>
          <w:color w:val="232323"/>
          <w:lang w:eastAsia="en-GB"/>
        </w:rPr>
      </w:pPr>
      <w:r w:rsidRPr="002C38F8">
        <w:rPr>
          <w:rFonts w:eastAsia="Times New Roman" w:cstheme="minorHAnsi"/>
          <w:color w:val="232323"/>
          <w:lang w:eastAsia="en-GB"/>
        </w:rPr>
        <w:t>60% of LGBTI teenager respondents (15-17 years old) in Serbia say their peers or teachers have often or always supported LGBTI people.</w:t>
      </w:r>
    </w:p>
    <w:p w14:paraId="4FED6F0C" w14:textId="720CFA6F" w:rsidR="002C38F8" w:rsidRDefault="002C38F8" w:rsidP="002C38F8">
      <w:pPr>
        <w:pStyle w:val="ListParagraph"/>
        <w:numPr>
          <w:ilvl w:val="0"/>
          <w:numId w:val="30"/>
        </w:numPr>
        <w:spacing w:after="0"/>
        <w:jc w:val="both"/>
        <w:rPr>
          <w:rFonts w:eastAsia="Times New Roman" w:cstheme="minorHAnsi"/>
          <w:color w:val="232323"/>
          <w:lang w:eastAsia="en-GB"/>
        </w:rPr>
      </w:pPr>
      <w:r w:rsidRPr="002C38F8">
        <w:rPr>
          <w:rFonts w:eastAsia="Times New Roman" w:cstheme="minorHAnsi"/>
          <w:color w:val="232323"/>
          <w:lang w:eastAsia="en-GB"/>
        </w:rPr>
        <w:t>18% of LGBTI of teenager respondents (15-17 years old) in Serbia say their school education at some point addressed LGBTI issues positively or in a balanced way.</w:t>
      </w:r>
    </w:p>
    <w:p w14:paraId="76F06AB5" w14:textId="05F10793" w:rsidR="002C38F8" w:rsidRDefault="002C38F8" w:rsidP="002C38F8">
      <w:pPr>
        <w:spacing w:after="0"/>
        <w:jc w:val="both"/>
        <w:rPr>
          <w:rFonts w:eastAsia="Times New Roman" w:cstheme="minorHAnsi"/>
          <w:color w:val="232323"/>
          <w:lang w:eastAsia="en-GB"/>
        </w:rPr>
      </w:pPr>
    </w:p>
    <w:p w14:paraId="0ABC5265" w14:textId="7ED9D74F" w:rsidR="002C38F8" w:rsidRPr="002C38F8" w:rsidRDefault="002C38F8" w:rsidP="002C38F8">
      <w:pPr>
        <w:pStyle w:val="Heading2"/>
        <w:rPr>
          <w:rFonts w:eastAsia="Times New Roman"/>
          <w:color w:val="000000" w:themeColor="text1"/>
          <w:sz w:val="24"/>
          <w:szCs w:val="24"/>
          <w:u w:val="single"/>
          <w:lang w:eastAsia="en-GB"/>
        </w:rPr>
      </w:pPr>
      <w:r w:rsidRPr="002C38F8">
        <w:rPr>
          <w:rFonts w:eastAsia="Times New Roman"/>
          <w:color w:val="000000" w:themeColor="text1"/>
          <w:sz w:val="24"/>
          <w:szCs w:val="24"/>
          <w:u w:val="single"/>
          <w:lang w:eastAsia="en-GB"/>
        </w:rPr>
        <w:t>A Comparative Analysis of the Socioeconomic Dimensions of LGBTI Exclusion in Serbia</w:t>
      </w:r>
    </w:p>
    <w:p w14:paraId="545B5647" w14:textId="3A2BC1AA" w:rsidR="002C38F8" w:rsidRPr="00E12F00" w:rsidRDefault="00E12F00" w:rsidP="000876DF">
      <w:pPr>
        <w:pStyle w:val="ListParagraph"/>
        <w:numPr>
          <w:ilvl w:val="0"/>
          <w:numId w:val="2"/>
        </w:numPr>
        <w:ind w:left="714" w:hanging="357"/>
        <w:jc w:val="both"/>
        <w:rPr>
          <w:rFonts w:eastAsia="Times New Roman" w:cstheme="minorHAnsi"/>
          <w:sz w:val="24"/>
          <w:szCs w:val="24"/>
          <w:lang w:eastAsia="en-GB"/>
        </w:rPr>
      </w:pPr>
      <w:r w:rsidRPr="00E12F00">
        <w:rPr>
          <w:rFonts w:eastAsia="Times New Roman" w:cstheme="minorHAnsi"/>
          <w:color w:val="232323"/>
          <w:lang w:eastAsia="en-GB"/>
        </w:rPr>
        <w:t xml:space="preserve">This </w:t>
      </w:r>
      <w:r>
        <w:rPr>
          <w:rFonts w:eastAsia="Times New Roman" w:cstheme="minorHAnsi"/>
          <w:color w:val="232323"/>
          <w:lang w:eastAsia="en-GB"/>
        </w:rPr>
        <w:t>survey</w:t>
      </w:r>
      <w:r w:rsidRPr="00E12F00">
        <w:rPr>
          <w:rStyle w:val="FootnoteReference"/>
          <w:rFonts w:eastAsia="Times New Roman" w:cstheme="minorHAnsi"/>
          <w:color w:val="232323"/>
          <w:lang w:eastAsia="en-GB"/>
        </w:rPr>
        <w:footnoteReference w:id="13"/>
      </w:r>
      <w:r w:rsidRPr="00E12F00">
        <w:rPr>
          <w:rFonts w:eastAsia="Times New Roman" w:cstheme="minorHAnsi"/>
          <w:color w:val="232323"/>
          <w:lang w:eastAsia="en-GB"/>
        </w:rPr>
        <w:t xml:space="preserve">, conducted in 2018 by the World Bank in cooperation with ERA, IPSOS and the Williams institute, </w:t>
      </w:r>
      <w:r w:rsidRPr="00E12F00">
        <w:rPr>
          <w:rFonts w:eastAsia="Times New Roman" w:cstheme="minorHAnsi"/>
          <w:color w:val="000000"/>
          <w:shd w:val="clear" w:color="auto" w:fill="FFFFFF"/>
          <w:lang w:eastAsia="en-GB"/>
        </w:rPr>
        <w:t>is the first known attempt to collect large-scale survey data comparing the outcomes of LGBTI people with the Serbian population at large. This report represents a quantitative baseline on the status of LGBTI people. It revealed the particular challenges faced by transgender people, that few LGBTI people are employed in the public sector and that LGBTI people’s trust in Serbia’s social, political, and legal institutions is extremely low. </w:t>
      </w:r>
      <w:r>
        <w:rPr>
          <w:rFonts w:eastAsia="Times New Roman" w:cstheme="minorHAnsi"/>
          <w:color w:val="000000"/>
          <w:shd w:val="clear" w:color="auto" w:fill="FFFFFF"/>
          <w:lang w:eastAsia="en-GB"/>
        </w:rPr>
        <w:t>The results show, inter alia, the following:</w:t>
      </w:r>
    </w:p>
    <w:p w14:paraId="3BB15D1E" w14:textId="0F7C86FC" w:rsidR="00E12F00" w:rsidRPr="00E12F00" w:rsidRDefault="00E12F00" w:rsidP="00E12F00">
      <w:pPr>
        <w:pStyle w:val="ListParagraph"/>
        <w:numPr>
          <w:ilvl w:val="0"/>
          <w:numId w:val="31"/>
        </w:numPr>
        <w:spacing w:after="0" w:line="240" w:lineRule="auto"/>
        <w:ind w:leftChars="471" w:left="1393" w:hanging="357"/>
        <w:jc w:val="both"/>
        <w:rPr>
          <w:rFonts w:eastAsia="Times New Roman" w:cstheme="minorHAnsi"/>
          <w:lang w:eastAsia="en-GB"/>
        </w:rPr>
      </w:pPr>
      <w:r w:rsidRPr="00E12F00">
        <w:rPr>
          <w:rFonts w:eastAsia="Times New Roman" w:cstheme="minorHAnsi"/>
          <w:lang w:eastAsia="en-GB"/>
        </w:rPr>
        <w:t xml:space="preserve">The experience of discrimination has a direct impact on income: LGBTI respondents who had faced discrimination in the workplace earned €24 less than those who had not. Due largely to smaller overall household size, median household income is lower in LGBTI households (€489) for households in the comparable general population (€628). </w:t>
      </w:r>
    </w:p>
    <w:p w14:paraId="228D43EE" w14:textId="37533B5A" w:rsidR="00E12F00" w:rsidRDefault="00E12F00" w:rsidP="00E12F00">
      <w:pPr>
        <w:pStyle w:val="NormalWeb"/>
        <w:numPr>
          <w:ilvl w:val="0"/>
          <w:numId w:val="31"/>
        </w:numPr>
        <w:spacing w:before="0" w:beforeAutospacing="0" w:after="0" w:afterAutospacing="0"/>
        <w:ind w:leftChars="471" w:left="1393" w:hanging="357"/>
        <w:jc w:val="both"/>
        <w:rPr>
          <w:sz w:val="22"/>
          <w:szCs w:val="22"/>
        </w:rPr>
      </w:pPr>
      <w:r w:rsidRPr="00E12F00">
        <w:rPr>
          <w:rFonts w:ascii="Calibri" w:hAnsi="Calibri" w:cs="Calibri"/>
          <w:sz w:val="22"/>
          <w:szCs w:val="22"/>
        </w:rPr>
        <w:t>The at-risk-of-poverty rate is similar for LGBTI respondents (17 percent) and the comparable general population (16 percent).</w:t>
      </w:r>
      <w:r w:rsidRPr="00E12F00">
        <w:rPr>
          <w:rFonts w:ascii="Calibri" w:hAnsi="Calibri" w:cs="Calibri"/>
          <w:position w:val="8"/>
          <w:sz w:val="22"/>
          <w:szCs w:val="22"/>
        </w:rPr>
        <w:t xml:space="preserve"> </w:t>
      </w:r>
      <w:r w:rsidRPr="00E12F00">
        <w:rPr>
          <w:rFonts w:ascii="Calibri" w:hAnsi="Calibri" w:cs="Calibri"/>
          <w:sz w:val="22"/>
          <w:szCs w:val="22"/>
        </w:rPr>
        <w:t xml:space="preserve">Transgender respondents have the highest at-risk-of-poverty rate (24 percent) among LGBTI subgroups. </w:t>
      </w:r>
    </w:p>
    <w:p w14:paraId="519D403D" w14:textId="02810125" w:rsidR="00E12F00" w:rsidRPr="00E12F00" w:rsidRDefault="00E12F00" w:rsidP="00E12F00">
      <w:pPr>
        <w:pStyle w:val="NormalWeb"/>
        <w:numPr>
          <w:ilvl w:val="0"/>
          <w:numId w:val="31"/>
        </w:numPr>
        <w:spacing w:before="0" w:beforeAutospacing="0" w:after="0" w:afterAutospacing="0"/>
        <w:ind w:leftChars="471" w:left="1393" w:hanging="357"/>
        <w:jc w:val="both"/>
        <w:rPr>
          <w:sz w:val="22"/>
          <w:szCs w:val="22"/>
        </w:rPr>
      </w:pPr>
      <w:r w:rsidRPr="00E12F00">
        <w:rPr>
          <w:rFonts w:ascii="Calibri" w:hAnsi="Calibri" w:cs="Calibri"/>
          <w:sz w:val="22"/>
          <w:szCs w:val="22"/>
        </w:rPr>
        <w:t xml:space="preserve">Transgender and intersex respondents are at the highest risk of material deprivation (40 percent and 33 percent, respectively). Rates are also higher for older LGBTI respondents (27 percent of those over age 45) and LGBTI respondents with less education (32 percent of those without a college degree). </w:t>
      </w:r>
    </w:p>
    <w:p w14:paraId="240D496B" w14:textId="27C8FB22" w:rsidR="00E12F00" w:rsidRDefault="00E12F00" w:rsidP="00E12F00">
      <w:pPr>
        <w:pStyle w:val="NormalWeb"/>
        <w:numPr>
          <w:ilvl w:val="0"/>
          <w:numId w:val="31"/>
        </w:numPr>
        <w:ind w:leftChars="471" w:left="1396"/>
        <w:jc w:val="both"/>
      </w:pPr>
      <w:r w:rsidRPr="00E12F00">
        <w:rPr>
          <w:rFonts w:ascii="Calibri" w:hAnsi="Calibri" w:cs="Calibri"/>
          <w:sz w:val="22"/>
          <w:szCs w:val="22"/>
        </w:rPr>
        <w:t xml:space="preserve">LGBTI respondents are far less open about their identity to their colleagues in the public sector and far more likely to be out to their colleagues in the nongovernmental sector. </w:t>
      </w:r>
    </w:p>
    <w:p w14:paraId="63D6DD83" w14:textId="5B42898A" w:rsidR="00E12F00" w:rsidRDefault="00E12F00" w:rsidP="00E12F00">
      <w:pPr>
        <w:pStyle w:val="NormalWeb"/>
        <w:numPr>
          <w:ilvl w:val="0"/>
          <w:numId w:val="31"/>
        </w:numPr>
        <w:ind w:leftChars="471" w:left="1396"/>
        <w:jc w:val="both"/>
      </w:pPr>
      <w:r w:rsidRPr="00E12F00">
        <w:rPr>
          <w:rFonts w:ascii="Calibri" w:hAnsi="Calibri" w:cs="Calibri"/>
          <w:sz w:val="22"/>
          <w:szCs w:val="22"/>
        </w:rPr>
        <w:t>One out of three (33 percent) LGBTI respondents report a general negative attitude at work toward LGBTI people. This increases to 62 percent for transgender respondents. This fear of discrimination is evident in the fact that nearly half (47 percent) of LGBTI respondents are completely “closed</w:t>
      </w:r>
      <w:r w:rsidR="00544A3F">
        <w:rPr>
          <w:rFonts w:ascii="Calibri" w:hAnsi="Calibri" w:cs="Calibri"/>
          <w:sz w:val="22"/>
          <w:szCs w:val="22"/>
        </w:rPr>
        <w:t xml:space="preserve"> off</w:t>
      </w:r>
      <w:r w:rsidRPr="00E12F00">
        <w:rPr>
          <w:rFonts w:ascii="Calibri" w:hAnsi="Calibri" w:cs="Calibri"/>
          <w:sz w:val="22"/>
          <w:szCs w:val="22"/>
        </w:rPr>
        <w:t>” from their work colleagues about being LGBTI. Gay and bisexual men are the most closed off at work. One-fifth (19 percent) of LGBTI respondents report that discriminatory practices are targeted toward the LGBTI population when entering the workplace. Personal experiences of discrimination against LGBTI people once they are at work further demonstrate an unwelcome and stigmatizing environment. One out of five (20 percent) transgender respondents report suffering discrimination based on gender identity. Slightly less than one-fifth (17 percent) of intersex respondents said that they have been discriminated against at work based on their sex characteristics. Approximately one out of seven lesbian (14 percent) and gay (16 percent) respondents note that they have experienced discrimination at work because of</w:t>
      </w:r>
      <w:r>
        <w:rPr>
          <w:rFonts w:ascii="Calibri" w:hAnsi="Calibri" w:cs="Calibri"/>
          <w:sz w:val="22"/>
          <w:szCs w:val="22"/>
        </w:rPr>
        <w:t xml:space="preserve"> </w:t>
      </w:r>
      <w:r w:rsidRPr="00E12F00">
        <w:rPr>
          <w:rFonts w:ascii="Calibri" w:hAnsi="Calibri" w:cs="Calibri"/>
          <w:sz w:val="22"/>
          <w:szCs w:val="22"/>
        </w:rPr>
        <w:t>their sexual orientation</w:t>
      </w:r>
      <w:r>
        <w:rPr>
          <w:rFonts w:ascii="Calibri" w:hAnsi="Calibri" w:cs="Calibri"/>
          <w:sz w:val="22"/>
          <w:szCs w:val="22"/>
        </w:rPr>
        <w:t>.</w:t>
      </w:r>
    </w:p>
    <w:p w14:paraId="1BB5ED3E" w14:textId="22A3578A" w:rsidR="00E12F00" w:rsidRPr="00E12F00" w:rsidRDefault="00E12F00" w:rsidP="00E12F00">
      <w:pPr>
        <w:pStyle w:val="NormalWeb"/>
        <w:numPr>
          <w:ilvl w:val="0"/>
          <w:numId w:val="31"/>
        </w:numPr>
        <w:ind w:leftChars="471" w:left="1396"/>
        <w:jc w:val="both"/>
      </w:pPr>
      <w:r>
        <w:rPr>
          <w:rFonts w:ascii="Calibri" w:hAnsi="Calibri" w:cs="Calibri"/>
          <w:sz w:val="22"/>
          <w:szCs w:val="22"/>
        </w:rPr>
        <w:t>I</w:t>
      </w:r>
      <w:r w:rsidRPr="00E12F00">
        <w:rPr>
          <w:rFonts w:ascii="Calibri" w:hAnsi="Calibri" w:cs="Calibri"/>
          <w:sz w:val="22"/>
          <w:szCs w:val="22"/>
        </w:rPr>
        <w:t xml:space="preserve">n 10 percent of cases, workplace discrimination forced LGBTI people to quit their job. The rates for transgender and intersex respondents are even higher (27 and 13 percent, </w:t>
      </w:r>
      <w:r w:rsidRPr="00E12F00">
        <w:rPr>
          <w:rFonts w:ascii="Calibri" w:hAnsi="Calibri" w:cs="Calibri"/>
          <w:sz w:val="22"/>
          <w:szCs w:val="22"/>
        </w:rPr>
        <w:lastRenderedPageBreak/>
        <w:t>respectively). LGBTI respondents who reported experiencing any kind of workplace discrimination have lower personal and household incomes, have higher rates of material deprivation (52 versus 25 percent), and are more likely to be currently unemployed (24 versus 11 percent) than</w:t>
      </w:r>
      <w:r>
        <w:rPr>
          <w:rFonts w:ascii="Calibri" w:hAnsi="Calibri" w:cs="Calibri"/>
          <w:sz w:val="22"/>
          <w:szCs w:val="22"/>
        </w:rPr>
        <w:t xml:space="preserve"> </w:t>
      </w:r>
      <w:r w:rsidRPr="00E12F00">
        <w:rPr>
          <w:rFonts w:ascii="Calibri" w:hAnsi="Calibri" w:cs="Calibri"/>
          <w:sz w:val="22"/>
          <w:szCs w:val="22"/>
        </w:rPr>
        <w:t xml:space="preserve">those who have not experienced workplace discrimination. </w:t>
      </w:r>
    </w:p>
    <w:p w14:paraId="3E4D2E50" w14:textId="3E3DC179" w:rsidR="00E12F00" w:rsidRPr="00E12F00" w:rsidRDefault="00E12F00" w:rsidP="00E12F00">
      <w:pPr>
        <w:pStyle w:val="NormalWeb"/>
        <w:numPr>
          <w:ilvl w:val="0"/>
          <w:numId w:val="31"/>
        </w:numPr>
        <w:ind w:leftChars="471" w:left="1396"/>
        <w:jc w:val="both"/>
      </w:pPr>
      <w:r w:rsidRPr="00E12F00">
        <w:rPr>
          <w:rFonts w:ascii="Calibri" w:hAnsi="Calibri" w:cs="Calibri"/>
          <w:sz w:val="22"/>
          <w:szCs w:val="22"/>
        </w:rPr>
        <w:t xml:space="preserve">LGBTI respondents (71 percent) less often report their state of health as very good or good compared to the general population (93 percent). </w:t>
      </w:r>
    </w:p>
    <w:p w14:paraId="197D2786" w14:textId="1E53FAC8" w:rsidR="00C96209" w:rsidRDefault="00C96209" w:rsidP="00C96209">
      <w:pPr>
        <w:pStyle w:val="Heading2"/>
        <w:jc w:val="both"/>
        <w:rPr>
          <w:color w:val="000000" w:themeColor="text1"/>
          <w:sz w:val="24"/>
          <w:szCs w:val="24"/>
          <w:u w:val="single"/>
        </w:rPr>
      </w:pPr>
      <w:r w:rsidRPr="00C96209">
        <w:rPr>
          <w:color w:val="000000" w:themeColor="text1"/>
          <w:sz w:val="24"/>
          <w:szCs w:val="24"/>
          <w:u w:val="single"/>
        </w:rPr>
        <w:t>Discrimination against sexual minorities in education and housing: evidence from two field experiments in Serbia</w:t>
      </w:r>
    </w:p>
    <w:p w14:paraId="64F2776D" w14:textId="523B653D" w:rsidR="00C96209" w:rsidRPr="00C96209" w:rsidRDefault="00C96209" w:rsidP="000876DF">
      <w:pPr>
        <w:pStyle w:val="rtejustify"/>
        <w:numPr>
          <w:ilvl w:val="0"/>
          <w:numId w:val="2"/>
        </w:numPr>
        <w:spacing w:before="0" w:beforeAutospacing="0" w:after="0" w:afterAutospacing="0" w:line="259" w:lineRule="auto"/>
        <w:ind w:left="714" w:hanging="357"/>
        <w:jc w:val="both"/>
        <w:rPr>
          <w:rFonts w:asciiTheme="minorHAnsi" w:hAnsiTheme="minorHAnsi" w:cstheme="minorHAnsi"/>
          <w:color w:val="222222"/>
          <w:sz w:val="22"/>
          <w:szCs w:val="22"/>
        </w:rPr>
      </w:pPr>
      <w:r w:rsidRPr="00C96209">
        <w:rPr>
          <w:rFonts w:asciiTheme="minorHAnsi" w:hAnsiTheme="minorHAnsi" w:cstheme="minorHAnsi"/>
          <w:color w:val="222222"/>
          <w:sz w:val="22"/>
          <w:szCs w:val="22"/>
        </w:rPr>
        <w:t xml:space="preserve">The report "Discrimination Against Sexual Minorities in Education and Housing: Evidence from Two Field Experiments in Serbia", </w:t>
      </w:r>
      <w:r>
        <w:rPr>
          <w:rFonts w:asciiTheme="minorHAnsi" w:hAnsiTheme="minorHAnsi" w:cstheme="minorHAnsi"/>
          <w:color w:val="222222"/>
          <w:sz w:val="22"/>
          <w:szCs w:val="22"/>
        </w:rPr>
        <w:t>conducted by</w:t>
      </w:r>
      <w:r w:rsidRPr="00C96209">
        <w:rPr>
          <w:rFonts w:cstheme="minorHAnsi"/>
          <w:color w:val="232323"/>
        </w:rPr>
        <w:t xml:space="preserve"> </w:t>
      </w:r>
      <w:r w:rsidRPr="00E12F00">
        <w:rPr>
          <w:rFonts w:cstheme="minorHAnsi"/>
          <w:color w:val="232323"/>
        </w:rPr>
        <w:t xml:space="preserve">the </w:t>
      </w:r>
      <w:r w:rsidRPr="00C96209">
        <w:rPr>
          <w:rFonts w:asciiTheme="minorHAnsi" w:hAnsiTheme="minorHAnsi" w:cstheme="minorHAnsi"/>
          <w:color w:val="232323"/>
          <w:sz w:val="22"/>
          <w:szCs w:val="22"/>
        </w:rPr>
        <w:t>World Bank in cooperation with ERA, IPSOS and the Williams institute</w:t>
      </w:r>
      <w:r>
        <w:rPr>
          <w:rFonts w:asciiTheme="minorHAnsi" w:hAnsiTheme="minorHAnsi" w:cstheme="minorHAnsi"/>
          <w:color w:val="232323"/>
          <w:sz w:val="22"/>
          <w:szCs w:val="22"/>
        </w:rPr>
        <w:t>,</w:t>
      </w:r>
      <w:r w:rsidRPr="00C96209">
        <w:rPr>
          <w:rFonts w:asciiTheme="minorHAnsi" w:hAnsiTheme="minorHAnsi" w:cstheme="minorHAnsi"/>
          <w:color w:val="222222"/>
          <w:sz w:val="22"/>
          <w:szCs w:val="22"/>
        </w:rPr>
        <w:t xml:space="preserve"> documents, for the first time, experimental evidence of discrimination against LGBTI people in access to education and housing in Serbia.</w:t>
      </w:r>
      <w:r>
        <w:rPr>
          <w:rStyle w:val="FootnoteReference"/>
          <w:rFonts w:asciiTheme="minorHAnsi" w:hAnsiTheme="minorHAnsi" w:cstheme="minorHAnsi"/>
          <w:color w:val="222222"/>
          <w:sz w:val="22"/>
          <w:szCs w:val="22"/>
        </w:rPr>
        <w:footnoteReference w:id="14"/>
      </w:r>
      <w:r>
        <w:rPr>
          <w:rFonts w:asciiTheme="minorHAnsi" w:hAnsiTheme="minorHAnsi" w:cstheme="minorHAnsi"/>
          <w:color w:val="222222"/>
          <w:sz w:val="22"/>
          <w:szCs w:val="22"/>
        </w:rPr>
        <w:t xml:space="preserve"> </w:t>
      </w:r>
      <w:r w:rsidRPr="00C96209">
        <w:rPr>
          <w:rFonts w:asciiTheme="minorHAnsi" w:hAnsiTheme="minorHAnsi" w:cstheme="minorHAnsi"/>
          <w:color w:val="222222"/>
          <w:sz w:val="22"/>
          <w:szCs w:val="22"/>
        </w:rPr>
        <w:t>These are just two of many important steps in the life of all people, including an LGBTI person, each with unique impacts on their social and economic lives.</w:t>
      </w:r>
      <w:r>
        <w:rPr>
          <w:rFonts w:asciiTheme="minorHAnsi" w:hAnsiTheme="minorHAnsi" w:cstheme="minorHAnsi"/>
          <w:color w:val="222222"/>
          <w:sz w:val="22"/>
          <w:szCs w:val="22"/>
        </w:rPr>
        <w:t xml:space="preserve"> </w:t>
      </w:r>
      <w:r w:rsidRPr="00C96209">
        <w:rPr>
          <w:rFonts w:asciiTheme="minorHAnsi" w:hAnsiTheme="minorHAnsi" w:cstheme="minorHAnsi"/>
          <w:color w:val="222222"/>
          <w:sz w:val="22"/>
          <w:szCs w:val="22"/>
        </w:rPr>
        <w:t>Despite Serbian Laws on the Prohibition of Discrimination, which include comprehensive protections for LGBTI people, evidence from these experiments suggests that discrimination exists in enrollment to primary schools and access to private rental market. Data were collected via telephone interviews in January and February 2017</w:t>
      </w:r>
      <w:r>
        <w:rPr>
          <w:rFonts w:asciiTheme="minorHAnsi" w:hAnsiTheme="minorHAnsi" w:cstheme="minorHAnsi"/>
          <w:color w:val="222222"/>
          <w:sz w:val="22"/>
          <w:szCs w:val="22"/>
        </w:rPr>
        <w:t>:</w:t>
      </w:r>
    </w:p>
    <w:p w14:paraId="673FB779" w14:textId="34B04C2F" w:rsidR="00C96209" w:rsidRDefault="00C96209" w:rsidP="00C96209">
      <w:pPr>
        <w:pStyle w:val="rtejustify"/>
        <w:numPr>
          <w:ilvl w:val="0"/>
          <w:numId w:val="36"/>
        </w:numPr>
        <w:spacing w:before="0" w:beforeAutospacing="0" w:after="0" w:afterAutospacing="0" w:line="259" w:lineRule="auto"/>
        <w:jc w:val="both"/>
        <w:rPr>
          <w:rFonts w:asciiTheme="minorHAnsi" w:hAnsiTheme="minorHAnsi" w:cstheme="minorHAnsi"/>
          <w:color w:val="222222"/>
          <w:sz w:val="22"/>
          <w:szCs w:val="22"/>
        </w:rPr>
      </w:pPr>
      <w:r w:rsidRPr="00C96209">
        <w:rPr>
          <w:rFonts w:asciiTheme="minorHAnsi" w:hAnsiTheme="minorHAnsi" w:cstheme="minorHAnsi"/>
          <w:color w:val="222222"/>
          <w:sz w:val="22"/>
          <w:szCs w:val="22"/>
        </w:rPr>
        <w:t>According to the survey results, 7</w:t>
      </w:r>
      <w:r w:rsidRPr="00C96209">
        <w:rPr>
          <w:rFonts w:asciiTheme="minorHAnsi" w:hAnsiTheme="minorHAnsi" w:cstheme="minorHAnsi"/>
          <w:color w:val="222222"/>
          <w:sz w:val="22"/>
          <w:szCs w:val="22"/>
          <w:vertAlign w:val="superscript"/>
        </w:rPr>
        <w:t>th</w:t>
      </w:r>
      <w:r w:rsidRPr="00C96209">
        <w:rPr>
          <w:rFonts w:asciiTheme="minorHAnsi" w:hAnsiTheme="minorHAnsi" w:cstheme="minorHAnsi"/>
          <w:color w:val="222222"/>
          <w:sz w:val="22"/>
          <w:szCs w:val="22"/>
        </w:rPr>
        <w:t xml:space="preserve"> grade boys that were perceived to be </w:t>
      </w:r>
      <w:r>
        <w:rPr>
          <w:rFonts w:asciiTheme="minorHAnsi" w:hAnsiTheme="minorHAnsi" w:cstheme="minorHAnsi"/>
          <w:color w:val="222222"/>
          <w:sz w:val="22"/>
          <w:szCs w:val="22"/>
        </w:rPr>
        <w:t>effeminate</w:t>
      </w:r>
      <w:r w:rsidRPr="00C96209">
        <w:rPr>
          <w:rFonts w:asciiTheme="minorHAnsi" w:hAnsiTheme="minorHAnsi" w:cstheme="minorHAnsi"/>
          <w:color w:val="222222"/>
          <w:sz w:val="22"/>
          <w:szCs w:val="22"/>
        </w:rPr>
        <w:t xml:space="preserve"> were three times as likely to be refused enrolment into a primary school (even though primary education is compulsory and refusal is prohibited by law).  And even when those boys were accepted into a school, they met with twice as much hesitation and delay by school administrators in accepting their enrolment. </w:t>
      </w:r>
    </w:p>
    <w:p w14:paraId="69EB14C6" w14:textId="6A6782C9" w:rsidR="00C96209" w:rsidRDefault="00C96209" w:rsidP="00C96209">
      <w:pPr>
        <w:pStyle w:val="rtejustify"/>
        <w:numPr>
          <w:ilvl w:val="0"/>
          <w:numId w:val="36"/>
        </w:numPr>
        <w:spacing w:before="0" w:beforeAutospacing="0" w:after="0" w:afterAutospacing="0" w:line="259" w:lineRule="auto"/>
        <w:jc w:val="both"/>
        <w:rPr>
          <w:rFonts w:asciiTheme="minorHAnsi" w:hAnsiTheme="minorHAnsi" w:cstheme="minorHAnsi"/>
          <w:color w:val="222222"/>
          <w:sz w:val="22"/>
          <w:szCs w:val="22"/>
        </w:rPr>
      </w:pPr>
      <w:r w:rsidRPr="00C96209">
        <w:rPr>
          <w:rFonts w:asciiTheme="minorHAnsi" w:hAnsiTheme="minorHAnsi" w:cstheme="minorHAnsi"/>
          <w:color w:val="222222"/>
          <w:sz w:val="22"/>
          <w:szCs w:val="22"/>
        </w:rPr>
        <w:t xml:space="preserve">Meanwhile, in the private rental market, 18% of same </w:t>
      </w:r>
      <w:proofErr w:type="gramStart"/>
      <w:r w:rsidRPr="00C96209">
        <w:rPr>
          <w:rFonts w:asciiTheme="minorHAnsi" w:hAnsiTheme="minorHAnsi" w:cstheme="minorHAnsi"/>
          <w:color w:val="222222"/>
          <w:sz w:val="22"/>
          <w:szCs w:val="22"/>
        </w:rPr>
        <w:t>sex  couples</w:t>
      </w:r>
      <w:proofErr w:type="gramEnd"/>
      <w:r w:rsidRPr="00C96209">
        <w:rPr>
          <w:rFonts w:asciiTheme="minorHAnsi" w:hAnsiTheme="minorHAnsi" w:cstheme="minorHAnsi"/>
          <w:color w:val="222222"/>
          <w:sz w:val="22"/>
          <w:szCs w:val="22"/>
        </w:rPr>
        <w:t xml:space="preserve"> were refused apartment rentals by landlords in the survey, when no heterosexual couples were refused. And gay couples were more than three times as likely to be refused as lesbian couples.</w:t>
      </w:r>
    </w:p>
    <w:p w14:paraId="27401637" w14:textId="14CCFFEF" w:rsidR="00041405" w:rsidRDefault="00041405" w:rsidP="00041405">
      <w:pPr>
        <w:pStyle w:val="rtejustify"/>
        <w:spacing w:before="0" w:beforeAutospacing="0" w:after="0" w:afterAutospacing="0" w:line="259" w:lineRule="auto"/>
        <w:jc w:val="both"/>
        <w:rPr>
          <w:rFonts w:asciiTheme="minorHAnsi" w:hAnsiTheme="minorHAnsi" w:cstheme="minorHAnsi"/>
          <w:color w:val="222222"/>
          <w:sz w:val="22"/>
          <w:szCs w:val="22"/>
        </w:rPr>
      </w:pPr>
    </w:p>
    <w:p w14:paraId="085A1CFD" w14:textId="77777777" w:rsidR="00041405" w:rsidRPr="00041405" w:rsidRDefault="00041405" w:rsidP="00041405">
      <w:pPr>
        <w:pBdr>
          <w:top w:val="nil"/>
          <w:left w:val="nil"/>
          <w:bottom w:val="nil"/>
          <w:right w:val="nil"/>
          <w:between w:val="nil"/>
        </w:pBdr>
        <w:spacing w:after="0"/>
        <w:jc w:val="both"/>
        <w:rPr>
          <w:rFonts w:asciiTheme="majorHAnsi" w:hAnsiTheme="majorHAnsi"/>
          <w:color w:val="000000"/>
          <w:sz w:val="24"/>
          <w:szCs w:val="24"/>
          <w:u w:val="single"/>
        </w:rPr>
      </w:pPr>
      <w:r w:rsidRPr="00041405">
        <w:rPr>
          <w:rFonts w:asciiTheme="majorHAnsi" w:hAnsiTheme="majorHAnsi"/>
          <w:color w:val="222222"/>
          <w:sz w:val="24"/>
          <w:szCs w:val="24"/>
          <w:u w:val="single"/>
        </w:rPr>
        <w:t>Institutional discrimination against LGB persons in healthcare</w:t>
      </w:r>
    </w:p>
    <w:p w14:paraId="0416CFD5" w14:textId="783727C4" w:rsidR="00041405" w:rsidRPr="00041405" w:rsidRDefault="00041405" w:rsidP="00041405">
      <w:pPr>
        <w:pStyle w:val="ListParagraph"/>
        <w:numPr>
          <w:ilvl w:val="0"/>
          <w:numId w:val="2"/>
        </w:numPr>
        <w:spacing w:after="0" w:line="240" w:lineRule="auto"/>
        <w:jc w:val="both"/>
        <w:rPr>
          <w:color w:val="222222"/>
        </w:rPr>
      </w:pPr>
      <w:r w:rsidRPr="00041405">
        <w:rPr>
          <w:color w:val="222222"/>
        </w:rPr>
        <w:t xml:space="preserve">In 2019, the Rulebook on Conditions and Criteria of Selection, Testing and Evaluation of Reproductive Cell Donors of the Ministry of Health came into force, which states that a reproductive cell donor cannot be a person with </w:t>
      </w:r>
      <w:proofErr w:type="gramStart"/>
      <w:r w:rsidRPr="00041405">
        <w:rPr>
          <w:color w:val="222222"/>
        </w:rPr>
        <w:t>a</w:t>
      </w:r>
      <w:proofErr w:type="gramEnd"/>
      <w:r w:rsidRPr="00041405">
        <w:rPr>
          <w:color w:val="222222"/>
        </w:rPr>
        <w:t xml:space="preserve"> "anamnesis" of homosexual relations in the last five years.</w:t>
      </w:r>
      <w:r w:rsidRPr="00041405">
        <w:rPr>
          <w:vertAlign w:val="superscript"/>
        </w:rPr>
        <w:footnoteReference w:id="15"/>
      </w:r>
      <w:r w:rsidRPr="00041405">
        <w:rPr>
          <w:color w:val="222222"/>
        </w:rPr>
        <w:t xml:space="preserve"> CSO </w:t>
      </w:r>
      <w:proofErr w:type="spellStart"/>
      <w:r w:rsidRPr="00041405">
        <w:rPr>
          <w:color w:val="222222"/>
        </w:rPr>
        <w:t>Izađi</w:t>
      </w:r>
      <w:proofErr w:type="spellEnd"/>
      <w:r w:rsidRPr="00041405">
        <w:rPr>
          <w:color w:val="222222"/>
        </w:rPr>
        <w:t xml:space="preserve">! </w:t>
      </w:r>
      <w:proofErr w:type="gramStart"/>
      <w:r w:rsidRPr="00041405">
        <w:rPr>
          <w:color w:val="222222"/>
        </w:rPr>
        <w:t>and</w:t>
      </w:r>
      <w:proofErr w:type="gramEnd"/>
      <w:r w:rsidRPr="00041405">
        <w:rPr>
          <w:color w:val="222222"/>
        </w:rPr>
        <w:t xml:space="preserve"> CSO Da se </w:t>
      </w:r>
      <w:proofErr w:type="spellStart"/>
      <w:r w:rsidRPr="00041405">
        <w:rPr>
          <w:color w:val="222222"/>
        </w:rPr>
        <w:t>zna</w:t>
      </w:r>
      <w:proofErr w:type="spellEnd"/>
      <w:r w:rsidRPr="00041405">
        <w:rPr>
          <w:color w:val="222222"/>
        </w:rPr>
        <w:t xml:space="preserve">! </w:t>
      </w:r>
      <w:proofErr w:type="gramStart"/>
      <w:r w:rsidRPr="00041405">
        <w:rPr>
          <w:color w:val="222222"/>
        </w:rPr>
        <w:t>filed</w:t>
      </w:r>
      <w:proofErr w:type="gramEnd"/>
      <w:r w:rsidRPr="00041405">
        <w:rPr>
          <w:color w:val="222222"/>
        </w:rPr>
        <w:t xml:space="preserve"> a complaint to the Commissioner for the Protection of Equality, who found discrimination and recommended that the Ministry of Health harmonize the discriminatory provisions with The Law on the Prohibition of Discrimination. Due to non-compliance with the recommendation, the Commissioner issued an official warning to the Ministry in 2020. However, the Ministry deleted the provision which states that the donor cannot be a person with "anamnesis" of homosexual relations in the last five years in 2021 and thus ended two years of institutional discrimination against LGB people regarding this issue.</w:t>
      </w:r>
    </w:p>
    <w:p w14:paraId="17832DBF" w14:textId="77777777" w:rsidR="00041405" w:rsidRPr="00C96209" w:rsidRDefault="00041405" w:rsidP="00041405">
      <w:pPr>
        <w:pStyle w:val="rtejustify"/>
        <w:spacing w:before="0" w:beforeAutospacing="0" w:after="0" w:afterAutospacing="0" w:line="259" w:lineRule="auto"/>
        <w:jc w:val="both"/>
        <w:rPr>
          <w:rFonts w:asciiTheme="minorHAnsi" w:hAnsiTheme="minorHAnsi" w:cstheme="minorHAnsi"/>
          <w:color w:val="222222"/>
          <w:sz w:val="22"/>
          <w:szCs w:val="22"/>
        </w:rPr>
      </w:pPr>
    </w:p>
    <w:p w14:paraId="08B88A12" w14:textId="307068B1" w:rsidR="002C38F8" w:rsidRPr="002C38F8" w:rsidRDefault="002C38F8" w:rsidP="002C38F8">
      <w:pPr>
        <w:pStyle w:val="Heading2"/>
        <w:rPr>
          <w:color w:val="000000" w:themeColor="text1"/>
          <w:sz w:val="24"/>
          <w:szCs w:val="24"/>
          <w:u w:val="single"/>
        </w:rPr>
      </w:pPr>
      <w:r>
        <w:rPr>
          <w:rStyle w:val="Strong"/>
          <w:b w:val="0"/>
          <w:bCs w:val="0"/>
          <w:color w:val="000000" w:themeColor="text1"/>
          <w:sz w:val="24"/>
          <w:szCs w:val="24"/>
          <w:u w:val="single"/>
        </w:rPr>
        <w:lastRenderedPageBreak/>
        <w:t xml:space="preserve">2020 </w:t>
      </w:r>
      <w:r w:rsidRPr="002C38F8">
        <w:rPr>
          <w:rStyle w:val="Strong"/>
          <w:b w:val="0"/>
          <w:bCs w:val="0"/>
          <w:color w:val="000000" w:themeColor="text1"/>
          <w:sz w:val="24"/>
          <w:szCs w:val="24"/>
          <w:u w:val="single"/>
        </w:rPr>
        <w:t>Annual LGBTI survey</w:t>
      </w:r>
    </w:p>
    <w:p w14:paraId="3A405A63" w14:textId="67EB484B" w:rsidR="002C38F8" w:rsidRPr="002C38F8" w:rsidRDefault="002C38F8" w:rsidP="000876DF">
      <w:pPr>
        <w:pStyle w:val="rtejustify"/>
        <w:numPr>
          <w:ilvl w:val="0"/>
          <w:numId w:val="2"/>
        </w:numPr>
        <w:spacing w:before="0" w:beforeAutospacing="0" w:after="0" w:afterAutospacing="0" w:line="259" w:lineRule="auto"/>
        <w:ind w:left="714" w:hanging="357"/>
        <w:jc w:val="both"/>
        <w:rPr>
          <w:rFonts w:asciiTheme="minorHAnsi" w:hAnsiTheme="minorHAnsi" w:cstheme="minorHAnsi"/>
          <w:color w:val="222222"/>
          <w:sz w:val="22"/>
          <w:szCs w:val="22"/>
        </w:rPr>
      </w:pPr>
      <w:r w:rsidRPr="002C38F8">
        <w:rPr>
          <w:rStyle w:val="Strong"/>
          <w:rFonts w:asciiTheme="minorHAnsi" w:hAnsiTheme="minorHAnsi" w:cstheme="minorHAnsi"/>
          <w:b w:val="0"/>
          <w:bCs w:val="0"/>
          <w:color w:val="222222"/>
          <w:sz w:val="22"/>
          <w:szCs w:val="22"/>
        </w:rPr>
        <w:t>Results of the research “Annual LGBTI survey 2020”</w:t>
      </w:r>
      <w:r w:rsidRPr="002C38F8">
        <w:rPr>
          <w:rStyle w:val="FootnoteReference"/>
          <w:rFonts w:asciiTheme="minorHAnsi" w:hAnsiTheme="minorHAnsi" w:cstheme="minorHAnsi"/>
          <w:color w:val="222222"/>
          <w:sz w:val="22"/>
          <w:szCs w:val="22"/>
        </w:rPr>
        <w:footnoteReference w:id="16"/>
      </w:r>
      <w:r w:rsidRPr="002C38F8">
        <w:rPr>
          <w:rStyle w:val="Strong"/>
          <w:rFonts w:asciiTheme="minorHAnsi" w:hAnsiTheme="minorHAnsi" w:cstheme="minorHAnsi"/>
          <w:b w:val="0"/>
          <w:bCs w:val="0"/>
          <w:color w:val="222222"/>
          <w:sz w:val="22"/>
          <w:szCs w:val="22"/>
        </w:rPr>
        <w:t>, conducted by IDEAS and RIC, show that LGBTI+ population in Serbia have low trust or no trust at all in the government and it is on same level as back in 2018</w:t>
      </w:r>
      <w:r w:rsidRPr="002C38F8">
        <w:rPr>
          <w:rFonts w:asciiTheme="minorHAnsi" w:hAnsiTheme="minorHAnsi" w:cstheme="minorHAnsi"/>
          <w:b/>
          <w:bCs/>
          <w:color w:val="222222"/>
          <w:sz w:val="22"/>
          <w:szCs w:val="22"/>
        </w:rPr>
        <w:t>.</w:t>
      </w:r>
      <w:r w:rsidRPr="002C38F8">
        <w:rPr>
          <w:rFonts w:asciiTheme="minorHAnsi" w:hAnsiTheme="minorHAnsi" w:cstheme="minorHAnsi"/>
          <w:color w:val="222222"/>
          <w:sz w:val="22"/>
          <w:szCs w:val="22"/>
        </w:rPr>
        <w:t xml:space="preserve"> 77% of LGBTI+ participants in research think that the Government does not care about the position of LGBTI+ population in Serbi</w:t>
      </w:r>
      <w:r w:rsidR="00544A3F">
        <w:rPr>
          <w:rFonts w:asciiTheme="minorHAnsi" w:hAnsiTheme="minorHAnsi" w:cstheme="minorHAnsi"/>
          <w:color w:val="222222"/>
          <w:sz w:val="22"/>
          <w:szCs w:val="22"/>
        </w:rPr>
        <w:t>a</w:t>
      </w:r>
      <w:r w:rsidRPr="002C38F8">
        <w:rPr>
          <w:rFonts w:asciiTheme="minorHAnsi" w:hAnsiTheme="minorHAnsi" w:cstheme="minorHAnsi"/>
          <w:color w:val="222222"/>
          <w:sz w:val="22"/>
          <w:szCs w:val="22"/>
        </w:rPr>
        <w:t xml:space="preserve">. Accordingly, 82% of LGBTI+ citizens consider that Serbia is not good place to live as an LGBTI+ person. On subsistence of negative atmosphere in society against LGBTI+ persons leads the fact that only 14% of LGBTI+ citizens feels liberty to show their true identity. </w:t>
      </w:r>
    </w:p>
    <w:p w14:paraId="056A70F1" w14:textId="3E5FA4F8" w:rsidR="002C38F8" w:rsidRPr="002C38F8" w:rsidRDefault="002C38F8" w:rsidP="000876DF">
      <w:pPr>
        <w:pStyle w:val="rtejustify"/>
        <w:numPr>
          <w:ilvl w:val="0"/>
          <w:numId w:val="2"/>
        </w:numPr>
        <w:spacing w:before="0" w:beforeAutospacing="0" w:after="0" w:afterAutospacing="0" w:line="259" w:lineRule="auto"/>
        <w:ind w:left="714" w:hanging="357"/>
        <w:jc w:val="both"/>
        <w:rPr>
          <w:rFonts w:asciiTheme="minorHAnsi" w:hAnsiTheme="minorHAnsi" w:cstheme="minorHAnsi"/>
          <w:color w:val="222222"/>
          <w:sz w:val="22"/>
          <w:szCs w:val="22"/>
        </w:rPr>
      </w:pPr>
      <w:r w:rsidRPr="002C38F8">
        <w:rPr>
          <w:rFonts w:asciiTheme="minorHAnsi" w:hAnsiTheme="minorHAnsi" w:cstheme="minorHAnsi"/>
          <w:color w:val="222222"/>
          <w:sz w:val="22"/>
          <w:szCs w:val="22"/>
        </w:rPr>
        <w:t>Results of qualitative part of this research </w:t>
      </w:r>
      <w:r w:rsidRPr="002C38F8">
        <w:rPr>
          <w:rStyle w:val="Strong"/>
          <w:rFonts w:asciiTheme="minorHAnsi" w:hAnsiTheme="minorHAnsi" w:cstheme="minorHAnsi"/>
          <w:b w:val="0"/>
          <w:bCs w:val="0"/>
          <w:color w:val="222222"/>
          <w:sz w:val="22"/>
          <w:szCs w:val="22"/>
        </w:rPr>
        <w:t>indicate that LGBTI+ citizens are not sufficiently informed about discrimination, nor availability of protection mechanisms against discrimination.</w:t>
      </w:r>
      <w:r w:rsidRPr="002C38F8">
        <w:rPr>
          <w:rFonts w:asciiTheme="minorHAnsi" w:hAnsiTheme="minorHAnsi" w:cstheme="minorHAnsi"/>
          <w:b/>
          <w:bCs/>
          <w:color w:val="222222"/>
          <w:sz w:val="22"/>
          <w:szCs w:val="22"/>
        </w:rPr>
        <w:t> </w:t>
      </w:r>
      <w:r w:rsidRPr="002C38F8">
        <w:rPr>
          <w:rFonts w:asciiTheme="minorHAnsi" w:hAnsiTheme="minorHAnsi" w:cstheme="minorHAnsi"/>
          <w:color w:val="222222"/>
          <w:sz w:val="22"/>
          <w:szCs w:val="22"/>
        </w:rPr>
        <w:t xml:space="preserve">High level of distrust of LGBTI+ citizens in Government and protection mechanisms against discrimination and not enough information, are the key factors which lead to uncertainty of LGBTI+ to use available protection mechanisms. </w:t>
      </w:r>
    </w:p>
    <w:p w14:paraId="5524EFDA" w14:textId="0AA22B36" w:rsidR="002C38F8" w:rsidRPr="00320DEA" w:rsidRDefault="002C38F8" w:rsidP="00320DEA">
      <w:pPr>
        <w:pStyle w:val="rtejustify"/>
        <w:numPr>
          <w:ilvl w:val="0"/>
          <w:numId w:val="2"/>
        </w:numPr>
        <w:spacing w:before="0" w:beforeAutospacing="0" w:after="0" w:afterAutospacing="0" w:line="259" w:lineRule="auto"/>
        <w:ind w:left="714" w:hanging="357"/>
        <w:jc w:val="both"/>
        <w:rPr>
          <w:rFonts w:asciiTheme="minorHAnsi" w:hAnsiTheme="minorHAnsi" w:cstheme="minorHAnsi"/>
          <w:color w:val="222222"/>
          <w:sz w:val="22"/>
          <w:szCs w:val="22"/>
        </w:rPr>
      </w:pPr>
      <w:r w:rsidRPr="00320DEA">
        <w:rPr>
          <w:rFonts w:asciiTheme="minorHAnsi" w:hAnsiTheme="minorHAnsi" w:cstheme="minorHAnsi"/>
          <w:color w:val="222222"/>
          <w:sz w:val="22"/>
          <w:szCs w:val="22"/>
        </w:rPr>
        <w:t xml:space="preserve">Results of the research show there is widespread discrimination in the field of work, whereby 16% LGBTI+ persons think they were discriminated in the recruitment process, while 24% think that they were discriminated at work. 92% of LGBTI+ persons think that existing mechanisms can’t guarantee their protection from discrimination in the workplace, while 83% consider that companies don't properly sanction discrimination in the workplace. </w:t>
      </w:r>
    </w:p>
    <w:p w14:paraId="68D24B5C" w14:textId="49236DB8" w:rsidR="000E44C1" w:rsidRPr="002F4D00" w:rsidRDefault="007C1DC9" w:rsidP="000E44C1">
      <w:pPr>
        <w:pStyle w:val="Heading1"/>
        <w:rPr>
          <w:b/>
          <w:bCs/>
          <w:color w:val="000000" w:themeColor="text1"/>
          <w:sz w:val="28"/>
          <w:szCs w:val="28"/>
        </w:rPr>
      </w:pPr>
      <w:r w:rsidRPr="002F4D00">
        <w:rPr>
          <w:b/>
          <w:bCs/>
          <w:color w:val="000000" w:themeColor="text1"/>
          <w:sz w:val="28"/>
          <w:szCs w:val="28"/>
        </w:rPr>
        <w:t>Advancing</w:t>
      </w:r>
      <w:r w:rsidR="000E44C1" w:rsidRPr="002F4D00">
        <w:rPr>
          <w:b/>
          <w:bCs/>
          <w:color w:val="000000" w:themeColor="text1"/>
          <w:sz w:val="28"/>
          <w:szCs w:val="28"/>
        </w:rPr>
        <w:t xml:space="preserve"> the cultural rights of LGBTI persons</w:t>
      </w:r>
    </w:p>
    <w:p w14:paraId="38D83DFC" w14:textId="0CA9D471" w:rsidR="007C1DC9" w:rsidRPr="007C1DC9" w:rsidRDefault="007C1DC9" w:rsidP="007C1DC9">
      <w:pPr>
        <w:pStyle w:val="NormalWeb"/>
        <w:numPr>
          <w:ilvl w:val="0"/>
          <w:numId w:val="2"/>
        </w:numPr>
        <w:jc w:val="both"/>
        <w:rPr>
          <w:rFonts w:asciiTheme="minorHAnsi" w:hAnsiTheme="minorHAnsi" w:cstheme="minorHAnsi"/>
          <w:sz w:val="22"/>
          <w:szCs w:val="22"/>
        </w:rPr>
      </w:pPr>
      <w:r w:rsidRPr="007C1DC9">
        <w:rPr>
          <w:rFonts w:asciiTheme="minorHAnsi" w:hAnsiTheme="minorHAnsi" w:cstheme="minorHAnsi"/>
          <w:color w:val="222222"/>
          <w:sz w:val="22"/>
          <w:szCs w:val="22"/>
        </w:rPr>
        <w:t xml:space="preserve">According to ERA’s “Case Study Serbia 2018”, which analyzed </w:t>
      </w:r>
      <w:r w:rsidRPr="007C1DC9">
        <w:rPr>
          <w:rFonts w:asciiTheme="minorHAnsi" w:hAnsiTheme="minorHAnsi" w:cstheme="minorHAnsi"/>
          <w:sz w:val="22"/>
          <w:szCs w:val="22"/>
        </w:rPr>
        <w:t>the LGBTI/queer cultural and arts scene currently existing in Serbia, LGBTI culture in Serbia is fragmented, underdeveloped, not adequately visible and supported.</w:t>
      </w:r>
      <w:r>
        <w:rPr>
          <w:rStyle w:val="FootnoteReference"/>
          <w:rFonts w:asciiTheme="minorHAnsi" w:hAnsiTheme="minorHAnsi" w:cstheme="minorHAnsi"/>
          <w:sz w:val="22"/>
          <w:szCs w:val="22"/>
        </w:rPr>
        <w:footnoteReference w:id="17"/>
      </w:r>
      <w:r w:rsidRPr="007C1DC9">
        <w:rPr>
          <w:rFonts w:asciiTheme="minorHAnsi" w:hAnsiTheme="minorHAnsi" w:cstheme="minorHAnsi"/>
          <w:sz w:val="22"/>
          <w:szCs w:val="22"/>
        </w:rPr>
        <w:t xml:space="preserve"> The society is still far from having diverse and comprehensive queer arts and culture, containing different and sustainable sets of its existence – from queer arts and cultural theories, exhibitions and public debates to more commercial </w:t>
      </w:r>
      <w:proofErr w:type="spellStart"/>
      <w:r w:rsidRPr="007C1DC9">
        <w:rPr>
          <w:rFonts w:asciiTheme="minorHAnsi" w:hAnsiTheme="minorHAnsi" w:cstheme="minorHAnsi"/>
          <w:sz w:val="22"/>
          <w:szCs w:val="22"/>
        </w:rPr>
        <w:t>programmes</w:t>
      </w:r>
      <w:proofErr w:type="spellEnd"/>
      <w:r w:rsidRPr="007C1DC9">
        <w:rPr>
          <w:rFonts w:asciiTheme="minorHAnsi" w:hAnsiTheme="minorHAnsi" w:cstheme="minorHAnsi"/>
          <w:sz w:val="22"/>
          <w:szCs w:val="22"/>
        </w:rPr>
        <w:t xml:space="preserve">, such as different sets of bars and clubs (that often mix with arts). The latter seem to be more visible and show progress in development. In overall, entertainment spaces such as drag shows, DJ sets, music and clubbing events have multiplied. Many of the events and initiatives are directly connected to civil society and local LGBTI CSOs. </w:t>
      </w:r>
    </w:p>
    <w:p w14:paraId="7F714796" w14:textId="78147B5A" w:rsidR="007C1DC9" w:rsidRPr="007C1DC9" w:rsidRDefault="007C1DC9" w:rsidP="007C1DC9">
      <w:pPr>
        <w:pStyle w:val="NormalWeb"/>
        <w:numPr>
          <w:ilvl w:val="0"/>
          <w:numId w:val="2"/>
        </w:numPr>
        <w:jc w:val="both"/>
        <w:rPr>
          <w:sz w:val="22"/>
          <w:szCs w:val="22"/>
        </w:rPr>
      </w:pPr>
      <w:r w:rsidRPr="007C1DC9">
        <w:rPr>
          <w:rFonts w:ascii="Calibri" w:hAnsi="Calibri" w:cs="Calibri"/>
          <w:sz w:val="22"/>
          <w:szCs w:val="22"/>
        </w:rPr>
        <w:t>Most of the queer arts and culture of Serbia are located in the capital Belgrade and to some extent, in the second largest city of Serbia – Novi Sad. LGBTI people in smaller cities and rural areas have hard access to queer arts and culture. Being outside of the big cities is difficult for LGBTI people who have no places to get to know each other and to address issues affecting the LGBTI community. LGBTI people and topics remain invisible in smaller cities and rural areas. Regular and peaceful pride events that were happening in</w:t>
      </w:r>
      <w:r w:rsidR="00320DEA">
        <w:rPr>
          <w:rFonts w:ascii="Calibri" w:hAnsi="Calibri" w:cs="Calibri"/>
          <w:sz w:val="22"/>
          <w:szCs w:val="22"/>
        </w:rPr>
        <w:t xml:space="preserve"> </w:t>
      </w:r>
      <w:r w:rsidRPr="007C1DC9">
        <w:rPr>
          <w:rFonts w:ascii="Calibri" w:hAnsi="Calibri" w:cs="Calibri"/>
          <w:sz w:val="22"/>
          <w:szCs w:val="22"/>
        </w:rPr>
        <w:t>the past years certainly are an added value and a solid foundation to this.</w:t>
      </w:r>
      <w:r>
        <w:rPr>
          <w:rStyle w:val="FootnoteReference"/>
          <w:rFonts w:ascii="Calibri" w:hAnsi="Calibri" w:cs="Calibri"/>
          <w:sz w:val="22"/>
          <w:szCs w:val="22"/>
        </w:rPr>
        <w:footnoteReference w:id="18"/>
      </w:r>
    </w:p>
    <w:p w14:paraId="5D6FF8F3" w14:textId="0107CC40" w:rsidR="00E03D24" w:rsidRPr="002F4D00" w:rsidRDefault="00E03D24" w:rsidP="00E03D24">
      <w:pPr>
        <w:pStyle w:val="Heading1"/>
        <w:rPr>
          <w:b/>
          <w:color w:val="auto"/>
          <w:sz w:val="28"/>
          <w:szCs w:val="28"/>
          <w:lang w:val="en-GB"/>
        </w:rPr>
      </w:pPr>
      <w:r w:rsidRPr="002F4D00">
        <w:rPr>
          <w:b/>
          <w:color w:val="auto"/>
          <w:sz w:val="28"/>
          <w:szCs w:val="28"/>
          <w:lang w:val="en-GB"/>
        </w:rPr>
        <w:lastRenderedPageBreak/>
        <w:t>Position of Trans Individuals</w:t>
      </w:r>
    </w:p>
    <w:p w14:paraId="23337138" w14:textId="0FBAFC4F" w:rsidR="00E12F00" w:rsidRPr="00E12F00" w:rsidRDefault="00E12F00" w:rsidP="00E12F00">
      <w:pPr>
        <w:pStyle w:val="Heading2"/>
        <w:rPr>
          <w:color w:val="000000" w:themeColor="text1"/>
          <w:sz w:val="24"/>
          <w:szCs w:val="24"/>
          <w:u w:val="single"/>
          <w:lang w:val="en-GB"/>
        </w:rPr>
      </w:pPr>
      <w:r w:rsidRPr="00E12F00">
        <w:rPr>
          <w:color w:val="000000" w:themeColor="text1"/>
          <w:sz w:val="24"/>
          <w:szCs w:val="24"/>
          <w:u w:val="single"/>
          <w:lang w:val="en-GB"/>
        </w:rPr>
        <w:t>Legal Gender Recognition</w:t>
      </w:r>
      <w:r w:rsidR="00544A3F">
        <w:rPr>
          <w:color w:val="000000" w:themeColor="text1"/>
          <w:sz w:val="24"/>
          <w:szCs w:val="24"/>
          <w:u w:val="single"/>
          <w:lang w:val="en-GB"/>
        </w:rPr>
        <w:t xml:space="preserve"> (LGR)</w:t>
      </w:r>
    </w:p>
    <w:p w14:paraId="4F9E7429" w14:textId="5EF6F6C1" w:rsidR="00544A3F" w:rsidRPr="00544A3F" w:rsidRDefault="00643552" w:rsidP="00544A3F">
      <w:pPr>
        <w:pStyle w:val="ListParagraph"/>
        <w:numPr>
          <w:ilvl w:val="0"/>
          <w:numId w:val="2"/>
        </w:numPr>
        <w:jc w:val="both"/>
        <w:rPr>
          <w:lang w:val="en-GB"/>
        </w:rPr>
      </w:pPr>
      <w:r w:rsidRPr="00544A3F">
        <w:rPr>
          <w:lang w:val="en-GB"/>
        </w:rPr>
        <w:t xml:space="preserve">In </w:t>
      </w:r>
      <w:r w:rsidR="00A75357" w:rsidRPr="00544A3F">
        <w:rPr>
          <w:lang w:val="en-GB"/>
        </w:rPr>
        <w:t>Serbia</w:t>
      </w:r>
      <w:r w:rsidRPr="00544A3F">
        <w:rPr>
          <w:lang w:val="en-GB"/>
        </w:rPr>
        <w:t xml:space="preserve">, legal gender recognition process is regulated by law, but remains inadequate, complicated and lengthy, while the bodies responsible for its implementation have no clear guidance on implementation or they seemed to be ignoring prescribed timelines. </w:t>
      </w:r>
      <w:r w:rsidR="00544A3F" w:rsidRPr="00544A3F">
        <w:rPr>
          <w:lang w:val="en-GB"/>
        </w:rPr>
        <w:t xml:space="preserve">There is no recognition of third gender marker leaving intersex and gender non-conforming people without protection. Birth certificates may be legally amended without undertaking of gender affirming surgery. However, </w:t>
      </w:r>
      <w:proofErr w:type="gramStart"/>
      <w:r w:rsidR="00544A3F" w:rsidRPr="00544A3F">
        <w:rPr>
          <w:lang w:val="en-GB"/>
        </w:rPr>
        <w:t>trans</w:t>
      </w:r>
      <w:proofErr w:type="gramEnd"/>
      <w:r w:rsidR="00544A3F" w:rsidRPr="00544A3F">
        <w:rPr>
          <w:lang w:val="en-GB"/>
        </w:rPr>
        <w:t xml:space="preserve"> people are still pathologized and required to perform hormone therapy and psychiatric evaluation before accessing LGR.</w:t>
      </w:r>
    </w:p>
    <w:p w14:paraId="3BEA14DA" w14:textId="28DF8003" w:rsidR="00CA622D" w:rsidRPr="00544A3F" w:rsidRDefault="00544A3F" w:rsidP="00544A3F">
      <w:pPr>
        <w:pStyle w:val="ListParagraph"/>
        <w:numPr>
          <w:ilvl w:val="0"/>
          <w:numId w:val="2"/>
        </w:numPr>
        <w:jc w:val="both"/>
        <w:rPr>
          <w:lang w:val="en"/>
        </w:rPr>
      </w:pPr>
      <w:r w:rsidRPr="00544A3F">
        <w:t>LGR</w:t>
      </w:r>
      <w:r w:rsidR="00CA622D" w:rsidRPr="00544A3F">
        <w:t xml:space="preserve"> is regulated in the Republic of Serbia under Article 45b of the Law on registry books</w:t>
      </w:r>
      <w:r w:rsidRPr="00544A3F">
        <w:t>.</w:t>
      </w:r>
      <w:r w:rsidR="00CA622D" w:rsidRPr="00544A3F">
        <w:rPr>
          <w:rStyle w:val="FootnoteReference"/>
        </w:rPr>
        <w:footnoteReference w:id="19"/>
      </w:r>
      <w:r w:rsidR="00CA622D" w:rsidRPr="00544A3F">
        <w:t xml:space="preserve"> </w:t>
      </w:r>
    </w:p>
    <w:p w14:paraId="1E2EB089" w14:textId="77777777" w:rsidR="00CA622D" w:rsidRPr="00CA622D" w:rsidRDefault="00CA622D" w:rsidP="00544A3F">
      <w:pPr>
        <w:pStyle w:val="ListParagraph"/>
        <w:numPr>
          <w:ilvl w:val="0"/>
          <w:numId w:val="2"/>
        </w:numPr>
        <w:jc w:val="both"/>
        <w:rPr>
          <w:lang w:val="en"/>
        </w:rPr>
      </w:pPr>
      <w:r w:rsidRPr="00544A3F">
        <w:rPr>
          <w:lang w:val="en"/>
        </w:rPr>
        <w:t>The Ministry of Public Administration and Local Self-government and Ministry of Health of the Republic</w:t>
      </w:r>
      <w:r w:rsidRPr="00CA622D">
        <w:rPr>
          <w:lang w:val="en"/>
        </w:rPr>
        <w:t xml:space="preserve"> of Serbia Working Group adopted the Ordinance on the manner of issuing and the health care institution confirmation form regarding the person‘s change of sex</w:t>
      </w:r>
      <w:r w:rsidRPr="0026262E">
        <w:rPr>
          <w:rStyle w:val="FootnoteReference"/>
          <w:lang w:val="en"/>
        </w:rPr>
        <w:footnoteReference w:id="20"/>
      </w:r>
      <w:r w:rsidRPr="00CA622D">
        <w:rPr>
          <w:b/>
          <w:bCs/>
          <w:lang w:val="en"/>
        </w:rPr>
        <w:t xml:space="preserve"> </w:t>
      </w:r>
      <w:r w:rsidRPr="00CA622D">
        <w:rPr>
          <w:lang w:val="en"/>
        </w:rPr>
        <w:t>in December 2018. This ordinance regulates a complex issue of determining a moment of the “sex change” from Article 45b of the Law on registry books, that is, what documentation a person needs in order to legally change their gender marker in their personal documents. This Ordinance came into effect on 1 January 2019.</w:t>
      </w:r>
    </w:p>
    <w:p w14:paraId="00373A3C" w14:textId="0D1A1031" w:rsidR="00CA622D" w:rsidRPr="00CA622D" w:rsidRDefault="00CA622D" w:rsidP="00544A3F">
      <w:pPr>
        <w:pStyle w:val="ListParagraph"/>
        <w:numPr>
          <w:ilvl w:val="0"/>
          <w:numId w:val="2"/>
        </w:numPr>
        <w:jc w:val="both"/>
        <w:rPr>
          <w:lang w:val="en"/>
        </w:rPr>
      </w:pPr>
      <w:r w:rsidRPr="00CA622D">
        <w:rPr>
          <w:lang w:val="en"/>
        </w:rPr>
        <w:t xml:space="preserve">Despite the well-argued and informed suggestions and criticism of </w:t>
      </w:r>
      <w:proofErr w:type="spellStart"/>
      <w:r w:rsidR="00760D8E">
        <w:t>Geten</w:t>
      </w:r>
      <w:proofErr w:type="spellEnd"/>
      <w:r w:rsidRPr="00CA622D">
        <w:rPr>
          <w:lang w:val="en"/>
        </w:rPr>
        <w:t xml:space="preserve"> and leading international organisations in the field of human rights of trans people, which pointed out the necessity of trans depathologisation and the end of medical conditioning, this ordinance requires that</w:t>
      </w:r>
      <w:r w:rsidRPr="00CA622D">
        <w:rPr>
          <w:b/>
          <w:bCs/>
          <w:lang w:val="en"/>
        </w:rPr>
        <w:t xml:space="preserve"> </w:t>
      </w:r>
      <w:r w:rsidRPr="00CA622D">
        <w:rPr>
          <w:lang w:val="en"/>
        </w:rPr>
        <w:t>a person must have medical documentation including psychiatrist‘s report, after a year-long monitoring, and an endocrinologist‘s report after administered hormone therapy in order to be able to change their legal gender marker.</w:t>
      </w:r>
    </w:p>
    <w:p w14:paraId="6216BE79" w14:textId="76876F5B" w:rsidR="00CA622D" w:rsidRDefault="00CA622D" w:rsidP="00544A3F">
      <w:pPr>
        <w:pStyle w:val="ListParagraph"/>
        <w:numPr>
          <w:ilvl w:val="0"/>
          <w:numId w:val="2"/>
        </w:numPr>
        <w:jc w:val="both"/>
        <w:rPr>
          <w:lang w:val="en"/>
        </w:rPr>
      </w:pPr>
      <w:proofErr w:type="spellStart"/>
      <w:r w:rsidRPr="00CA622D">
        <w:rPr>
          <w:lang w:val="en"/>
        </w:rPr>
        <w:t>Geten</w:t>
      </w:r>
      <w:proofErr w:type="spellEnd"/>
      <w:r w:rsidRPr="00CA622D">
        <w:rPr>
          <w:lang w:val="en"/>
        </w:rPr>
        <w:t xml:space="preserve"> </w:t>
      </w:r>
      <w:hyperlink r:id="rId16" w:history="1">
        <w:r w:rsidRPr="00F66CFD">
          <w:rPr>
            <w:rStyle w:val="Hyperlink"/>
            <w:color w:val="E32D91" w:themeColor="accent1"/>
            <w:lang w:val="en"/>
          </w:rPr>
          <w:t>expressed regret</w:t>
        </w:r>
      </w:hyperlink>
      <w:r w:rsidRPr="00CA622D">
        <w:rPr>
          <w:lang w:val="en"/>
        </w:rPr>
        <w:t xml:space="preserve"> due to the lack of the governmental </w:t>
      </w:r>
      <w:proofErr w:type="gramStart"/>
      <w:r w:rsidRPr="00CA622D">
        <w:rPr>
          <w:lang w:val="en"/>
        </w:rPr>
        <w:t>institutions‘ understanding</w:t>
      </w:r>
      <w:proofErr w:type="gramEnd"/>
      <w:r w:rsidRPr="00CA622D">
        <w:rPr>
          <w:lang w:val="en"/>
        </w:rPr>
        <w:t xml:space="preserve"> of and value for the lives of trans people, even when governments all around the world are introducing and implementing a total depathologisation of trans identities, and are simplifying and speeding up the procedures for obtaining appropriate documents. </w:t>
      </w:r>
    </w:p>
    <w:p w14:paraId="44C7DB36" w14:textId="749A5A4D" w:rsidR="00E12F00" w:rsidRPr="00E12F00" w:rsidRDefault="00E12F00" w:rsidP="00E12F00">
      <w:pPr>
        <w:pStyle w:val="Heading2"/>
        <w:rPr>
          <w:color w:val="000000" w:themeColor="text1"/>
          <w:sz w:val="24"/>
          <w:szCs w:val="24"/>
          <w:u w:val="single"/>
          <w:lang w:val="en"/>
        </w:rPr>
      </w:pPr>
      <w:r w:rsidRPr="00E12F00">
        <w:rPr>
          <w:color w:val="000000" w:themeColor="text1"/>
          <w:sz w:val="24"/>
          <w:szCs w:val="24"/>
          <w:u w:val="single"/>
          <w:lang w:val="en"/>
        </w:rPr>
        <w:t>Inadequate Access to Hormone Therapy</w:t>
      </w:r>
    </w:p>
    <w:p w14:paraId="2321FCBB" w14:textId="77C6EF5C" w:rsidR="00CA622D" w:rsidRDefault="00CA622D" w:rsidP="00544A3F">
      <w:pPr>
        <w:pStyle w:val="ListParagraph"/>
        <w:numPr>
          <w:ilvl w:val="0"/>
          <w:numId w:val="2"/>
        </w:numPr>
        <w:jc w:val="both"/>
      </w:pPr>
      <w:proofErr w:type="gramStart"/>
      <w:r>
        <w:t>Trans</w:t>
      </w:r>
      <w:proofErr w:type="gramEnd"/>
      <w:r>
        <w:t xml:space="preserve"> persons in Serbia undergoing hormone therapy were already facing problems in accessing them before the abovementioned legal changes, which explicitly made administered hormone therapy as a mandatory pre-condition for </w:t>
      </w:r>
      <w:r w:rsidR="00544A3F">
        <w:t>LGR</w:t>
      </w:r>
      <w:r>
        <w:t xml:space="preserve">. </w:t>
      </w:r>
    </w:p>
    <w:p w14:paraId="04798CA3" w14:textId="25D98626" w:rsidR="00CA622D" w:rsidRDefault="00CA622D" w:rsidP="00544A3F">
      <w:pPr>
        <w:pStyle w:val="ListParagraph"/>
        <w:numPr>
          <w:ilvl w:val="0"/>
          <w:numId w:val="2"/>
        </w:numPr>
        <w:jc w:val="both"/>
      </w:pPr>
      <w:r>
        <w:t xml:space="preserve">As a clear example, the </w:t>
      </w:r>
      <w:proofErr w:type="spellStart"/>
      <w:r>
        <w:t>Geten</w:t>
      </w:r>
      <w:proofErr w:type="spellEnd"/>
      <w:r>
        <w:t xml:space="preserve"> team advocated in resolving the shortage of </w:t>
      </w:r>
      <w:proofErr w:type="spellStart"/>
      <w:r>
        <w:t>Neofolin</w:t>
      </w:r>
      <w:proofErr w:type="spellEnd"/>
      <w:r>
        <w:t xml:space="preserve"> (estradiol </w:t>
      </w:r>
      <w:proofErr w:type="spellStart"/>
      <w:r>
        <w:t>valerate</w:t>
      </w:r>
      <w:proofErr w:type="spellEnd"/>
      <w:r>
        <w:t xml:space="preserve"> 5 mg/mL) </w:t>
      </w:r>
      <w:hyperlink r:id="rId17" w:history="1">
        <w:r w:rsidRPr="00F66CFD">
          <w:rPr>
            <w:rStyle w:val="Hyperlink"/>
            <w:color w:val="E32D91" w:themeColor="accent1"/>
          </w:rPr>
          <w:t>back in August 2017</w:t>
        </w:r>
      </w:hyperlink>
      <w:r>
        <w:t>, a medication necessary for hormone therapy. This medication is not registered on the market of the Republic of Serbia, but is imported at the request of health institutions or the Ministry of Health of Serbia, which means that the problem did not arise as a result of the absence of the medication, but at the level of import of the medication.</w:t>
      </w:r>
      <w:r w:rsidR="00544A3F">
        <w:t xml:space="preserve"> </w:t>
      </w:r>
      <w:r>
        <w:t xml:space="preserve">Back in that period, </w:t>
      </w:r>
      <w:proofErr w:type="spellStart"/>
      <w:r>
        <w:t>Geten’s</w:t>
      </w:r>
      <w:proofErr w:type="spellEnd"/>
      <w:r>
        <w:t xml:space="preserve"> team contacted the wholesalers and importers, including the importer of </w:t>
      </w:r>
      <w:proofErr w:type="spellStart"/>
      <w:r>
        <w:t>Neofolin</w:t>
      </w:r>
      <w:proofErr w:type="spellEnd"/>
      <w:r>
        <w:t xml:space="preserve"> for Serbia, informing them of the situation and seeking an urgent solution to the problem of shortages. Request for access to information of public importance was addressed to the Ministry of Health and the Agency for Medicinal Products and Medical Devices </w:t>
      </w:r>
      <w:r>
        <w:lastRenderedPageBreak/>
        <w:t xml:space="preserve">on the issue. In its response, the Medicines and Medical Devices Agency emphasized that the pharmacy health institution that applied for the import of </w:t>
      </w:r>
      <w:proofErr w:type="spellStart"/>
      <w:r>
        <w:t>Neofolin</w:t>
      </w:r>
      <w:proofErr w:type="spellEnd"/>
      <w:r>
        <w:t xml:space="preserve"> in 2015 and 2016 did not do so in 2017, and that it did not come from any other institution. After this response, </w:t>
      </w:r>
      <w:proofErr w:type="spellStart"/>
      <w:r>
        <w:t>Geten’s</w:t>
      </w:r>
      <w:proofErr w:type="spellEnd"/>
      <w:r>
        <w:t xml:space="preserve"> team got in touch with another health facility (</w:t>
      </w:r>
      <w:r w:rsidRPr="009239F4">
        <w:t>pharmacy</w:t>
      </w:r>
      <w:r>
        <w:t>), requesting from it to apply for a drug import. The request has been submitted.</w:t>
      </w:r>
    </w:p>
    <w:p w14:paraId="4614F62C" w14:textId="77777777" w:rsidR="00CA622D" w:rsidRPr="00CA622D" w:rsidRDefault="00CA622D" w:rsidP="00544A3F">
      <w:pPr>
        <w:pStyle w:val="ListParagraph"/>
        <w:numPr>
          <w:ilvl w:val="0"/>
          <w:numId w:val="2"/>
        </w:numPr>
        <w:jc w:val="both"/>
        <w:rPr>
          <w:rFonts w:eastAsia="Times New Roman" w:cstheme="minorHAnsi"/>
          <w:color w:val="222222"/>
          <w:lang w:eastAsia="en-GB"/>
        </w:rPr>
      </w:pPr>
      <w:r>
        <w:t xml:space="preserve">However, until the submission of this document, the situation remains the same – such that access to hormone therapy is limited or entirely inaccessible. A limited number of oral and intradermal type of hormones exist, but these are not efficient in the hormone therapy for </w:t>
      </w:r>
      <w:proofErr w:type="gramStart"/>
      <w:r>
        <w:t>trans</w:t>
      </w:r>
      <w:proofErr w:type="gramEnd"/>
      <w:r>
        <w:t xml:space="preserve"> women. </w:t>
      </w:r>
      <w:r w:rsidRPr="00CA622D">
        <w:rPr>
          <w:rFonts w:eastAsia="Times New Roman" w:cstheme="minorHAnsi"/>
          <w:color w:val="222222"/>
          <w:lang w:eastAsia="en-GB"/>
        </w:rPr>
        <w:t xml:space="preserve">Medications/hormones for </w:t>
      </w:r>
      <w:proofErr w:type="gramStart"/>
      <w:r w:rsidRPr="00CA622D">
        <w:rPr>
          <w:rFonts w:eastAsia="Times New Roman" w:cstheme="minorHAnsi"/>
          <w:color w:val="222222"/>
          <w:lang w:eastAsia="en-GB"/>
        </w:rPr>
        <w:t>trans</w:t>
      </w:r>
      <w:proofErr w:type="gramEnd"/>
      <w:r w:rsidRPr="00CA622D">
        <w:rPr>
          <w:rFonts w:eastAsia="Times New Roman" w:cstheme="minorHAnsi"/>
          <w:color w:val="222222"/>
          <w:lang w:eastAsia="en-GB"/>
        </w:rPr>
        <w:t xml:space="preserve"> women in the forms of injections, which are efficient and primarily used in the hormone therapy of trans persons, are not listed in the </w:t>
      </w:r>
      <w:r w:rsidRPr="00CA622D">
        <w:rPr>
          <w:rFonts w:eastAsia="Times New Roman" w:cstheme="minorHAnsi"/>
          <w:color w:val="222222"/>
          <w:lang w:val="sv-SE" w:eastAsia="en-GB"/>
        </w:rPr>
        <w:t>S</w:t>
      </w:r>
      <w:proofErr w:type="spellStart"/>
      <w:r w:rsidRPr="00CA622D">
        <w:rPr>
          <w:rFonts w:eastAsia="Times New Roman" w:cstheme="minorHAnsi"/>
          <w:color w:val="222222"/>
          <w:lang w:eastAsia="en-GB"/>
        </w:rPr>
        <w:t>tate</w:t>
      </w:r>
      <w:proofErr w:type="spellEnd"/>
      <w:r w:rsidRPr="00CA622D">
        <w:rPr>
          <w:rFonts w:eastAsia="Times New Roman" w:cstheme="minorHAnsi"/>
          <w:color w:val="222222"/>
          <w:lang w:eastAsia="en-GB"/>
        </w:rPr>
        <w:t xml:space="preserve"> registry and they can only be found in some private pharmacies</w:t>
      </w:r>
      <w:r w:rsidRPr="00CA622D">
        <w:rPr>
          <w:rFonts w:eastAsia="Times New Roman" w:cstheme="minorHAnsi"/>
          <w:color w:val="222222"/>
          <w:lang w:val="sv-SE" w:eastAsia="en-GB"/>
        </w:rPr>
        <w:t>,</w:t>
      </w:r>
      <w:r w:rsidRPr="00CA622D">
        <w:rPr>
          <w:rFonts w:eastAsia="Times New Roman" w:cstheme="minorHAnsi"/>
          <w:color w:val="222222"/>
          <w:lang w:eastAsia="en-GB"/>
        </w:rPr>
        <w:t xml:space="preserve"> and all of them are imported. </w:t>
      </w:r>
    </w:p>
    <w:p w14:paraId="5DFEA45B" w14:textId="22841248" w:rsidR="00CA622D" w:rsidRPr="00CA622D" w:rsidRDefault="00CA622D" w:rsidP="00544A3F">
      <w:pPr>
        <w:pStyle w:val="ListParagraph"/>
        <w:numPr>
          <w:ilvl w:val="0"/>
          <w:numId w:val="2"/>
        </w:numPr>
        <w:spacing w:after="0" w:line="240" w:lineRule="auto"/>
        <w:jc w:val="both"/>
        <w:rPr>
          <w:rFonts w:ascii="Arial" w:eastAsia="Times New Roman" w:hAnsi="Arial" w:cs="Arial"/>
          <w:color w:val="222222"/>
          <w:sz w:val="24"/>
          <w:szCs w:val="24"/>
          <w:shd w:val="clear" w:color="auto" w:fill="FFFFFF"/>
          <w:lang w:eastAsia="en-GB"/>
        </w:rPr>
      </w:pPr>
      <w:r w:rsidRPr="00CA622D">
        <w:rPr>
          <w:rFonts w:ascii="Calibri" w:eastAsia="Times New Roman" w:hAnsi="Calibri" w:cs="Calibri"/>
          <w:color w:val="222222"/>
          <w:lang w:eastAsia="en-GB"/>
        </w:rPr>
        <w:t xml:space="preserve">It is important to mention the gender inequality elements of said situation, since it affects mostly </w:t>
      </w:r>
      <w:proofErr w:type="gramStart"/>
      <w:r w:rsidRPr="00CA622D">
        <w:rPr>
          <w:rFonts w:ascii="Calibri" w:eastAsia="Times New Roman" w:hAnsi="Calibri" w:cs="Calibri"/>
          <w:color w:val="222222"/>
          <w:lang w:eastAsia="en-GB"/>
        </w:rPr>
        <w:t>trans</w:t>
      </w:r>
      <w:proofErr w:type="gramEnd"/>
      <w:r w:rsidRPr="00CA622D">
        <w:rPr>
          <w:rFonts w:ascii="Calibri" w:eastAsia="Times New Roman" w:hAnsi="Calibri" w:cs="Calibri"/>
          <w:color w:val="222222"/>
          <w:lang w:eastAsia="en-GB"/>
        </w:rPr>
        <w:t xml:space="preserve"> women. Testosterone is </w:t>
      </w:r>
      <w:r w:rsidRPr="00CA622D">
        <w:rPr>
          <w:rFonts w:ascii="Calibri" w:eastAsia="Times New Roman" w:hAnsi="Calibri" w:cs="Calibri"/>
          <w:color w:val="222222"/>
          <w:lang w:val="sv-SE" w:eastAsia="en-GB"/>
        </w:rPr>
        <w:t xml:space="preserve">comparatively </w:t>
      </w:r>
      <w:r w:rsidRPr="00CA622D">
        <w:rPr>
          <w:rFonts w:ascii="Calibri" w:eastAsia="Times New Roman" w:hAnsi="Calibri" w:cs="Calibri"/>
          <w:color w:val="222222"/>
          <w:lang w:eastAsia="en-GB"/>
        </w:rPr>
        <w:t>cheap</w:t>
      </w:r>
      <w:r w:rsidRPr="00CA622D">
        <w:rPr>
          <w:rFonts w:ascii="Calibri" w:eastAsia="Times New Roman" w:hAnsi="Calibri" w:cs="Calibri"/>
          <w:color w:val="222222"/>
          <w:lang w:val="sv-SE" w:eastAsia="en-GB"/>
        </w:rPr>
        <w:t>er</w:t>
      </w:r>
      <w:r w:rsidRPr="00CA622D">
        <w:rPr>
          <w:rFonts w:ascii="Calibri" w:eastAsia="Times New Roman" w:hAnsi="Calibri" w:cs="Calibri"/>
          <w:color w:val="222222"/>
          <w:lang w:eastAsia="en-GB"/>
        </w:rPr>
        <w:t xml:space="preserve"> and locally produced</w:t>
      </w:r>
      <w:r w:rsidRPr="00CA622D">
        <w:rPr>
          <w:rFonts w:ascii="Calibri" w:eastAsia="Times New Roman" w:hAnsi="Calibri" w:cs="Calibri"/>
          <w:color w:val="222222"/>
          <w:lang w:val="sv-SE" w:eastAsia="en-GB"/>
        </w:rPr>
        <w:t>,</w:t>
      </w:r>
      <w:r w:rsidRPr="00CA622D">
        <w:rPr>
          <w:rFonts w:ascii="Calibri" w:eastAsia="Times New Roman" w:hAnsi="Calibri" w:cs="Calibri"/>
          <w:color w:val="222222"/>
          <w:lang w:eastAsia="en-GB"/>
        </w:rPr>
        <w:t xml:space="preserve"> and </w:t>
      </w:r>
      <w:r w:rsidRPr="00CA622D">
        <w:rPr>
          <w:rFonts w:ascii="Calibri" w:eastAsia="Times New Roman" w:hAnsi="Calibri" w:cs="Calibri"/>
          <w:color w:val="222222"/>
          <w:lang w:val="sv-SE" w:eastAsia="en-GB"/>
        </w:rPr>
        <w:t xml:space="preserve">therefore </w:t>
      </w:r>
      <w:proofErr w:type="gramStart"/>
      <w:r w:rsidRPr="00CA622D">
        <w:rPr>
          <w:rFonts w:ascii="Calibri" w:eastAsia="Times New Roman" w:hAnsi="Calibri" w:cs="Calibri"/>
          <w:color w:val="222222"/>
          <w:lang w:eastAsia="en-GB"/>
        </w:rPr>
        <w:t>trans</w:t>
      </w:r>
      <w:proofErr w:type="gramEnd"/>
      <w:r w:rsidRPr="00CA622D">
        <w:rPr>
          <w:rFonts w:ascii="Calibri" w:eastAsia="Times New Roman" w:hAnsi="Calibri" w:cs="Calibri"/>
          <w:color w:val="222222"/>
          <w:lang w:eastAsia="en-GB"/>
        </w:rPr>
        <w:t xml:space="preserve"> men can (in most cases) receive it for free at the primary health institution where their medical file is kept. Trans women must self-finance their hormones which are at least 6 times more expensive than testosterone, if and when available.</w:t>
      </w:r>
      <w:r w:rsidRPr="00CA622D">
        <w:rPr>
          <w:rFonts w:ascii="Arial" w:eastAsia="Times New Roman" w:hAnsi="Arial" w:cs="Arial"/>
          <w:color w:val="222222"/>
          <w:sz w:val="24"/>
          <w:szCs w:val="24"/>
          <w:shd w:val="clear" w:color="auto" w:fill="FFFFFF"/>
          <w:lang w:eastAsia="en-GB"/>
        </w:rPr>
        <w:t xml:space="preserve">  </w:t>
      </w:r>
    </w:p>
    <w:p w14:paraId="0F18A11A" w14:textId="4C03C686" w:rsidR="00CA622D" w:rsidRPr="00CA622D" w:rsidRDefault="00CA622D" w:rsidP="00544A3F">
      <w:pPr>
        <w:pStyle w:val="ListParagraph"/>
        <w:numPr>
          <w:ilvl w:val="0"/>
          <w:numId w:val="2"/>
        </w:numPr>
        <w:spacing w:after="0" w:line="240" w:lineRule="auto"/>
        <w:jc w:val="both"/>
        <w:rPr>
          <w:rFonts w:ascii="Times New Roman" w:eastAsia="Times New Roman" w:hAnsi="Times New Roman" w:cs="Times New Roman"/>
          <w:sz w:val="24"/>
          <w:szCs w:val="24"/>
          <w:lang w:eastAsia="en-GB"/>
        </w:rPr>
      </w:pPr>
      <w:r w:rsidRPr="00CA622D">
        <w:rPr>
          <w:rFonts w:eastAsia="Times New Roman" w:cstheme="minorHAnsi"/>
          <w:color w:val="222222"/>
          <w:shd w:val="clear" w:color="auto" w:fill="FFFFFF"/>
          <w:lang w:eastAsia="en-GB"/>
        </w:rPr>
        <w:t xml:space="preserve">When it comes to </w:t>
      </w:r>
      <w:proofErr w:type="gramStart"/>
      <w:r w:rsidRPr="00CA622D">
        <w:rPr>
          <w:rFonts w:eastAsia="Times New Roman" w:cstheme="minorHAnsi"/>
          <w:color w:val="222222"/>
          <w:shd w:val="clear" w:color="auto" w:fill="FFFFFF"/>
          <w:lang w:eastAsia="en-GB"/>
        </w:rPr>
        <w:t>trans</w:t>
      </w:r>
      <w:proofErr w:type="gramEnd"/>
      <w:r w:rsidRPr="00CA622D">
        <w:rPr>
          <w:rFonts w:eastAsia="Times New Roman" w:cstheme="minorHAnsi"/>
          <w:color w:val="222222"/>
          <w:shd w:val="clear" w:color="auto" w:fill="FFFFFF"/>
          <w:lang w:eastAsia="en-GB"/>
        </w:rPr>
        <w:t xml:space="preserve"> children, they are affected in different ways: they are not recognized by </w:t>
      </w:r>
      <w:r w:rsidRPr="00CA622D">
        <w:rPr>
          <w:rFonts w:eastAsia="Times New Roman" w:cstheme="minorHAnsi"/>
          <w:color w:val="222222"/>
          <w:lang w:eastAsia="en-GB"/>
        </w:rPr>
        <w:t xml:space="preserve">the national Commission for transgender conditions; </w:t>
      </w:r>
      <w:r w:rsidRPr="00CA622D">
        <w:rPr>
          <w:rFonts w:eastAsia="Times New Roman" w:cstheme="minorHAnsi"/>
          <w:color w:val="222222"/>
          <w:shd w:val="clear" w:color="auto" w:fill="FFFFFF"/>
          <w:lang w:eastAsia="en-GB"/>
        </w:rPr>
        <w:t xml:space="preserve">they cannot access hormone therapy on their own before the age of 18; the </w:t>
      </w:r>
      <w:r w:rsidR="00664471">
        <w:rPr>
          <w:rFonts w:eastAsia="Times New Roman" w:cstheme="minorHAnsi"/>
          <w:color w:val="222222"/>
          <w:shd w:val="clear" w:color="auto" w:fill="FFFFFF"/>
          <w:lang w:eastAsia="en-GB"/>
        </w:rPr>
        <w:t>hormone</w:t>
      </w:r>
      <w:r w:rsidRPr="00CA622D">
        <w:rPr>
          <w:rFonts w:eastAsia="Times New Roman" w:cstheme="minorHAnsi"/>
          <w:color w:val="222222"/>
          <w:shd w:val="clear" w:color="auto" w:fill="FFFFFF"/>
          <w:lang w:eastAsia="en-GB"/>
        </w:rPr>
        <w:t xml:space="preserve"> stoppers</w:t>
      </w:r>
      <w:r w:rsidR="00664471">
        <w:rPr>
          <w:rFonts w:eastAsia="Times New Roman" w:cstheme="minorHAnsi"/>
          <w:color w:val="222222"/>
          <w:shd w:val="clear" w:color="auto" w:fill="FFFFFF"/>
          <w:lang w:eastAsia="en-GB"/>
        </w:rPr>
        <w:t xml:space="preserve"> used by trans children are expensive</w:t>
      </w:r>
      <w:r w:rsidRPr="00CA622D">
        <w:rPr>
          <w:rFonts w:eastAsia="Times New Roman" w:cstheme="minorHAnsi"/>
          <w:color w:val="222222"/>
          <w:shd w:val="clear" w:color="auto" w:fill="FFFFFF"/>
          <w:lang w:eastAsia="en-GB"/>
        </w:rPr>
        <w:t xml:space="preserve">, priced at app. </w:t>
      </w:r>
      <w:r w:rsidR="00664471">
        <w:rPr>
          <w:rFonts w:eastAsia="Times New Roman" w:cstheme="minorHAnsi"/>
          <w:color w:val="222222"/>
          <w:shd w:val="clear" w:color="auto" w:fill="FFFFFF"/>
          <w:lang w:eastAsia="en-GB"/>
        </w:rPr>
        <w:t>3</w:t>
      </w:r>
      <w:r w:rsidRPr="00CA622D">
        <w:rPr>
          <w:rFonts w:eastAsia="Times New Roman" w:cstheme="minorHAnsi"/>
          <w:color w:val="222222"/>
          <w:shd w:val="clear" w:color="auto" w:fill="FFFFFF"/>
          <w:lang w:eastAsia="en-GB"/>
        </w:rPr>
        <w:t>00 EUR per month treatment.</w:t>
      </w:r>
      <w:r w:rsidRPr="00CA622D">
        <w:rPr>
          <w:rFonts w:ascii="Arial" w:eastAsia="Times New Roman" w:hAnsi="Arial" w:cs="Arial"/>
          <w:color w:val="222222"/>
          <w:sz w:val="24"/>
          <w:szCs w:val="24"/>
          <w:shd w:val="clear" w:color="auto" w:fill="FFFFFF"/>
          <w:lang w:eastAsia="en-GB"/>
        </w:rPr>
        <w:t>  </w:t>
      </w:r>
    </w:p>
    <w:p w14:paraId="3EE92402" w14:textId="77777777" w:rsidR="00CA622D" w:rsidRDefault="00CA622D" w:rsidP="00544A3F">
      <w:pPr>
        <w:pStyle w:val="ListParagraph"/>
        <w:numPr>
          <w:ilvl w:val="0"/>
          <w:numId w:val="2"/>
        </w:numPr>
        <w:jc w:val="both"/>
      </w:pPr>
      <w:r>
        <w:t xml:space="preserve">In addition, the costs of hormonal treatment of trans persons are not yet covered by compulsory health insurance, despite the fact that Article 131 of the </w:t>
      </w:r>
      <w:r w:rsidRPr="00CA622D">
        <w:t>Law on Health Insurance of the Republic of Serbia</w:t>
      </w:r>
      <w:r w:rsidRPr="00AA36D0">
        <w:rPr>
          <w:rStyle w:val="FootnoteReference"/>
        </w:rPr>
        <w:footnoteReference w:id="21"/>
      </w:r>
      <w:r>
        <w:t xml:space="preserve"> states that at least 65% of medical services of </w:t>
      </w:r>
      <w:r w:rsidRPr="00CA622D">
        <w:rPr>
          <w:i/>
          <w:iCs/>
        </w:rPr>
        <w:t>''sex change related to medical reasons''</w:t>
      </w:r>
      <w:r>
        <w:t xml:space="preserve"> are provided from compulsory health insurance funds of the Republic of Serbia. The Ministry of Health and the Government of the Republic of Serbia still have not secured full implementation of this legal provision by including hormonal treatment among services financed by compulsory health insurance in the amount of at least 65%, as well as to ensure a stable supply of medicines necessary for hormonal treatment.</w:t>
      </w:r>
    </w:p>
    <w:p w14:paraId="42CFC29E" w14:textId="290958F3" w:rsidR="00CA622D" w:rsidRPr="00CA622D" w:rsidRDefault="00CA622D" w:rsidP="00544A3F">
      <w:pPr>
        <w:pStyle w:val="ListParagraph"/>
        <w:numPr>
          <w:ilvl w:val="0"/>
          <w:numId w:val="2"/>
        </w:numPr>
        <w:spacing w:after="0" w:line="240" w:lineRule="auto"/>
        <w:jc w:val="both"/>
        <w:rPr>
          <w:rFonts w:eastAsia="Times New Roman" w:cstheme="minorHAnsi"/>
          <w:color w:val="222222"/>
          <w:lang w:eastAsia="en-GB"/>
        </w:rPr>
      </w:pPr>
      <w:r w:rsidRPr="00CA622D">
        <w:rPr>
          <w:rFonts w:eastAsia="Times New Roman" w:cstheme="minorHAnsi"/>
          <w:color w:val="222222"/>
          <w:lang w:eastAsia="en-GB"/>
        </w:rPr>
        <w:t xml:space="preserve">The endocrinologist who is working with </w:t>
      </w:r>
      <w:proofErr w:type="gramStart"/>
      <w:r w:rsidRPr="00CA622D">
        <w:rPr>
          <w:rFonts w:eastAsia="Times New Roman" w:cstheme="minorHAnsi"/>
          <w:color w:val="222222"/>
          <w:lang w:eastAsia="en-GB"/>
        </w:rPr>
        <w:t>trans</w:t>
      </w:r>
      <w:proofErr w:type="gramEnd"/>
      <w:r w:rsidRPr="00CA622D">
        <w:rPr>
          <w:rFonts w:eastAsia="Times New Roman" w:cstheme="minorHAnsi"/>
          <w:color w:val="222222"/>
          <w:lang w:eastAsia="en-GB"/>
        </w:rPr>
        <w:t xml:space="preserve"> people in Serbia is also the head of the national Commission for transgender conditions. According to some civil society representatives, she is not being cooperative with her patients, she is monopolizing her medical position, decisions about treatment and course of treatment, which is not </w:t>
      </w:r>
      <w:r w:rsidRPr="00CA622D">
        <w:rPr>
          <w:rFonts w:eastAsia="Times New Roman" w:cstheme="minorHAnsi"/>
          <w:shd w:val="clear" w:color="auto" w:fill="F8F9FA"/>
          <w:lang w:eastAsia="en-GB"/>
        </w:rPr>
        <w:t>individual and, in some cases, not properly updated.</w:t>
      </w:r>
      <w:r w:rsidRPr="00CA622D">
        <w:rPr>
          <w:rFonts w:eastAsia="Times New Roman" w:cstheme="minorHAnsi"/>
          <w:color w:val="222222"/>
          <w:lang w:eastAsia="en-GB"/>
        </w:rPr>
        <w:t xml:space="preserve"> It is </w:t>
      </w:r>
      <w:r w:rsidRPr="00CA622D">
        <w:rPr>
          <w:rFonts w:eastAsia="Times New Roman" w:cstheme="minorHAnsi"/>
          <w:color w:val="222222"/>
          <w:lang w:val="sv-SE" w:eastAsia="en-GB"/>
        </w:rPr>
        <w:t xml:space="preserve">currently </w:t>
      </w:r>
      <w:r w:rsidRPr="00CA622D">
        <w:rPr>
          <w:rFonts w:eastAsia="Times New Roman" w:cstheme="minorHAnsi"/>
          <w:color w:val="222222"/>
          <w:lang w:eastAsia="en-GB"/>
        </w:rPr>
        <w:t xml:space="preserve">impossible to get </w:t>
      </w:r>
      <w:r w:rsidRPr="00CA622D">
        <w:rPr>
          <w:rFonts w:eastAsia="Times New Roman" w:cstheme="minorHAnsi"/>
          <w:color w:val="222222"/>
          <w:lang w:val="sv-SE" w:eastAsia="en-GB"/>
        </w:rPr>
        <w:t>a</w:t>
      </w:r>
      <w:r w:rsidRPr="00CA622D">
        <w:rPr>
          <w:rFonts w:eastAsia="Times New Roman" w:cstheme="minorHAnsi"/>
          <w:color w:val="222222"/>
          <w:lang w:eastAsia="en-GB"/>
        </w:rPr>
        <w:t xml:space="preserve"> second opinion from another endocrinologist on the matter. The inability to access a medical second opinion goes against Article 13 of the Law on the protection of patients of Serbia</w:t>
      </w:r>
      <w:r>
        <w:rPr>
          <w:rStyle w:val="FootnoteReference"/>
          <w:rFonts w:eastAsia="Times New Roman" w:cstheme="minorHAnsi"/>
          <w:b/>
          <w:bCs/>
          <w:color w:val="222222"/>
          <w:lang w:eastAsia="en-GB"/>
        </w:rPr>
        <w:footnoteReference w:id="22"/>
      </w:r>
      <w:r w:rsidRPr="00CA622D">
        <w:rPr>
          <w:rFonts w:eastAsia="Times New Roman" w:cstheme="minorHAnsi"/>
          <w:color w:val="222222"/>
          <w:lang w:eastAsia="en-GB"/>
        </w:rPr>
        <w:t>, granting everyone the right to second professional opinion. This endocrinologist is also using her position and private contacts to provide some hormones, which are only available in one specific/recommended pharmacy.</w:t>
      </w:r>
    </w:p>
    <w:p w14:paraId="760F51BD" w14:textId="60B369E1" w:rsidR="00CA622D" w:rsidRPr="00CA622D" w:rsidRDefault="00CA622D" w:rsidP="00544A3F">
      <w:pPr>
        <w:pStyle w:val="ListParagraph"/>
        <w:numPr>
          <w:ilvl w:val="0"/>
          <w:numId w:val="2"/>
        </w:numPr>
        <w:spacing w:after="0" w:line="240" w:lineRule="auto"/>
        <w:jc w:val="both"/>
        <w:rPr>
          <w:rFonts w:eastAsia="Times New Roman" w:cstheme="minorHAnsi"/>
          <w:color w:val="222222"/>
          <w:lang w:eastAsia="en-GB"/>
        </w:rPr>
      </w:pPr>
      <w:r w:rsidRPr="00CA622D">
        <w:rPr>
          <w:rFonts w:eastAsia="Times New Roman" w:cstheme="minorHAnsi"/>
          <w:color w:val="222222"/>
          <w:lang w:eastAsia="en-GB"/>
        </w:rPr>
        <w:t>Due to COVID-19 crisis, lack of hormones is a</w:t>
      </w:r>
      <w:r w:rsidRPr="00CA622D">
        <w:rPr>
          <w:rFonts w:eastAsia="Times New Roman" w:cstheme="minorHAnsi"/>
          <w:color w:val="222222"/>
          <w:lang w:val="sv-SE" w:eastAsia="en-GB"/>
        </w:rPr>
        <w:t>n exacerbated</w:t>
      </w:r>
      <w:r w:rsidRPr="00CA622D">
        <w:rPr>
          <w:rFonts w:eastAsia="Times New Roman" w:cstheme="minorHAnsi"/>
          <w:color w:val="222222"/>
          <w:lang w:eastAsia="en-GB"/>
        </w:rPr>
        <w:t xml:space="preserve"> health problem for all </w:t>
      </w:r>
      <w:proofErr w:type="gramStart"/>
      <w:r w:rsidRPr="00CA622D">
        <w:rPr>
          <w:rFonts w:eastAsia="Times New Roman" w:cstheme="minorHAnsi"/>
          <w:color w:val="222222"/>
          <w:lang w:eastAsia="en-GB"/>
        </w:rPr>
        <w:t>trans</w:t>
      </w:r>
      <w:proofErr w:type="gramEnd"/>
      <w:r w:rsidRPr="00CA622D">
        <w:rPr>
          <w:rFonts w:eastAsia="Times New Roman" w:cstheme="minorHAnsi"/>
          <w:color w:val="222222"/>
          <w:lang w:eastAsia="en-GB"/>
        </w:rPr>
        <w:t xml:space="preserve"> women in Serbia. All hormones are imported and importation is currently stopped because </w:t>
      </w:r>
      <w:r w:rsidRPr="00CA622D">
        <w:rPr>
          <w:rFonts w:eastAsia="Times New Roman" w:cstheme="minorHAnsi"/>
          <w:color w:val="222222"/>
          <w:lang w:val="sv-SE" w:eastAsia="en-GB"/>
        </w:rPr>
        <w:t xml:space="preserve">of the </w:t>
      </w:r>
      <w:r w:rsidRPr="00CA622D">
        <w:rPr>
          <w:rFonts w:eastAsia="Times New Roman" w:cstheme="minorHAnsi"/>
          <w:color w:val="222222"/>
          <w:lang w:eastAsia="en-GB"/>
        </w:rPr>
        <w:t>restrictions and measures taken by the state of Serbia.</w:t>
      </w:r>
    </w:p>
    <w:p w14:paraId="5008F1B5" w14:textId="7D79D8F6" w:rsidR="00CA622D" w:rsidRPr="00E12F00" w:rsidRDefault="00CA622D" w:rsidP="00544A3F">
      <w:pPr>
        <w:pStyle w:val="ListParagraph"/>
        <w:numPr>
          <w:ilvl w:val="0"/>
          <w:numId w:val="2"/>
        </w:numPr>
        <w:spacing w:after="0" w:line="240" w:lineRule="auto"/>
        <w:jc w:val="both"/>
        <w:rPr>
          <w:rFonts w:eastAsia="Times New Roman" w:cstheme="minorHAnsi"/>
          <w:color w:val="222222"/>
          <w:lang w:eastAsia="en-GB"/>
        </w:rPr>
      </w:pPr>
      <w:r w:rsidRPr="005149F5">
        <w:t xml:space="preserve">Hormone therapy and regular use of hormonal preparations are essential for psycho-physical health of both </w:t>
      </w:r>
      <w:proofErr w:type="gramStart"/>
      <w:r w:rsidRPr="005149F5">
        <w:t>trans</w:t>
      </w:r>
      <w:proofErr w:type="gramEnd"/>
      <w:r w:rsidRPr="005149F5">
        <w:t xml:space="preserve"> people and all other individuals on hormone replacement therapy. Absence of </w:t>
      </w:r>
      <w:r>
        <w:t xml:space="preserve">this </w:t>
      </w:r>
      <w:r w:rsidRPr="005149F5">
        <w:t xml:space="preserve">therapy without a doubt </w:t>
      </w:r>
      <w:r>
        <w:t>threatens the well-being of</w:t>
      </w:r>
      <w:r w:rsidRPr="005149F5">
        <w:t xml:space="preserve"> all users of hormone replacement </w:t>
      </w:r>
      <w:r w:rsidRPr="005149F5">
        <w:lastRenderedPageBreak/>
        <w:t>therapy</w:t>
      </w:r>
      <w:r>
        <w:t>, and also prevents individuals from meeting the mandatory regulated criteria for accessing legal gender recognition</w:t>
      </w:r>
      <w:r w:rsidRPr="005149F5">
        <w:t xml:space="preserve">. </w:t>
      </w:r>
    </w:p>
    <w:p w14:paraId="46855EC9" w14:textId="77777777" w:rsidR="00E12F00" w:rsidRPr="00E12F00" w:rsidRDefault="00E12F00" w:rsidP="00E12F00">
      <w:pPr>
        <w:pStyle w:val="ListParagraph"/>
        <w:spacing w:after="0" w:line="240" w:lineRule="auto"/>
        <w:jc w:val="both"/>
        <w:rPr>
          <w:rFonts w:eastAsia="Times New Roman" w:cstheme="minorHAnsi"/>
          <w:color w:val="222222"/>
          <w:lang w:eastAsia="en-GB"/>
        </w:rPr>
      </w:pPr>
    </w:p>
    <w:p w14:paraId="3F307B44" w14:textId="332F542D" w:rsidR="00E12F00" w:rsidRDefault="00E12F00" w:rsidP="00E12F00">
      <w:pPr>
        <w:pStyle w:val="Heading2"/>
        <w:rPr>
          <w:rFonts w:eastAsia="Times New Roman"/>
          <w:color w:val="000000" w:themeColor="text1"/>
          <w:sz w:val="24"/>
          <w:szCs w:val="24"/>
          <w:u w:val="single"/>
          <w:lang w:eastAsia="en-GB"/>
        </w:rPr>
      </w:pPr>
      <w:r w:rsidRPr="00E12F00">
        <w:rPr>
          <w:rFonts w:eastAsia="Times New Roman"/>
          <w:color w:val="000000" w:themeColor="text1"/>
          <w:sz w:val="24"/>
          <w:szCs w:val="24"/>
          <w:u w:val="single"/>
          <w:lang w:eastAsia="en-GB"/>
        </w:rPr>
        <w:t>Research on the needs of transgender and non-binary people in the Republic of Serbia</w:t>
      </w:r>
    </w:p>
    <w:p w14:paraId="39BD03B0" w14:textId="14BABB69" w:rsidR="00E12F00" w:rsidRDefault="00E12F00" w:rsidP="00544A3F">
      <w:pPr>
        <w:pStyle w:val="NormalWeb"/>
        <w:numPr>
          <w:ilvl w:val="0"/>
          <w:numId w:val="2"/>
        </w:numPr>
        <w:spacing w:before="0" w:beforeAutospacing="0" w:after="0" w:afterAutospacing="0"/>
        <w:ind w:left="714" w:hanging="357"/>
        <w:jc w:val="both"/>
        <w:rPr>
          <w:rFonts w:asciiTheme="minorHAnsi" w:hAnsiTheme="minorHAnsi" w:cstheme="minorHAnsi"/>
          <w:sz w:val="22"/>
          <w:szCs w:val="22"/>
        </w:rPr>
      </w:pPr>
      <w:r w:rsidRPr="00E12F00">
        <w:rPr>
          <w:rFonts w:asciiTheme="minorHAnsi" w:hAnsiTheme="minorHAnsi" w:cstheme="minorHAnsi"/>
          <w:sz w:val="22"/>
          <w:szCs w:val="22"/>
        </w:rPr>
        <w:t xml:space="preserve">The research was conducted </w:t>
      </w:r>
      <w:r w:rsidR="00C96209">
        <w:rPr>
          <w:rFonts w:asciiTheme="minorHAnsi" w:hAnsiTheme="minorHAnsi" w:cstheme="minorHAnsi"/>
          <w:sz w:val="22"/>
          <w:szCs w:val="22"/>
        </w:rPr>
        <w:t xml:space="preserve">by CSO </w:t>
      </w:r>
      <w:proofErr w:type="spellStart"/>
      <w:r w:rsidR="00C96209">
        <w:rPr>
          <w:rFonts w:asciiTheme="minorHAnsi" w:hAnsiTheme="minorHAnsi" w:cstheme="minorHAnsi"/>
          <w:sz w:val="22"/>
          <w:szCs w:val="22"/>
        </w:rPr>
        <w:t>Geten</w:t>
      </w:r>
      <w:proofErr w:type="spellEnd"/>
      <w:r w:rsidR="00C96209">
        <w:rPr>
          <w:rFonts w:asciiTheme="minorHAnsi" w:hAnsiTheme="minorHAnsi" w:cstheme="minorHAnsi"/>
          <w:sz w:val="22"/>
          <w:szCs w:val="22"/>
        </w:rPr>
        <w:t xml:space="preserve"> </w:t>
      </w:r>
      <w:r w:rsidRPr="00E12F00">
        <w:rPr>
          <w:rFonts w:asciiTheme="minorHAnsi" w:hAnsiTheme="minorHAnsi" w:cstheme="minorHAnsi"/>
          <w:sz w:val="22"/>
          <w:szCs w:val="22"/>
        </w:rPr>
        <w:t xml:space="preserve">in the period from </w:t>
      </w:r>
      <w:r>
        <w:rPr>
          <w:rFonts w:asciiTheme="minorHAnsi" w:hAnsiTheme="minorHAnsi" w:cstheme="minorHAnsi"/>
          <w:sz w:val="22"/>
          <w:szCs w:val="22"/>
        </w:rPr>
        <w:t xml:space="preserve">15 </w:t>
      </w:r>
      <w:r w:rsidRPr="00E12F00">
        <w:rPr>
          <w:rFonts w:asciiTheme="minorHAnsi" w:hAnsiTheme="minorHAnsi" w:cstheme="minorHAnsi"/>
          <w:sz w:val="22"/>
          <w:szCs w:val="22"/>
        </w:rPr>
        <w:t xml:space="preserve">August until </w:t>
      </w:r>
      <w:r>
        <w:rPr>
          <w:rFonts w:asciiTheme="minorHAnsi" w:hAnsiTheme="minorHAnsi" w:cstheme="minorHAnsi"/>
          <w:sz w:val="22"/>
          <w:szCs w:val="22"/>
        </w:rPr>
        <w:t xml:space="preserve">30 </w:t>
      </w:r>
      <w:r w:rsidRPr="00E12F00">
        <w:rPr>
          <w:rFonts w:asciiTheme="minorHAnsi" w:hAnsiTheme="minorHAnsi" w:cstheme="minorHAnsi"/>
          <w:sz w:val="22"/>
          <w:szCs w:val="22"/>
        </w:rPr>
        <w:t xml:space="preserve">October 2018, in the form of online questionnaire. The link to the questionnaire was distributed by means of social network of </w:t>
      </w:r>
      <w:proofErr w:type="spellStart"/>
      <w:r w:rsidRPr="00E12F00">
        <w:rPr>
          <w:rFonts w:asciiTheme="minorHAnsi" w:hAnsiTheme="minorHAnsi" w:cstheme="minorHAnsi"/>
          <w:sz w:val="22"/>
          <w:szCs w:val="22"/>
        </w:rPr>
        <w:t>Geten</w:t>
      </w:r>
      <w:proofErr w:type="spellEnd"/>
      <w:r w:rsidRPr="00E12F00">
        <w:rPr>
          <w:rFonts w:asciiTheme="minorHAnsi" w:hAnsiTheme="minorHAnsi" w:cstheme="minorHAnsi"/>
          <w:sz w:val="22"/>
          <w:szCs w:val="22"/>
        </w:rPr>
        <w:t xml:space="preserve"> and </w:t>
      </w:r>
      <w:proofErr w:type="spellStart"/>
      <w:r w:rsidRPr="00E12F00">
        <w:rPr>
          <w:rFonts w:asciiTheme="minorHAnsi" w:hAnsiTheme="minorHAnsi" w:cstheme="minorHAnsi"/>
          <w:sz w:val="22"/>
          <w:szCs w:val="22"/>
        </w:rPr>
        <w:t>organisations</w:t>
      </w:r>
      <w:proofErr w:type="spellEnd"/>
      <w:r w:rsidRPr="00E12F00">
        <w:rPr>
          <w:rFonts w:asciiTheme="minorHAnsi" w:hAnsiTheme="minorHAnsi" w:cstheme="minorHAnsi"/>
          <w:sz w:val="22"/>
          <w:szCs w:val="22"/>
        </w:rPr>
        <w:t xml:space="preserve"> </w:t>
      </w:r>
      <w:proofErr w:type="spellStart"/>
      <w:r w:rsidRPr="00E12F00">
        <w:rPr>
          <w:rFonts w:asciiTheme="minorHAnsi" w:hAnsiTheme="minorHAnsi" w:cstheme="minorHAnsi"/>
          <w:sz w:val="22"/>
          <w:szCs w:val="22"/>
        </w:rPr>
        <w:t>Geten</w:t>
      </w:r>
      <w:proofErr w:type="spellEnd"/>
      <w:r w:rsidRPr="00E12F00">
        <w:rPr>
          <w:rFonts w:asciiTheme="minorHAnsi" w:hAnsiTheme="minorHAnsi" w:cstheme="minorHAnsi"/>
          <w:sz w:val="22"/>
          <w:szCs w:val="22"/>
        </w:rPr>
        <w:t xml:space="preserve"> cooperates with, as well as via trans-affirmative mailing lists and groups.</w:t>
      </w:r>
      <w:r>
        <w:rPr>
          <w:rStyle w:val="FootnoteReference"/>
          <w:rFonts w:asciiTheme="minorHAnsi" w:hAnsiTheme="minorHAnsi" w:cstheme="minorHAnsi"/>
          <w:sz w:val="22"/>
          <w:szCs w:val="22"/>
        </w:rPr>
        <w:footnoteReference w:id="23"/>
      </w:r>
      <w:r w:rsidRPr="00E12F00">
        <w:rPr>
          <w:rFonts w:asciiTheme="minorHAnsi" w:hAnsiTheme="minorHAnsi" w:cstheme="minorHAnsi"/>
          <w:sz w:val="22"/>
          <w:szCs w:val="22"/>
        </w:rPr>
        <w:t xml:space="preserve"> </w:t>
      </w:r>
      <w:r>
        <w:rPr>
          <w:rFonts w:asciiTheme="minorHAnsi" w:hAnsiTheme="minorHAnsi" w:cstheme="minorHAnsi"/>
          <w:sz w:val="22"/>
          <w:szCs w:val="22"/>
        </w:rPr>
        <w:t xml:space="preserve">The results of the research are, </w:t>
      </w:r>
      <w:r w:rsidRPr="00E12F00">
        <w:rPr>
          <w:rFonts w:asciiTheme="minorHAnsi" w:hAnsiTheme="minorHAnsi" w:cstheme="minorHAnsi"/>
          <w:i/>
          <w:iCs/>
          <w:sz w:val="22"/>
          <w:szCs w:val="22"/>
        </w:rPr>
        <w:t>inter alia</w:t>
      </w:r>
      <w:r>
        <w:rPr>
          <w:rFonts w:asciiTheme="minorHAnsi" w:hAnsiTheme="minorHAnsi" w:cstheme="minorHAnsi"/>
          <w:sz w:val="22"/>
          <w:szCs w:val="22"/>
        </w:rPr>
        <w:t>, the following:</w:t>
      </w:r>
    </w:p>
    <w:p w14:paraId="5B1AB19D" w14:textId="658BD54E" w:rsidR="00E12F00" w:rsidRPr="00E12F00" w:rsidRDefault="00E12F00" w:rsidP="00E12F00">
      <w:pPr>
        <w:pStyle w:val="NormalWeb"/>
        <w:numPr>
          <w:ilvl w:val="0"/>
          <w:numId w:val="35"/>
        </w:numPr>
        <w:jc w:val="both"/>
        <w:rPr>
          <w:rFonts w:asciiTheme="minorHAnsi" w:hAnsiTheme="minorHAnsi" w:cstheme="minorHAnsi"/>
        </w:rPr>
      </w:pPr>
      <w:r w:rsidRPr="00E12F00">
        <w:rPr>
          <w:rFonts w:asciiTheme="minorHAnsi" w:hAnsiTheme="minorHAnsi" w:cstheme="minorHAnsi"/>
          <w:sz w:val="22"/>
          <w:szCs w:val="22"/>
        </w:rPr>
        <w:t xml:space="preserve">More than a third of the respondents over the age of 18, has no regular monthly income, and about a dozen of them in total has income that are above the republic average. </w:t>
      </w:r>
    </w:p>
    <w:p w14:paraId="543BB808" w14:textId="6E2B8C28" w:rsidR="00E12F00" w:rsidRPr="00E12F00" w:rsidRDefault="00E12F00" w:rsidP="00E12F00">
      <w:pPr>
        <w:pStyle w:val="ListParagraph"/>
        <w:numPr>
          <w:ilvl w:val="0"/>
          <w:numId w:val="35"/>
        </w:numPr>
        <w:spacing w:before="100" w:beforeAutospacing="1" w:after="100" w:afterAutospacing="1" w:line="240" w:lineRule="auto"/>
        <w:jc w:val="both"/>
        <w:rPr>
          <w:rFonts w:eastAsia="Times New Roman" w:cstheme="minorHAnsi"/>
          <w:sz w:val="24"/>
          <w:szCs w:val="24"/>
          <w:lang w:eastAsia="en-GB"/>
        </w:rPr>
      </w:pPr>
      <w:r w:rsidRPr="00E12F00">
        <w:rPr>
          <w:rFonts w:eastAsia="Times New Roman" w:cstheme="minorHAnsi"/>
          <w:lang w:eastAsia="en-GB"/>
        </w:rPr>
        <w:t>Almost half of the participants of the research (45</w:t>
      </w:r>
      <w:proofErr w:type="gramStart"/>
      <w:r w:rsidRPr="00E12F00">
        <w:rPr>
          <w:rFonts w:eastAsia="Times New Roman" w:cstheme="minorHAnsi"/>
          <w:lang w:eastAsia="en-GB"/>
        </w:rPr>
        <w:t>,1</w:t>
      </w:r>
      <w:proofErr w:type="gramEnd"/>
      <w:r w:rsidRPr="00E12F00">
        <w:rPr>
          <w:rFonts w:eastAsia="Times New Roman" w:cstheme="minorHAnsi"/>
          <w:lang w:eastAsia="en-GB"/>
        </w:rPr>
        <w:t xml:space="preserve"> per cent) never felt safe to express their gender identity during the whole course of their education, while only a fourth of the respondents (23,9 per cent) said that they were never discriminated against or exposed to violence by their peers, professors and teachers, and other staff during the course of education. Among the examples of violence to which trans people were exposed are demands for normative gender expression (“</w:t>
      </w:r>
      <w:r w:rsidRPr="00E12F00">
        <w:rPr>
          <w:rFonts w:eastAsia="Times New Roman" w:cstheme="minorHAnsi"/>
          <w:i/>
          <w:iCs/>
          <w:lang w:eastAsia="en-GB"/>
        </w:rPr>
        <w:t>School principal made me cut my hair short and openly and publicly attacked me on more than one occasion about how I dressed or looked</w:t>
      </w:r>
      <w:r w:rsidRPr="00E12F00">
        <w:rPr>
          <w:rFonts w:eastAsia="Times New Roman" w:cstheme="minorHAnsi"/>
          <w:lang w:eastAsia="en-GB"/>
        </w:rPr>
        <w:t>”), being made fun of by peers, getting insults, suffering physical and sexual violence, and receiving death threats, first and foremost from their peers. This is why it is not surprising that the third of the respondents (33,8 per cent) thought about dropping out of school at some point due to their gender identity, and that in the end 12,7 per cent actually did just that. As the reason for quitting education, fear of violence is usually quoted, while their decision to persevere during the education is accounted for by internal motivation (“</w:t>
      </w:r>
      <w:r w:rsidRPr="00E12F00">
        <w:rPr>
          <w:rFonts w:eastAsia="Times New Roman" w:cstheme="minorHAnsi"/>
          <w:i/>
          <w:iCs/>
          <w:lang w:eastAsia="en-GB"/>
        </w:rPr>
        <w:t>There is nothing that can stop me from doing what I love</w:t>
      </w:r>
      <w:r w:rsidRPr="00E12F00">
        <w:rPr>
          <w:rFonts w:eastAsia="Times New Roman" w:cstheme="minorHAnsi"/>
          <w:lang w:eastAsia="en-GB"/>
        </w:rPr>
        <w:t>”), as well as fear for their existence (“</w:t>
      </w:r>
      <w:r w:rsidRPr="00E12F00">
        <w:rPr>
          <w:rFonts w:eastAsia="Times New Roman" w:cstheme="minorHAnsi"/>
          <w:i/>
          <w:iCs/>
          <w:lang w:eastAsia="en-GB"/>
        </w:rPr>
        <w:t>What would I do without my graduation diploma/certificate?</w:t>
      </w:r>
      <w:r w:rsidRPr="00E12F00">
        <w:rPr>
          <w:rFonts w:eastAsia="Times New Roman" w:cstheme="minorHAnsi"/>
          <w:lang w:eastAsia="en-GB"/>
        </w:rPr>
        <w:t xml:space="preserve">”). </w:t>
      </w:r>
    </w:p>
    <w:p w14:paraId="595F26AA" w14:textId="15F4BFFB" w:rsidR="00E12F00" w:rsidRPr="00E12F00" w:rsidRDefault="00E12F00" w:rsidP="00E12F00">
      <w:pPr>
        <w:pStyle w:val="NormalWeb"/>
        <w:numPr>
          <w:ilvl w:val="0"/>
          <w:numId w:val="35"/>
        </w:numPr>
        <w:jc w:val="both"/>
        <w:rPr>
          <w:rFonts w:asciiTheme="minorHAnsi" w:hAnsiTheme="minorHAnsi" w:cstheme="minorHAnsi"/>
        </w:rPr>
      </w:pPr>
      <w:r w:rsidRPr="00E12F00">
        <w:rPr>
          <w:rFonts w:asciiTheme="minorHAnsi" w:hAnsiTheme="minorHAnsi" w:cstheme="minorHAnsi"/>
          <w:sz w:val="22"/>
          <w:szCs w:val="22"/>
        </w:rPr>
        <w:t>Out of the respondents who are employed, one third (34</w:t>
      </w:r>
      <w:proofErr w:type="gramStart"/>
      <w:r w:rsidRPr="00E12F00">
        <w:rPr>
          <w:rFonts w:asciiTheme="minorHAnsi" w:hAnsiTheme="minorHAnsi" w:cstheme="minorHAnsi"/>
          <w:sz w:val="22"/>
          <w:szCs w:val="22"/>
        </w:rPr>
        <w:t>,1</w:t>
      </w:r>
      <w:proofErr w:type="gramEnd"/>
      <w:r w:rsidRPr="00E12F00">
        <w:rPr>
          <w:rFonts w:asciiTheme="minorHAnsi" w:hAnsiTheme="minorHAnsi" w:cstheme="minorHAnsi"/>
          <w:sz w:val="22"/>
          <w:szCs w:val="22"/>
        </w:rPr>
        <w:t xml:space="preserve"> percent) experienced some form of violence or discrimination while trying to obtain employment, and the violence and discrimination were related to their gender identity. Here it is important to put the emphasis on the fact that 62 per cent of respondents think that they do not have equal opportunity when looking for employment, compared to the opportunities of the</w:t>
      </w:r>
      <w:r>
        <w:rPr>
          <w:rFonts w:asciiTheme="minorHAnsi" w:hAnsiTheme="minorHAnsi" w:cstheme="minorHAnsi"/>
          <w:sz w:val="22"/>
          <w:szCs w:val="22"/>
        </w:rPr>
        <w:t xml:space="preserve"> </w:t>
      </w:r>
      <w:r w:rsidRPr="00E12F00">
        <w:rPr>
          <w:rFonts w:asciiTheme="minorHAnsi" w:hAnsiTheme="minorHAnsi" w:cstheme="minorHAnsi"/>
          <w:sz w:val="22"/>
          <w:szCs w:val="22"/>
        </w:rPr>
        <w:t xml:space="preserve">majority population with the same level of education. </w:t>
      </w:r>
    </w:p>
    <w:p w14:paraId="3B57937F" w14:textId="197E1B94" w:rsidR="00C96209" w:rsidRDefault="00E12F00" w:rsidP="00C96209">
      <w:pPr>
        <w:pStyle w:val="NormalWeb"/>
        <w:numPr>
          <w:ilvl w:val="0"/>
          <w:numId w:val="35"/>
        </w:numPr>
        <w:jc w:val="both"/>
        <w:rPr>
          <w:rFonts w:asciiTheme="minorHAnsi" w:hAnsiTheme="minorHAnsi" w:cstheme="minorHAnsi"/>
        </w:rPr>
      </w:pPr>
      <w:r w:rsidRPr="00E12F00">
        <w:rPr>
          <w:rFonts w:asciiTheme="minorHAnsi" w:hAnsiTheme="minorHAnsi" w:cstheme="minorHAnsi"/>
          <w:sz w:val="22"/>
          <w:szCs w:val="22"/>
        </w:rPr>
        <w:t>When it comes to being open about their trans(gender) identity in the workplace, somewhat less than a half of respondents are open about the issue of their gender identity, in the relationship with all of their co-workers and colleagues (20,4 percent) or with the majority of their colleagues (22,7 percent). Nevertheless, the majority of respondents do not share this information about their gender identity with anyone (36</w:t>
      </w:r>
      <w:proofErr w:type="gramStart"/>
      <w:r w:rsidRPr="00E12F00">
        <w:rPr>
          <w:rFonts w:asciiTheme="minorHAnsi" w:hAnsiTheme="minorHAnsi" w:cstheme="minorHAnsi"/>
          <w:sz w:val="22"/>
          <w:szCs w:val="22"/>
        </w:rPr>
        <w:t>,6</w:t>
      </w:r>
      <w:proofErr w:type="gramEnd"/>
      <w:r w:rsidRPr="00E12F00">
        <w:rPr>
          <w:rFonts w:asciiTheme="minorHAnsi" w:hAnsiTheme="minorHAnsi" w:cstheme="minorHAnsi"/>
          <w:sz w:val="22"/>
          <w:szCs w:val="22"/>
        </w:rPr>
        <w:t xml:space="preserve"> per cent) or only few people whom they trust are familiar with this information (20,4 per cent). </w:t>
      </w:r>
    </w:p>
    <w:p w14:paraId="2EC3C002" w14:textId="6975B109" w:rsidR="00C96209" w:rsidRDefault="00C96209" w:rsidP="00C96209">
      <w:pPr>
        <w:pStyle w:val="NormalWeb"/>
        <w:numPr>
          <w:ilvl w:val="0"/>
          <w:numId w:val="35"/>
        </w:numPr>
        <w:jc w:val="both"/>
        <w:rPr>
          <w:rFonts w:asciiTheme="minorHAnsi" w:hAnsiTheme="minorHAnsi" w:cstheme="minorHAnsi"/>
        </w:rPr>
      </w:pPr>
      <w:r w:rsidRPr="00C96209">
        <w:rPr>
          <w:rFonts w:asciiTheme="minorHAnsi" w:hAnsiTheme="minorHAnsi" w:cstheme="minorHAnsi"/>
          <w:sz w:val="22"/>
          <w:szCs w:val="22"/>
        </w:rPr>
        <w:t>Some form of discrimination or violence in the workplace was experienced by 38</w:t>
      </w:r>
      <w:proofErr w:type="gramStart"/>
      <w:r w:rsidRPr="00C96209">
        <w:rPr>
          <w:rFonts w:asciiTheme="minorHAnsi" w:hAnsiTheme="minorHAnsi" w:cstheme="minorHAnsi"/>
          <w:sz w:val="22"/>
          <w:szCs w:val="22"/>
        </w:rPr>
        <w:t>,4</w:t>
      </w:r>
      <w:proofErr w:type="gramEnd"/>
      <w:r w:rsidRPr="00C96209">
        <w:rPr>
          <w:rFonts w:asciiTheme="minorHAnsi" w:hAnsiTheme="minorHAnsi" w:cstheme="minorHAnsi"/>
          <w:sz w:val="22"/>
          <w:szCs w:val="22"/>
        </w:rPr>
        <w:t xml:space="preserve"> per cent of the respondents who were once employed, while even as many as one fifth of</w:t>
      </w:r>
      <w:r>
        <w:rPr>
          <w:rFonts w:asciiTheme="minorHAnsi" w:hAnsiTheme="minorHAnsi" w:cstheme="minorHAnsi"/>
          <w:sz w:val="22"/>
          <w:szCs w:val="22"/>
        </w:rPr>
        <w:t xml:space="preserve"> </w:t>
      </w:r>
      <w:r w:rsidRPr="00C96209">
        <w:rPr>
          <w:rFonts w:asciiTheme="minorHAnsi" w:hAnsiTheme="minorHAnsi" w:cstheme="minorHAnsi"/>
          <w:sz w:val="22"/>
          <w:szCs w:val="22"/>
        </w:rPr>
        <w:t xml:space="preserve">them (21,7 percent) decided to leave their job due to this. </w:t>
      </w:r>
    </w:p>
    <w:p w14:paraId="25AA7664" w14:textId="2601751B" w:rsidR="00C96209" w:rsidRPr="00C96209" w:rsidRDefault="00C96209" w:rsidP="00C96209">
      <w:pPr>
        <w:pStyle w:val="NormalWeb"/>
        <w:numPr>
          <w:ilvl w:val="0"/>
          <w:numId w:val="35"/>
        </w:numPr>
        <w:jc w:val="both"/>
        <w:rPr>
          <w:rFonts w:asciiTheme="minorHAnsi" w:hAnsiTheme="minorHAnsi" w:cstheme="minorHAnsi"/>
        </w:rPr>
      </w:pPr>
      <w:r w:rsidRPr="00C96209">
        <w:rPr>
          <w:rFonts w:asciiTheme="minorHAnsi" w:hAnsiTheme="minorHAnsi" w:cstheme="minorHAnsi"/>
          <w:sz w:val="22"/>
          <w:szCs w:val="22"/>
        </w:rPr>
        <w:lastRenderedPageBreak/>
        <w:t>Transgender people experience different uncomfortable situations when the</w:t>
      </w:r>
      <w:r w:rsidR="00544A3F">
        <w:rPr>
          <w:rFonts w:asciiTheme="minorHAnsi" w:hAnsiTheme="minorHAnsi" w:cstheme="minorHAnsi"/>
          <w:sz w:val="22"/>
          <w:szCs w:val="22"/>
        </w:rPr>
        <w:t>y</w:t>
      </w:r>
      <w:r w:rsidRPr="00C96209">
        <w:rPr>
          <w:rFonts w:asciiTheme="minorHAnsi" w:hAnsiTheme="minorHAnsi" w:cstheme="minorHAnsi"/>
          <w:sz w:val="22"/>
          <w:szCs w:val="22"/>
        </w:rPr>
        <w:t xml:space="preserve"> try to access general health care, both due to the difference between data in their personal documents and their gender identity and gender expression and in situations when they need to communicate that they are transgender. Almost half of the respondents (47,9 percent) said that they experienced unpleasant situations due to their gender identity, out of which one fifth (21,1 percent) think that it was the issue of discrimination and/or violence, while 31,0 per cent said that the health care providers showed disrespect towards their privacy and dignity (for example, commenting out loud about the person in question’s gender identity, commenting on the</w:t>
      </w:r>
      <w:r>
        <w:rPr>
          <w:rFonts w:asciiTheme="minorHAnsi" w:hAnsiTheme="minorHAnsi" w:cstheme="minorHAnsi"/>
          <w:sz w:val="22"/>
          <w:szCs w:val="22"/>
        </w:rPr>
        <w:t xml:space="preserve"> </w:t>
      </w:r>
      <w:r w:rsidRPr="00C96209">
        <w:rPr>
          <w:rFonts w:asciiTheme="minorHAnsi" w:hAnsiTheme="minorHAnsi" w:cstheme="minorHAnsi"/>
          <w:sz w:val="22"/>
          <w:szCs w:val="22"/>
        </w:rPr>
        <w:t xml:space="preserve">appearance or form of the person’s body in front of other patients/medical doctors, etc.). </w:t>
      </w:r>
    </w:p>
    <w:p w14:paraId="1B8AE69C" w14:textId="0FF19F77" w:rsidR="00C96209" w:rsidRPr="00C96209" w:rsidRDefault="00C96209" w:rsidP="00C96209">
      <w:pPr>
        <w:pStyle w:val="NormalWeb"/>
        <w:numPr>
          <w:ilvl w:val="0"/>
          <w:numId w:val="35"/>
        </w:numPr>
        <w:jc w:val="both"/>
        <w:rPr>
          <w:rFonts w:asciiTheme="minorHAnsi" w:hAnsiTheme="minorHAnsi" w:cstheme="minorHAnsi"/>
        </w:rPr>
      </w:pPr>
      <w:r w:rsidRPr="00C96209">
        <w:rPr>
          <w:rFonts w:asciiTheme="minorHAnsi" w:hAnsiTheme="minorHAnsi" w:cstheme="minorHAnsi"/>
          <w:sz w:val="22"/>
          <w:szCs w:val="22"/>
        </w:rPr>
        <w:t xml:space="preserve">When it comes to trans-specific health care services, 45,1 per cent of our respondents have already used some of the services from this domain, 31,0 per cent have not, but are planning to do so, while 23,9 per cent have not used these services, and neither do they want to. </w:t>
      </w:r>
      <w:r w:rsidR="00544A3F">
        <w:rPr>
          <w:rFonts w:asciiTheme="minorHAnsi" w:hAnsiTheme="minorHAnsi" w:cstheme="minorHAnsi"/>
          <w:sz w:val="22"/>
          <w:szCs w:val="22"/>
        </w:rPr>
        <w:t>Out of</w:t>
      </w:r>
      <w:r w:rsidRPr="00C96209">
        <w:rPr>
          <w:rFonts w:asciiTheme="minorHAnsi" w:hAnsiTheme="minorHAnsi" w:cstheme="minorHAnsi"/>
          <w:sz w:val="22"/>
          <w:szCs w:val="22"/>
        </w:rPr>
        <w:t xml:space="preserve"> those who used trans-specific health care services, 48 percent are not satisfied with them (22,6 percent are very dissatisfied and 25,4 percent are dissatisfied), while 14,1 per cent are satisfied or very satisfied with trans-specific health care services. </w:t>
      </w:r>
    </w:p>
    <w:p w14:paraId="54EC86C7" w14:textId="643CC066" w:rsidR="00E03D24" w:rsidRPr="002F4D00" w:rsidRDefault="00E03D24" w:rsidP="00E03D24">
      <w:pPr>
        <w:pStyle w:val="Heading1"/>
        <w:rPr>
          <w:b/>
          <w:color w:val="auto"/>
          <w:sz w:val="28"/>
          <w:szCs w:val="28"/>
          <w:lang w:val="en-GB"/>
        </w:rPr>
      </w:pPr>
      <w:r w:rsidRPr="002F4D00">
        <w:rPr>
          <w:b/>
          <w:color w:val="auto"/>
          <w:sz w:val="28"/>
          <w:szCs w:val="28"/>
          <w:lang w:val="en-GB"/>
        </w:rPr>
        <w:t>Position of Intersex Individuals</w:t>
      </w:r>
    </w:p>
    <w:p w14:paraId="39E91AE5" w14:textId="1D5948B7" w:rsidR="004E3AF5" w:rsidRPr="004E3AF5" w:rsidRDefault="00544A3F" w:rsidP="00544A3F">
      <w:pPr>
        <w:pStyle w:val="ListParagraph"/>
        <w:numPr>
          <w:ilvl w:val="0"/>
          <w:numId w:val="2"/>
        </w:numPr>
        <w:jc w:val="both"/>
        <w:rPr>
          <w:lang w:val="en-GB"/>
        </w:rPr>
      </w:pPr>
      <w:r>
        <w:rPr>
          <w:lang w:val="en-GB"/>
        </w:rPr>
        <w:t>The 2021</w:t>
      </w:r>
      <w:r w:rsidR="004E3AF5" w:rsidRPr="004E3AF5">
        <w:rPr>
          <w:lang w:val="en-GB"/>
        </w:rPr>
        <w:t xml:space="preserve"> Law on Prohibition </w:t>
      </w:r>
      <w:r w:rsidR="004E3AF5">
        <w:rPr>
          <w:lang w:val="en-GB"/>
        </w:rPr>
        <w:t>of</w:t>
      </w:r>
      <w:r w:rsidR="004E3AF5" w:rsidRPr="004E3AF5">
        <w:rPr>
          <w:lang w:val="en-GB"/>
        </w:rPr>
        <w:t xml:space="preserve"> Discrimination </w:t>
      </w:r>
      <w:r>
        <w:rPr>
          <w:lang w:val="en-GB"/>
        </w:rPr>
        <w:t xml:space="preserve">is the first Serbian legislation that recognises </w:t>
      </w:r>
      <w:r w:rsidR="004E3AF5">
        <w:rPr>
          <w:lang w:val="en-GB"/>
        </w:rPr>
        <w:t>sex</w:t>
      </w:r>
      <w:r w:rsidR="004E3AF5" w:rsidRPr="004E3AF5">
        <w:rPr>
          <w:lang w:val="en-GB"/>
        </w:rPr>
        <w:t xml:space="preserve"> characteristics </w:t>
      </w:r>
      <w:r>
        <w:rPr>
          <w:lang w:val="en-GB"/>
        </w:rPr>
        <w:t>as protected ground of</w:t>
      </w:r>
      <w:r w:rsidR="004E3AF5" w:rsidRPr="004E3AF5">
        <w:rPr>
          <w:lang w:val="en-GB"/>
        </w:rPr>
        <w:t xml:space="preserve"> discrimination.</w:t>
      </w:r>
    </w:p>
    <w:p w14:paraId="73149EB4" w14:textId="13A697EC" w:rsidR="004E3AF5" w:rsidRPr="004E3AF5" w:rsidRDefault="00544A3F" w:rsidP="00544A3F">
      <w:pPr>
        <w:pStyle w:val="ListParagraph"/>
        <w:numPr>
          <w:ilvl w:val="0"/>
          <w:numId w:val="2"/>
        </w:numPr>
        <w:jc w:val="both"/>
        <w:rPr>
          <w:lang w:val="en-GB"/>
        </w:rPr>
      </w:pPr>
      <w:r>
        <w:rPr>
          <w:lang w:val="en-GB"/>
        </w:rPr>
        <w:t>T</w:t>
      </w:r>
      <w:r w:rsidR="004E3AF5" w:rsidRPr="004E3AF5">
        <w:rPr>
          <w:lang w:val="en-GB"/>
        </w:rPr>
        <w:t>he provisions of the Law on Registry Books</w:t>
      </w:r>
      <w:r w:rsidR="007C32D7">
        <w:rPr>
          <w:rStyle w:val="FootnoteReference"/>
          <w:lang w:val="en-GB"/>
        </w:rPr>
        <w:footnoteReference w:id="24"/>
      </w:r>
      <w:r>
        <w:rPr>
          <w:lang w:val="en-GB"/>
        </w:rPr>
        <w:t xml:space="preserve"> </w:t>
      </w:r>
      <w:r w:rsidR="004E3AF5" w:rsidRPr="004E3AF5">
        <w:rPr>
          <w:lang w:val="en-GB"/>
        </w:rPr>
        <w:t xml:space="preserve">stipulate that the child's birth must be reported within 15 days from the day of the birth. Considering that the sex of the child must be entered in the birth register, </w:t>
      </w:r>
      <w:r>
        <w:rPr>
          <w:lang w:val="en-GB"/>
        </w:rPr>
        <w:t xml:space="preserve">and there is a lack of recognition of third gender marker, </w:t>
      </w:r>
      <w:r w:rsidR="004E3AF5" w:rsidRPr="004E3AF5">
        <w:rPr>
          <w:lang w:val="en-GB"/>
        </w:rPr>
        <w:t>in the case of an intersex child, such a provision produces negative consequences. Since the competent authority must register the sex of the child, this in practice leads to the parents of the child deciding on urgent and harmful medical procedures.</w:t>
      </w:r>
    </w:p>
    <w:p w14:paraId="79195194" w14:textId="1C2CB8F5" w:rsidR="004E3AF5" w:rsidRPr="004E3AF5" w:rsidRDefault="004E3AF5" w:rsidP="00544A3F">
      <w:pPr>
        <w:pStyle w:val="ListParagraph"/>
        <w:numPr>
          <w:ilvl w:val="0"/>
          <w:numId w:val="2"/>
        </w:numPr>
        <w:jc w:val="both"/>
        <w:rPr>
          <w:lang w:val="en-GB"/>
        </w:rPr>
      </w:pPr>
      <w:r w:rsidRPr="004E3AF5">
        <w:rPr>
          <w:lang w:val="en-GB"/>
        </w:rPr>
        <w:t xml:space="preserve">In the Republic of Serbia, there are no appropriate bylaws that would precisely regulate the position of intersex </w:t>
      </w:r>
      <w:r w:rsidR="007C32D7" w:rsidRPr="004E3AF5">
        <w:rPr>
          <w:lang w:val="en-GB"/>
        </w:rPr>
        <w:t>new-borns</w:t>
      </w:r>
      <w:r w:rsidRPr="004E3AF5">
        <w:rPr>
          <w:lang w:val="en-GB"/>
        </w:rPr>
        <w:t xml:space="preserve"> or their position during development and growth. This includes medical protocols, but also the procedures of the competent administrative bodies, which would adequately regulate their specific position.</w:t>
      </w:r>
    </w:p>
    <w:p w14:paraId="5B2E9CDE" w14:textId="1E99B416" w:rsidR="00E03D24" w:rsidRPr="002F4D00" w:rsidRDefault="00D73618" w:rsidP="00E03D24">
      <w:pPr>
        <w:pStyle w:val="Heading1"/>
        <w:rPr>
          <w:b/>
          <w:color w:val="auto"/>
          <w:sz w:val="28"/>
          <w:szCs w:val="28"/>
          <w:lang w:val="en-GB"/>
        </w:rPr>
      </w:pPr>
      <w:r w:rsidRPr="002F4D00">
        <w:rPr>
          <w:b/>
          <w:color w:val="auto"/>
          <w:sz w:val="28"/>
          <w:szCs w:val="28"/>
          <w:lang w:val="en-GB"/>
        </w:rPr>
        <w:t>The Impact of COVID-19 on the rights of LGBTI persons</w:t>
      </w:r>
    </w:p>
    <w:p w14:paraId="3569A927" w14:textId="63159097" w:rsidR="00D73618" w:rsidRDefault="001422C3" w:rsidP="00544A3F">
      <w:pPr>
        <w:pStyle w:val="rtejustify"/>
        <w:numPr>
          <w:ilvl w:val="0"/>
          <w:numId w:val="2"/>
        </w:numPr>
        <w:spacing w:before="0" w:beforeAutospacing="0" w:after="0" w:afterAutospacing="0" w:line="259" w:lineRule="auto"/>
        <w:ind w:left="714" w:hanging="357"/>
        <w:jc w:val="both"/>
        <w:rPr>
          <w:rFonts w:asciiTheme="minorHAnsi" w:hAnsiTheme="minorHAnsi" w:cstheme="minorHAnsi"/>
          <w:color w:val="222222"/>
          <w:sz w:val="22"/>
          <w:szCs w:val="22"/>
        </w:rPr>
      </w:pPr>
      <w:hyperlink r:id="rId18" w:history="1">
        <w:r w:rsidR="00D73618" w:rsidRPr="00E12F00">
          <w:rPr>
            <w:rStyle w:val="Hyperlink"/>
            <w:rFonts w:asciiTheme="minorHAnsi" w:hAnsiTheme="minorHAnsi" w:cstheme="minorHAnsi"/>
            <w:color w:val="000000" w:themeColor="text1"/>
            <w:sz w:val="22"/>
            <w:szCs w:val="22"/>
          </w:rPr>
          <w:t>EGAL Serbia</w:t>
        </w:r>
      </w:hyperlink>
      <w:r w:rsidR="00D73618" w:rsidRPr="00E12F00">
        <w:rPr>
          <w:rFonts w:asciiTheme="minorHAnsi" w:hAnsiTheme="minorHAnsi" w:cstheme="minorHAnsi"/>
          <w:color w:val="000000" w:themeColor="text1"/>
          <w:sz w:val="22"/>
          <w:szCs w:val="22"/>
        </w:rPr>
        <w:t> and </w:t>
      </w:r>
      <w:hyperlink r:id="rId19" w:history="1">
        <w:r w:rsidR="00D73618" w:rsidRPr="00E12F00">
          <w:rPr>
            <w:rStyle w:val="Hyperlink"/>
            <w:rFonts w:asciiTheme="minorHAnsi" w:hAnsiTheme="minorHAnsi" w:cstheme="minorHAnsi"/>
            <w:color w:val="000000" w:themeColor="text1"/>
            <w:sz w:val="22"/>
            <w:szCs w:val="22"/>
          </w:rPr>
          <w:t>Loud and Queer</w:t>
        </w:r>
      </w:hyperlink>
      <w:r w:rsidR="00D73618" w:rsidRPr="00D73618">
        <w:rPr>
          <w:rFonts w:asciiTheme="minorHAnsi" w:hAnsiTheme="minorHAnsi" w:cstheme="minorHAnsi"/>
          <w:color w:val="222222"/>
          <w:sz w:val="22"/>
          <w:szCs w:val="22"/>
        </w:rPr>
        <w:t> have conducted a research on the needs and obstacles faced by the LGBTI+ community in Serbia, in face of the Covid-19 pandemic and the measures taken by the state to combat it.</w:t>
      </w:r>
      <w:r w:rsidR="002C38F8">
        <w:rPr>
          <w:rStyle w:val="FootnoteReference"/>
          <w:rFonts w:asciiTheme="minorHAnsi" w:hAnsiTheme="minorHAnsi" w:cstheme="minorHAnsi"/>
          <w:color w:val="222222"/>
          <w:sz w:val="22"/>
          <w:szCs w:val="22"/>
        </w:rPr>
        <w:footnoteReference w:id="25"/>
      </w:r>
      <w:r w:rsidR="00D73618" w:rsidRPr="00D73618">
        <w:rPr>
          <w:rFonts w:asciiTheme="minorHAnsi" w:hAnsiTheme="minorHAnsi" w:cstheme="minorHAnsi"/>
          <w:color w:val="222222"/>
          <w:sz w:val="22"/>
          <w:szCs w:val="22"/>
        </w:rPr>
        <w:t xml:space="preserve"> </w:t>
      </w:r>
      <w:r w:rsidR="00D73618">
        <w:rPr>
          <w:rFonts w:asciiTheme="minorHAnsi" w:hAnsiTheme="minorHAnsi" w:cstheme="minorHAnsi"/>
          <w:color w:val="222222"/>
          <w:sz w:val="22"/>
          <w:szCs w:val="22"/>
        </w:rPr>
        <w:t xml:space="preserve">CSO </w:t>
      </w:r>
      <w:r w:rsidR="00D73618" w:rsidRPr="00D73618">
        <w:rPr>
          <w:rFonts w:asciiTheme="minorHAnsi" w:hAnsiTheme="minorHAnsi" w:cstheme="minorHAnsi"/>
          <w:color w:val="222222"/>
          <w:sz w:val="22"/>
          <w:szCs w:val="22"/>
        </w:rPr>
        <w:t xml:space="preserve">EGAL, which manages also a drop-in center for the LGBTI community in </w:t>
      </w:r>
      <w:r w:rsidR="00D73618">
        <w:rPr>
          <w:rFonts w:asciiTheme="minorHAnsi" w:hAnsiTheme="minorHAnsi" w:cstheme="minorHAnsi"/>
          <w:color w:val="222222"/>
          <w:sz w:val="22"/>
          <w:szCs w:val="22"/>
        </w:rPr>
        <w:t xml:space="preserve">the Serbian capital </w:t>
      </w:r>
      <w:r w:rsidR="00D73618" w:rsidRPr="00D73618">
        <w:rPr>
          <w:rFonts w:asciiTheme="minorHAnsi" w:hAnsiTheme="minorHAnsi" w:cstheme="minorHAnsi"/>
          <w:color w:val="222222"/>
          <w:sz w:val="22"/>
          <w:szCs w:val="22"/>
        </w:rPr>
        <w:t>Belgrade, needed this information in order to best design its response to the needs of the community. The survey, which was filled in by a total of 1198 respondents, being thus the biggest sample for the community in the country, reveal</w:t>
      </w:r>
      <w:r w:rsidR="00D73618">
        <w:rPr>
          <w:rFonts w:asciiTheme="minorHAnsi" w:hAnsiTheme="minorHAnsi" w:cstheme="minorHAnsi"/>
          <w:color w:val="222222"/>
          <w:sz w:val="22"/>
          <w:szCs w:val="22"/>
        </w:rPr>
        <w:t>ed</w:t>
      </w:r>
      <w:r w:rsidR="00D73618" w:rsidRPr="00D73618">
        <w:rPr>
          <w:rFonts w:asciiTheme="minorHAnsi" w:hAnsiTheme="minorHAnsi" w:cstheme="minorHAnsi"/>
          <w:color w:val="222222"/>
          <w:sz w:val="22"/>
          <w:szCs w:val="22"/>
        </w:rPr>
        <w:t xml:space="preserve"> the hardships that a considerable part of the LGBTI community face in their lives, particularly in safety and housing, mental and physical health as well as employment.</w:t>
      </w:r>
      <w:r w:rsidR="00E12F00">
        <w:rPr>
          <w:rFonts w:asciiTheme="minorHAnsi" w:hAnsiTheme="minorHAnsi" w:cstheme="minorHAnsi"/>
          <w:color w:val="222222"/>
          <w:sz w:val="22"/>
          <w:szCs w:val="22"/>
        </w:rPr>
        <w:t xml:space="preserve"> The results are, </w:t>
      </w:r>
      <w:r w:rsidR="00E12F00" w:rsidRPr="00320DEA">
        <w:rPr>
          <w:rFonts w:asciiTheme="minorHAnsi" w:hAnsiTheme="minorHAnsi" w:cstheme="minorHAnsi"/>
          <w:i/>
          <w:iCs/>
          <w:color w:val="222222"/>
          <w:sz w:val="22"/>
          <w:szCs w:val="22"/>
        </w:rPr>
        <w:t>inter alia</w:t>
      </w:r>
      <w:r w:rsidR="00E12F00">
        <w:rPr>
          <w:rFonts w:asciiTheme="minorHAnsi" w:hAnsiTheme="minorHAnsi" w:cstheme="minorHAnsi"/>
          <w:color w:val="222222"/>
          <w:sz w:val="22"/>
          <w:szCs w:val="22"/>
        </w:rPr>
        <w:t>, the following:</w:t>
      </w:r>
    </w:p>
    <w:p w14:paraId="4EE4A22E" w14:textId="66B1CECD" w:rsidR="00E12F00" w:rsidRPr="00E12F00" w:rsidRDefault="00D73618" w:rsidP="00E12F00">
      <w:pPr>
        <w:pStyle w:val="rtejustify"/>
        <w:numPr>
          <w:ilvl w:val="0"/>
          <w:numId w:val="32"/>
        </w:numPr>
        <w:spacing w:before="0" w:beforeAutospacing="0" w:after="0" w:afterAutospacing="0" w:line="259" w:lineRule="auto"/>
        <w:jc w:val="both"/>
        <w:rPr>
          <w:rFonts w:asciiTheme="minorHAnsi" w:hAnsiTheme="minorHAnsi" w:cstheme="minorHAnsi"/>
          <w:color w:val="222222"/>
          <w:sz w:val="22"/>
          <w:szCs w:val="22"/>
        </w:rPr>
      </w:pPr>
      <w:r w:rsidRPr="00E12F00">
        <w:rPr>
          <w:rFonts w:asciiTheme="minorHAnsi" w:hAnsiTheme="minorHAnsi" w:cstheme="minorHAnsi"/>
          <w:color w:val="222222"/>
          <w:sz w:val="22"/>
          <w:szCs w:val="22"/>
        </w:rPr>
        <w:lastRenderedPageBreak/>
        <w:t>The direct economic consequences of the pandemic were suffered by </w:t>
      </w:r>
      <w:r w:rsidRPr="00E12F00">
        <w:rPr>
          <w:rStyle w:val="Strong"/>
          <w:rFonts w:asciiTheme="minorHAnsi" w:hAnsiTheme="minorHAnsi" w:cstheme="minorHAnsi"/>
          <w:b w:val="0"/>
          <w:bCs w:val="0"/>
          <w:color w:val="222222"/>
          <w:sz w:val="22"/>
          <w:szCs w:val="22"/>
        </w:rPr>
        <w:t>one third</w:t>
      </w:r>
      <w:r w:rsidRPr="00E12F00">
        <w:rPr>
          <w:rFonts w:asciiTheme="minorHAnsi" w:hAnsiTheme="minorHAnsi" w:cstheme="minorHAnsi"/>
          <w:color w:val="222222"/>
          <w:sz w:val="22"/>
          <w:szCs w:val="22"/>
        </w:rPr>
        <w:t> of the LGBTI community members, including </w:t>
      </w:r>
      <w:r w:rsidRPr="00E12F00">
        <w:rPr>
          <w:rStyle w:val="Strong"/>
          <w:rFonts w:asciiTheme="minorHAnsi" w:hAnsiTheme="minorHAnsi" w:cstheme="minorHAnsi"/>
          <w:b w:val="0"/>
          <w:bCs w:val="0"/>
          <w:color w:val="222222"/>
          <w:sz w:val="22"/>
          <w:szCs w:val="22"/>
        </w:rPr>
        <w:t>half</w:t>
      </w:r>
      <w:r w:rsidRPr="00E12F00">
        <w:rPr>
          <w:rFonts w:asciiTheme="minorHAnsi" w:hAnsiTheme="minorHAnsi" w:cstheme="minorHAnsi"/>
          <w:color w:val="222222"/>
          <w:sz w:val="22"/>
          <w:szCs w:val="22"/>
        </w:rPr>
        <w:t> of the businesses owned by LGBTI persons, leading to almost </w:t>
      </w:r>
      <w:r w:rsidRPr="00E12F00">
        <w:rPr>
          <w:rStyle w:val="Strong"/>
          <w:rFonts w:asciiTheme="minorHAnsi" w:hAnsiTheme="minorHAnsi" w:cstheme="minorHAnsi"/>
          <w:b w:val="0"/>
          <w:bCs w:val="0"/>
          <w:color w:val="222222"/>
          <w:sz w:val="22"/>
          <w:szCs w:val="22"/>
        </w:rPr>
        <w:t>half </w:t>
      </w:r>
      <w:r w:rsidRPr="00E12F00">
        <w:rPr>
          <w:rFonts w:asciiTheme="minorHAnsi" w:hAnsiTheme="minorHAnsi" w:cstheme="minorHAnsi"/>
          <w:color w:val="222222"/>
          <w:sz w:val="22"/>
          <w:szCs w:val="22"/>
        </w:rPr>
        <w:t>of the community to be expected to</w:t>
      </w:r>
      <w:r w:rsidR="00544A3F">
        <w:rPr>
          <w:rFonts w:asciiTheme="minorHAnsi" w:hAnsiTheme="minorHAnsi" w:cstheme="minorHAnsi"/>
          <w:color w:val="222222"/>
          <w:sz w:val="22"/>
          <w:szCs w:val="22"/>
        </w:rPr>
        <w:t xml:space="preserve"> </w:t>
      </w:r>
      <w:r w:rsidRPr="00E12F00">
        <w:rPr>
          <w:rFonts w:asciiTheme="minorHAnsi" w:hAnsiTheme="minorHAnsi" w:cstheme="minorHAnsi"/>
          <w:color w:val="222222"/>
          <w:sz w:val="22"/>
          <w:szCs w:val="22"/>
        </w:rPr>
        <w:t>look for a new and/or additional job, in order to downscale the consequences of serious financial deprivation – approximately </w:t>
      </w:r>
      <w:r w:rsidRPr="00E12F00">
        <w:rPr>
          <w:rStyle w:val="Strong"/>
          <w:rFonts w:asciiTheme="minorHAnsi" w:hAnsiTheme="minorHAnsi" w:cstheme="minorHAnsi"/>
          <w:b w:val="0"/>
          <w:bCs w:val="0"/>
          <w:color w:val="222222"/>
          <w:sz w:val="22"/>
          <w:szCs w:val="22"/>
        </w:rPr>
        <w:t>two-thirds</w:t>
      </w:r>
      <w:r w:rsidRPr="00E12F00">
        <w:rPr>
          <w:rFonts w:asciiTheme="minorHAnsi" w:hAnsiTheme="minorHAnsi" w:cstheme="minorHAnsi"/>
          <w:color w:val="222222"/>
          <w:sz w:val="22"/>
          <w:szCs w:val="22"/>
        </w:rPr>
        <w:t> of those affected currently have no income.</w:t>
      </w:r>
    </w:p>
    <w:p w14:paraId="76B4BFAB" w14:textId="77777777" w:rsidR="00E12F00" w:rsidRPr="00E12F00" w:rsidRDefault="00D73618" w:rsidP="00E12F00">
      <w:pPr>
        <w:pStyle w:val="rtejustify"/>
        <w:numPr>
          <w:ilvl w:val="0"/>
          <w:numId w:val="32"/>
        </w:numPr>
        <w:spacing w:before="0" w:beforeAutospacing="0" w:after="0" w:afterAutospacing="0" w:line="259" w:lineRule="auto"/>
        <w:jc w:val="both"/>
        <w:rPr>
          <w:rFonts w:asciiTheme="minorHAnsi" w:hAnsiTheme="minorHAnsi" w:cstheme="minorHAnsi"/>
          <w:color w:val="222222"/>
          <w:sz w:val="22"/>
          <w:szCs w:val="22"/>
        </w:rPr>
      </w:pPr>
      <w:r w:rsidRPr="00E12F00">
        <w:rPr>
          <w:rStyle w:val="Strong"/>
          <w:rFonts w:asciiTheme="minorHAnsi" w:hAnsiTheme="minorHAnsi" w:cstheme="minorHAnsi"/>
          <w:b w:val="0"/>
          <w:bCs w:val="0"/>
          <w:color w:val="222222"/>
          <w:sz w:val="22"/>
          <w:szCs w:val="22"/>
        </w:rPr>
        <w:t>More than</w:t>
      </w:r>
      <w:r w:rsidRPr="00E12F00">
        <w:rPr>
          <w:rFonts w:asciiTheme="minorHAnsi" w:hAnsiTheme="minorHAnsi" w:cstheme="minorHAnsi"/>
          <w:color w:val="222222"/>
          <w:sz w:val="22"/>
          <w:szCs w:val="22"/>
        </w:rPr>
        <w:t> </w:t>
      </w:r>
      <w:r w:rsidRPr="00E12F00">
        <w:rPr>
          <w:rStyle w:val="Strong"/>
          <w:rFonts w:asciiTheme="minorHAnsi" w:hAnsiTheme="minorHAnsi" w:cstheme="minorHAnsi"/>
          <w:b w:val="0"/>
          <w:bCs w:val="0"/>
          <w:color w:val="222222"/>
          <w:sz w:val="22"/>
          <w:szCs w:val="22"/>
        </w:rPr>
        <w:t>two-thirds</w:t>
      </w:r>
      <w:r w:rsidRPr="00E12F00">
        <w:rPr>
          <w:rFonts w:asciiTheme="minorHAnsi" w:hAnsiTheme="minorHAnsi" w:cstheme="minorHAnsi"/>
          <w:color w:val="222222"/>
          <w:sz w:val="22"/>
          <w:szCs w:val="22"/>
        </w:rPr>
        <w:t> of LGBTI community members have trouble with satisfying at least one of the basic needs - food, housing, livelihood, employment. An urgent support is required for more than </w:t>
      </w:r>
      <w:r w:rsidRPr="00E12F00">
        <w:rPr>
          <w:rStyle w:val="Strong"/>
          <w:rFonts w:asciiTheme="minorHAnsi" w:hAnsiTheme="minorHAnsi" w:cstheme="minorHAnsi"/>
          <w:b w:val="0"/>
          <w:bCs w:val="0"/>
          <w:color w:val="222222"/>
          <w:sz w:val="22"/>
          <w:szCs w:val="22"/>
        </w:rPr>
        <w:t>20%</w:t>
      </w:r>
      <w:r w:rsidRPr="00E12F00">
        <w:rPr>
          <w:rFonts w:asciiTheme="minorHAnsi" w:hAnsiTheme="minorHAnsi" w:cstheme="minorHAnsi"/>
          <w:color w:val="222222"/>
          <w:sz w:val="22"/>
          <w:szCs w:val="22"/>
        </w:rPr>
        <w:t> of LGBTI persons.</w:t>
      </w:r>
    </w:p>
    <w:p w14:paraId="3F0B2859" w14:textId="71CCB274" w:rsidR="00E12F00" w:rsidRPr="00544A3F" w:rsidRDefault="00D73618" w:rsidP="00544A3F">
      <w:pPr>
        <w:pStyle w:val="rtejustify"/>
        <w:numPr>
          <w:ilvl w:val="0"/>
          <w:numId w:val="32"/>
        </w:numPr>
        <w:spacing w:before="0" w:beforeAutospacing="0" w:after="0" w:afterAutospacing="0" w:line="259" w:lineRule="auto"/>
        <w:jc w:val="both"/>
        <w:rPr>
          <w:rFonts w:asciiTheme="minorHAnsi" w:hAnsiTheme="minorHAnsi" w:cstheme="minorHAnsi"/>
          <w:color w:val="222222"/>
          <w:sz w:val="22"/>
          <w:szCs w:val="22"/>
        </w:rPr>
      </w:pPr>
      <w:r w:rsidRPr="00E12F00">
        <w:rPr>
          <w:rStyle w:val="Strong"/>
          <w:rFonts w:asciiTheme="minorHAnsi" w:hAnsiTheme="minorHAnsi" w:cstheme="minorHAnsi"/>
          <w:b w:val="0"/>
          <w:bCs w:val="0"/>
          <w:color w:val="222222"/>
          <w:sz w:val="22"/>
          <w:szCs w:val="22"/>
        </w:rPr>
        <w:t>One-fifth</w:t>
      </w:r>
      <w:r w:rsidRPr="00E12F00">
        <w:rPr>
          <w:rFonts w:asciiTheme="minorHAnsi" w:hAnsiTheme="minorHAnsi" w:cstheme="minorHAnsi"/>
          <w:color w:val="222222"/>
          <w:sz w:val="22"/>
          <w:szCs w:val="22"/>
        </w:rPr>
        <w:t> of LGBTI persons live in fear of violence or suffer from violence in the place where they are isolated during the pandemic.</w:t>
      </w:r>
      <w:r w:rsidR="00544A3F">
        <w:rPr>
          <w:rFonts w:asciiTheme="minorHAnsi" w:hAnsiTheme="minorHAnsi" w:cstheme="minorHAnsi"/>
          <w:color w:val="222222"/>
          <w:sz w:val="22"/>
          <w:szCs w:val="22"/>
        </w:rPr>
        <w:t xml:space="preserve"> </w:t>
      </w:r>
      <w:r w:rsidRPr="00544A3F">
        <w:rPr>
          <w:rStyle w:val="Strong"/>
          <w:rFonts w:asciiTheme="minorHAnsi" w:hAnsiTheme="minorHAnsi" w:cstheme="minorHAnsi"/>
          <w:b w:val="0"/>
          <w:bCs w:val="0"/>
          <w:color w:val="222222"/>
          <w:sz w:val="22"/>
          <w:szCs w:val="22"/>
        </w:rPr>
        <w:t>More than</w:t>
      </w:r>
      <w:r w:rsidRPr="00544A3F">
        <w:rPr>
          <w:rFonts w:asciiTheme="minorHAnsi" w:hAnsiTheme="minorHAnsi" w:cstheme="minorHAnsi"/>
          <w:color w:val="222222"/>
          <w:sz w:val="22"/>
          <w:szCs w:val="22"/>
        </w:rPr>
        <w:t> </w:t>
      </w:r>
      <w:r w:rsidRPr="00544A3F">
        <w:rPr>
          <w:rStyle w:val="Strong"/>
          <w:rFonts w:asciiTheme="minorHAnsi" w:hAnsiTheme="minorHAnsi" w:cstheme="minorHAnsi"/>
          <w:b w:val="0"/>
          <w:bCs w:val="0"/>
          <w:color w:val="222222"/>
          <w:sz w:val="22"/>
          <w:szCs w:val="22"/>
        </w:rPr>
        <w:t>one third</w:t>
      </w:r>
      <w:r w:rsidRPr="00544A3F">
        <w:rPr>
          <w:rFonts w:asciiTheme="minorHAnsi" w:hAnsiTheme="minorHAnsi" w:cstheme="minorHAnsi"/>
          <w:color w:val="222222"/>
          <w:sz w:val="22"/>
          <w:szCs w:val="22"/>
        </w:rPr>
        <w:t> of the community has a very poor assessment of the notion of privacy in the place of isolation, which may be particularly associated with fear of escalation of violence in cases of coming out.</w:t>
      </w:r>
    </w:p>
    <w:p w14:paraId="7B78DDA0" w14:textId="77777777" w:rsidR="00E12F00" w:rsidRPr="00E12F00" w:rsidRDefault="00D73618" w:rsidP="00E12F00">
      <w:pPr>
        <w:pStyle w:val="rtejustify"/>
        <w:numPr>
          <w:ilvl w:val="0"/>
          <w:numId w:val="32"/>
        </w:numPr>
        <w:spacing w:before="0" w:beforeAutospacing="0" w:after="0" w:afterAutospacing="0" w:line="259" w:lineRule="auto"/>
        <w:jc w:val="both"/>
        <w:rPr>
          <w:rFonts w:asciiTheme="minorHAnsi" w:hAnsiTheme="minorHAnsi" w:cstheme="minorHAnsi"/>
          <w:color w:val="222222"/>
          <w:sz w:val="22"/>
          <w:szCs w:val="22"/>
        </w:rPr>
      </w:pPr>
      <w:r w:rsidRPr="00E12F00">
        <w:rPr>
          <w:rStyle w:val="Strong"/>
          <w:rFonts w:asciiTheme="minorHAnsi" w:hAnsiTheme="minorHAnsi" w:cstheme="minorHAnsi"/>
          <w:b w:val="0"/>
          <w:bCs w:val="0"/>
          <w:color w:val="222222"/>
          <w:sz w:val="22"/>
          <w:szCs w:val="22"/>
        </w:rPr>
        <w:t>Every tenth</w:t>
      </w:r>
      <w:r w:rsidRPr="00E12F00">
        <w:rPr>
          <w:rFonts w:asciiTheme="minorHAnsi" w:hAnsiTheme="minorHAnsi" w:cstheme="minorHAnsi"/>
          <w:color w:val="222222"/>
          <w:sz w:val="22"/>
          <w:szCs w:val="22"/>
        </w:rPr>
        <w:t> LGBTI person had to move out during the onset of the coronavirus crisis, while </w:t>
      </w:r>
      <w:r w:rsidRPr="00E12F00">
        <w:rPr>
          <w:rStyle w:val="Strong"/>
          <w:rFonts w:asciiTheme="minorHAnsi" w:hAnsiTheme="minorHAnsi" w:cstheme="minorHAnsi"/>
          <w:b w:val="0"/>
          <w:bCs w:val="0"/>
          <w:color w:val="222222"/>
          <w:sz w:val="22"/>
          <w:szCs w:val="22"/>
        </w:rPr>
        <w:t>5%</w:t>
      </w:r>
      <w:r w:rsidRPr="00E12F00">
        <w:rPr>
          <w:rFonts w:asciiTheme="minorHAnsi" w:hAnsiTheme="minorHAnsi" w:cstheme="minorHAnsi"/>
          <w:color w:val="222222"/>
          <w:sz w:val="22"/>
          <w:szCs w:val="22"/>
        </w:rPr>
        <w:t> of the LGBTI community and their family members are at risk of homelessness.</w:t>
      </w:r>
    </w:p>
    <w:p w14:paraId="071461AA" w14:textId="2646E0DA" w:rsidR="00766990" w:rsidRPr="00D73618" w:rsidRDefault="002C38F8" w:rsidP="00544A3F">
      <w:pPr>
        <w:pStyle w:val="rtejustify"/>
        <w:numPr>
          <w:ilvl w:val="0"/>
          <w:numId w:val="2"/>
        </w:numPr>
        <w:spacing w:before="0" w:beforeAutospacing="0" w:line="259" w:lineRule="auto"/>
        <w:ind w:left="714" w:hanging="357"/>
        <w:jc w:val="both"/>
        <w:rPr>
          <w:rFonts w:asciiTheme="minorHAnsi" w:hAnsiTheme="minorHAnsi" w:cstheme="minorHAnsi"/>
          <w:color w:val="222222"/>
          <w:sz w:val="22"/>
          <w:szCs w:val="22"/>
        </w:rPr>
      </w:pPr>
      <w:r>
        <w:rPr>
          <w:rFonts w:asciiTheme="minorHAnsi" w:hAnsiTheme="minorHAnsi" w:cstheme="minorHAnsi"/>
          <w:color w:val="222222"/>
          <w:sz w:val="22"/>
          <w:szCs w:val="22"/>
        </w:rPr>
        <w:t xml:space="preserve">The </w:t>
      </w:r>
      <w:r w:rsidR="00D73618" w:rsidRPr="00D73618">
        <w:rPr>
          <w:rFonts w:asciiTheme="minorHAnsi" w:hAnsiTheme="minorHAnsi" w:cstheme="minorHAnsi"/>
          <w:color w:val="222222"/>
          <w:sz w:val="22"/>
          <w:szCs w:val="22"/>
        </w:rPr>
        <w:t>research results confirmed the negative consequences of the C</w:t>
      </w:r>
      <w:r w:rsidR="00E12F00">
        <w:rPr>
          <w:rFonts w:asciiTheme="minorHAnsi" w:hAnsiTheme="minorHAnsi" w:cstheme="minorHAnsi"/>
          <w:color w:val="222222"/>
          <w:sz w:val="22"/>
          <w:szCs w:val="22"/>
        </w:rPr>
        <w:t>OVID</w:t>
      </w:r>
      <w:r w:rsidR="00D73618" w:rsidRPr="00D73618">
        <w:rPr>
          <w:rFonts w:asciiTheme="minorHAnsi" w:hAnsiTheme="minorHAnsi" w:cstheme="minorHAnsi"/>
          <w:color w:val="222222"/>
          <w:sz w:val="22"/>
          <w:szCs w:val="22"/>
        </w:rPr>
        <w:t>-19 pandemic, manifested through socio-economic factors which increased the risk of poverty in the LGBTI community and further deteriorated the situation. Along with issues of security and protection from all forms of violence and discrimination, a greater need for mental health services both reparative as well as preventive is evident</w:t>
      </w:r>
      <w:r w:rsidR="00136A56" w:rsidRPr="00D73618">
        <w:rPr>
          <w:rFonts w:asciiTheme="minorHAnsi" w:hAnsiTheme="minorHAnsi" w:cstheme="minorHAnsi"/>
          <w:sz w:val="22"/>
          <w:szCs w:val="22"/>
          <w:lang w:val="en-GB"/>
        </w:rPr>
        <w:t>.</w:t>
      </w:r>
      <w:r w:rsidR="00400927">
        <w:rPr>
          <w:rStyle w:val="FootnoteReference"/>
          <w:rFonts w:asciiTheme="minorHAnsi" w:hAnsiTheme="minorHAnsi" w:cstheme="minorHAnsi"/>
          <w:sz w:val="22"/>
          <w:szCs w:val="22"/>
          <w:lang w:val="en-GB"/>
        </w:rPr>
        <w:footnoteReference w:id="26"/>
      </w:r>
    </w:p>
    <w:p w14:paraId="6CA9C079" w14:textId="5D6EE805" w:rsidR="00BE0057" w:rsidRPr="002F4D00" w:rsidRDefault="009531F2" w:rsidP="002857AD">
      <w:pPr>
        <w:pStyle w:val="Heading1"/>
        <w:rPr>
          <w:b/>
          <w:color w:val="auto"/>
          <w:sz w:val="28"/>
          <w:szCs w:val="28"/>
          <w:lang w:val="en-GB"/>
        </w:rPr>
      </w:pPr>
      <w:r w:rsidRPr="002F4D00">
        <w:rPr>
          <w:b/>
          <w:color w:val="auto"/>
          <w:sz w:val="28"/>
          <w:szCs w:val="28"/>
          <w:lang w:val="en-GB"/>
        </w:rPr>
        <w:t>List of Recommendations</w:t>
      </w:r>
    </w:p>
    <w:p w14:paraId="5A239728" w14:textId="48767603" w:rsidR="00844581" w:rsidRPr="00544A3F" w:rsidRDefault="00844581" w:rsidP="00544A3F">
      <w:pPr>
        <w:pStyle w:val="ListParagraph"/>
        <w:numPr>
          <w:ilvl w:val="0"/>
          <w:numId w:val="2"/>
        </w:numPr>
        <w:jc w:val="both"/>
        <w:rPr>
          <w:lang w:val="en-GB"/>
        </w:rPr>
      </w:pPr>
      <w:r w:rsidRPr="00544A3F">
        <w:rPr>
          <w:lang w:val="en-GB"/>
        </w:rPr>
        <w:t>Based on the data presented in this report, we propose</w:t>
      </w:r>
      <w:r w:rsidR="00400927" w:rsidRPr="00544A3F">
        <w:rPr>
          <w:lang w:val="en-GB"/>
        </w:rPr>
        <w:t xml:space="preserve"> to the Committee to take into account</w:t>
      </w:r>
      <w:r w:rsidRPr="00544A3F">
        <w:rPr>
          <w:lang w:val="en-GB"/>
        </w:rPr>
        <w:t xml:space="preserve"> the following list of recommendations for </w:t>
      </w:r>
      <w:r w:rsidR="00F0520A" w:rsidRPr="00544A3F">
        <w:rPr>
          <w:lang w:val="en-GB"/>
        </w:rPr>
        <w:t xml:space="preserve">effective, comprehensive and complete </w:t>
      </w:r>
      <w:r w:rsidR="00D73618" w:rsidRPr="00544A3F">
        <w:rPr>
          <w:lang w:val="en-GB"/>
        </w:rPr>
        <w:t>protection of social, economic and cultural rights of LGBTI persons</w:t>
      </w:r>
      <w:r w:rsidR="00F0520A" w:rsidRPr="00544A3F">
        <w:rPr>
          <w:lang w:val="en-GB"/>
        </w:rPr>
        <w:t>:</w:t>
      </w:r>
    </w:p>
    <w:p w14:paraId="5564F461" w14:textId="14464F5D" w:rsidR="006E0525" w:rsidRPr="00544A3F" w:rsidRDefault="00544A3F" w:rsidP="00936138">
      <w:pPr>
        <w:jc w:val="both"/>
        <w:rPr>
          <w:b/>
        </w:rPr>
      </w:pPr>
      <w:r w:rsidRPr="00544A3F">
        <w:rPr>
          <w:b/>
        </w:rPr>
        <w:t>5</w:t>
      </w:r>
      <w:r w:rsidR="00041405">
        <w:rPr>
          <w:b/>
        </w:rPr>
        <w:t>4</w:t>
      </w:r>
      <w:r w:rsidR="003742A1" w:rsidRPr="00544A3F">
        <w:rPr>
          <w:b/>
        </w:rPr>
        <w:t>.1</w:t>
      </w:r>
      <w:r w:rsidR="003742A1" w:rsidRPr="00544A3F">
        <w:rPr>
          <w:b/>
        </w:rPr>
        <w:tab/>
      </w:r>
      <w:r w:rsidR="00854883" w:rsidRPr="00544A3F">
        <w:rPr>
          <w:b/>
        </w:rPr>
        <w:t>Introduce comprehensive strategies on tackling discrimination against LGBTI persons and improvement of their socio-economic</w:t>
      </w:r>
      <w:r w:rsidR="00685ACE" w:rsidRPr="00544A3F">
        <w:rPr>
          <w:b/>
        </w:rPr>
        <w:t xml:space="preserve"> rights</w:t>
      </w:r>
      <w:r w:rsidR="00854883" w:rsidRPr="00544A3F">
        <w:rPr>
          <w:b/>
        </w:rPr>
        <w:t>, with special focus in areas of employment, healthcare, education, housing and social protection, accompanied by relevant action plans of implementation on national level and within local governments in the country;</w:t>
      </w:r>
    </w:p>
    <w:p w14:paraId="6193719B" w14:textId="2C85B9A0" w:rsidR="006E0525" w:rsidRPr="00544A3F" w:rsidRDefault="00544A3F" w:rsidP="00936138">
      <w:pPr>
        <w:jc w:val="both"/>
        <w:rPr>
          <w:b/>
        </w:rPr>
      </w:pPr>
      <w:r w:rsidRPr="00544A3F">
        <w:rPr>
          <w:b/>
        </w:rPr>
        <w:t>5</w:t>
      </w:r>
      <w:r w:rsidR="00041405">
        <w:rPr>
          <w:b/>
        </w:rPr>
        <w:t>4</w:t>
      </w:r>
      <w:r w:rsidR="003742A1" w:rsidRPr="00544A3F">
        <w:rPr>
          <w:b/>
        </w:rPr>
        <w:t>.</w:t>
      </w:r>
      <w:r w:rsidR="00854883" w:rsidRPr="00544A3F">
        <w:rPr>
          <w:b/>
        </w:rPr>
        <w:t>2</w:t>
      </w:r>
      <w:r w:rsidR="003742A1" w:rsidRPr="00544A3F">
        <w:rPr>
          <w:b/>
        </w:rPr>
        <w:t xml:space="preserve"> </w:t>
      </w:r>
      <w:r w:rsidR="003742A1" w:rsidRPr="00544A3F">
        <w:rPr>
          <w:b/>
        </w:rPr>
        <w:tab/>
      </w:r>
      <w:r w:rsidR="00854883" w:rsidRPr="00544A3F">
        <w:rPr>
          <w:b/>
        </w:rPr>
        <w:t xml:space="preserve">Adopt a comprehensive law on same-sex partnership, providing equal rights to same-sex couples as to married couples, including </w:t>
      </w:r>
      <w:r w:rsidR="00685ACE" w:rsidRPr="00544A3F">
        <w:rPr>
          <w:b/>
        </w:rPr>
        <w:t xml:space="preserve">equal </w:t>
      </w:r>
      <w:r w:rsidR="00854883" w:rsidRPr="00544A3F">
        <w:rPr>
          <w:b/>
        </w:rPr>
        <w:t>access to inheritance rights, family rights, socio-economic rights, joint adoption and foster care for same-sex partners, as well as fertility treatment for same-sex couples and single women, with no additional and discriminatory requirements in comparison to married couples;</w:t>
      </w:r>
    </w:p>
    <w:p w14:paraId="39494C1B" w14:textId="228C3385" w:rsidR="006E0525" w:rsidRPr="00544A3F" w:rsidRDefault="00544A3F" w:rsidP="00936138">
      <w:pPr>
        <w:jc w:val="both"/>
        <w:rPr>
          <w:b/>
        </w:rPr>
      </w:pPr>
      <w:r w:rsidRPr="00544A3F">
        <w:rPr>
          <w:b/>
        </w:rPr>
        <w:t>5</w:t>
      </w:r>
      <w:r w:rsidR="00041405">
        <w:rPr>
          <w:b/>
        </w:rPr>
        <w:t>4</w:t>
      </w:r>
      <w:r w:rsidR="003742A1" w:rsidRPr="00544A3F">
        <w:rPr>
          <w:b/>
        </w:rPr>
        <w:t>.</w:t>
      </w:r>
      <w:r w:rsidR="00443C5E" w:rsidRPr="00544A3F">
        <w:rPr>
          <w:b/>
        </w:rPr>
        <w:t>3</w:t>
      </w:r>
      <w:r w:rsidR="003742A1" w:rsidRPr="00544A3F">
        <w:rPr>
          <w:b/>
        </w:rPr>
        <w:tab/>
      </w:r>
      <w:r w:rsidR="00664471">
        <w:rPr>
          <w:b/>
        </w:rPr>
        <w:t>I</w:t>
      </w:r>
      <w:r w:rsidR="00664471" w:rsidRPr="00936138">
        <w:rPr>
          <w:b/>
        </w:rPr>
        <w:t xml:space="preserve">n cooperation with </w:t>
      </w:r>
      <w:r w:rsidR="00664471">
        <w:rPr>
          <w:b/>
        </w:rPr>
        <w:t>trans</w:t>
      </w:r>
      <w:r w:rsidR="00664471" w:rsidRPr="00936138">
        <w:rPr>
          <w:b/>
        </w:rPr>
        <w:t xml:space="preserve"> </w:t>
      </w:r>
      <w:r w:rsidR="00664471">
        <w:rPr>
          <w:b/>
        </w:rPr>
        <w:t xml:space="preserve">and intersex </w:t>
      </w:r>
      <w:r w:rsidR="00664471" w:rsidRPr="00936138">
        <w:rPr>
          <w:b/>
        </w:rPr>
        <w:t xml:space="preserve">civil society organizations, </w:t>
      </w:r>
      <w:r w:rsidR="00664471">
        <w:rPr>
          <w:b/>
        </w:rPr>
        <w:t xml:space="preserve">adopt a comprehensive law on legal gender recognition and </w:t>
      </w:r>
      <w:r w:rsidR="00664471" w:rsidRPr="00936138">
        <w:rPr>
          <w:b/>
        </w:rPr>
        <w:t xml:space="preserve">introduce precise </w:t>
      </w:r>
      <w:r w:rsidR="00664471">
        <w:rPr>
          <w:b/>
        </w:rPr>
        <w:t xml:space="preserve">medical and administrative </w:t>
      </w:r>
      <w:r w:rsidR="00664471" w:rsidRPr="00936138">
        <w:rPr>
          <w:b/>
        </w:rPr>
        <w:t xml:space="preserve">protocols and guidance </w:t>
      </w:r>
      <w:r w:rsidR="00664471">
        <w:rPr>
          <w:b/>
        </w:rPr>
        <w:t>on the position of intersex new-</w:t>
      </w:r>
      <w:proofErr w:type="spellStart"/>
      <w:r w:rsidR="00664471">
        <w:rPr>
          <w:b/>
        </w:rPr>
        <w:t>borns</w:t>
      </w:r>
      <w:proofErr w:type="spellEnd"/>
      <w:r w:rsidR="00664471">
        <w:rPr>
          <w:b/>
        </w:rPr>
        <w:t xml:space="preserve">, as well as on </w:t>
      </w:r>
      <w:r w:rsidR="00664471" w:rsidRPr="00936138">
        <w:rPr>
          <w:b/>
        </w:rPr>
        <w:t xml:space="preserve">trans </w:t>
      </w:r>
      <w:r w:rsidR="00664471">
        <w:rPr>
          <w:b/>
        </w:rPr>
        <w:t xml:space="preserve">and intersex </w:t>
      </w:r>
      <w:r w:rsidR="00664471" w:rsidRPr="00936138">
        <w:rPr>
          <w:b/>
        </w:rPr>
        <w:t>affirming health care, based on person’s self-determination</w:t>
      </w:r>
      <w:r w:rsidR="00664471">
        <w:rPr>
          <w:b/>
        </w:rPr>
        <w:t>,</w:t>
      </w:r>
      <w:r w:rsidR="00664471" w:rsidRPr="00936138">
        <w:rPr>
          <w:b/>
        </w:rPr>
        <w:t xml:space="preserve"> in line with international standards and best practices</w:t>
      </w:r>
      <w:r w:rsidR="00664471">
        <w:rPr>
          <w:b/>
        </w:rPr>
        <w:t xml:space="preserve"> and by ending harmful practices</w:t>
      </w:r>
      <w:r w:rsidR="00BE0057" w:rsidRPr="00544A3F">
        <w:rPr>
          <w:b/>
        </w:rPr>
        <w:t>;</w:t>
      </w:r>
    </w:p>
    <w:p w14:paraId="40A52A5A" w14:textId="7EB4CDBF" w:rsidR="00854883" w:rsidRPr="00544A3F" w:rsidRDefault="00544A3F" w:rsidP="00936138">
      <w:pPr>
        <w:jc w:val="both"/>
        <w:rPr>
          <w:b/>
        </w:rPr>
      </w:pPr>
      <w:r w:rsidRPr="00544A3F">
        <w:rPr>
          <w:b/>
        </w:rPr>
        <w:lastRenderedPageBreak/>
        <w:t>5</w:t>
      </w:r>
      <w:r w:rsidR="00041405">
        <w:rPr>
          <w:b/>
        </w:rPr>
        <w:t>4</w:t>
      </w:r>
      <w:r w:rsidR="00854883" w:rsidRPr="00544A3F">
        <w:rPr>
          <w:b/>
        </w:rPr>
        <w:t>.</w:t>
      </w:r>
      <w:r w:rsidR="00443C5E" w:rsidRPr="00544A3F">
        <w:rPr>
          <w:b/>
        </w:rPr>
        <w:t>4</w:t>
      </w:r>
      <w:r w:rsidR="00854883" w:rsidRPr="00544A3F">
        <w:rPr>
          <w:b/>
        </w:rPr>
        <w:tab/>
        <w:t xml:space="preserve">In cooperation with LGBTI civil society, </w:t>
      </w:r>
      <w:proofErr w:type="spellStart"/>
      <w:r w:rsidR="00854883" w:rsidRPr="00544A3F">
        <w:rPr>
          <w:b/>
        </w:rPr>
        <w:t>organise</w:t>
      </w:r>
      <w:proofErr w:type="spellEnd"/>
      <w:r w:rsidR="00854883" w:rsidRPr="00544A3F">
        <w:rPr>
          <w:b/>
        </w:rPr>
        <w:t xml:space="preserve"> public campaigns in order to increase the level of reporting of cases of discrimination in the areas of employment, healthcare, education, housing and social protection experienced by LGBTI persons;</w:t>
      </w:r>
    </w:p>
    <w:p w14:paraId="5A57F8B1" w14:textId="1312D49F" w:rsidR="00854883" w:rsidRPr="00544A3F" w:rsidRDefault="00544A3F" w:rsidP="00854883">
      <w:pPr>
        <w:jc w:val="both"/>
        <w:rPr>
          <w:b/>
        </w:rPr>
      </w:pPr>
      <w:r w:rsidRPr="00544A3F">
        <w:rPr>
          <w:b/>
        </w:rPr>
        <w:t>5</w:t>
      </w:r>
      <w:r w:rsidR="00041405">
        <w:rPr>
          <w:b/>
        </w:rPr>
        <w:t>4</w:t>
      </w:r>
      <w:r w:rsidR="00854883" w:rsidRPr="00544A3F">
        <w:rPr>
          <w:b/>
        </w:rPr>
        <w:t>.</w:t>
      </w:r>
      <w:r w:rsidR="00443C5E" w:rsidRPr="00544A3F">
        <w:rPr>
          <w:b/>
        </w:rPr>
        <w:t>5</w:t>
      </w:r>
      <w:r w:rsidR="00854883" w:rsidRPr="00544A3F">
        <w:rPr>
          <w:b/>
        </w:rPr>
        <w:tab/>
        <w:t xml:space="preserve">In cooperation with LGBTI civil society, conduct awareness-raising and education campaigns aimed at the general public and provide appropriate training to public officials on human rights and combating stereotypes, prejudices and discrimination against LGBTI persons, </w:t>
      </w:r>
      <w:r w:rsidR="00685ACE" w:rsidRPr="00544A3F">
        <w:rPr>
          <w:b/>
        </w:rPr>
        <w:t>with particular focus</w:t>
      </w:r>
      <w:r w:rsidR="00854883" w:rsidRPr="00544A3F">
        <w:rPr>
          <w:b/>
        </w:rPr>
        <w:t xml:space="preserve"> to health personnel, educational personnel, social workers, members of the judiciary and police forces;</w:t>
      </w:r>
    </w:p>
    <w:p w14:paraId="46D9C8F3" w14:textId="6F2D3AC7" w:rsidR="00854883" w:rsidRPr="00544A3F" w:rsidRDefault="00544A3F" w:rsidP="00854883">
      <w:pPr>
        <w:jc w:val="both"/>
        <w:rPr>
          <w:b/>
        </w:rPr>
      </w:pPr>
      <w:r w:rsidRPr="00544A3F">
        <w:rPr>
          <w:b/>
        </w:rPr>
        <w:t>5</w:t>
      </w:r>
      <w:r w:rsidR="00041405">
        <w:rPr>
          <w:b/>
        </w:rPr>
        <w:t>4</w:t>
      </w:r>
      <w:r w:rsidR="00854883" w:rsidRPr="00544A3F">
        <w:rPr>
          <w:b/>
        </w:rPr>
        <w:t>.</w:t>
      </w:r>
      <w:r w:rsidR="00443C5E" w:rsidRPr="00544A3F">
        <w:rPr>
          <w:b/>
        </w:rPr>
        <w:t>6</w:t>
      </w:r>
      <w:r w:rsidR="00854883" w:rsidRPr="00544A3F">
        <w:rPr>
          <w:b/>
        </w:rPr>
        <w:tab/>
        <w:t xml:space="preserve">Allocate funds in the field of culture specifically aimed to </w:t>
      </w:r>
      <w:r w:rsidRPr="00544A3F">
        <w:rPr>
          <w:b/>
        </w:rPr>
        <w:t>queer arts and culture in the</w:t>
      </w:r>
      <w:r w:rsidR="00854883" w:rsidRPr="00544A3F">
        <w:rPr>
          <w:b/>
        </w:rPr>
        <w:t xml:space="preserve"> Serbian society and advance</w:t>
      </w:r>
      <w:r w:rsidR="00685ACE" w:rsidRPr="00544A3F">
        <w:rPr>
          <w:b/>
        </w:rPr>
        <w:t>ment of</w:t>
      </w:r>
      <w:r w:rsidR="00854883" w:rsidRPr="00544A3F">
        <w:rPr>
          <w:b/>
        </w:rPr>
        <w:t xml:space="preserve"> the development of their sub-culture, with particular focus on theatre, music, </w:t>
      </w:r>
      <w:r w:rsidR="00685ACE" w:rsidRPr="00544A3F">
        <w:rPr>
          <w:b/>
        </w:rPr>
        <w:t>cinema</w:t>
      </w:r>
      <w:r w:rsidR="00854883" w:rsidRPr="00544A3F">
        <w:rPr>
          <w:b/>
        </w:rPr>
        <w:t xml:space="preserve">, television, art exhibitions, literature and support to independent artists promoting LGBTI </w:t>
      </w:r>
      <w:r w:rsidR="00685ACE" w:rsidRPr="00544A3F">
        <w:rPr>
          <w:b/>
        </w:rPr>
        <w:t>identities</w:t>
      </w:r>
      <w:r w:rsidR="00854883" w:rsidRPr="00544A3F">
        <w:rPr>
          <w:b/>
        </w:rPr>
        <w:t>;</w:t>
      </w:r>
    </w:p>
    <w:p w14:paraId="52D55E49" w14:textId="48C7328A" w:rsidR="00936138" w:rsidRPr="00544A3F" w:rsidRDefault="00544A3F" w:rsidP="00936138">
      <w:pPr>
        <w:jc w:val="both"/>
        <w:rPr>
          <w:b/>
        </w:rPr>
      </w:pPr>
      <w:r w:rsidRPr="00544A3F">
        <w:rPr>
          <w:b/>
        </w:rPr>
        <w:t>5</w:t>
      </w:r>
      <w:r w:rsidR="00041405">
        <w:rPr>
          <w:b/>
        </w:rPr>
        <w:t>4</w:t>
      </w:r>
      <w:r w:rsidR="003742A1" w:rsidRPr="00544A3F">
        <w:rPr>
          <w:b/>
        </w:rPr>
        <w:t>.</w:t>
      </w:r>
      <w:r w:rsidR="00443C5E" w:rsidRPr="00544A3F">
        <w:rPr>
          <w:b/>
        </w:rPr>
        <w:t>7</w:t>
      </w:r>
      <w:r w:rsidR="003742A1" w:rsidRPr="00544A3F">
        <w:rPr>
          <w:b/>
        </w:rPr>
        <w:tab/>
      </w:r>
      <w:r w:rsidR="00854883" w:rsidRPr="00544A3F">
        <w:rPr>
          <w:b/>
        </w:rPr>
        <w:t>In</w:t>
      </w:r>
      <w:r w:rsidR="00936138" w:rsidRPr="00544A3F">
        <w:rPr>
          <w:b/>
        </w:rPr>
        <w:t xml:space="preserve"> line with United Nations Sustainable Development Goals (SDGs) and </w:t>
      </w:r>
      <w:r w:rsidR="00B84EEB" w:rsidRPr="00544A3F">
        <w:rPr>
          <w:b/>
        </w:rPr>
        <w:t xml:space="preserve">2030 </w:t>
      </w:r>
      <w:r w:rsidR="00936138" w:rsidRPr="00544A3F">
        <w:rPr>
          <w:b/>
        </w:rPr>
        <w:t xml:space="preserve">Agenda, </w:t>
      </w:r>
      <w:r w:rsidR="00561C34" w:rsidRPr="00544A3F">
        <w:rPr>
          <w:b/>
        </w:rPr>
        <w:t>secure adequate representation of LGBTI civil society in all decision</w:t>
      </w:r>
      <w:r w:rsidR="007972B7" w:rsidRPr="00544A3F">
        <w:rPr>
          <w:b/>
        </w:rPr>
        <w:t>-</w:t>
      </w:r>
      <w:r w:rsidR="00561C34" w:rsidRPr="00544A3F">
        <w:rPr>
          <w:b/>
        </w:rPr>
        <w:t xml:space="preserve">making processes relevant for LGBTI communities in </w:t>
      </w:r>
      <w:r w:rsidR="00B84EEB" w:rsidRPr="00544A3F">
        <w:rPr>
          <w:b/>
        </w:rPr>
        <w:t>Serbia</w:t>
      </w:r>
      <w:r w:rsidR="00561C34" w:rsidRPr="00544A3F">
        <w:rPr>
          <w:b/>
        </w:rPr>
        <w:t xml:space="preserve">. </w:t>
      </w:r>
    </w:p>
    <w:p w14:paraId="423653A1" w14:textId="77777777" w:rsidR="00544A3F" w:rsidRPr="00936138" w:rsidRDefault="00544A3F" w:rsidP="00936138">
      <w:pPr>
        <w:jc w:val="both"/>
        <w:rPr>
          <w:b/>
        </w:rPr>
      </w:pPr>
    </w:p>
    <w:p w14:paraId="7FA88332" w14:textId="77777777" w:rsidR="00FC07B8" w:rsidRDefault="00FC07B8" w:rsidP="00FC07B8">
      <w:pPr>
        <w:pStyle w:val="Heading1"/>
        <w:rPr>
          <w:b/>
          <w:color w:val="auto"/>
          <w:sz w:val="28"/>
          <w:szCs w:val="28"/>
          <w:lang w:val="en-GB"/>
        </w:rPr>
      </w:pPr>
      <w:r w:rsidRPr="00FC07B8">
        <w:rPr>
          <w:b/>
          <w:color w:val="auto"/>
          <w:sz w:val="28"/>
          <w:szCs w:val="28"/>
          <w:lang w:val="en-GB"/>
        </w:rPr>
        <w:t>ANNEX</w:t>
      </w:r>
    </w:p>
    <w:p w14:paraId="2D0F9345" w14:textId="77777777" w:rsidR="00FC07B8" w:rsidRDefault="00FC07B8" w:rsidP="00FC07B8">
      <w:pPr>
        <w:pStyle w:val="Heading2"/>
        <w:rPr>
          <w:color w:val="auto"/>
          <w:sz w:val="24"/>
          <w:szCs w:val="24"/>
          <w:u w:val="single"/>
          <w:lang w:val="en-GB"/>
        </w:rPr>
      </w:pPr>
      <w:r w:rsidRPr="00FC07B8">
        <w:rPr>
          <w:color w:val="auto"/>
          <w:sz w:val="24"/>
          <w:szCs w:val="24"/>
          <w:u w:val="single"/>
          <w:lang w:val="en-GB"/>
        </w:rPr>
        <w:t>List of contributors</w:t>
      </w:r>
    </w:p>
    <w:p w14:paraId="15DC9DBC" w14:textId="0A606779" w:rsidR="00E54912" w:rsidRDefault="00D416D9" w:rsidP="00D73618">
      <w:pPr>
        <w:pStyle w:val="ListParagraph"/>
        <w:numPr>
          <w:ilvl w:val="0"/>
          <w:numId w:val="16"/>
        </w:numPr>
      </w:pPr>
      <w:r>
        <w:t>Vuk Raičević, ERA – LGBTI Equal Rights Association for Western Balkans and Turkey</w:t>
      </w:r>
    </w:p>
    <w:p w14:paraId="5B64D55B" w14:textId="778935B5" w:rsidR="00544A3F" w:rsidRDefault="00544A3F" w:rsidP="00D73618">
      <w:pPr>
        <w:pStyle w:val="ListParagraph"/>
        <w:numPr>
          <w:ilvl w:val="0"/>
          <w:numId w:val="16"/>
        </w:numPr>
      </w:pPr>
      <w:r>
        <w:t>Biljana Ginova, ERA – LGBTI Equal Rights Association for Western Balkans and Turkey</w:t>
      </w:r>
    </w:p>
    <w:p w14:paraId="1B29D792" w14:textId="77777777" w:rsidR="00664471" w:rsidRPr="001422C3" w:rsidRDefault="00664471" w:rsidP="00664471">
      <w:pPr>
        <w:pStyle w:val="ListParagraph"/>
        <w:numPr>
          <w:ilvl w:val="0"/>
          <w:numId w:val="16"/>
        </w:numPr>
        <w:rPr>
          <w:lang w:val="es-ES"/>
        </w:rPr>
      </w:pPr>
      <w:r w:rsidRPr="001422C3">
        <w:rPr>
          <w:lang w:val="es-ES"/>
        </w:rPr>
        <w:t>Miloš Kovačević, Da Se Zna!</w:t>
      </w:r>
    </w:p>
    <w:p w14:paraId="65DE45D5" w14:textId="2B79FF86" w:rsidR="00664471" w:rsidRDefault="00664471" w:rsidP="00D73618">
      <w:pPr>
        <w:pStyle w:val="ListParagraph"/>
        <w:numPr>
          <w:ilvl w:val="0"/>
          <w:numId w:val="16"/>
        </w:numPr>
      </w:pPr>
      <w:proofErr w:type="spellStart"/>
      <w:r>
        <w:t>Jovanka</w:t>
      </w:r>
      <w:proofErr w:type="spellEnd"/>
      <w:r>
        <w:t xml:space="preserve"> </w:t>
      </w:r>
      <w:proofErr w:type="spellStart"/>
      <w:r>
        <w:t>Todorović</w:t>
      </w:r>
      <w:proofErr w:type="spellEnd"/>
      <w:r>
        <w:t xml:space="preserve">, </w:t>
      </w:r>
      <w:proofErr w:type="spellStart"/>
      <w:r>
        <w:t>Geten</w:t>
      </w:r>
      <w:proofErr w:type="spellEnd"/>
    </w:p>
    <w:p w14:paraId="024C9139" w14:textId="003CC4EF" w:rsidR="00664471" w:rsidRDefault="00664471" w:rsidP="00D73618">
      <w:pPr>
        <w:pStyle w:val="ListParagraph"/>
        <w:numPr>
          <w:ilvl w:val="0"/>
          <w:numId w:val="16"/>
        </w:numPr>
      </w:pPr>
      <w:r>
        <w:t xml:space="preserve">Kristian </w:t>
      </w:r>
      <w:proofErr w:type="spellStart"/>
      <w:r>
        <w:t>Ran</w:t>
      </w:r>
      <w:r w:rsidRPr="00664471">
        <w:t>đ</w:t>
      </w:r>
      <w:r>
        <w:t>elović</w:t>
      </w:r>
      <w:proofErr w:type="spellEnd"/>
      <w:r>
        <w:t xml:space="preserve">, XY Spectrum </w:t>
      </w:r>
    </w:p>
    <w:p w14:paraId="7C3F896D" w14:textId="77777777" w:rsidR="00544A3F" w:rsidRDefault="00544A3F" w:rsidP="00544A3F"/>
    <w:sectPr w:rsidR="00544A3F" w:rsidSect="00FE64D8">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FDC6E" w14:textId="77777777" w:rsidR="006F7EB3" w:rsidRDefault="006F7EB3" w:rsidP="003204CE">
      <w:pPr>
        <w:spacing w:after="0" w:line="240" w:lineRule="auto"/>
      </w:pPr>
      <w:r>
        <w:separator/>
      </w:r>
    </w:p>
  </w:endnote>
  <w:endnote w:type="continuationSeparator" w:id="0">
    <w:p w14:paraId="7F91B413" w14:textId="77777777" w:rsidR="006F7EB3" w:rsidRDefault="006F7EB3" w:rsidP="003204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C71B5" w14:textId="77777777" w:rsidR="00627F70" w:rsidRDefault="00627F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4D638" w14:textId="13841E40" w:rsidR="00BB19E3" w:rsidRDefault="00BB19E3" w:rsidP="00831C1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29D7C3" w14:textId="77777777" w:rsidR="00627F70" w:rsidRDefault="00627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60E43" w14:textId="77777777" w:rsidR="006F7EB3" w:rsidRDefault="006F7EB3" w:rsidP="003204CE">
      <w:pPr>
        <w:spacing w:after="0" w:line="240" w:lineRule="auto"/>
      </w:pPr>
      <w:r>
        <w:separator/>
      </w:r>
    </w:p>
  </w:footnote>
  <w:footnote w:type="continuationSeparator" w:id="0">
    <w:p w14:paraId="0C2B590F" w14:textId="77777777" w:rsidR="006F7EB3" w:rsidRDefault="006F7EB3" w:rsidP="003204CE">
      <w:pPr>
        <w:spacing w:after="0" w:line="240" w:lineRule="auto"/>
      </w:pPr>
      <w:r>
        <w:continuationSeparator/>
      </w:r>
    </w:p>
  </w:footnote>
  <w:footnote w:id="1">
    <w:p w14:paraId="4E45804B" w14:textId="77777777" w:rsidR="00BB19E3" w:rsidRPr="008834F3" w:rsidRDefault="00BB19E3" w:rsidP="00E636D3">
      <w:pPr>
        <w:pStyle w:val="FootnoteText"/>
        <w:jc w:val="both"/>
        <w:rPr>
          <w:sz w:val="16"/>
          <w:szCs w:val="16"/>
        </w:rPr>
      </w:pPr>
      <w:r w:rsidRPr="008834F3">
        <w:rPr>
          <w:rStyle w:val="FootnoteReference"/>
          <w:sz w:val="16"/>
          <w:szCs w:val="16"/>
        </w:rPr>
        <w:footnoteRef/>
      </w:r>
      <w:r w:rsidRPr="008834F3">
        <w:rPr>
          <w:sz w:val="16"/>
          <w:szCs w:val="16"/>
        </w:rPr>
        <w:t xml:space="preserve"> </w:t>
      </w:r>
      <w:bookmarkStart w:id="1" w:name="_Hlk20841844"/>
      <w:r w:rsidRPr="008834F3">
        <w:rPr>
          <w:sz w:val="16"/>
          <w:szCs w:val="16"/>
        </w:rPr>
        <w:t xml:space="preserve">For more information about ERA, please visit the website: </w:t>
      </w:r>
      <w:bookmarkEnd w:id="1"/>
      <w:r w:rsidRPr="008834F3">
        <w:fldChar w:fldCharType="begin"/>
      </w:r>
      <w:r w:rsidRPr="008834F3">
        <w:rPr>
          <w:color w:val="E32D91" w:themeColor="accent1"/>
          <w:sz w:val="16"/>
          <w:szCs w:val="16"/>
        </w:rPr>
        <w:instrText xml:space="preserve"> HYPERLINK "http://www.lgbti-era.org" </w:instrText>
      </w:r>
      <w:r w:rsidRPr="008834F3">
        <w:fldChar w:fldCharType="separate"/>
      </w:r>
      <w:r w:rsidRPr="008834F3">
        <w:rPr>
          <w:rStyle w:val="Hyperlink"/>
          <w:color w:val="E32D91" w:themeColor="accent1"/>
          <w:sz w:val="16"/>
          <w:szCs w:val="16"/>
        </w:rPr>
        <w:t>http://www.lgbti-era.org</w:t>
      </w:r>
      <w:r w:rsidRPr="008834F3">
        <w:rPr>
          <w:rStyle w:val="Hyperlink"/>
          <w:color w:val="E32D91" w:themeColor="accent1"/>
          <w:sz w:val="16"/>
          <w:szCs w:val="16"/>
        </w:rPr>
        <w:fldChar w:fldCharType="end"/>
      </w:r>
      <w:r w:rsidRPr="008834F3">
        <w:rPr>
          <w:color w:val="E32D91" w:themeColor="accent1"/>
          <w:sz w:val="16"/>
          <w:szCs w:val="16"/>
        </w:rPr>
        <w:t xml:space="preserve"> </w:t>
      </w:r>
    </w:p>
  </w:footnote>
  <w:footnote w:id="2">
    <w:p w14:paraId="3CA8AB29" w14:textId="12C2A84B" w:rsidR="008834F3" w:rsidRPr="008834F3" w:rsidRDefault="008834F3">
      <w:pPr>
        <w:pStyle w:val="FootnoteText"/>
        <w:rPr>
          <w:sz w:val="16"/>
          <w:szCs w:val="16"/>
          <w:lang w:val="en-US"/>
        </w:rPr>
      </w:pPr>
      <w:r w:rsidRPr="008834F3">
        <w:rPr>
          <w:rStyle w:val="FootnoteReference"/>
          <w:sz w:val="16"/>
          <w:szCs w:val="16"/>
        </w:rPr>
        <w:footnoteRef/>
      </w:r>
      <w:r w:rsidRPr="008834F3">
        <w:rPr>
          <w:sz w:val="16"/>
          <w:szCs w:val="16"/>
        </w:rPr>
        <w:t xml:space="preserve"> Committee on Economic, Social and Cultural Rights, Concluding observations on the second periodic report of Serbia, 10 July 2014, UN Doc no. E/C.12/SRB/CO/2, par. 11.</w:t>
      </w:r>
    </w:p>
  </w:footnote>
  <w:footnote w:id="3">
    <w:p w14:paraId="0FA1794C" w14:textId="55B843C5" w:rsidR="00BB19E3" w:rsidRPr="007A212B" w:rsidRDefault="00BB19E3" w:rsidP="006A1F73">
      <w:pPr>
        <w:pStyle w:val="FootnoteText"/>
        <w:rPr>
          <w:sz w:val="16"/>
          <w:szCs w:val="16"/>
          <w:lang w:val="sr-Latn-RS"/>
        </w:rPr>
      </w:pPr>
      <w:r w:rsidRPr="007A212B">
        <w:rPr>
          <w:rStyle w:val="FootnoteReference"/>
          <w:sz w:val="16"/>
          <w:szCs w:val="16"/>
        </w:rPr>
        <w:footnoteRef/>
      </w:r>
      <w:r w:rsidRPr="007A212B">
        <w:rPr>
          <w:sz w:val="16"/>
          <w:szCs w:val="16"/>
        </w:rPr>
        <w:t xml:space="preserve"> </w:t>
      </w:r>
      <w:r w:rsidRPr="007A212B">
        <w:rPr>
          <w:sz w:val="16"/>
          <w:szCs w:val="16"/>
          <w:lang w:val="sr-Latn-RS"/>
        </w:rPr>
        <w:t xml:space="preserve">Constitution of the Republic of </w:t>
      </w:r>
      <w:r>
        <w:rPr>
          <w:sz w:val="16"/>
          <w:szCs w:val="16"/>
          <w:lang w:val="sr-Latn-RS"/>
        </w:rPr>
        <w:t xml:space="preserve">Serbia: </w:t>
      </w:r>
      <w:hyperlink r:id="rId1" w:history="1">
        <w:r w:rsidRPr="00895B61">
          <w:rPr>
            <w:rStyle w:val="Hyperlink"/>
            <w:color w:val="E32D91" w:themeColor="accent1"/>
            <w:sz w:val="16"/>
            <w:szCs w:val="16"/>
            <w:lang w:val="sr-Latn-RS"/>
          </w:rPr>
          <w:t>http://www.ustavni.sud.rs/page/view/sr-Latn-CS/70-100028/ustav-republike-srbije</w:t>
        </w:r>
      </w:hyperlink>
      <w:r w:rsidRPr="00895B61">
        <w:rPr>
          <w:color w:val="E32D91" w:themeColor="accent1"/>
          <w:sz w:val="16"/>
          <w:szCs w:val="16"/>
          <w:lang w:val="sr-Latn-RS"/>
        </w:rPr>
        <w:t xml:space="preserve"> </w:t>
      </w:r>
    </w:p>
  </w:footnote>
  <w:footnote w:id="4">
    <w:p w14:paraId="366DADB5" w14:textId="3587DA6C" w:rsidR="00544A3F" w:rsidRPr="00544A3F" w:rsidRDefault="00544A3F">
      <w:pPr>
        <w:pStyle w:val="FootnoteText"/>
        <w:rPr>
          <w:sz w:val="16"/>
          <w:szCs w:val="16"/>
          <w:lang w:val="en-US"/>
        </w:rPr>
      </w:pPr>
      <w:r w:rsidRPr="00544A3F">
        <w:rPr>
          <w:rStyle w:val="FootnoteReference"/>
          <w:sz w:val="16"/>
          <w:szCs w:val="16"/>
        </w:rPr>
        <w:footnoteRef/>
      </w:r>
      <w:r w:rsidRPr="00544A3F">
        <w:rPr>
          <w:sz w:val="16"/>
          <w:szCs w:val="16"/>
        </w:rPr>
        <w:t xml:space="preserve"> Even though no concrete steps were taken in amending the Constitution of Serbia so far, it is important to state that LGBTI persons are among the most discriminated persons in Serbia and SOGIESC should be explicitly mentioned among other explicitly mentioned protective personal grounds.</w:t>
      </w:r>
    </w:p>
  </w:footnote>
  <w:footnote w:id="5">
    <w:p w14:paraId="5C15526C" w14:textId="64AA2C1B" w:rsidR="00443C5E" w:rsidRPr="00544A3F" w:rsidRDefault="00443C5E">
      <w:pPr>
        <w:pStyle w:val="FootnoteText"/>
        <w:rPr>
          <w:lang w:val="en-US"/>
        </w:rPr>
      </w:pPr>
      <w:r>
        <w:rPr>
          <w:rStyle w:val="FootnoteReference"/>
        </w:rPr>
        <w:footnoteRef/>
      </w:r>
      <w:r>
        <w:t xml:space="preserve"> </w:t>
      </w:r>
      <w:hyperlink r:id="rId2" w:history="1">
        <w:r w:rsidRPr="00895B61">
          <w:rPr>
            <w:rStyle w:val="Hyperlink"/>
            <w:color w:val="E32D91" w:themeColor="accent1"/>
            <w:sz w:val="16"/>
            <w:szCs w:val="16"/>
          </w:rPr>
          <w:t>The Law on Prohibition of Discrimination</w:t>
        </w:r>
      </w:hyperlink>
      <w:r w:rsidRPr="00895B61">
        <w:rPr>
          <w:color w:val="E32D91" w:themeColor="accent1"/>
          <w:sz w:val="16"/>
          <w:szCs w:val="16"/>
        </w:rPr>
        <w:t xml:space="preserve"> </w:t>
      </w:r>
      <w:r w:rsidRPr="00985C4A">
        <w:rPr>
          <w:sz w:val="16"/>
          <w:szCs w:val="16"/>
        </w:rPr>
        <w:t>(Official Gazette of Serbia No. 22/2009</w:t>
      </w:r>
      <w:r>
        <w:rPr>
          <w:sz w:val="16"/>
          <w:szCs w:val="16"/>
        </w:rPr>
        <w:t xml:space="preserve"> and 52/2021</w:t>
      </w:r>
      <w:r w:rsidRPr="00985C4A">
        <w:rPr>
          <w:sz w:val="16"/>
          <w:szCs w:val="16"/>
        </w:rPr>
        <w:t>).</w:t>
      </w:r>
    </w:p>
  </w:footnote>
  <w:footnote w:id="6">
    <w:p w14:paraId="2F7BB203" w14:textId="7F0CC8BD" w:rsidR="00BB19E3" w:rsidRPr="00985C4A" w:rsidRDefault="00BB19E3">
      <w:pPr>
        <w:pStyle w:val="FootnoteText"/>
        <w:rPr>
          <w:sz w:val="16"/>
          <w:szCs w:val="16"/>
          <w:lang w:val="en-US"/>
        </w:rPr>
      </w:pPr>
      <w:r w:rsidRPr="00985C4A">
        <w:rPr>
          <w:rStyle w:val="FootnoteReference"/>
          <w:sz w:val="16"/>
          <w:szCs w:val="16"/>
        </w:rPr>
        <w:footnoteRef/>
      </w:r>
      <w:r w:rsidRPr="00985C4A">
        <w:rPr>
          <w:sz w:val="16"/>
          <w:szCs w:val="16"/>
        </w:rPr>
        <w:t xml:space="preserve"> </w:t>
      </w:r>
      <w:hyperlink r:id="rId3" w:history="1">
        <w:r w:rsidRPr="00895B61">
          <w:rPr>
            <w:rStyle w:val="Hyperlink"/>
            <w:color w:val="E32D91" w:themeColor="accent1"/>
            <w:sz w:val="16"/>
            <w:szCs w:val="16"/>
          </w:rPr>
          <w:t>The Law on Prohibition of Discrimination</w:t>
        </w:r>
      </w:hyperlink>
      <w:r w:rsidRPr="00895B61">
        <w:rPr>
          <w:color w:val="E32D91" w:themeColor="accent1"/>
          <w:sz w:val="16"/>
          <w:szCs w:val="16"/>
        </w:rPr>
        <w:t xml:space="preserve"> </w:t>
      </w:r>
      <w:r w:rsidRPr="00985C4A">
        <w:rPr>
          <w:sz w:val="16"/>
          <w:szCs w:val="16"/>
        </w:rPr>
        <w:t>(Official Gazette of Serbia No. 22/2009).</w:t>
      </w:r>
    </w:p>
  </w:footnote>
  <w:footnote w:id="7">
    <w:p w14:paraId="0E0FB8B5" w14:textId="1491931B" w:rsidR="00337992" w:rsidRPr="00337992" w:rsidRDefault="00337992" w:rsidP="00337992">
      <w:pPr>
        <w:pStyle w:val="Heading3"/>
        <w:rPr>
          <w:rFonts w:asciiTheme="minorHAnsi" w:hAnsiTheme="minorHAnsi" w:cstheme="minorHAnsi"/>
          <w:i/>
          <w:iCs/>
          <w:color w:val="000000" w:themeColor="text1"/>
          <w:sz w:val="16"/>
          <w:szCs w:val="16"/>
          <w:u w:val="single"/>
          <w:lang w:val="en-GB"/>
        </w:rPr>
      </w:pPr>
      <w:r w:rsidRPr="00337992">
        <w:rPr>
          <w:rStyle w:val="FootnoteReference"/>
          <w:rFonts w:asciiTheme="minorHAnsi" w:hAnsiTheme="minorHAnsi" w:cstheme="minorHAnsi"/>
          <w:sz w:val="16"/>
          <w:szCs w:val="16"/>
        </w:rPr>
        <w:footnoteRef/>
      </w:r>
      <w:r w:rsidRPr="00337992">
        <w:rPr>
          <w:rFonts w:asciiTheme="minorHAnsi" w:hAnsiTheme="minorHAnsi" w:cstheme="minorHAnsi"/>
          <w:sz w:val="16"/>
          <w:szCs w:val="16"/>
        </w:rPr>
        <w:t xml:space="preserve"> </w:t>
      </w:r>
      <w:r w:rsidRPr="00337992">
        <w:rPr>
          <w:rFonts w:asciiTheme="minorHAnsi" w:hAnsiTheme="minorHAnsi" w:cstheme="minorHAnsi"/>
          <w:color w:val="000000" w:themeColor="text1"/>
          <w:sz w:val="16"/>
          <w:szCs w:val="16"/>
        </w:rPr>
        <w:t xml:space="preserve">For more information about this, please see the section: </w:t>
      </w:r>
      <w:r w:rsidRPr="00337992">
        <w:rPr>
          <w:rFonts w:asciiTheme="minorHAnsi" w:hAnsiTheme="minorHAnsi" w:cstheme="minorHAnsi"/>
          <w:i/>
          <w:iCs/>
          <w:color w:val="000000" w:themeColor="text1"/>
          <w:sz w:val="16"/>
          <w:szCs w:val="16"/>
          <w:u w:val="single"/>
          <w:lang w:val="en-GB"/>
        </w:rPr>
        <w:t>Strategy for prevention and protection from discrimination missing</w:t>
      </w:r>
    </w:p>
  </w:footnote>
  <w:footnote w:id="8">
    <w:p w14:paraId="09F94DAA" w14:textId="0D0CDE27" w:rsidR="00337992" w:rsidRPr="00337992" w:rsidRDefault="00337992" w:rsidP="001C27D1">
      <w:pPr>
        <w:pStyle w:val="Heading2"/>
        <w:spacing w:before="0" w:line="240" w:lineRule="auto"/>
        <w:rPr>
          <w:rFonts w:asciiTheme="minorHAnsi" w:hAnsiTheme="minorHAnsi" w:cstheme="minorHAnsi"/>
          <w:color w:val="2D3237"/>
          <w:sz w:val="16"/>
          <w:szCs w:val="16"/>
        </w:rPr>
      </w:pPr>
      <w:r w:rsidRPr="00337992">
        <w:rPr>
          <w:rStyle w:val="FootnoteReference"/>
          <w:rFonts w:asciiTheme="minorHAnsi" w:hAnsiTheme="minorHAnsi" w:cstheme="minorHAnsi"/>
          <w:color w:val="000000" w:themeColor="text1"/>
          <w:sz w:val="16"/>
          <w:szCs w:val="16"/>
        </w:rPr>
        <w:footnoteRef/>
      </w:r>
      <w:r w:rsidRPr="00337992">
        <w:rPr>
          <w:rFonts w:asciiTheme="minorHAnsi" w:hAnsiTheme="minorHAnsi" w:cstheme="minorHAnsi"/>
          <w:color w:val="000000" w:themeColor="text1"/>
          <w:sz w:val="16"/>
          <w:szCs w:val="16"/>
        </w:rPr>
        <w:t xml:space="preserve"> For more information on the implementation of SOGIESC recommendations provided to the Republic of Serbia under Cycle III of the UPR, please consult the following report: </w:t>
      </w:r>
      <w:hyperlink r:id="rId4" w:history="1">
        <w:r w:rsidRPr="00895B61">
          <w:rPr>
            <w:rStyle w:val="Hyperlink"/>
            <w:rFonts w:asciiTheme="minorHAnsi" w:hAnsiTheme="minorHAnsi" w:cstheme="minorHAnsi"/>
            <w:color w:val="E32D91" w:themeColor="accent1"/>
            <w:sz w:val="16"/>
            <w:szCs w:val="16"/>
          </w:rPr>
          <w:t>Written Contribution to the 3rd Cycle of the Universal Periodic Review of Republic of Serbia: Mid-term report</w:t>
        </w:r>
      </w:hyperlink>
    </w:p>
  </w:footnote>
  <w:footnote w:id="9">
    <w:p w14:paraId="07D7F87E" w14:textId="07692F0E" w:rsidR="001C27D1" w:rsidRPr="001C27D1" w:rsidRDefault="001C27D1" w:rsidP="001C27D1">
      <w:pPr>
        <w:pStyle w:val="FootnoteText"/>
        <w:rPr>
          <w:sz w:val="16"/>
          <w:szCs w:val="16"/>
          <w:lang w:val="en-US"/>
        </w:rPr>
      </w:pPr>
      <w:r w:rsidRPr="001C27D1">
        <w:rPr>
          <w:rStyle w:val="FootnoteReference"/>
          <w:sz w:val="16"/>
          <w:szCs w:val="16"/>
        </w:rPr>
        <w:footnoteRef/>
      </w:r>
      <w:r w:rsidRPr="001C27D1">
        <w:rPr>
          <w:sz w:val="16"/>
          <w:szCs w:val="16"/>
        </w:rPr>
        <w:t xml:space="preserve"> For more information, please see the following link</w:t>
      </w:r>
      <w:r>
        <w:rPr>
          <w:sz w:val="16"/>
          <w:szCs w:val="16"/>
        </w:rPr>
        <w:t>s</w:t>
      </w:r>
      <w:r w:rsidRPr="001C27D1">
        <w:rPr>
          <w:sz w:val="16"/>
          <w:szCs w:val="16"/>
        </w:rPr>
        <w:t xml:space="preserve">: </w:t>
      </w:r>
      <w:hyperlink r:id="rId5" w:history="1">
        <w:r w:rsidRPr="001C27D1">
          <w:rPr>
            <w:rStyle w:val="Hyperlink"/>
            <w:color w:val="E32D91" w:themeColor="accent1"/>
            <w:sz w:val="16"/>
            <w:szCs w:val="16"/>
          </w:rPr>
          <w:t>https://otvoreniparlament.rs/aktuelno/209</w:t>
        </w:r>
      </w:hyperlink>
      <w:r w:rsidRPr="001C27D1">
        <w:rPr>
          <w:color w:val="E32D91" w:themeColor="accent1"/>
          <w:sz w:val="16"/>
          <w:szCs w:val="16"/>
        </w:rPr>
        <w:t xml:space="preserve"> </w:t>
      </w:r>
      <w:r w:rsidRPr="001C27D1">
        <w:rPr>
          <w:color w:val="000000" w:themeColor="text1"/>
          <w:sz w:val="16"/>
          <w:szCs w:val="16"/>
        </w:rPr>
        <w:t>and</w:t>
      </w:r>
      <w:r>
        <w:rPr>
          <w:color w:val="E32D91" w:themeColor="accent1"/>
          <w:sz w:val="16"/>
          <w:szCs w:val="16"/>
        </w:rPr>
        <w:t xml:space="preserve"> </w:t>
      </w:r>
      <w:hyperlink r:id="rId6" w:history="1">
        <w:r w:rsidRPr="001C27D1">
          <w:rPr>
            <w:rStyle w:val="Hyperlink"/>
            <w:color w:val="E32D91" w:themeColor="accent1"/>
            <w:sz w:val="16"/>
            <w:szCs w:val="16"/>
          </w:rPr>
          <w:t>https://pescanik.net/pravna-analiza-izbora-poverenika-za-zastitu-ravnopravnosti/</w:t>
        </w:r>
      </w:hyperlink>
      <w:r w:rsidRPr="001C27D1">
        <w:rPr>
          <w:color w:val="E32D91" w:themeColor="accent1"/>
          <w:sz w:val="16"/>
          <w:szCs w:val="16"/>
        </w:rPr>
        <w:t xml:space="preserve"> </w:t>
      </w:r>
    </w:p>
  </w:footnote>
  <w:footnote w:id="10">
    <w:p w14:paraId="46E6C98C" w14:textId="69F5E22F" w:rsidR="00483DA0" w:rsidRPr="00483DA0" w:rsidRDefault="00483DA0">
      <w:pPr>
        <w:pStyle w:val="FootnoteText"/>
        <w:rPr>
          <w:sz w:val="16"/>
          <w:szCs w:val="16"/>
          <w:lang w:val="sr-Latn-RS"/>
        </w:rPr>
      </w:pPr>
      <w:r w:rsidRPr="00483DA0">
        <w:rPr>
          <w:rStyle w:val="FootnoteReference"/>
          <w:sz w:val="16"/>
          <w:szCs w:val="16"/>
        </w:rPr>
        <w:footnoteRef/>
      </w:r>
      <w:r w:rsidRPr="00483DA0">
        <w:rPr>
          <w:sz w:val="16"/>
          <w:szCs w:val="16"/>
        </w:rPr>
        <w:t xml:space="preserve"> </w:t>
      </w:r>
      <w:hyperlink r:id="rId7" w:history="1">
        <w:r w:rsidRPr="00895B61">
          <w:rPr>
            <w:rStyle w:val="Hyperlink"/>
            <w:color w:val="E32D91" w:themeColor="accent1"/>
            <w:sz w:val="16"/>
            <w:szCs w:val="16"/>
          </w:rPr>
          <w:t>http://labris.org.rs/sr/labris-predstavio-model-zakona-o-građanskom-partnerstvu</w:t>
        </w:r>
      </w:hyperlink>
      <w:r w:rsidRPr="00895B61">
        <w:rPr>
          <w:color w:val="E32D91" w:themeColor="accent1"/>
          <w:sz w:val="16"/>
          <w:szCs w:val="16"/>
        </w:rPr>
        <w:t xml:space="preserve"> </w:t>
      </w:r>
    </w:p>
  </w:footnote>
  <w:footnote w:id="11">
    <w:p w14:paraId="5F88844A" w14:textId="4BD2D2ED" w:rsidR="00BB19E3" w:rsidRPr="00BB19E3" w:rsidRDefault="00BB19E3">
      <w:pPr>
        <w:pStyle w:val="FootnoteText"/>
        <w:rPr>
          <w:sz w:val="16"/>
          <w:szCs w:val="16"/>
          <w:lang w:val="en-US"/>
        </w:rPr>
      </w:pPr>
      <w:r w:rsidRPr="00BB19E3">
        <w:rPr>
          <w:rStyle w:val="FootnoteReference"/>
          <w:sz w:val="16"/>
          <w:szCs w:val="16"/>
        </w:rPr>
        <w:footnoteRef/>
      </w:r>
      <w:r w:rsidRPr="00BB19E3">
        <w:rPr>
          <w:sz w:val="16"/>
          <w:szCs w:val="16"/>
        </w:rPr>
        <w:t xml:space="preserve"> The new Model law is available in Serbian via following link: </w:t>
      </w:r>
      <w:hyperlink r:id="rId8" w:history="1">
        <w:r w:rsidRPr="00895B61">
          <w:rPr>
            <w:rStyle w:val="Hyperlink"/>
            <w:color w:val="E32D91" w:themeColor="accent1"/>
            <w:sz w:val="16"/>
            <w:szCs w:val="16"/>
          </w:rPr>
          <w:t>http://labris.org.rs/sites/default/files/Model%20zakona%20o%20građanskom%20partnerstvu.pdf</w:t>
        </w:r>
      </w:hyperlink>
      <w:r w:rsidRPr="00895B61">
        <w:rPr>
          <w:color w:val="E32D91" w:themeColor="accent1"/>
          <w:sz w:val="16"/>
          <w:szCs w:val="16"/>
        </w:rPr>
        <w:t xml:space="preserve"> </w:t>
      </w:r>
    </w:p>
  </w:footnote>
  <w:footnote w:id="12">
    <w:p w14:paraId="2418E597" w14:textId="5FABE396" w:rsidR="002C38F8" w:rsidRPr="00895B61" w:rsidRDefault="002C38F8">
      <w:pPr>
        <w:pStyle w:val="FootnoteText"/>
        <w:rPr>
          <w:sz w:val="16"/>
          <w:szCs w:val="16"/>
          <w:lang w:val="en-US"/>
        </w:rPr>
      </w:pPr>
      <w:r w:rsidRPr="00895B61">
        <w:rPr>
          <w:rStyle w:val="FootnoteReference"/>
          <w:sz w:val="16"/>
          <w:szCs w:val="16"/>
        </w:rPr>
        <w:footnoteRef/>
      </w:r>
      <w:r w:rsidRPr="00895B61">
        <w:rPr>
          <w:sz w:val="16"/>
          <w:szCs w:val="16"/>
        </w:rPr>
        <w:t xml:space="preserve"> </w:t>
      </w:r>
      <w:r w:rsidRPr="00895B61">
        <w:rPr>
          <w:sz w:val="16"/>
          <w:szCs w:val="16"/>
          <w:lang w:val="en-US"/>
        </w:rPr>
        <w:t xml:space="preserve">The results of the research are available here: </w:t>
      </w:r>
      <w:hyperlink r:id="rId9" w:history="1">
        <w:r w:rsidRPr="00895B61">
          <w:rPr>
            <w:rStyle w:val="Hyperlink"/>
            <w:color w:val="E32D91" w:themeColor="accent1"/>
            <w:sz w:val="16"/>
            <w:szCs w:val="16"/>
            <w:lang w:val="en-US"/>
          </w:rPr>
          <w:t>https://fra.europa.eu/en/data-and-maps/2020/lgbti-survey-data-explorer</w:t>
        </w:r>
      </w:hyperlink>
      <w:r w:rsidRPr="00895B61">
        <w:rPr>
          <w:sz w:val="16"/>
          <w:szCs w:val="16"/>
          <w:lang w:val="en-US"/>
        </w:rPr>
        <w:t xml:space="preserve"> </w:t>
      </w:r>
    </w:p>
  </w:footnote>
  <w:footnote w:id="13">
    <w:p w14:paraId="324B62FD" w14:textId="29697B63" w:rsidR="00E12F00" w:rsidRPr="00E12F00" w:rsidRDefault="00E12F00">
      <w:pPr>
        <w:pStyle w:val="FootnoteText"/>
        <w:rPr>
          <w:lang w:val="en-US"/>
        </w:rPr>
      </w:pPr>
      <w:r w:rsidRPr="00895B61">
        <w:rPr>
          <w:rStyle w:val="FootnoteReference"/>
          <w:sz w:val="16"/>
          <w:szCs w:val="16"/>
        </w:rPr>
        <w:footnoteRef/>
      </w:r>
      <w:r w:rsidRPr="00895B61">
        <w:rPr>
          <w:sz w:val="16"/>
          <w:szCs w:val="16"/>
        </w:rPr>
        <w:t xml:space="preserve"> </w:t>
      </w:r>
      <w:r w:rsidRPr="00895B61">
        <w:rPr>
          <w:sz w:val="16"/>
          <w:szCs w:val="16"/>
          <w:lang w:val="en-US"/>
        </w:rPr>
        <w:t xml:space="preserve">The results of the survey were published in July 2019 and is available here: </w:t>
      </w:r>
      <w:hyperlink r:id="rId10" w:history="1">
        <w:r w:rsidRPr="00895B61">
          <w:rPr>
            <w:rStyle w:val="Hyperlink"/>
            <w:color w:val="E32D91" w:themeColor="accent1"/>
            <w:sz w:val="16"/>
            <w:szCs w:val="16"/>
            <w:lang w:val="en-US"/>
          </w:rPr>
          <w:t>https://www.lgbti-era.org/sites/default/files/pdfdocs/A-Comparative-Analysis-of-the-Socioeconomic-Dimensions-of-LGBTI-Exclusion-in-Serbia.pdf</w:t>
        </w:r>
      </w:hyperlink>
      <w:r w:rsidRPr="00895B61">
        <w:rPr>
          <w:color w:val="E32D91" w:themeColor="accent1"/>
          <w:lang w:val="en-US"/>
        </w:rPr>
        <w:t xml:space="preserve"> </w:t>
      </w:r>
    </w:p>
  </w:footnote>
  <w:footnote w:id="14">
    <w:p w14:paraId="4BA7BBF6" w14:textId="4112D0FC" w:rsidR="00C96209" w:rsidRPr="00895B61" w:rsidRDefault="00C96209">
      <w:pPr>
        <w:pStyle w:val="FootnoteText"/>
        <w:rPr>
          <w:sz w:val="16"/>
          <w:szCs w:val="16"/>
          <w:lang w:val="en-US"/>
        </w:rPr>
      </w:pPr>
      <w:r w:rsidRPr="00895B61">
        <w:rPr>
          <w:rStyle w:val="FootnoteReference"/>
          <w:sz w:val="16"/>
          <w:szCs w:val="16"/>
        </w:rPr>
        <w:footnoteRef/>
      </w:r>
      <w:r w:rsidRPr="00895B61">
        <w:rPr>
          <w:sz w:val="16"/>
          <w:szCs w:val="16"/>
        </w:rPr>
        <w:t xml:space="preserve"> </w:t>
      </w:r>
      <w:r w:rsidRPr="00895B61">
        <w:rPr>
          <w:sz w:val="16"/>
          <w:szCs w:val="16"/>
          <w:lang w:val="en-US"/>
        </w:rPr>
        <w:t xml:space="preserve">The research was published in 2018 and it is available here: </w:t>
      </w:r>
      <w:hyperlink r:id="rId11" w:history="1">
        <w:r w:rsidRPr="00895B61">
          <w:rPr>
            <w:rStyle w:val="Hyperlink"/>
            <w:color w:val="E32D91" w:themeColor="accent1"/>
            <w:sz w:val="16"/>
            <w:szCs w:val="16"/>
            <w:lang w:val="en-US"/>
          </w:rPr>
          <w:t>https://www.lgbti-era.org/sites/default/files/pdfdocs/0351-124587-WP-P156209-DISCRIMINATION-AGAINST-SEXUAL-MINORITIES-IN-EDUCATION-AND-HOUSING-EVIDENCE-FROM-TWO-FIELD-EXPERIMENTS-IN-SERBIA-PUBLIC-ENGLISH.pdf</w:t>
        </w:r>
      </w:hyperlink>
      <w:r w:rsidRPr="00895B61">
        <w:rPr>
          <w:color w:val="E32D91" w:themeColor="accent1"/>
          <w:sz w:val="16"/>
          <w:szCs w:val="16"/>
          <w:lang w:val="en-US"/>
        </w:rPr>
        <w:t xml:space="preserve"> </w:t>
      </w:r>
    </w:p>
  </w:footnote>
  <w:footnote w:id="15">
    <w:p w14:paraId="7A2FE183" w14:textId="77777777" w:rsidR="00041405" w:rsidRDefault="00041405" w:rsidP="00041405">
      <w:pPr>
        <w:spacing w:after="0" w:line="240" w:lineRule="auto"/>
        <w:rPr>
          <w:sz w:val="16"/>
          <w:szCs w:val="16"/>
        </w:rPr>
      </w:pPr>
      <w:r>
        <w:rPr>
          <w:rStyle w:val="FootnoteReference"/>
        </w:rPr>
        <w:footnoteRef/>
      </w:r>
      <w:r>
        <w:rPr>
          <w:sz w:val="16"/>
          <w:szCs w:val="16"/>
        </w:rPr>
        <w:t xml:space="preserve"> The legal analysis of the Rulebook is available on pages 65-71 here: https://www.partners-serbia.org//public/news/Privatnost_i_zaštita_podataka_o_ličnosti_u_Srbiji-_Analiza_odabranih_sektorskih_propisa_i_njihove_primene.pdf</w:t>
      </w:r>
    </w:p>
  </w:footnote>
  <w:footnote w:id="16">
    <w:p w14:paraId="4FDC7E98" w14:textId="10266B7F" w:rsidR="002C38F8" w:rsidRPr="00895B61" w:rsidRDefault="002C38F8">
      <w:pPr>
        <w:pStyle w:val="FootnoteText"/>
        <w:rPr>
          <w:sz w:val="16"/>
          <w:szCs w:val="16"/>
          <w:lang w:val="en-US"/>
        </w:rPr>
      </w:pPr>
      <w:r w:rsidRPr="00895B61">
        <w:rPr>
          <w:rStyle w:val="FootnoteReference"/>
          <w:sz w:val="16"/>
          <w:szCs w:val="16"/>
        </w:rPr>
        <w:footnoteRef/>
      </w:r>
      <w:r w:rsidRPr="00895B61">
        <w:rPr>
          <w:sz w:val="16"/>
          <w:szCs w:val="16"/>
        </w:rPr>
        <w:t xml:space="preserve"> </w:t>
      </w:r>
      <w:r w:rsidRPr="00895B61">
        <w:rPr>
          <w:sz w:val="16"/>
          <w:szCs w:val="16"/>
          <w:lang w:val="en-US"/>
        </w:rPr>
        <w:t xml:space="preserve">The results of the research are available here: </w:t>
      </w:r>
      <w:hyperlink r:id="rId12" w:history="1">
        <w:r w:rsidRPr="00895B61">
          <w:rPr>
            <w:rStyle w:val="Hyperlink"/>
            <w:color w:val="E32D91" w:themeColor="accent1"/>
            <w:sz w:val="16"/>
            <w:szCs w:val="16"/>
            <w:lang w:val="en-US"/>
          </w:rPr>
          <w:t>https://www.lgbti-era.org/sites/default/files/pdfdocs/Annual%20LGBT%20Survey.pdf</w:t>
        </w:r>
      </w:hyperlink>
      <w:r w:rsidRPr="00895B61">
        <w:rPr>
          <w:color w:val="E32D91" w:themeColor="accent1"/>
          <w:sz w:val="16"/>
          <w:szCs w:val="16"/>
          <w:lang w:val="en-US"/>
        </w:rPr>
        <w:t xml:space="preserve"> </w:t>
      </w:r>
    </w:p>
  </w:footnote>
  <w:footnote w:id="17">
    <w:p w14:paraId="526F4F6D" w14:textId="25146D45" w:rsidR="007C1DC9" w:rsidRPr="00320DEA" w:rsidRDefault="007C1DC9">
      <w:pPr>
        <w:pStyle w:val="FootnoteText"/>
        <w:rPr>
          <w:sz w:val="16"/>
          <w:szCs w:val="16"/>
          <w:lang w:val="en-US"/>
        </w:rPr>
      </w:pPr>
      <w:r w:rsidRPr="00320DEA">
        <w:rPr>
          <w:rStyle w:val="FootnoteReference"/>
          <w:sz w:val="16"/>
          <w:szCs w:val="16"/>
        </w:rPr>
        <w:footnoteRef/>
      </w:r>
      <w:r w:rsidRPr="00320DEA">
        <w:rPr>
          <w:sz w:val="16"/>
          <w:szCs w:val="16"/>
        </w:rPr>
        <w:t xml:space="preserve"> </w:t>
      </w:r>
      <w:r w:rsidRPr="00320DEA">
        <w:rPr>
          <w:sz w:val="16"/>
          <w:szCs w:val="16"/>
          <w:lang w:val="en-US"/>
        </w:rPr>
        <w:t xml:space="preserve">This case study is available here: </w:t>
      </w:r>
      <w:r w:rsidRPr="00320DEA">
        <w:rPr>
          <w:color w:val="E32D91" w:themeColor="accent1"/>
          <w:sz w:val="16"/>
          <w:szCs w:val="16"/>
          <w:lang w:val="en-US"/>
        </w:rPr>
        <w:t>https://www.lgbti-era.org/sites/default/files/pdfdocs/CASE%20STUDY%202019%20LGBTI%20Rights%20in%20Serbia.pdf</w:t>
      </w:r>
    </w:p>
  </w:footnote>
  <w:footnote w:id="18">
    <w:p w14:paraId="62BB3A73" w14:textId="12119CFB" w:rsidR="007C1DC9" w:rsidRPr="007C1DC9" w:rsidRDefault="007C1DC9">
      <w:pPr>
        <w:pStyle w:val="FootnoteText"/>
        <w:rPr>
          <w:sz w:val="16"/>
          <w:szCs w:val="16"/>
          <w:lang w:val="en-US"/>
        </w:rPr>
      </w:pPr>
      <w:r w:rsidRPr="007C1DC9">
        <w:rPr>
          <w:rStyle w:val="FootnoteReference"/>
          <w:sz w:val="16"/>
          <w:szCs w:val="16"/>
        </w:rPr>
        <w:footnoteRef/>
      </w:r>
      <w:r w:rsidRPr="007C1DC9">
        <w:rPr>
          <w:sz w:val="16"/>
          <w:szCs w:val="16"/>
        </w:rPr>
        <w:t xml:space="preserve"> </w:t>
      </w:r>
      <w:r w:rsidRPr="007C1DC9">
        <w:rPr>
          <w:i/>
          <w:iCs/>
          <w:sz w:val="16"/>
          <w:szCs w:val="16"/>
          <w:lang w:val="en-US"/>
        </w:rPr>
        <w:t>Ibid</w:t>
      </w:r>
      <w:r w:rsidRPr="007C1DC9">
        <w:rPr>
          <w:sz w:val="16"/>
          <w:szCs w:val="16"/>
          <w:lang w:val="en-US"/>
        </w:rPr>
        <w:t>.</w:t>
      </w:r>
    </w:p>
  </w:footnote>
  <w:footnote w:id="19">
    <w:p w14:paraId="1D9602C6" w14:textId="77777777" w:rsidR="00BB19E3" w:rsidRPr="001459B5" w:rsidRDefault="00BB19E3" w:rsidP="00CA622D">
      <w:pPr>
        <w:pStyle w:val="FootnoteText"/>
        <w:rPr>
          <w:sz w:val="16"/>
          <w:szCs w:val="16"/>
          <w:lang w:val="sr-Latn-RS"/>
        </w:rPr>
      </w:pPr>
      <w:r w:rsidRPr="001459B5">
        <w:rPr>
          <w:rStyle w:val="FootnoteReference"/>
          <w:sz w:val="16"/>
          <w:szCs w:val="16"/>
        </w:rPr>
        <w:footnoteRef/>
      </w:r>
      <w:r w:rsidRPr="001459B5">
        <w:rPr>
          <w:sz w:val="16"/>
          <w:szCs w:val="16"/>
        </w:rPr>
        <w:t xml:space="preserve"> </w:t>
      </w:r>
      <w:hyperlink r:id="rId13" w:history="1">
        <w:r w:rsidRPr="00895B61">
          <w:rPr>
            <w:rStyle w:val="Hyperlink"/>
            <w:color w:val="E32D91" w:themeColor="accent1"/>
            <w:sz w:val="16"/>
            <w:szCs w:val="16"/>
            <w:lang w:val="sr-Latn-RS"/>
          </w:rPr>
          <w:t>Law on Registry book of the Republic of Serbia</w:t>
        </w:r>
      </w:hyperlink>
      <w:r w:rsidRPr="00895B61">
        <w:rPr>
          <w:color w:val="E32D91" w:themeColor="accent1"/>
          <w:sz w:val="16"/>
          <w:szCs w:val="16"/>
          <w:lang w:val="sr-Latn-RS"/>
        </w:rPr>
        <w:t xml:space="preserve"> </w:t>
      </w:r>
      <w:r w:rsidRPr="001459B5">
        <w:rPr>
          <w:sz w:val="16"/>
          <w:szCs w:val="16"/>
          <w:lang w:val="sr-Latn-RS"/>
        </w:rPr>
        <w:t>(Official Gazette of the Republic of Serbia No. 20/2009, No. 145/2014 and No. 47/2018.</w:t>
      </w:r>
    </w:p>
  </w:footnote>
  <w:footnote w:id="20">
    <w:p w14:paraId="1EF51F1A" w14:textId="77777777" w:rsidR="00BB19E3" w:rsidRPr="0026262E" w:rsidRDefault="00BB19E3" w:rsidP="00CA622D">
      <w:pPr>
        <w:pStyle w:val="FootnoteText"/>
        <w:rPr>
          <w:lang w:val="sr-Latn-RS"/>
        </w:rPr>
      </w:pPr>
      <w:r w:rsidRPr="001459B5">
        <w:rPr>
          <w:rStyle w:val="FootnoteReference"/>
          <w:sz w:val="16"/>
          <w:szCs w:val="16"/>
        </w:rPr>
        <w:footnoteRef/>
      </w:r>
      <w:r w:rsidRPr="001459B5">
        <w:rPr>
          <w:sz w:val="16"/>
          <w:szCs w:val="16"/>
        </w:rPr>
        <w:t xml:space="preserve"> </w:t>
      </w:r>
      <w:hyperlink r:id="rId14" w:history="1">
        <w:r w:rsidRPr="00895B61">
          <w:rPr>
            <w:rStyle w:val="Hyperlink"/>
            <w:color w:val="E32D91" w:themeColor="accent1"/>
            <w:sz w:val="16"/>
            <w:szCs w:val="16"/>
          </w:rPr>
          <w:t>Ordinance on the manner of issuing and the health care institution confirmation form regarding the person‘s change of sex</w:t>
        </w:r>
      </w:hyperlink>
      <w:r w:rsidRPr="00895B61">
        <w:rPr>
          <w:color w:val="E32D91" w:themeColor="accent1"/>
          <w:sz w:val="16"/>
          <w:szCs w:val="16"/>
        </w:rPr>
        <w:t xml:space="preserve"> (</w:t>
      </w:r>
      <w:r w:rsidRPr="001459B5">
        <w:rPr>
          <w:sz w:val="16"/>
          <w:szCs w:val="16"/>
        </w:rPr>
        <w:t>Official Gazette of the Republic of Serbia No. 103/2018).</w:t>
      </w:r>
    </w:p>
  </w:footnote>
  <w:footnote w:id="21">
    <w:p w14:paraId="093F097C" w14:textId="77777777" w:rsidR="00BB19E3" w:rsidRPr="001459B5" w:rsidRDefault="00BB19E3" w:rsidP="00CA622D">
      <w:pPr>
        <w:pStyle w:val="FootnoteText"/>
        <w:rPr>
          <w:sz w:val="16"/>
          <w:szCs w:val="16"/>
          <w:lang w:val="sr-Latn-RS"/>
        </w:rPr>
      </w:pPr>
      <w:r w:rsidRPr="001459B5">
        <w:rPr>
          <w:rStyle w:val="FootnoteReference"/>
          <w:sz w:val="16"/>
          <w:szCs w:val="16"/>
        </w:rPr>
        <w:footnoteRef/>
      </w:r>
      <w:r w:rsidRPr="001459B5">
        <w:rPr>
          <w:sz w:val="16"/>
          <w:szCs w:val="16"/>
        </w:rPr>
        <w:t xml:space="preserve"> </w:t>
      </w:r>
      <w:hyperlink r:id="rId15" w:history="1">
        <w:r w:rsidRPr="00895B61">
          <w:rPr>
            <w:rStyle w:val="Hyperlink"/>
            <w:color w:val="E32D91" w:themeColor="accent1"/>
            <w:sz w:val="16"/>
            <w:szCs w:val="16"/>
          </w:rPr>
          <w:t>Law on Health Insurance of the Republic of Serbia</w:t>
        </w:r>
      </w:hyperlink>
      <w:r w:rsidRPr="00895B61">
        <w:rPr>
          <w:color w:val="E32D91" w:themeColor="accent1"/>
          <w:sz w:val="16"/>
          <w:szCs w:val="16"/>
        </w:rPr>
        <w:t xml:space="preserve"> (</w:t>
      </w:r>
      <w:r w:rsidRPr="001459B5">
        <w:rPr>
          <w:sz w:val="16"/>
          <w:szCs w:val="16"/>
        </w:rPr>
        <w:t>Official Gazette of the Republic of Serbia No. 25/2019).</w:t>
      </w:r>
    </w:p>
  </w:footnote>
  <w:footnote w:id="22">
    <w:p w14:paraId="525B8B0D" w14:textId="77777777" w:rsidR="00BB19E3" w:rsidRPr="00E12F00" w:rsidRDefault="00BB19E3" w:rsidP="00CA622D">
      <w:pPr>
        <w:pStyle w:val="FootnoteText"/>
        <w:rPr>
          <w:sz w:val="16"/>
          <w:szCs w:val="16"/>
        </w:rPr>
      </w:pPr>
      <w:r w:rsidRPr="00E12F00">
        <w:rPr>
          <w:rStyle w:val="FootnoteReference"/>
          <w:sz w:val="16"/>
          <w:szCs w:val="16"/>
        </w:rPr>
        <w:footnoteRef/>
      </w:r>
      <w:r w:rsidRPr="00E12F00">
        <w:rPr>
          <w:sz w:val="16"/>
          <w:szCs w:val="16"/>
        </w:rPr>
        <w:t xml:space="preserve"> </w:t>
      </w:r>
      <w:hyperlink r:id="rId16" w:history="1">
        <w:r w:rsidRPr="00895B61">
          <w:rPr>
            <w:rStyle w:val="Hyperlink"/>
            <w:rFonts w:eastAsia="Times New Roman" w:cstheme="minorHAnsi"/>
            <w:color w:val="E32D91" w:themeColor="accent1"/>
            <w:sz w:val="16"/>
            <w:szCs w:val="16"/>
            <w:lang w:eastAsia="en-GB"/>
          </w:rPr>
          <w:t>Law on the protection of patients of Serbia</w:t>
        </w:r>
      </w:hyperlink>
      <w:r w:rsidRPr="00895B61">
        <w:rPr>
          <w:rFonts w:eastAsia="Times New Roman" w:cstheme="minorHAnsi"/>
          <w:color w:val="E32D91" w:themeColor="accent1"/>
          <w:sz w:val="16"/>
          <w:szCs w:val="16"/>
          <w:lang w:eastAsia="en-GB"/>
        </w:rPr>
        <w:t xml:space="preserve">, </w:t>
      </w:r>
      <w:r w:rsidRPr="00E12F00">
        <w:rPr>
          <w:sz w:val="16"/>
          <w:szCs w:val="16"/>
        </w:rPr>
        <w:t>(Official Gazette of the Republic of Serbia No. 25/2013 and 25/2019).</w:t>
      </w:r>
    </w:p>
  </w:footnote>
  <w:footnote w:id="23">
    <w:p w14:paraId="5867EF54" w14:textId="29B3FC27" w:rsidR="00E12F00" w:rsidRPr="00E12F00" w:rsidRDefault="00E12F00">
      <w:pPr>
        <w:pStyle w:val="FootnoteText"/>
        <w:rPr>
          <w:sz w:val="16"/>
          <w:szCs w:val="16"/>
          <w:lang w:val="en-US"/>
        </w:rPr>
      </w:pPr>
      <w:r w:rsidRPr="00E12F00">
        <w:rPr>
          <w:rStyle w:val="FootnoteReference"/>
          <w:sz w:val="16"/>
          <w:szCs w:val="16"/>
        </w:rPr>
        <w:footnoteRef/>
      </w:r>
      <w:r w:rsidRPr="00E12F00">
        <w:rPr>
          <w:sz w:val="16"/>
          <w:szCs w:val="16"/>
        </w:rPr>
        <w:t xml:space="preserve"> </w:t>
      </w:r>
      <w:r w:rsidRPr="00E12F00">
        <w:rPr>
          <w:sz w:val="16"/>
          <w:szCs w:val="16"/>
          <w:lang w:val="en-US"/>
        </w:rPr>
        <w:t xml:space="preserve">The research </w:t>
      </w:r>
      <w:r w:rsidR="00C96209">
        <w:rPr>
          <w:sz w:val="16"/>
          <w:szCs w:val="16"/>
          <w:lang w:val="en-US"/>
        </w:rPr>
        <w:t xml:space="preserve">was published in 2020 and </w:t>
      </w:r>
      <w:r w:rsidRPr="00E12F00">
        <w:rPr>
          <w:sz w:val="16"/>
          <w:szCs w:val="16"/>
          <w:lang w:val="en-US"/>
        </w:rPr>
        <w:t xml:space="preserve">is available here: </w:t>
      </w:r>
      <w:hyperlink r:id="rId17" w:history="1">
        <w:r w:rsidRPr="00895B61">
          <w:rPr>
            <w:rStyle w:val="Hyperlink"/>
            <w:color w:val="E32D91" w:themeColor="accent1"/>
            <w:sz w:val="16"/>
            <w:szCs w:val="16"/>
            <w:lang w:val="en-US"/>
          </w:rPr>
          <w:t>https://www.lgbti-era.org/sites/default/files/pdfdocs/Research%20on%20the%20needs%20of%20transgender%20and%20non-binary%20people%20in%20the%20Republic%20of%20Serbia%20A%20research%20report_0.pdf</w:t>
        </w:r>
      </w:hyperlink>
      <w:r w:rsidRPr="00895B61">
        <w:rPr>
          <w:color w:val="E32D91" w:themeColor="accent1"/>
          <w:sz w:val="16"/>
          <w:szCs w:val="16"/>
          <w:lang w:val="en-US"/>
        </w:rPr>
        <w:t xml:space="preserve"> </w:t>
      </w:r>
    </w:p>
  </w:footnote>
  <w:footnote w:id="24">
    <w:p w14:paraId="21B5E6C9" w14:textId="6C96D2D2" w:rsidR="00BB19E3" w:rsidRPr="007C32D7" w:rsidRDefault="00BB19E3">
      <w:pPr>
        <w:pStyle w:val="FootnoteText"/>
        <w:rPr>
          <w:sz w:val="16"/>
          <w:szCs w:val="16"/>
          <w:lang w:val="en-US"/>
        </w:rPr>
      </w:pPr>
      <w:r w:rsidRPr="00E12F00">
        <w:rPr>
          <w:rStyle w:val="FootnoteReference"/>
          <w:sz w:val="16"/>
          <w:szCs w:val="16"/>
        </w:rPr>
        <w:footnoteRef/>
      </w:r>
      <w:r w:rsidRPr="00E12F00">
        <w:rPr>
          <w:sz w:val="16"/>
          <w:szCs w:val="16"/>
        </w:rPr>
        <w:t xml:space="preserve"> </w:t>
      </w:r>
      <w:hyperlink r:id="rId18" w:history="1">
        <w:r w:rsidRPr="00895B61">
          <w:rPr>
            <w:rStyle w:val="Hyperlink"/>
            <w:color w:val="E32D91" w:themeColor="accent1"/>
            <w:sz w:val="16"/>
            <w:szCs w:val="16"/>
          </w:rPr>
          <w:t>Law on Registry Books</w:t>
        </w:r>
      </w:hyperlink>
      <w:r w:rsidRPr="00895B61">
        <w:rPr>
          <w:color w:val="E32D91" w:themeColor="accent1"/>
          <w:sz w:val="16"/>
          <w:szCs w:val="16"/>
        </w:rPr>
        <w:t xml:space="preserve"> </w:t>
      </w:r>
      <w:r w:rsidRPr="00E12F00">
        <w:rPr>
          <w:sz w:val="16"/>
          <w:szCs w:val="16"/>
        </w:rPr>
        <w:t>(</w:t>
      </w:r>
      <w:r w:rsidRPr="00E12F00">
        <w:rPr>
          <w:sz w:val="16"/>
          <w:szCs w:val="16"/>
          <w:lang w:val="en-US"/>
        </w:rPr>
        <w:t>Official Gazette of the Republic of Serbia No. 20/2009, 145/2014 and 47/2018).</w:t>
      </w:r>
    </w:p>
  </w:footnote>
  <w:footnote w:id="25">
    <w:p w14:paraId="4C1B03C3" w14:textId="07A8B0FF" w:rsidR="002C38F8" w:rsidRPr="002C38F8" w:rsidRDefault="002C38F8">
      <w:pPr>
        <w:pStyle w:val="FootnoteText"/>
        <w:rPr>
          <w:sz w:val="16"/>
          <w:szCs w:val="16"/>
          <w:lang w:val="en-US"/>
        </w:rPr>
      </w:pPr>
      <w:r w:rsidRPr="002C38F8">
        <w:rPr>
          <w:rStyle w:val="FootnoteReference"/>
          <w:sz w:val="16"/>
          <w:szCs w:val="16"/>
        </w:rPr>
        <w:footnoteRef/>
      </w:r>
      <w:r w:rsidRPr="002C38F8">
        <w:rPr>
          <w:sz w:val="16"/>
          <w:szCs w:val="16"/>
        </w:rPr>
        <w:t xml:space="preserve"> </w:t>
      </w:r>
      <w:r w:rsidRPr="002C38F8">
        <w:rPr>
          <w:sz w:val="16"/>
          <w:szCs w:val="16"/>
          <w:lang w:val="en-US"/>
        </w:rPr>
        <w:t xml:space="preserve">The research is available here: </w:t>
      </w:r>
      <w:hyperlink r:id="rId19" w:history="1">
        <w:r w:rsidRPr="00895B61">
          <w:rPr>
            <w:rStyle w:val="Hyperlink"/>
            <w:color w:val="E32D91" w:themeColor="accent1"/>
            <w:sz w:val="16"/>
            <w:szCs w:val="16"/>
            <w:lang w:val="en-US"/>
          </w:rPr>
          <w:t>https://www.lgbti-era.org/sites/default/files/pdfdocs/ENG%20L%26Q%20i%20EGAL%20Analysis%20Covid%2019%20and%20LGBTI%20community%20in%20Serbia.pdf</w:t>
        </w:r>
      </w:hyperlink>
      <w:r w:rsidRPr="00895B61">
        <w:rPr>
          <w:color w:val="E32D91" w:themeColor="accent1"/>
          <w:sz w:val="16"/>
          <w:szCs w:val="16"/>
          <w:lang w:val="en-US"/>
        </w:rPr>
        <w:t xml:space="preserve"> </w:t>
      </w:r>
    </w:p>
  </w:footnote>
  <w:footnote w:id="26">
    <w:p w14:paraId="5251FC40" w14:textId="51B06A36" w:rsidR="00400927" w:rsidRPr="00400927" w:rsidRDefault="00400927">
      <w:pPr>
        <w:pStyle w:val="FootnoteText"/>
        <w:rPr>
          <w:sz w:val="16"/>
          <w:szCs w:val="16"/>
          <w:lang w:val="en-US"/>
        </w:rPr>
      </w:pPr>
      <w:r w:rsidRPr="00400927">
        <w:rPr>
          <w:rStyle w:val="FootnoteReference"/>
          <w:sz w:val="16"/>
          <w:szCs w:val="16"/>
        </w:rPr>
        <w:footnoteRef/>
      </w:r>
      <w:r w:rsidRPr="00400927">
        <w:rPr>
          <w:sz w:val="16"/>
          <w:szCs w:val="16"/>
        </w:rPr>
        <w:t xml:space="preserve"> </w:t>
      </w:r>
      <w:r w:rsidRPr="00400927">
        <w:rPr>
          <w:i/>
          <w:iCs/>
          <w:sz w:val="16"/>
          <w:szCs w:val="16"/>
          <w:lang w:val="en-US"/>
        </w:rPr>
        <w:t>Ibid</w:t>
      </w:r>
      <w:r w:rsidRPr="00400927">
        <w:rPr>
          <w:sz w:val="16"/>
          <w:szCs w:val="16"/>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3C89C" w14:textId="1E71B6D9" w:rsidR="00627F70" w:rsidRDefault="00627F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2EDB4" w14:textId="0B807242" w:rsidR="00627F70" w:rsidRDefault="00627F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850B58" w14:textId="182A00E9" w:rsidR="00627F70" w:rsidRDefault="00627F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C4F7F"/>
    <w:multiLevelType w:val="hybridMultilevel"/>
    <w:tmpl w:val="11C8AD12"/>
    <w:lvl w:ilvl="0" w:tplc="BD98208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A63B7"/>
    <w:multiLevelType w:val="hybridMultilevel"/>
    <w:tmpl w:val="5A8E5D40"/>
    <w:lvl w:ilvl="0" w:tplc="C72C8352">
      <w:start w:val="1"/>
      <w:numFmt w:val="decimal"/>
      <w:lvlText w:val="%1."/>
      <w:lvlJc w:val="left"/>
      <w:pPr>
        <w:ind w:left="720" w:hanging="360"/>
      </w:pPr>
      <w:rPr>
        <w:rFonts w:hint="default"/>
        <w:b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4130D"/>
    <w:multiLevelType w:val="multilevel"/>
    <w:tmpl w:val="5F5CBD58"/>
    <w:lvl w:ilvl="0">
      <w:start w:val="1"/>
      <w:numFmt w:val="decimal"/>
      <w:lvlText w:val="%1."/>
      <w:lvlJc w:val="left"/>
      <w:pPr>
        <w:ind w:left="720" w:hanging="360"/>
      </w:pPr>
      <w:rPr>
        <w:rFonts w:asciiTheme="minorHAnsi" w:hAnsiTheme="minorHAnsi" w:hint="default"/>
        <w:b w:val="0"/>
        <w:color w:val="auto"/>
        <w:sz w:val="22"/>
        <w:szCs w:val="22"/>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814A10"/>
    <w:multiLevelType w:val="hybridMultilevel"/>
    <w:tmpl w:val="6AC0A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7C55D6"/>
    <w:multiLevelType w:val="hybridMultilevel"/>
    <w:tmpl w:val="5ACCB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38429E"/>
    <w:multiLevelType w:val="hybridMultilevel"/>
    <w:tmpl w:val="B164C6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4C2260"/>
    <w:multiLevelType w:val="multilevel"/>
    <w:tmpl w:val="D9844C56"/>
    <w:lvl w:ilvl="0">
      <w:start w:val="1"/>
      <w:numFmt w:val="decimal"/>
      <w:lvlText w:val="%1."/>
      <w:lvlJc w:val="left"/>
      <w:pPr>
        <w:ind w:left="720" w:hanging="360"/>
      </w:pPr>
      <w:rPr>
        <w:rFonts w:ascii="Calibri" w:eastAsia="Calibri" w:hAnsi="Calibri" w:cs="Calibri"/>
        <w:b w:val="0"/>
        <w:color w:val="000000"/>
        <w:sz w:val="22"/>
        <w:szCs w:val="22"/>
      </w:rPr>
    </w:lvl>
    <w:lvl w:ilvl="1">
      <w:start w:val="1"/>
      <w:numFmt w:val="decimal"/>
      <w:lvlText w:val="%1.%2."/>
      <w:lvlJc w:val="left"/>
      <w:pPr>
        <w:ind w:left="804" w:hanging="443"/>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7" w15:restartNumberingAfterBreak="0">
    <w:nsid w:val="0F3B06D8"/>
    <w:multiLevelType w:val="multilevel"/>
    <w:tmpl w:val="6622A6BC"/>
    <w:lvl w:ilvl="0">
      <w:start w:val="7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98D5C5A"/>
    <w:multiLevelType w:val="hybridMultilevel"/>
    <w:tmpl w:val="5A8E5D40"/>
    <w:lvl w:ilvl="0" w:tplc="C72C8352">
      <w:start w:val="1"/>
      <w:numFmt w:val="decimal"/>
      <w:lvlText w:val="%1."/>
      <w:lvlJc w:val="left"/>
      <w:pPr>
        <w:ind w:left="720" w:hanging="360"/>
      </w:pPr>
      <w:rPr>
        <w:rFonts w:hint="default"/>
        <w:b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ED2B33"/>
    <w:multiLevelType w:val="multilevel"/>
    <w:tmpl w:val="097C2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FE42D2"/>
    <w:multiLevelType w:val="multilevel"/>
    <w:tmpl w:val="5F5CBD58"/>
    <w:lvl w:ilvl="0">
      <w:start w:val="1"/>
      <w:numFmt w:val="decimal"/>
      <w:lvlText w:val="%1."/>
      <w:lvlJc w:val="left"/>
      <w:pPr>
        <w:ind w:left="720" w:hanging="360"/>
      </w:pPr>
      <w:rPr>
        <w:rFonts w:asciiTheme="minorHAnsi" w:hAnsiTheme="minorHAnsi" w:hint="default"/>
        <w:b w:val="0"/>
        <w:color w:val="auto"/>
        <w:sz w:val="22"/>
        <w:szCs w:val="22"/>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F424C6F"/>
    <w:multiLevelType w:val="hybridMultilevel"/>
    <w:tmpl w:val="5A8E5D40"/>
    <w:lvl w:ilvl="0" w:tplc="C72C8352">
      <w:start w:val="1"/>
      <w:numFmt w:val="decimal"/>
      <w:lvlText w:val="%1."/>
      <w:lvlJc w:val="left"/>
      <w:pPr>
        <w:ind w:left="720" w:hanging="360"/>
      </w:pPr>
      <w:rPr>
        <w:rFonts w:hint="default"/>
        <w:b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556DCD"/>
    <w:multiLevelType w:val="hybridMultilevel"/>
    <w:tmpl w:val="4F3C406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A1C297A"/>
    <w:multiLevelType w:val="hybridMultilevel"/>
    <w:tmpl w:val="DB943722"/>
    <w:lvl w:ilvl="0" w:tplc="08090005">
      <w:start w:val="1"/>
      <w:numFmt w:val="bullet"/>
      <w:lvlText w:val=""/>
      <w:lvlJc w:val="left"/>
      <w:pPr>
        <w:ind w:left="1434" w:hanging="360"/>
      </w:pPr>
      <w:rPr>
        <w:rFonts w:ascii="Wingdings" w:hAnsi="Wingdings" w:hint="default"/>
      </w:rPr>
    </w:lvl>
    <w:lvl w:ilvl="1" w:tplc="08090003" w:tentative="1">
      <w:start w:val="1"/>
      <w:numFmt w:val="bullet"/>
      <w:lvlText w:val="o"/>
      <w:lvlJc w:val="left"/>
      <w:pPr>
        <w:ind w:left="2154" w:hanging="360"/>
      </w:pPr>
      <w:rPr>
        <w:rFonts w:ascii="Courier New" w:hAnsi="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4" w15:restartNumberingAfterBreak="0">
    <w:nsid w:val="2E5D72E2"/>
    <w:multiLevelType w:val="multilevel"/>
    <w:tmpl w:val="4C18CCB8"/>
    <w:lvl w:ilvl="0">
      <w:start w:val="58"/>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3340CC0"/>
    <w:multiLevelType w:val="hybridMultilevel"/>
    <w:tmpl w:val="B7D86A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455A66"/>
    <w:multiLevelType w:val="hybridMultilevel"/>
    <w:tmpl w:val="5A8E5D40"/>
    <w:lvl w:ilvl="0" w:tplc="C72C8352">
      <w:start w:val="1"/>
      <w:numFmt w:val="decimal"/>
      <w:lvlText w:val="%1."/>
      <w:lvlJc w:val="left"/>
      <w:pPr>
        <w:ind w:left="720" w:hanging="360"/>
      </w:pPr>
      <w:rPr>
        <w:rFonts w:hint="default"/>
        <w:b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C1345C"/>
    <w:multiLevelType w:val="hybridMultilevel"/>
    <w:tmpl w:val="DEA26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DB22F3"/>
    <w:multiLevelType w:val="hybridMultilevel"/>
    <w:tmpl w:val="B6C8A2D8"/>
    <w:lvl w:ilvl="0" w:tplc="BD98208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6F0ED6"/>
    <w:multiLevelType w:val="hybridMultilevel"/>
    <w:tmpl w:val="C1383046"/>
    <w:lvl w:ilvl="0" w:tplc="52FAB2B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E0C0536"/>
    <w:multiLevelType w:val="hybridMultilevel"/>
    <w:tmpl w:val="459E4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2F465C"/>
    <w:multiLevelType w:val="multilevel"/>
    <w:tmpl w:val="F6EA0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6671760"/>
    <w:multiLevelType w:val="hybridMultilevel"/>
    <w:tmpl w:val="2738FF3A"/>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3" w15:restartNumberingAfterBreak="0">
    <w:nsid w:val="4B523F4C"/>
    <w:multiLevelType w:val="hybridMultilevel"/>
    <w:tmpl w:val="2FFC2C38"/>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4" w15:restartNumberingAfterBreak="0">
    <w:nsid w:val="5094154F"/>
    <w:multiLevelType w:val="hybridMultilevel"/>
    <w:tmpl w:val="6A9C55BC"/>
    <w:lvl w:ilvl="0" w:tplc="08090005">
      <w:start w:val="1"/>
      <w:numFmt w:val="bullet"/>
      <w:lvlText w:val=""/>
      <w:lvlJc w:val="left"/>
      <w:pPr>
        <w:ind w:left="1434" w:hanging="360"/>
      </w:pPr>
      <w:rPr>
        <w:rFonts w:ascii="Wingdings" w:hAnsi="Wingdings" w:hint="default"/>
      </w:rPr>
    </w:lvl>
    <w:lvl w:ilvl="1" w:tplc="08090003" w:tentative="1">
      <w:start w:val="1"/>
      <w:numFmt w:val="bullet"/>
      <w:lvlText w:val="o"/>
      <w:lvlJc w:val="left"/>
      <w:pPr>
        <w:ind w:left="2154" w:hanging="360"/>
      </w:pPr>
      <w:rPr>
        <w:rFonts w:ascii="Courier New" w:hAnsi="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25" w15:restartNumberingAfterBreak="0">
    <w:nsid w:val="50E3604D"/>
    <w:multiLevelType w:val="hybridMultilevel"/>
    <w:tmpl w:val="4440A5A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6ED131A"/>
    <w:multiLevelType w:val="hybridMultilevel"/>
    <w:tmpl w:val="DF148932"/>
    <w:lvl w:ilvl="0" w:tplc="BD98208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C2C5A03"/>
    <w:multiLevelType w:val="multilevel"/>
    <w:tmpl w:val="5F5CBD58"/>
    <w:lvl w:ilvl="0">
      <w:start w:val="1"/>
      <w:numFmt w:val="decimal"/>
      <w:lvlText w:val="%1."/>
      <w:lvlJc w:val="left"/>
      <w:pPr>
        <w:ind w:left="720" w:hanging="360"/>
      </w:pPr>
      <w:rPr>
        <w:rFonts w:asciiTheme="minorHAnsi" w:hAnsiTheme="minorHAnsi" w:hint="default"/>
        <w:b w:val="0"/>
        <w:color w:val="auto"/>
        <w:sz w:val="22"/>
        <w:szCs w:val="22"/>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C840D96"/>
    <w:multiLevelType w:val="multilevel"/>
    <w:tmpl w:val="BF666244"/>
    <w:lvl w:ilvl="0">
      <w:start w:val="32"/>
      <w:numFmt w:val="decimal"/>
      <w:lvlText w:val="%1."/>
      <w:lvlJc w:val="left"/>
      <w:pPr>
        <w:ind w:left="444" w:hanging="444"/>
      </w:pPr>
      <w:rPr>
        <w:rFonts w:hint="default"/>
        <w:u w:val="none"/>
      </w:rPr>
    </w:lvl>
    <w:lvl w:ilvl="1">
      <w:start w:val="1"/>
      <w:numFmt w:val="decimal"/>
      <w:lvlText w:val="%1.%2."/>
      <w:lvlJc w:val="left"/>
      <w:pPr>
        <w:ind w:left="444" w:hanging="444"/>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9" w15:restartNumberingAfterBreak="0">
    <w:nsid w:val="5CFC07D6"/>
    <w:multiLevelType w:val="multilevel"/>
    <w:tmpl w:val="99643070"/>
    <w:lvl w:ilvl="0">
      <w:start w:val="5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C92F75"/>
    <w:multiLevelType w:val="hybridMultilevel"/>
    <w:tmpl w:val="CC962162"/>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1" w15:restartNumberingAfterBreak="0">
    <w:nsid w:val="5FBF717A"/>
    <w:multiLevelType w:val="hybridMultilevel"/>
    <w:tmpl w:val="32FEADF8"/>
    <w:lvl w:ilvl="0" w:tplc="241A000F">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2" w15:restartNumberingAfterBreak="0">
    <w:nsid w:val="6270339A"/>
    <w:multiLevelType w:val="hybridMultilevel"/>
    <w:tmpl w:val="B72236A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3AE583F"/>
    <w:multiLevelType w:val="hybridMultilevel"/>
    <w:tmpl w:val="C26432E8"/>
    <w:lvl w:ilvl="0" w:tplc="DB501A8E">
      <w:start w:val="1"/>
      <w:numFmt w:val="decimal"/>
      <w:lvlText w:val="%1."/>
      <w:lvlJc w:val="left"/>
      <w:pPr>
        <w:ind w:left="-207" w:hanging="360"/>
      </w:pPr>
      <w:rPr>
        <w:rFonts w:hint="default"/>
        <w:b w:val="0"/>
        <w:bCs w:val="0"/>
        <w:i w:val="0"/>
        <w:iCs w:val="0"/>
        <w:sz w:val="22"/>
        <w:szCs w:val="22"/>
      </w:rPr>
    </w:lvl>
    <w:lvl w:ilvl="1" w:tplc="241A0019" w:tentative="1">
      <w:start w:val="1"/>
      <w:numFmt w:val="lowerLetter"/>
      <w:lvlText w:val="%2."/>
      <w:lvlJc w:val="left"/>
      <w:pPr>
        <w:ind w:left="513" w:hanging="360"/>
      </w:pPr>
    </w:lvl>
    <w:lvl w:ilvl="2" w:tplc="241A001B" w:tentative="1">
      <w:start w:val="1"/>
      <w:numFmt w:val="lowerRoman"/>
      <w:lvlText w:val="%3."/>
      <w:lvlJc w:val="right"/>
      <w:pPr>
        <w:ind w:left="1233" w:hanging="180"/>
      </w:pPr>
    </w:lvl>
    <w:lvl w:ilvl="3" w:tplc="241A000F" w:tentative="1">
      <w:start w:val="1"/>
      <w:numFmt w:val="decimal"/>
      <w:lvlText w:val="%4."/>
      <w:lvlJc w:val="left"/>
      <w:pPr>
        <w:ind w:left="1953" w:hanging="360"/>
      </w:pPr>
    </w:lvl>
    <w:lvl w:ilvl="4" w:tplc="241A0019" w:tentative="1">
      <w:start w:val="1"/>
      <w:numFmt w:val="lowerLetter"/>
      <w:lvlText w:val="%5."/>
      <w:lvlJc w:val="left"/>
      <w:pPr>
        <w:ind w:left="2673" w:hanging="360"/>
      </w:pPr>
    </w:lvl>
    <w:lvl w:ilvl="5" w:tplc="241A001B" w:tentative="1">
      <w:start w:val="1"/>
      <w:numFmt w:val="lowerRoman"/>
      <w:lvlText w:val="%6."/>
      <w:lvlJc w:val="right"/>
      <w:pPr>
        <w:ind w:left="3393" w:hanging="180"/>
      </w:pPr>
    </w:lvl>
    <w:lvl w:ilvl="6" w:tplc="241A000F" w:tentative="1">
      <w:start w:val="1"/>
      <w:numFmt w:val="decimal"/>
      <w:lvlText w:val="%7."/>
      <w:lvlJc w:val="left"/>
      <w:pPr>
        <w:ind w:left="4113" w:hanging="360"/>
      </w:pPr>
    </w:lvl>
    <w:lvl w:ilvl="7" w:tplc="241A0019" w:tentative="1">
      <w:start w:val="1"/>
      <w:numFmt w:val="lowerLetter"/>
      <w:lvlText w:val="%8."/>
      <w:lvlJc w:val="left"/>
      <w:pPr>
        <w:ind w:left="4833" w:hanging="360"/>
      </w:pPr>
    </w:lvl>
    <w:lvl w:ilvl="8" w:tplc="241A001B" w:tentative="1">
      <w:start w:val="1"/>
      <w:numFmt w:val="lowerRoman"/>
      <w:lvlText w:val="%9."/>
      <w:lvlJc w:val="right"/>
      <w:pPr>
        <w:ind w:left="5553" w:hanging="180"/>
      </w:pPr>
    </w:lvl>
  </w:abstractNum>
  <w:abstractNum w:abstractNumId="34" w15:restartNumberingAfterBreak="0">
    <w:nsid w:val="63FB5BB4"/>
    <w:multiLevelType w:val="hybridMultilevel"/>
    <w:tmpl w:val="7E14660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F24000E"/>
    <w:multiLevelType w:val="hybridMultilevel"/>
    <w:tmpl w:val="AC0A9E6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0F24CC9"/>
    <w:multiLevelType w:val="multilevel"/>
    <w:tmpl w:val="1346B2D0"/>
    <w:lvl w:ilvl="0">
      <w:start w:val="3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15B6DA8"/>
    <w:multiLevelType w:val="hybridMultilevel"/>
    <w:tmpl w:val="3DB84606"/>
    <w:lvl w:ilvl="0" w:tplc="08090005">
      <w:start w:val="1"/>
      <w:numFmt w:val="bullet"/>
      <w:lvlText w:val=""/>
      <w:lvlJc w:val="left"/>
      <w:pPr>
        <w:ind w:left="1434" w:hanging="360"/>
      </w:pPr>
      <w:rPr>
        <w:rFonts w:ascii="Wingdings" w:hAnsi="Wingdings" w:hint="default"/>
      </w:rPr>
    </w:lvl>
    <w:lvl w:ilvl="1" w:tplc="08090003" w:tentative="1">
      <w:start w:val="1"/>
      <w:numFmt w:val="bullet"/>
      <w:lvlText w:val="o"/>
      <w:lvlJc w:val="left"/>
      <w:pPr>
        <w:ind w:left="2154" w:hanging="360"/>
      </w:pPr>
      <w:rPr>
        <w:rFonts w:ascii="Courier New" w:hAnsi="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38" w15:restartNumberingAfterBreak="0">
    <w:nsid w:val="750E5CD4"/>
    <w:multiLevelType w:val="multilevel"/>
    <w:tmpl w:val="5F5CBD58"/>
    <w:lvl w:ilvl="0">
      <w:start w:val="1"/>
      <w:numFmt w:val="decimal"/>
      <w:lvlText w:val="%1."/>
      <w:lvlJc w:val="left"/>
      <w:pPr>
        <w:ind w:left="720" w:hanging="360"/>
      </w:pPr>
      <w:rPr>
        <w:rFonts w:asciiTheme="minorHAnsi" w:hAnsiTheme="minorHAnsi" w:hint="default"/>
        <w:b w:val="0"/>
        <w:color w:val="auto"/>
        <w:sz w:val="22"/>
        <w:szCs w:val="22"/>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76A7B91"/>
    <w:multiLevelType w:val="multilevel"/>
    <w:tmpl w:val="8F5C65C8"/>
    <w:lvl w:ilvl="0">
      <w:start w:val="51"/>
      <w:numFmt w:val="decimal"/>
      <w:lvlText w:val="%1."/>
      <w:lvlJc w:val="left"/>
      <w:pPr>
        <w:ind w:left="444" w:hanging="444"/>
      </w:pPr>
      <w:rPr>
        <w:rFonts w:hint="default"/>
        <w:u w:val="none"/>
      </w:rPr>
    </w:lvl>
    <w:lvl w:ilvl="1">
      <w:start w:val="1"/>
      <w:numFmt w:val="decimal"/>
      <w:lvlText w:val="%1.%2."/>
      <w:lvlJc w:val="left"/>
      <w:pPr>
        <w:ind w:left="444" w:hanging="444"/>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num w:numId="1">
    <w:abstractNumId w:val="19"/>
  </w:num>
  <w:num w:numId="2">
    <w:abstractNumId w:val="27"/>
  </w:num>
  <w:num w:numId="3">
    <w:abstractNumId w:val="20"/>
  </w:num>
  <w:num w:numId="4">
    <w:abstractNumId w:val="34"/>
  </w:num>
  <w:num w:numId="5">
    <w:abstractNumId w:val="15"/>
  </w:num>
  <w:num w:numId="6">
    <w:abstractNumId w:val="3"/>
  </w:num>
  <w:num w:numId="7">
    <w:abstractNumId w:val="18"/>
  </w:num>
  <w:num w:numId="8">
    <w:abstractNumId w:val="7"/>
  </w:num>
  <w:num w:numId="9">
    <w:abstractNumId w:val="5"/>
  </w:num>
  <w:num w:numId="10">
    <w:abstractNumId w:val="0"/>
  </w:num>
  <w:num w:numId="11">
    <w:abstractNumId w:val="26"/>
  </w:num>
  <w:num w:numId="12">
    <w:abstractNumId w:val="17"/>
  </w:num>
  <w:num w:numId="13">
    <w:abstractNumId w:val="4"/>
  </w:num>
  <w:num w:numId="14">
    <w:abstractNumId w:val="36"/>
  </w:num>
  <w:num w:numId="15">
    <w:abstractNumId w:val="28"/>
  </w:num>
  <w:num w:numId="16">
    <w:abstractNumId w:val="23"/>
  </w:num>
  <w:num w:numId="17">
    <w:abstractNumId w:val="11"/>
  </w:num>
  <w:num w:numId="18">
    <w:abstractNumId w:val="16"/>
  </w:num>
  <w:num w:numId="19">
    <w:abstractNumId w:val="1"/>
  </w:num>
  <w:num w:numId="20">
    <w:abstractNumId w:val="8"/>
  </w:num>
  <w:num w:numId="21">
    <w:abstractNumId w:val="39"/>
  </w:num>
  <w:num w:numId="22">
    <w:abstractNumId w:val="29"/>
  </w:num>
  <w:num w:numId="23">
    <w:abstractNumId w:val="30"/>
  </w:num>
  <w:num w:numId="24">
    <w:abstractNumId w:val="14"/>
  </w:num>
  <w:num w:numId="25">
    <w:abstractNumId w:val="31"/>
  </w:num>
  <w:num w:numId="26">
    <w:abstractNumId w:val="22"/>
  </w:num>
  <w:num w:numId="27">
    <w:abstractNumId w:val="33"/>
  </w:num>
  <w:num w:numId="28">
    <w:abstractNumId w:val="9"/>
  </w:num>
  <w:num w:numId="29">
    <w:abstractNumId w:val="21"/>
  </w:num>
  <w:num w:numId="30">
    <w:abstractNumId w:val="32"/>
  </w:num>
  <w:num w:numId="31">
    <w:abstractNumId w:val="25"/>
  </w:num>
  <w:num w:numId="32">
    <w:abstractNumId w:val="37"/>
  </w:num>
  <w:num w:numId="33">
    <w:abstractNumId w:val="35"/>
  </w:num>
  <w:num w:numId="34">
    <w:abstractNumId w:val="13"/>
  </w:num>
  <w:num w:numId="35">
    <w:abstractNumId w:val="12"/>
  </w:num>
  <w:num w:numId="36">
    <w:abstractNumId w:val="24"/>
  </w:num>
  <w:num w:numId="37">
    <w:abstractNumId w:val="38"/>
  </w:num>
  <w:num w:numId="38">
    <w:abstractNumId w:val="2"/>
  </w:num>
  <w:num w:numId="39">
    <w:abstractNumId w:val="10"/>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038"/>
    <w:rsid w:val="000031DE"/>
    <w:rsid w:val="00007FB2"/>
    <w:rsid w:val="000121A7"/>
    <w:rsid w:val="000146B0"/>
    <w:rsid w:val="0001487A"/>
    <w:rsid w:val="000207B7"/>
    <w:rsid w:val="0002647B"/>
    <w:rsid w:val="00036B31"/>
    <w:rsid w:val="00037B98"/>
    <w:rsid w:val="00041405"/>
    <w:rsid w:val="00075F9C"/>
    <w:rsid w:val="00080AF2"/>
    <w:rsid w:val="000876DF"/>
    <w:rsid w:val="00097B27"/>
    <w:rsid w:val="000A6201"/>
    <w:rsid w:val="000B05F6"/>
    <w:rsid w:val="000B2337"/>
    <w:rsid w:val="000C004F"/>
    <w:rsid w:val="000C19AD"/>
    <w:rsid w:val="000C59DE"/>
    <w:rsid w:val="000C5D8D"/>
    <w:rsid w:val="000D522F"/>
    <w:rsid w:val="000E03B7"/>
    <w:rsid w:val="000E44C1"/>
    <w:rsid w:val="000E4BFE"/>
    <w:rsid w:val="0010663C"/>
    <w:rsid w:val="00114C27"/>
    <w:rsid w:val="00116594"/>
    <w:rsid w:val="001251F9"/>
    <w:rsid w:val="0013193D"/>
    <w:rsid w:val="00132FC3"/>
    <w:rsid w:val="00136A56"/>
    <w:rsid w:val="001422C3"/>
    <w:rsid w:val="001558F2"/>
    <w:rsid w:val="00156929"/>
    <w:rsid w:val="00156E1C"/>
    <w:rsid w:val="00161A71"/>
    <w:rsid w:val="00162940"/>
    <w:rsid w:val="00163EDC"/>
    <w:rsid w:val="001678AD"/>
    <w:rsid w:val="001743C3"/>
    <w:rsid w:val="00175241"/>
    <w:rsid w:val="001846A7"/>
    <w:rsid w:val="00186041"/>
    <w:rsid w:val="00191C1F"/>
    <w:rsid w:val="00197A6B"/>
    <w:rsid w:val="001A3862"/>
    <w:rsid w:val="001B0793"/>
    <w:rsid w:val="001C27D1"/>
    <w:rsid w:val="001F0488"/>
    <w:rsid w:val="001F0769"/>
    <w:rsid w:val="00203CDE"/>
    <w:rsid w:val="00205DE1"/>
    <w:rsid w:val="00206860"/>
    <w:rsid w:val="00234F9B"/>
    <w:rsid w:val="0023561D"/>
    <w:rsid w:val="00240969"/>
    <w:rsid w:val="00251C02"/>
    <w:rsid w:val="0025468C"/>
    <w:rsid w:val="00263F87"/>
    <w:rsid w:val="00265B13"/>
    <w:rsid w:val="002664D8"/>
    <w:rsid w:val="0028285C"/>
    <w:rsid w:val="002857AD"/>
    <w:rsid w:val="002902D7"/>
    <w:rsid w:val="00294552"/>
    <w:rsid w:val="002A3B8E"/>
    <w:rsid w:val="002B3D9F"/>
    <w:rsid w:val="002B5FC2"/>
    <w:rsid w:val="002C38F8"/>
    <w:rsid w:val="002D5F10"/>
    <w:rsid w:val="002F0130"/>
    <w:rsid w:val="002F4D00"/>
    <w:rsid w:val="00306321"/>
    <w:rsid w:val="0031180B"/>
    <w:rsid w:val="003204CE"/>
    <w:rsid w:val="00320DEA"/>
    <w:rsid w:val="00325AB4"/>
    <w:rsid w:val="00330A0F"/>
    <w:rsid w:val="00337992"/>
    <w:rsid w:val="00353755"/>
    <w:rsid w:val="00354280"/>
    <w:rsid w:val="0036274C"/>
    <w:rsid w:val="003742A1"/>
    <w:rsid w:val="00374671"/>
    <w:rsid w:val="003843E6"/>
    <w:rsid w:val="0038680D"/>
    <w:rsid w:val="00395707"/>
    <w:rsid w:val="00396728"/>
    <w:rsid w:val="003A0973"/>
    <w:rsid w:val="003A3760"/>
    <w:rsid w:val="003A7790"/>
    <w:rsid w:val="003A7FAC"/>
    <w:rsid w:val="003B4946"/>
    <w:rsid w:val="003B4BB2"/>
    <w:rsid w:val="003B7D90"/>
    <w:rsid w:val="003C7A50"/>
    <w:rsid w:val="003D5019"/>
    <w:rsid w:val="003E22C7"/>
    <w:rsid w:val="00400927"/>
    <w:rsid w:val="004063F8"/>
    <w:rsid w:val="004245E7"/>
    <w:rsid w:val="00424E4B"/>
    <w:rsid w:val="0042612E"/>
    <w:rsid w:val="00434D6B"/>
    <w:rsid w:val="004417C5"/>
    <w:rsid w:val="00443186"/>
    <w:rsid w:val="00443C5E"/>
    <w:rsid w:val="00446703"/>
    <w:rsid w:val="00452685"/>
    <w:rsid w:val="00455E37"/>
    <w:rsid w:val="004608A6"/>
    <w:rsid w:val="00460910"/>
    <w:rsid w:val="004614A2"/>
    <w:rsid w:val="00462F42"/>
    <w:rsid w:val="004643D5"/>
    <w:rsid w:val="00466BB5"/>
    <w:rsid w:val="004716DD"/>
    <w:rsid w:val="00483DA0"/>
    <w:rsid w:val="004C1FB7"/>
    <w:rsid w:val="004D0CD6"/>
    <w:rsid w:val="004E3AF5"/>
    <w:rsid w:val="004E7A14"/>
    <w:rsid w:val="004F594E"/>
    <w:rsid w:val="005000E9"/>
    <w:rsid w:val="005161A6"/>
    <w:rsid w:val="00516AD1"/>
    <w:rsid w:val="00521736"/>
    <w:rsid w:val="005264A9"/>
    <w:rsid w:val="00527A03"/>
    <w:rsid w:val="005360EC"/>
    <w:rsid w:val="005429DC"/>
    <w:rsid w:val="00542CA4"/>
    <w:rsid w:val="00544A3F"/>
    <w:rsid w:val="00546E93"/>
    <w:rsid w:val="005538CF"/>
    <w:rsid w:val="00561C34"/>
    <w:rsid w:val="00563EE3"/>
    <w:rsid w:val="00565535"/>
    <w:rsid w:val="00571333"/>
    <w:rsid w:val="00571740"/>
    <w:rsid w:val="00572896"/>
    <w:rsid w:val="00580AFA"/>
    <w:rsid w:val="00586E9F"/>
    <w:rsid w:val="00591D70"/>
    <w:rsid w:val="005A18D3"/>
    <w:rsid w:val="005A32A5"/>
    <w:rsid w:val="005A5C35"/>
    <w:rsid w:val="005B0A22"/>
    <w:rsid w:val="005B155E"/>
    <w:rsid w:val="005B267E"/>
    <w:rsid w:val="00604C5C"/>
    <w:rsid w:val="00611BD8"/>
    <w:rsid w:val="00617181"/>
    <w:rsid w:val="006248EE"/>
    <w:rsid w:val="00626147"/>
    <w:rsid w:val="00627F70"/>
    <w:rsid w:val="00632EFC"/>
    <w:rsid w:val="006354C2"/>
    <w:rsid w:val="00643552"/>
    <w:rsid w:val="00650DD8"/>
    <w:rsid w:val="006528CD"/>
    <w:rsid w:val="006630FC"/>
    <w:rsid w:val="00664471"/>
    <w:rsid w:val="0066460C"/>
    <w:rsid w:val="00672CA4"/>
    <w:rsid w:val="006747DB"/>
    <w:rsid w:val="00685ACE"/>
    <w:rsid w:val="00685B0C"/>
    <w:rsid w:val="006900CA"/>
    <w:rsid w:val="00691BE0"/>
    <w:rsid w:val="006A1F73"/>
    <w:rsid w:val="006A2AFD"/>
    <w:rsid w:val="006A78A6"/>
    <w:rsid w:val="006B392F"/>
    <w:rsid w:val="006B4AB4"/>
    <w:rsid w:val="006B4B83"/>
    <w:rsid w:val="006C244A"/>
    <w:rsid w:val="006C37F0"/>
    <w:rsid w:val="006C5A6E"/>
    <w:rsid w:val="006D0E50"/>
    <w:rsid w:val="006D2F2A"/>
    <w:rsid w:val="006E0204"/>
    <w:rsid w:val="006E0525"/>
    <w:rsid w:val="006E3F04"/>
    <w:rsid w:val="006E46A7"/>
    <w:rsid w:val="006E64E6"/>
    <w:rsid w:val="006F7EB3"/>
    <w:rsid w:val="0070205D"/>
    <w:rsid w:val="00702A69"/>
    <w:rsid w:val="00704D9A"/>
    <w:rsid w:val="0070716B"/>
    <w:rsid w:val="007120C8"/>
    <w:rsid w:val="00725F66"/>
    <w:rsid w:val="00727DF4"/>
    <w:rsid w:val="0073789D"/>
    <w:rsid w:val="00747368"/>
    <w:rsid w:val="007570E8"/>
    <w:rsid w:val="00760D8E"/>
    <w:rsid w:val="00762416"/>
    <w:rsid w:val="00762D9E"/>
    <w:rsid w:val="0076480F"/>
    <w:rsid w:val="00766990"/>
    <w:rsid w:val="00767D77"/>
    <w:rsid w:val="00767E6F"/>
    <w:rsid w:val="007713A4"/>
    <w:rsid w:val="00772969"/>
    <w:rsid w:val="00781681"/>
    <w:rsid w:val="00791097"/>
    <w:rsid w:val="00791CC6"/>
    <w:rsid w:val="007953F3"/>
    <w:rsid w:val="007962D4"/>
    <w:rsid w:val="007972B7"/>
    <w:rsid w:val="007A212B"/>
    <w:rsid w:val="007A647B"/>
    <w:rsid w:val="007A7910"/>
    <w:rsid w:val="007B5D4B"/>
    <w:rsid w:val="007C02F6"/>
    <w:rsid w:val="007C1DC9"/>
    <w:rsid w:val="007C32D7"/>
    <w:rsid w:val="007E7D84"/>
    <w:rsid w:val="00810572"/>
    <w:rsid w:val="0081078A"/>
    <w:rsid w:val="00814B58"/>
    <w:rsid w:val="008173DF"/>
    <w:rsid w:val="0081792B"/>
    <w:rsid w:val="00822C8D"/>
    <w:rsid w:val="00824531"/>
    <w:rsid w:val="0082742C"/>
    <w:rsid w:val="00830FBB"/>
    <w:rsid w:val="00831C1E"/>
    <w:rsid w:val="00835A7F"/>
    <w:rsid w:val="0083660E"/>
    <w:rsid w:val="008369FE"/>
    <w:rsid w:val="00844581"/>
    <w:rsid w:val="0084537D"/>
    <w:rsid w:val="008534F8"/>
    <w:rsid w:val="00853E58"/>
    <w:rsid w:val="00854883"/>
    <w:rsid w:val="00855939"/>
    <w:rsid w:val="00866344"/>
    <w:rsid w:val="0087063B"/>
    <w:rsid w:val="0087508F"/>
    <w:rsid w:val="008775EA"/>
    <w:rsid w:val="00880E66"/>
    <w:rsid w:val="00882663"/>
    <w:rsid w:val="008834F3"/>
    <w:rsid w:val="00895B61"/>
    <w:rsid w:val="00897094"/>
    <w:rsid w:val="008A189F"/>
    <w:rsid w:val="008A62FB"/>
    <w:rsid w:val="008B2E95"/>
    <w:rsid w:val="008E29B7"/>
    <w:rsid w:val="008E3BBE"/>
    <w:rsid w:val="008E602F"/>
    <w:rsid w:val="008F42F1"/>
    <w:rsid w:val="008F4C11"/>
    <w:rsid w:val="00900F36"/>
    <w:rsid w:val="0090281E"/>
    <w:rsid w:val="00906181"/>
    <w:rsid w:val="00914DA5"/>
    <w:rsid w:val="00920BCE"/>
    <w:rsid w:val="00924467"/>
    <w:rsid w:val="00936138"/>
    <w:rsid w:val="0094321E"/>
    <w:rsid w:val="0094544D"/>
    <w:rsid w:val="009531F2"/>
    <w:rsid w:val="00956CFD"/>
    <w:rsid w:val="00961AD7"/>
    <w:rsid w:val="009640AA"/>
    <w:rsid w:val="0096751B"/>
    <w:rsid w:val="00982176"/>
    <w:rsid w:val="00985492"/>
    <w:rsid w:val="00985C4A"/>
    <w:rsid w:val="00995199"/>
    <w:rsid w:val="00995A70"/>
    <w:rsid w:val="009B1834"/>
    <w:rsid w:val="009B28A4"/>
    <w:rsid w:val="009C15AA"/>
    <w:rsid w:val="009C1F97"/>
    <w:rsid w:val="009C2CAD"/>
    <w:rsid w:val="009C30C7"/>
    <w:rsid w:val="009D0E11"/>
    <w:rsid w:val="009D0E33"/>
    <w:rsid w:val="009D6A70"/>
    <w:rsid w:val="009E0ABC"/>
    <w:rsid w:val="009E5698"/>
    <w:rsid w:val="009E66B6"/>
    <w:rsid w:val="00A001F0"/>
    <w:rsid w:val="00A02ABE"/>
    <w:rsid w:val="00A0560B"/>
    <w:rsid w:val="00A126DA"/>
    <w:rsid w:val="00A127D5"/>
    <w:rsid w:val="00A13BBA"/>
    <w:rsid w:val="00A30839"/>
    <w:rsid w:val="00A30888"/>
    <w:rsid w:val="00A373DB"/>
    <w:rsid w:val="00A43917"/>
    <w:rsid w:val="00A448CB"/>
    <w:rsid w:val="00A4634B"/>
    <w:rsid w:val="00A47B3F"/>
    <w:rsid w:val="00A51793"/>
    <w:rsid w:val="00A52672"/>
    <w:rsid w:val="00A62D7A"/>
    <w:rsid w:val="00A7436F"/>
    <w:rsid w:val="00A75357"/>
    <w:rsid w:val="00A7687F"/>
    <w:rsid w:val="00A828F6"/>
    <w:rsid w:val="00A90170"/>
    <w:rsid w:val="00A91F9E"/>
    <w:rsid w:val="00AA57DD"/>
    <w:rsid w:val="00AA6024"/>
    <w:rsid w:val="00AB2E5B"/>
    <w:rsid w:val="00AB6D61"/>
    <w:rsid w:val="00AC222F"/>
    <w:rsid w:val="00AD5676"/>
    <w:rsid w:val="00AD6894"/>
    <w:rsid w:val="00B0598F"/>
    <w:rsid w:val="00B15B34"/>
    <w:rsid w:val="00B25FC1"/>
    <w:rsid w:val="00B26D3E"/>
    <w:rsid w:val="00B27453"/>
    <w:rsid w:val="00B30174"/>
    <w:rsid w:val="00B325D1"/>
    <w:rsid w:val="00B50F86"/>
    <w:rsid w:val="00B6687C"/>
    <w:rsid w:val="00B71B65"/>
    <w:rsid w:val="00B76493"/>
    <w:rsid w:val="00B80D16"/>
    <w:rsid w:val="00B8297B"/>
    <w:rsid w:val="00B84EEB"/>
    <w:rsid w:val="00B8594C"/>
    <w:rsid w:val="00BA7D32"/>
    <w:rsid w:val="00BB19E3"/>
    <w:rsid w:val="00BB7714"/>
    <w:rsid w:val="00BC2F8E"/>
    <w:rsid w:val="00BC4DE7"/>
    <w:rsid w:val="00BD696D"/>
    <w:rsid w:val="00BD7471"/>
    <w:rsid w:val="00BE0057"/>
    <w:rsid w:val="00BE6034"/>
    <w:rsid w:val="00BF3998"/>
    <w:rsid w:val="00BF5F50"/>
    <w:rsid w:val="00BF73C5"/>
    <w:rsid w:val="00C00ACB"/>
    <w:rsid w:val="00C05ECD"/>
    <w:rsid w:val="00C10EB3"/>
    <w:rsid w:val="00C111E8"/>
    <w:rsid w:val="00C421F7"/>
    <w:rsid w:val="00C439D0"/>
    <w:rsid w:val="00C51A87"/>
    <w:rsid w:val="00C55052"/>
    <w:rsid w:val="00C5620E"/>
    <w:rsid w:val="00C622B9"/>
    <w:rsid w:val="00C66AE8"/>
    <w:rsid w:val="00C672E3"/>
    <w:rsid w:val="00C70120"/>
    <w:rsid w:val="00C9122A"/>
    <w:rsid w:val="00C93AEE"/>
    <w:rsid w:val="00C96209"/>
    <w:rsid w:val="00CA3464"/>
    <w:rsid w:val="00CA622D"/>
    <w:rsid w:val="00CC0E54"/>
    <w:rsid w:val="00CC238B"/>
    <w:rsid w:val="00CC316A"/>
    <w:rsid w:val="00CC4AFB"/>
    <w:rsid w:val="00CC7353"/>
    <w:rsid w:val="00CC7B87"/>
    <w:rsid w:val="00CD35FC"/>
    <w:rsid w:val="00CD464A"/>
    <w:rsid w:val="00CE3A52"/>
    <w:rsid w:val="00CE3B27"/>
    <w:rsid w:val="00CE6A70"/>
    <w:rsid w:val="00CF0BE3"/>
    <w:rsid w:val="00D02038"/>
    <w:rsid w:val="00D04AE8"/>
    <w:rsid w:val="00D10700"/>
    <w:rsid w:val="00D168C0"/>
    <w:rsid w:val="00D416D9"/>
    <w:rsid w:val="00D5145E"/>
    <w:rsid w:val="00D55722"/>
    <w:rsid w:val="00D56D77"/>
    <w:rsid w:val="00D73618"/>
    <w:rsid w:val="00D76B63"/>
    <w:rsid w:val="00D91FC0"/>
    <w:rsid w:val="00D94EB0"/>
    <w:rsid w:val="00DA240B"/>
    <w:rsid w:val="00DA5325"/>
    <w:rsid w:val="00DC39C8"/>
    <w:rsid w:val="00DD0BBE"/>
    <w:rsid w:val="00DE20E3"/>
    <w:rsid w:val="00DE37F9"/>
    <w:rsid w:val="00DE3A4A"/>
    <w:rsid w:val="00DE6CFB"/>
    <w:rsid w:val="00DF05D5"/>
    <w:rsid w:val="00DF3EF7"/>
    <w:rsid w:val="00DF649D"/>
    <w:rsid w:val="00E03984"/>
    <w:rsid w:val="00E03D24"/>
    <w:rsid w:val="00E06460"/>
    <w:rsid w:val="00E10A1C"/>
    <w:rsid w:val="00E12AED"/>
    <w:rsid w:val="00E12F00"/>
    <w:rsid w:val="00E20743"/>
    <w:rsid w:val="00E23624"/>
    <w:rsid w:val="00E254A8"/>
    <w:rsid w:val="00E42A2D"/>
    <w:rsid w:val="00E44271"/>
    <w:rsid w:val="00E453E1"/>
    <w:rsid w:val="00E5140C"/>
    <w:rsid w:val="00E53AD0"/>
    <w:rsid w:val="00E54912"/>
    <w:rsid w:val="00E636D3"/>
    <w:rsid w:val="00E77A37"/>
    <w:rsid w:val="00E86B60"/>
    <w:rsid w:val="00E95DCC"/>
    <w:rsid w:val="00EA2736"/>
    <w:rsid w:val="00EB5499"/>
    <w:rsid w:val="00EB78AF"/>
    <w:rsid w:val="00EC26E5"/>
    <w:rsid w:val="00ED1D86"/>
    <w:rsid w:val="00EF1B32"/>
    <w:rsid w:val="00EF3D66"/>
    <w:rsid w:val="00EF458A"/>
    <w:rsid w:val="00EF7330"/>
    <w:rsid w:val="00F02D72"/>
    <w:rsid w:val="00F0520A"/>
    <w:rsid w:val="00F12AC8"/>
    <w:rsid w:val="00F13384"/>
    <w:rsid w:val="00F223F6"/>
    <w:rsid w:val="00F30088"/>
    <w:rsid w:val="00F34C60"/>
    <w:rsid w:val="00F40ECA"/>
    <w:rsid w:val="00F41DFD"/>
    <w:rsid w:val="00F4715F"/>
    <w:rsid w:val="00F52ED6"/>
    <w:rsid w:val="00F53014"/>
    <w:rsid w:val="00F55C9E"/>
    <w:rsid w:val="00F6205C"/>
    <w:rsid w:val="00F644D4"/>
    <w:rsid w:val="00F667F9"/>
    <w:rsid w:val="00F669C3"/>
    <w:rsid w:val="00F66CFD"/>
    <w:rsid w:val="00F82890"/>
    <w:rsid w:val="00F84844"/>
    <w:rsid w:val="00F8654B"/>
    <w:rsid w:val="00FA4DC7"/>
    <w:rsid w:val="00FB4BFF"/>
    <w:rsid w:val="00FC07B8"/>
    <w:rsid w:val="00FC603C"/>
    <w:rsid w:val="00FE64D8"/>
    <w:rsid w:val="00FE7D60"/>
    <w:rsid w:val="00FF034A"/>
    <w:rsid w:val="00FF2AA7"/>
    <w:rsid w:val="00FF360F"/>
    <w:rsid w:val="00FF7F6C"/>
    <w:rsid w:val="013777D0"/>
    <w:rsid w:val="0C8DE153"/>
    <w:rsid w:val="14109435"/>
    <w:rsid w:val="187506C2"/>
    <w:rsid w:val="192BC8B6"/>
    <w:rsid w:val="1FF5F506"/>
    <w:rsid w:val="2401DBB1"/>
    <w:rsid w:val="289E02E5"/>
    <w:rsid w:val="2A0CD95B"/>
    <w:rsid w:val="35DB7A44"/>
    <w:rsid w:val="3B6CB03F"/>
    <w:rsid w:val="3C1C80B5"/>
    <w:rsid w:val="3EC4E3FD"/>
    <w:rsid w:val="3F32B31F"/>
    <w:rsid w:val="45F7B62F"/>
    <w:rsid w:val="513C1C7D"/>
    <w:rsid w:val="6086869B"/>
    <w:rsid w:val="60B48339"/>
    <w:rsid w:val="6A2A908B"/>
    <w:rsid w:val="7A998366"/>
  </w:rsids>
  <m:mathPr>
    <m:mathFont m:val="Cambria Math"/>
    <m:brkBin m:val="before"/>
    <m:brkBinSub m:val="--"/>
    <m:smallFrac m:val="0"/>
    <m:dispDef/>
    <m:lMargin m:val="0"/>
    <m:rMargin m:val="0"/>
    <m:defJc m:val="centerGroup"/>
    <m:wrapIndent m:val="1440"/>
    <m:intLim m:val="subSup"/>
    <m:naryLim m:val="undOvr"/>
  </m:mathPr>
  <w:themeFontLang w:val="sq-A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109435"/>
  <w15:docId w15:val="{B7E8752A-0D29-544A-A546-03E2C9B42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3F04"/>
  </w:style>
  <w:style w:type="paragraph" w:styleId="Heading1">
    <w:name w:val="heading 1"/>
    <w:basedOn w:val="Normal"/>
    <w:next w:val="Normal"/>
    <w:link w:val="Heading1Char"/>
    <w:uiPriority w:val="9"/>
    <w:qFormat/>
    <w:rsid w:val="003204CE"/>
    <w:pPr>
      <w:keepNext/>
      <w:keepLines/>
      <w:spacing w:before="240" w:after="0"/>
      <w:outlineLvl w:val="0"/>
    </w:pPr>
    <w:rPr>
      <w:rFonts w:asciiTheme="majorHAnsi" w:eastAsiaTheme="majorEastAsia" w:hAnsiTheme="majorHAnsi" w:cstheme="majorBidi"/>
      <w:color w:val="B3186D" w:themeColor="accent1" w:themeShade="BF"/>
      <w:sz w:val="32"/>
      <w:szCs w:val="32"/>
    </w:rPr>
  </w:style>
  <w:style w:type="paragraph" w:styleId="Heading2">
    <w:name w:val="heading 2"/>
    <w:basedOn w:val="Normal"/>
    <w:next w:val="Normal"/>
    <w:link w:val="Heading2Char"/>
    <w:uiPriority w:val="9"/>
    <w:unhideWhenUsed/>
    <w:qFormat/>
    <w:rsid w:val="00E03D24"/>
    <w:pPr>
      <w:keepNext/>
      <w:keepLines/>
      <w:spacing w:before="40" w:after="0"/>
      <w:outlineLvl w:val="1"/>
    </w:pPr>
    <w:rPr>
      <w:rFonts w:asciiTheme="majorHAnsi" w:eastAsiaTheme="majorEastAsia" w:hAnsiTheme="majorHAnsi" w:cstheme="majorBidi"/>
      <w:color w:val="B3186D" w:themeColor="accent1" w:themeShade="BF"/>
      <w:sz w:val="26"/>
      <w:szCs w:val="26"/>
    </w:rPr>
  </w:style>
  <w:style w:type="paragraph" w:styleId="Heading3">
    <w:name w:val="heading 3"/>
    <w:basedOn w:val="Normal"/>
    <w:next w:val="Normal"/>
    <w:link w:val="Heading3Char"/>
    <w:uiPriority w:val="9"/>
    <w:unhideWhenUsed/>
    <w:qFormat/>
    <w:rsid w:val="009C30C7"/>
    <w:pPr>
      <w:keepNext/>
      <w:keepLines/>
      <w:spacing w:before="40" w:after="0"/>
      <w:outlineLvl w:val="2"/>
    </w:pPr>
    <w:rPr>
      <w:rFonts w:asciiTheme="majorHAnsi" w:eastAsiaTheme="majorEastAsia" w:hAnsiTheme="majorHAnsi" w:cstheme="majorBidi"/>
      <w:color w:val="77104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04CE"/>
    <w:rPr>
      <w:rFonts w:asciiTheme="majorHAnsi" w:eastAsiaTheme="majorEastAsia" w:hAnsiTheme="majorHAnsi" w:cstheme="majorBidi"/>
      <w:color w:val="B3186D" w:themeColor="accent1" w:themeShade="BF"/>
      <w:sz w:val="32"/>
      <w:szCs w:val="32"/>
    </w:rPr>
  </w:style>
  <w:style w:type="paragraph" w:styleId="TOCHeading">
    <w:name w:val="TOC Heading"/>
    <w:basedOn w:val="Heading1"/>
    <w:next w:val="Normal"/>
    <w:uiPriority w:val="39"/>
    <w:unhideWhenUsed/>
    <w:qFormat/>
    <w:rsid w:val="003204CE"/>
    <w:pPr>
      <w:outlineLvl w:val="9"/>
    </w:pPr>
  </w:style>
  <w:style w:type="paragraph" w:styleId="TOC1">
    <w:name w:val="toc 1"/>
    <w:basedOn w:val="Normal"/>
    <w:next w:val="Normal"/>
    <w:autoRedefine/>
    <w:uiPriority w:val="39"/>
    <w:unhideWhenUsed/>
    <w:rsid w:val="003204CE"/>
    <w:pPr>
      <w:spacing w:after="100"/>
    </w:pPr>
  </w:style>
  <w:style w:type="character" w:styleId="Hyperlink">
    <w:name w:val="Hyperlink"/>
    <w:basedOn w:val="DefaultParagraphFont"/>
    <w:uiPriority w:val="99"/>
    <w:unhideWhenUsed/>
    <w:rsid w:val="003204CE"/>
    <w:rPr>
      <w:color w:val="6B9F25" w:themeColor="hyperlink"/>
      <w:u w:val="single"/>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FA,FA3,n"/>
    <w:basedOn w:val="Normal"/>
    <w:link w:val="FootnoteTextChar"/>
    <w:uiPriority w:val="99"/>
    <w:unhideWhenUsed/>
    <w:qFormat/>
    <w:rsid w:val="003204CE"/>
    <w:pPr>
      <w:spacing w:after="0" w:line="240" w:lineRule="auto"/>
    </w:pPr>
    <w:rPr>
      <w:sz w:val="20"/>
      <w:szCs w:val="20"/>
      <w:lang w:val="en-GB"/>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3204CE"/>
    <w:rPr>
      <w:sz w:val="20"/>
      <w:szCs w:val="20"/>
      <w:lang w:val="en-GB"/>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Footnote symbol"/>
    <w:basedOn w:val="DefaultParagraphFont"/>
    <w:link w:val="Char2"/>
    <w:uiPriority w:val="99"/>
    <w:unhideWhenUsed/>
    <w:qFormat/>
    <w:rsid w:val="003204CE"/>
    <w:rPr>
      <w:vertAlign w:val="superscript"/>
    </w:rPr>
  </w:style>
  <w:style w:type="character" w:customStyle="1" w:styleId="Heading2Char">
    <w:name w:val="Heading 2 Char"/>
    <w:basedOn w:val="DefaultParagraphFont"/>
    <w:link w:val="Heading2"/>
    <w:uiPriority w:val="9"/>
    <w:rsid w:val="00E03D24"/>
    <w:rPr>
      <w:rFonts w:asciiTheme="majorHAnsi" w:eastAsiaTheme="majorEastAsia" w:hAnsiTheme="majorHAnsi" w:cstheme="majorBidi"/>
      <w:color w:val="B3186D" w:themeColor="accent1" w:themeShade="BF"/>
      <w:sz w:val="26"/>
      <w:szCs w:val="26"/>
    </w:rPr>
  </w:style>
  <w:style w:type="paragraph" w:styleId="ListParagraph">
    <w:name w:val="List Paragraph"/>
    <w:basedOn w:val="Normal"/>
    <w:uiPriority w:val="34"/>
    <w:qFormat/>
    <w:rsid w:val="009531F2"/>
    <w:pPr>
      <w:ind w:left="720"/>
      <w:contextualSpacing/>
    </w:pPr>
  </w:style>
  <w:style w:type="paragraph" w:styleId="TOC2">
    <w:name w:val="toc 2"/>
    <w:basedOn w:val="Normal"/>
    <w:next w:val="Normal"/>
    <w:autoRedefine/>
    <w:uiPriority w:val="39"/>
    <w:unhideWhenUsed/>
    <w:rsid w:val="00C55052"/>
    <w:pPr>
      <w:spacing w:after="100"/>
      <w:ind w:left="220"/>
    </w:pPr>
  </w:style>
  <w:style w:type="character" w:styleId="CommentReference">
    <w:name w:val="annotation reference"/>
    <w:basedOn w:val="DefaultParagraphFont"/>
    <w:uiPriority w:val="99"/>
    <w:semiHidden/>
    <w:unhideWhenUsed/>
    <w:rsid w:val="00156E1C"/>
    <w:rPr>
      <w:sz w:val="16"/>
      <w:szCs w:val="16"/>
    </w:rPr>
  </w:style>
  <w:style w:type="paragraph" w:styleId="CommentText">
    <w:name w:val="annotation text"/>
    <w:basedOn w:val="Normal"/>
    <w:link w:val="CommentTextChar"/>
    <w:uiPriority w:val="99"/>
    <w:unhideWhenUsed/>
    <w:rsid w:val="00156E1C"/>
    <w:pPr>
      <w:spacing w:line="240" w:lineRule="auto"/>
    </w:pPr>
    <w:rPr>
      <w:sz w:val="20"/>
      <w:szCs w:val="20"/>
    </w:rPr>
  </w:style>
  <w:style w:type="character" w:customStyle="1" w:styleId="CommentTextChar">
    <w:name w:val="Comment Text Char"/>
    <w:basedOn w:val="DefaultParagraphFont"/>
    <w:link w:val="CommentText"/>
    <w:uiPriority w:val="99"/>
    <w:rsid w:val="00156E1C"/>
    <w:rPr>
      <w:sz w:val="20"/>
      <w:szCs w:val="20"/>
    </w:rPr>
  </w:style>
  <w:style w:type="paragraph" w:styleId="CommentSubject">
    <w:name w:val="annotation subject"/>
    <w:basedOn w:val="CommentText"/>
    <w:next w:val="CommentText"/>
    <w:link w:val="CommentSubjectChar"/>
    <w:uiPriority w:val="99"/>
    <w:semiHidden/>
    <w:unhideWhenUsed/>
    <w:rsid w:val="00156E1C"/>
    <w:rPr>
      <w:b/>
      <w:bCs/>
    </w:rPr>
  </w:style>
  <w:style w:type="character" w:customStyle="1" w:styleId="CommentSubjectChar">
    <w:name w:val="Comment Subject Char"/>
    <w:basedOn w:val="CommentTextChar"/>
    <w:link w:val="CommentSubject"/>
    <w:uiPriority w:val="99"/>
    <w:semiHidden/>
    <w:rsid w:val="00156E1C"/>
    <w:rPr>
      <w:b/>
      <w:bCs/>
      <w:sz w:val="20"/>
      <w:szCs w:val="20"/>
    </w:rPr>
  </w:style>
  <w:style w:type="paragraph" w:styleId="BalloonText">
    <w:name w:val="Balloon Text"/>
    <w:basedOn w:val="Normal"/>
    <w:link w:val="BalloonTextChar"/>
    <w:uiPriority w:val="99"/>
    <w:semiHidden/>
    <w:unhideWhenUsed/>
    <w:rsid w:val="00156E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E1C"/>
    <w:rPr>
      <w:rFonts w:ascii="Segoe UI" w:hAnsi="Segoe UI" w:cs="Segoe UI"/>
      <w:sz w:val="18"/>
      <w:szCs w:val="18"/>
    </w:rPr>
  </w:style>
  <w:style w:type="paragraph" w:customStyle="1" w:styleId="Char2">
    <w:name w:val="Char2"/>
    <w:basedOn w:val="Normal"/>
    <w:link w:val="FootnoteReference"/>
    <w:uiPriority w:val="99"/>
    <w:rsid w:val="00E77A37"/>
    <w:pPr>
      <w:spacing w:line="240" w:lineRule="exact"/>
    </w:pPr>
    <w:rPr>
      <w:vertAlign w:val="superscript"/>
    </w:rPr>
  </w:style>
  <w:style w:type="character" w:styleId="Strong">
    <w:name w:val="Strong"/>
    <w:basedOn w:val="DefaultParagraphFont"/>
    <w:uiPriority w:val="22"/>
    <w:qFormat/>
    <w:rsid w:val="00E10A1C"/>
    <w:rPr>
      <w:b/>
      <w:bCs/>
    </w:rPr>
  </w:style>
  <w:style w:type="character" w:styleId="Emphasis">
    <w:name w:val="Emphasis"/>
    <w:basedOn w:val="DefaultParagraphFont"/>
    <w:uiPriority w:val="20"/>
    <w:qFormat/>
    <w:rsid w:val="00A001F0"/>
    <w:rPr>
      <w:i/>
      <w:iCs/>
    </w:rPr>
  </w:style>
  <w:style w:type="paragraph" w:styleId="NormalWeb">
    <w:name w:val="Normal (Web)"/>
    <w:basedOn w:val="Normal"/>
    <w:uiPriority w:val="99"/>
    <w:unhideWhenUsed/>
    <w:rsid w:val="00CC316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CE6A70"/>
    <w:rPr>
      <w:color w:val="8C8C8C" w:themeColor="followedHyperlink"/>
      <w:u w:val="single"/>
    </w:rPr>
  </w:style>
  <w:style w:type="paragraph" w:styleId="Header">
    <w:name w:val="header"/>
    <w:basedOn w:val="Normal"/>
    <w:link w:val="HeaderChar"/>
    <w:uiPriority w:val="99"/>
    <w:unhideWhenUsed/>
    <w:rsid w:val="00831C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31C1E"/>
  </w:style>
  <w:style w:type="paragraph" w:styleId="Footer">
    <w:name w:val="footer"/>
    <w:basedOn w:val="Normal"/>
    <w:link w:val="FooterChar"/>
    <w:uiPriority w:val="99"/>
    <w:unhideWhenUsed/>
    <w:rsid w:val="00831C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31C1E"/>
  </w:style>
  <w:style w:type="character" w:customStyle="1" w:styleId="blue">
    <w:name w:val="blue"/>
    <w:basedOn w:val="DefaultParagraphFont"/>
    <w:rsid w:val="005B267E"/>
  </w:style>
  <w:style w:type="character" w:customStyle="1" w:styleId="UnresolvedMention">
    <w:name w:val="Unresolved Mention"/>
    <w:basedOn w:val="DefaultParagraphFont"/>
    <w:uiPriority w:val="99"/>
    <w:semiHidden/>
    <w:unhideWhenUsed/>
    <w:rsid w:val="00AC222F"/>
    <w:rPr>
      <w:color w:val="605E5C"/>
      <w:shd w:val="clear" w:color="auto" w:fill="E1DFDD"/>
    </w:rPr>
  </w:style>
  <w:style w:type="character" w:customStyle="1" w:styleId="apple-converted-space">
    <w:name w:val="apple-converted-space"/>
    <w:basedOn w:val="DefaultParagraphFont"/>
    <w:rsid w:val="009C30C7"/>
  </w:style>
  <w:style w:type="paragraph" w:customStyle="1" w:styleId="rtejustify">
    <w:name w:val="rtejustify"/>
    <w:basedOn w:val="Normal"/>
    <w:rsid w:val="009C30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C30C7"/>
    <w:rPr>
      <w:rFonts w:asciiTheme="majorHAnsi" w:eastAsiaTheme="majorEastAsia" w:hAnsiTheme="majorHAnsi" w:cstheme="majorBidi"/>
      <w:color w:val="771048" w:themeColor="accent1" w:themeShade="7F"/>
      <w:sz w:val="24"/>
      <w:szCs w:val="24"/>
    </w:rPr>
  </w:style>
  <w:style w:type="paragraph" w:styleId="TOC3">
    <w:name w:val="toc 3"/>
    <w:basedOn w:val="Normal"/>
    <w:next w:val="Normal"/>
    <w:autoRedefine/>
    <w:uiPriority w:val="39"/>
    <w:unhideWhenUsed/>
    <w:rsid w:val="00E453E1"/>
    <w:pPr>
      <w:spacing w:after="100"/>
      <w:ind w:left="440"/>
    </w:pPr>
  </w:style>
  <w:style w:type="paragraph" w:customStyle="1" w:styleId="FootnoteReferenceAltR">
    <w:name w:val="Footnote Reference (Alt+R)"/>
    <w:aliases w:val="Fn Ref,Footnotes refss,nota pié di pagina,Times 10 Point,Ref"/>
    <w:basedOn w:val="Normal"/>
    <w:uiPriority w:val="99"/>
    <w:rsid w:val="00D73618"/>
    <w:pPr>
      <w:spacing w:line="240" w:lineRule="exact"/>
    </w:pPr>
    <w:rPr>
      <w:rFonts w:ascii="Calibri" w:eastAsia="Times New Roman" w:hAnsi="Calibri" w:cs="Times New Roman"/>
      <w:sz w:val="20"/>
      <w:szCs w:val="20"/>
      <w:vertAlign w:val="superscript"/>
      <w:lang w:val="en-GB" w:eastAsia="en-GB"/>
    </w:rPr>
  </w:style>
  <w:style w:type="paragraph" w:styleId="Revision">
    <w:name w:val="Revision"/>
    <w:hidden/>
    <w:uiPriority w:val="99"/>
    <w:semiHidden/>
    <w:rsid w:val="00443C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505">
      <w:bodyDiv w:val="1"/>
      <w:marLeft w:val="0"/>
      <w:marRight w:val="0"/>
      <w:marTop w:val="0"/>
      <w:marBottom w:val="0"/>
      <w:divBdr>
        <w:top w:val="none" w:sz="0" w:space="0" w:color="auto"/>
        <w:left w:val="none" w:sz="0" w:space="0" w:color="auto"/>
        <w:bottom w:val="none" w:sz="0" w:space="0" w:color="auto"/>
        <w:right w:val="none" w:sz="0" w:space="0" w:color="auto"/>
      </w:divBdr>
      <w:divsChild>
        <w:div w:id="1457289749">
          <w:marLeft w:val="0"/>
          <w:marRight w:val="0"/>
          <w:marTop w:val="0"/>
          <w:marBottom w:val="0"/>
          <w:divBdr>
            <w:top w:val="none" w:sz="0" w:space="0" w:color="auto"/>
            <w:left w:val="none" w:sz="0" w:space="0" w:color="auto"/>
            <w:bottom w:val="none" w:sz="0" w:space="0" w:color="auto"/>
            <w:right w:val="none" w:sz="0" w:space="0" w:color="auto"/>
          </w:divBdr>
          <w:divsChild>
            <w:div w:id="357394198">
              <w:marLeft w:val="0"/>
              <w:marRight w:val="0"/>
              <w:marTop w:val="0"/>
              <w:marBottom w:val="0"/>
              <w:divBdr>
                <w:top w:val="none" w:sz="0" w:space="0" w:color="auto"/>
                <w:left w:val="none" w:sz="0" w:space="0" w:color="auto"/>
                <w:bottom w:val="none" w:sz="0" w:space="0" w:color="auto"/>
                <w:right w:val="none" w:sz="0" w:space="0" w:color="auto"/>
              </w:divBdr>
              <w:divsChild>
                <w:div w:id="78115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78240">
          <w:marLeft w:val="0"/>
          <w:marRight w:val="0"/>
          <w:marTop w:val="0"/>
          <w:marBottom w:val="0"/>
          <w:divBdr>
            <w:top w:val="none" w:sz="0" w:space="0" w:color="auto"/>
            <w:left w:val="none" w:sz="0" w:space="0" w:color="auto"/>
            <w:bottom w:val="none" w:sz="0" w:space="0" w:color="auto"/>
            <w:right w:val="none" w:sz="0" w:space="0" w:color="auto"/>
          </w:divBdr>
          <w:divsChild>
            <w:div w:id="390155346">
              <w:marLeft w:val="0"/>
              <w:marRight w:val="0"/>
              <w:marTop w:val="0"/>
              <w:marBottom w:val="0"/>
              <w:divBdr>
                <w:top w:val="none" w:sz="0" w:space="0" w:color="auto"/>
                <w:left w:val="none" w:sz="0" w:space="0" w:color="auto"/>
                <w:bottom w:val="none" w:sz="0" w:space="0" w:color="auto"/>
                <w:right w:val="none" w:sz="0" w:space="0" w:color="auto"/>
              </w:divBdr>
              <w:divsChild>
                <w:div w:id="7870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3627">
      <w:bodyDiv w:val="1"/>
      <w:marLeft w:val="0"/>
      <w:marRight w:val="0"/>
      <w:marTop w:val="0"/>
      <w:marBottom w:val="0"/>
      <w:divBdr>
        <w:top w:val="none" w:sz="0" w:space="0" w:color="auto"/>
        <w:left w:val="none" w:sz="0" w:space="0" w:color="auto"/>
        <w:bottom w:val="none" w:sz="0" w:space="0" w:color="auto"/>
        <w:right w:val="none" w:sz="0" w:space="0" w:color="auto"/>
      </w:divBdr>
      <w:divsChild>
        <w:div w:id="913122977">
          <w:marLeft w:val="0"/>
          <w:marRight w:val="0"/>
          <w:marTop w:val="0"/>
          <w:marBottom w:val="0"/>
          <w:divBdr>
            <w:top w:val="none" w:sz="0" w:space="0" w:color="auto"/>
            <w:left w:val="none" w:sz="0" w:space="0" w:color="auto"/>
            <w:bottom w:val="none" w:sz="0" w:space="0" w:color="auto"/>
            <w:right w:val="none" w:sz="0" w:space="0" w:color="auto"/>
          </w:divBdr>
          <w:divsChild>
            <w:div w:id="154339360">
              <w:marLeft w:val="0"/>
              <w:marRight w:val="0"/>
              <w:marTop w:val="0"/>
              <w:marBottom w:val="0"/>
              <w:divBdr>
                <w:top w:val="none" w:sz="0" w:space="0" w:color="auto"/>
                <w:left w:val="none" w:sz="0" w:space="0" w:color="auto"/>
                <w:bottom w:val="none" w:sz="0" w:space="0" w:color="auto"/>
                <w:right w:val="none" w:sz="0" w:space="0" w:color="auto"/>
              </w:divBdr>
              <w:divsChild>
                <w:div w:id="42206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49225">
      <w:bodyDiv w:val="1"/>
      <w:marLeft w:val="0"/>
      <w:marRight w:val="0"/>
      <w:marTop w:val="0"/>
      <w:marBottom w:val="0"/>
      <w:divBdr>
        <w:top w:val="none" w:sz="0" w:space="0" w:color="auto"/>
        <w:left w:val="none" w:sz="0" w:space="0" w:color="auto"/>
        <w:bottom w:val="none" w:sz="0" w:space="0" w:color="auto"/>
        <w:right w:val="none" w:sz="0" w:space="0" w:color="auto"/>
      </w:divBdr>
      <w:divsChild>
        <w:div w:id="1754350483">
          <w:marLeft w:val="0"/>
          <w:marRight w:val="0"/>
          <w:marTop w:val="0"/>
          <w:marBottom w:val="0"/>
          <w:divBdr>
            <w:top w:val="none" w:sz="0" w:space="0" w:color="auto"/>
            <w:left w:val="none" w:sz="0" w:space="0" w:color="auto"/>
            <w:bottom w:val="none" w:sz="0" w:space="0" w:color="auto"/>
            <w:right w:val="none" w:sz="0" w:space="0" w:color="auto"/>
          </w:divBdr>
          <w:divsChild>
            <w:div w:id="577373357">
              <w:marLeft w:val="0"/>
              <w:marRight w:val="0"/>
              <w:marTop w:val="0"/>
              <w:marBottom w:val="0"/>
              <w:divBdr>
                <w:top w:val="none" w:sz="0" w:space="0" w:color="auto"/>
                <w:left w:val="none" w:sz="0" w:space="0" w:color="auto"/>
                <w:bottom w:val="none" w:sz="0" w:space="0" w:color="auto"/>
                <w:right w:val="none" w:sz="0" w:space="0" w:color="auto"/>
              </w:divBdr>
              <w:divsChild>
                <w:div w:id="139277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53542">
      <w:bodyDiv w:val="1"/>
      <w:marLeft w:val="0"/>
      <w:marRight w:val="0"/>
      <w:marTop w:val="0"/>
      <w:marBottom w:val="0"/>
      <w:divBdr>
        <w:top w:val="none" w:sz="0" w:space="0" w:color="auto"/>
        <w:left w:val="none" w:sz="0" w:space="0" w:color="auto"/>
        <w:bottom w:val="none" w:sz="0" w:space="0" w:color="auto"/>
        <w:right w:val="none" w:sz="0" w:space="0" w:color="auto"/>
      </w:divBdr>
    </w:div>
    <w:div w:id="43407228">
      <w:bodyDiv w:val="1"/>
      <w:marLeft w:val="0"/>
      <w:marRight w:val="0"/>
      <w:marTop w:val="0"/>
      <w:marBottom w:val="0"/>
      <w:divBdr>
        <w:top w:val="none" w:sz="0" w:space="0" w:color="auto"/>
        <w:left w:val="none" w:sz="0" w:space="0" w:color="auto"/>
        <w:bottom w:val="none" w:sz="0" w:space="0" w:color="auto"/>
        <w:right w:val="none" w:sz="0" w:space="0" w:color="auto"/>
      </w:divBdr>
    </w:div>
    <w:div w:id="101191771">
      <w:bodyDiv w:val="1"/>
      <w:marLeft w:val="0"/>
      <w:marRight w:val="0"/>
      <w:marTop w:val="0"/>
      <w:marBottom w:val="0"/>
      <w:divBdr>
        <w:top w:val="none" w:sz="0" w:space="0" w:color="auto"/>
        <w:left w:val="none" w:sz="0" w:space="0" w:color="auto"/>
        <w:bottom w:val="none" w:sz="0" w:space="0" w:color="auto"/>
        <w:right w:val="none" w:sz="0" w:space="0" w:color="auto"/>
      </w:divBdr>
    </w:div>
    <w:div w:id="132142863">
      <w:bodyDiv w:val="1"/>
      <w:marLeft w:val="0"/>
      <w:marRight w:val="0"/>
      <w:marTop w:val="0"/>
      <w:marBottom w:val="0"/>
      <w:divBdr>
        <w:top w:val="none" w:sz="0" w:space="0" w:color="auto"/>
        <w:left w:val="none" w:sz="0" w:space="0" w:color="auto"/>
        <w:bottom w:val="none" w:sz="0" w:space="0" w:color="auto"/>
        <w:right w:val="none" w:sz="0" w:space="0" w:color="auto"/>
      </w:divBdr>
      <w:divsChild>
        <w:div w:id="58865851">
          <w:marLeft w:val="0"/>
          <w:marRight w:val="0"/>
          <w:marTop w:val="0"/>
          <w:marBottom w:val="0"/>
          <w:divBdr>
            <w:top w:val="none" w:sz="0" w:space="0" w:color="auto"/>
            <w:left w:val="none" w:sz="0" w:space="0" w:color="auto"/>
            <w:bottom w:val="none" w:sz="0" w:space="0" w:color="auto"/>
            <w:right w:val="none" w:sz="0" w:space="0" w:color="auto"/>
          </w:divBdr>
          <w:divsChild>
            <w:div w:id="455833328">
              <w:marLeft w:val="0"/>
              <w:marRight w:val="0"/>
              <w:marTop w:val="0"/>
              <w:marBottom w:val="0"/>
              <w:divBdr>
                <w:top w:val="none" w:sz="0" w:space="0" w:color="auto"/>
                <w:left w:val="none" w:sz="0" w:space="0" w:color="auto"/>
                <w:bottom w:val="none" w:sz="0" w:space="0" w:color="auto"/>
                <w:right w:val="none" w:sz="0" w:space="0" w:color="auto"/>
              </w:divBdr>
              <w:divsChild>
                <w:div w:id="200346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93482">
      <w:bodyDiv w:val="1"/>
      <w:marLeft w:val="0"/>
      <w:marRight w:val="0"/>
      <w:marTop w:val="0"/>
      <w:marBottom w:val="0"/>
      <w:divBdr>
        <w:top w:val="none" w:sz="0" w:space="0" w:color="auto"/>
        <w:left w:val="none" w:sz="0" w:space="0" w:color="auto"/>
        <w:bottom w:val="none" w:sz="0" w:space="0" w:color="auto"/>
        <w:right w:val="none" w:sz="0" w:space="0" w:color="auto"/>
      </w:divBdr>
      <w:divsChild>
        <w:div w:id="999037634">
          <w:marLeft w:val="0"/>
          <w:marRight w:val="0"/>
          <w:marTop w:val="0"/>
          <w:marBottom w:val="0"/>
          <w:divBdr>
            <w:top w:val="none" w:sz="0" w:space="0" w:color="auto"/>
            <w:left w:val="none" w:sz="0" w:space="0" w:color="auto"/>
            <w:bottom w:val="none" w:sz="0" w:space="0" w:color="auto"/>
            <w:right w:val="none" w:sz="0" w:space="0" w:color="auto"/>
          </w:divBdr>
          <w:divsChild>
            <w:div w:id="18820724">
              <w:marLeft w:val="0"/>
              <w:marRight w:val="0"/>
              <w:marTop w:val="0"/>
              <w:marBottom w:val="0"/>
              <w:divBdr>
                <w:top w:val="none" w:sz="0" w:space="0" w:color="auto"/>
                <w:left w:val="none" w:sz="0" w:space="0" w:color="auto"/>
                <w:bottom w:val="none" w:sz="0" w:space="0" w:color="auto"/>
                <w:right w:val="none" w:sz="0" w:space="0" w:color="auto"/>
              </w:divBdr>
              <w:divsChild>
                <w:div w:id="10250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40693">
      <w:bodyDiv w:val="1"/>
      <w:marLeft w:val="0"/>
      <w:marRight w:val="0"/>
      <w:marTop w:val="0"/>
      <w:marBottom w:val="0"/>
      <w:divBdr>
        <w:top w:val="none" w:sz="0" w:space="0" w:color="auto"/>
        <w:left w:val="none" w:sz="0" w:space="0" w:color="auto"/>
        <w:bottom w:val="none" w:sz="0" w:space="0" w:color="auto"/>
        <w:right w:val="none" w:sz="0" w:space="0" w:color="auto"/>
      </w:divBdr>
      <w:divsChild>
        <w:div w:id="169758192">
          <w:marLeft w:val="0"/>
          <w:marRight w:val="0"/>
          <w:marTop w:val="0"/>
          <w:marBottom w:val="0"/>
          <w:divBdr>
            <w:top w:val="none" w:sz="0" w:space="0" w:color="auto"/>
            <w:left w:val="none" w:sz="0" w:space="0" w:color="auto"/>
            <w:bottom w:val="none" w:sz="0" w:space="0" w:color="auto"/>
            <w:right w:val="none" w:sz="0" w:space="0" w:color="auto"/>
          </w:divBdr>
          <w:divsChild>
            <w:div w:id="387607606">
              <w:marLeft w:val="0"/>
              <w:marRight w:val="0"/>
              <w:marTop w:val="0"/>
              <w:marBottom w:val="0"/>
              <w:divBdr>
                <w:top w:val="none" w:sz="0" w:space="0" w:color="auto"/>
                <w:left w:val="none" w:sz="0" w:space="0" w:color="auto"/>
                <w:bottom w:val="none" w:sz="0" w:space="0" w:color="auto"/>
                <w:right w:val="none" w:sz="0" w:space="0" w:color="auto"/>
              </w:divBdr>
              <w:divsChild>
                <w:div w:id="186405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41345">
      <w:bodyDiv w:val="1"/>
      <w:marLeft w:val="0"/>
      <w:marRight w:val="0"/>
      <w:marTop w:val="0"/>
      <w:marBottom w:val="0"/>
      <w:divBdr>
        <w:top w:val="none" w:sz="0" w:space="0" w:color="auto"/>
        <w:left w:val="none" w:sz="0" w:space="0" w:color="auto"/>
        <w:bottom w:val="none" w:sz="0" w:space="0" w:color="auto"/>
        <w:right w:val="none" w:sz="0" w:space="0" w:color="auto"/>
      </w:divBdr>
      <w:divsChild>
        <w:div w:id="1991708820">
          <w:marLeft w:val="0"/>
          <w:marRight w:val="0"/>
          <w:marTop w:val="0"/>
          <w:marBottom w:val="0"/>
          <w:divBdr>
            <w:top w:val="none" w:sz="0" w:space="0" w:color="auto"/>
            <w:left w:val="none" w:sz="0" w:space="0" w:color="auto"/>
            <w:bottom w:val="none" w:sz="0" w:space="0" w:color="auto"/>
            <w:right w:val="none" w:sz="0" w:space="0" w:color="auto"/>
          </w:divBdr>
          <w:divsChild>
            <w:div w:id="1938251809">
              <w:marLeft w:val="0"/>
              <w:marRight w:val="0"/>
              <w:marTop w:val="0"/>
              <w:marBottom w:val="0"/>
              <w:divBdr>
                <w:top w:val="none" w:sz="0" w:space="0" w:color="auto"/>
                <w:left w:val="none" w:sz="0" w:space="0" w:color="auto"/>
                <w:bottom w:val="none" w:sz="0" w:space="0" w:color="auto"/>
                <w:right w:val="none" w:sz="0" w:space="0" w:color="auto"/>
              </w:divBdr>
              <w:divsChild>
                <w:div w:id="12304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997632">
      <w:bodyDiv w:val="1"/>
      <w:marLeft w:val="0"/>
      <w:marRight w:val="0"/>
      <w:marTop w:val="0"/>
      <w:marBottom w:val="0"/>
      <w:divBdr>
        <w:top w:val="none" w:sz="0" w:space="0" w:color="auto"/>
        <w:left w:val="none" w:sz="0" w:space="0" w:color="auto"/>
        <w:bottom w:val="none" w:sz="0" w:space="0" w:color="auto"/>
        <w:right w:val="none" w:sz="0" w:space="0" w:color="auto"/>
      </w:divBdr>
      <w:divsChild>
        <w:div w:id="1161696134">
          <w:marLeft w:val="0"/>
          <w:marRight w:val="0"/>
          <w:marTop w:val="0"/>
          <w:marBottom w:val="0"/>
          <w:divBdr>
            <w:top w:val="none" w:sz="0" w:space="0" w:color="auto"/>
            <w:left w:val="none" w:sz="0" w:space="0" w:color="auto"/>
            <w:bottom w:val="none" w:sz="0" w:space="0" w:color="auto"/>
            <w:right w:val="none" w:sz="0" w:space="0" w:color="auto"/>
          </w:divBdr>
          <w:divsChild>
            <w:div w:id="338430571">
              <w:marLeft w:val="0"/>
              <w:marRight w:val="0"/>
              <w:marTop w:val="0"/>
              <w:marBottom w:val="0"/>
              <w:divBdr>
                <w:top w:val="none" w:sz="0" w:space="0" w:color="auto"/>
                <w:left w:val="none" w:sz="0" w:space="0" w:color="auto"/>
                <w:bottom w:val="none" w:sz="0" w:space="0" w:color="auto"/>
                <w:right w:val="none" w:sz="0" w:space="0" w:color="auto"/>
              </w:divBdr>
              <w:divsChild>
                <w:div w:id="95179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1545945">
      <w:bodyDiv w:val="1"/>
      <w:marLeft w:val="0"/>
      <w:marRight w:val="0"/>
      <w:marTop w:val="0"/>
      <w:marBottom w:val="0"/>
      <w:divBdr>
        <w:top w:val="none" w:sz="0" w:space="0" w:color="auto"/>
        <w:left w:val="none" w:sz="0" w:space="0" w:color="auto"/>
        <w:bottom w:val="none" w:sz="0" w:space="0" w:color="auto"/>
        <w:right w:val="none" w:sz="0" w:space="0" w:color="auto"/>
      </w:divBdr>
      <w:divsChild>
        <w:div w:id="1894807741">
          <w:marLeft w:val="0"/>
          <w:marRight w:val="0"/>
          <w:marTop w:val="0"/>
          <w:marBottom w:val="0"/>
          <w:divBdr>
            <w:top w:val="none" w:sz="0" w:space="0" w:color="auto"/>
            <w:left w:val="none" w:sz="0" w:space="0" w:color="auto"/>
            <w:bottom w:val="none" w:sz="0" w:space="0" w:color="auto"/>
            <w:right w:val="none" w:sz="0" w:space="0" w:color="auto"/>
          </w:divBdr>
          <w:divsChild>
            <w:div w:id="1833787672">
              <w:marLeft w:val="0"/>
              <w:marRight w:val="0"/>
              <w:marTop w:val="0"/>
              <w:marBottom w:val="0"/>
              <w:divBdr>
                <w:top w:val="none" w:sz="0" w:space="0" w:color="auto"/>
                <w:left w:val="none" w:sz="0" w:space="0" w:color="auto"/>
                <w:bottom w:val="none" w:sz="0" w:space="0" w:color="auto"/>
                <w:right w:val="none" w:sz="0" w:space="0" w:color="auto"/>
              </w:divBdr>
              <w:divsChild>
                <w:div w:id="72508275">
                  <w:marLeft w:val="0"/>
                  <w:marRight w:val="0"/>
                  <w:marTop w:val="0"/>
                  <w:marBottom w:val="0"/>
                  <w:divBdr>
                    <w:top w:val="none" w:sz="0" w:space="0" w:color="auto"/>
                    <w:left w:val="none" w:sz="0" w:space="0" w:color="auto"/>
                    <w:bottom w:val="none" w:sz="0" w:space="0" w:color="auto"/>
                    <w:right w:val="none" w:sz="0" w:space="0" w:color="auto"/>
                  </w:divBdr>
                  <w:divsChild>
                    <w:div w:id="1674995612">
                      <w:marLeft w:val="0"/>
                      <w:marRight w:val="0"/>
                      <w:marTop w:val="0"/>
                      <w:marBottom w:val="0"/>
                      <w:divBdr>
                        <w:top w:val="none" w:sz="0" w:space="0" w:color="auto"/>
                        <w:left w:val="none" w:sz="0" w:space="0" w:color="auto"/>
                        <w:bottom w:val="none" w:sz="0" w:space="0" w:color="auto"/>
                        <w:right w:val="none" w:sz="0" w:space="0" w:color="auto"/>
                      </w:divBdr>
                    </w:div>
                  </w:divsChild>
                </w:div>
                <w:div w:id="1786728036">
                  <w:marLeft w:val="0"/>
                  <w:marRight w:val="0"/>
                  <w:marTop w:val="0"/>
                  <w:marBottom w:val="0"/>
                  <w:divBdr>
                    <w:top w:val="none" w:sz="0" w:space="0" w:color="auto"/>
                    <w:left w:val="none" w:sz="0" w:space="0" w:color="auto"/>
                    <w:bottom w:val="none" w:sz="0" w:space="0" w:color="auto"/>
                    <w:right w:val="none" w:sz="0" w:space="0" w:color="auto"/>
                  </w:divBdr>
                  <w:divsChild>
                    <w:div w:id="1237546335">
                      <w:marLeft w:val="0"/>
                      <w:marRight w:val="0"/>
                      <w:marTop w:val="0"/>
                      <w:marBottom w:val="0"/>
                      <w:divBdr>
                        <w:top w:val="none" w:sz="0" w:space="0" w:color="auto"/>
                        <w:left w:val="none" w:sz="0" w:space="0" w:color="auto"/>
                        <w:bottom w:val="none" w:sz="0" w:space="0" w:color="auto"/>
                        <w:right w:val="none" w:sz="0" w:space="0" w:color="auto"/>
                      </w:divBdr>
                    </w:div>
                  </w:divsChild>
                </w:div>
                <w:div w:id="765855203">
                  <w:marLeft w:val="0"/>
                  <w:marRight w:val="0"/>
                  <w:marTop w:val="0"/>
                  <w:marBottom w:val="0"/>
                  <w:divBdr>
                    <w:top w:val="none" w:sz="0" w:space="0" w:color="auto"/>
                    <w:left w:val="none" w:sz="0" w:space="0" w:color="auto"/>
                    <w:bottom w:val="none" w:sz="0" w:space="0" w:color="auto"/>
                    <w:right w:val="none" w:sz="0" w:space="0" w:color="auto"/>
                  </w:divBdr>
                  <w:divsChild>
                    <w:div w:id="1732190401">
                      <w:marLeft w:val="0"/>
                      <w:marRight w:val="0"/>
                      <w:marTop w:val="0"/>
                      <w:marBottom w:val="0"/>
                      <w:divBdr>
                        <w:top w:val="none" w:sz="0" w:space="0" w:color="auto"/>
                        <w:left w:val="none" w:sz="0" w:space="0" w:color="auto"/>
                        <w:bottom w:val="none" w:sz="0" w:space="0" w:color="auto"/>
                        <w:right w:val="none" w:sz="0" w:space="0" w:color="auto"/>
                      </w:divBdr>
                    </w:div>
                  </w:divsChild>
                </w:div>
                <w:div w:id="554968755">
                  <w:marLeft w:val="0"/>
                  <w:marRight w:val="0"/>
                  <w:marTop w:val="0"/>
                  <w:marBottom w:val="0"/>
                  <w:divBdr>
                    <w:top w:val="none" w:sz="0" w:space="0" w:color="auto"/>
                    <w:left w:val="none" w:sz="0" w:space="0" w:color="auto"/>
                    <w:bottom w:val="none" w:sz="0" w:space="0" w:color="auto"/>
                    <w:right w:val="none" w:sz="0" w:space="0" w:color="auto"/>
                  </w:divBdr>
                  <w:divsChild>
                    <w:div w:id="1634867803">
                      <w:marLeft w:val="0"/>
                      <w:marRight w:val="0"/>
                      <w:marTop w:val="0"/>
                      <w:marBottom w:val="0"/>
                      <w:divBdr>
                        <w:top w:val="none" w:sz="0" w:space="0" w:color="auto"/>
                        <w:left w:val="none" w:sz="0" w:space="0" w:color="auto"/>
                        <w:bottom w:val="none" w:sz="0" w:space="0" w:color="auto"/>
                        <w:right w:val="none" w:sz="0" w:space="0" w:color="auto"/>
                      </w:divBdr>
                    </w:div>
                  </w:divsChild>
                </w:div>
                <w:div w:id="1275673074">
                  <w:marLeft w:val="0"/>
                  <w:marRight w:val="0"/>
                  <w:marTop w:val="0"/>
                  <w:marBottom w:val="0"/>
                  <w:divBdr>
                    <w:top w:val="none" w:sz="0" w:space="0" w:color="auto"/>
                    <w:left w:val="none" w:sz="0" w:space="0" w:color="auto"/>
                    <w:bottom w:val="none" w:sz="0" w:space="0" w:color="auto"/>
                    <w:right w:val="none" w:sz="0" w:space="0" w:color="auto"/>
                  </w:divBdr>
                  <w:divsChild>
                    <w:div w:id="638415899">
                      <w:marLeft w:val="0"/>
                      <w:marRight w:val="0"/>
                      <w:marTop w:val="0"/>
                      <w:marBottom w:val="0"/>
                      <w:divBdr>
                        <w:top w:val="none" w:sz="0" w:space="0" w:color="auto"/>
                        <w:left w:val="none" w:sz="0" w:space="0" w:color="auto"/>
                        <w:bottom w:val="none" w:sz="0" w:space="0" w:color="auto"/>
                        <w:right w:val="none" w:sz="0" w:space="0" w:color="auto"/>
                      </w:divBdr>
                    </w:div>
                  </w:divsChild>
                </w:div>
                <w:div w:id="661156851">
                  <w:marLeft w:val="0"/>
                  <w:marRight w:val="0"/>
                  <w:marTop w:val="0"/>
                  <w:marBottom w:val="0"/>
                  <w:divBdr>
                    <w:top w:val="none" w:sz="0" w:space="0" w:color="auto"/>
                    <w:left w:val="none" w:sz="0" w:space="0" w:color="auto"/>
                    <w:bottom w:val="none" w:sz="0" w:space="0" w:color="auto"/>
                    <w:right w:val="none" w:sz="0" w:space="0" w:color="auto"/>
                  </w:divBdr>
                  <w:divsChild>
                    <w:div w:id="71436943">
                      <w:marLeft w:val="0"/>
                      <w:marRight w:val="0"/>
                      <w:marTop w:val="0"/>
                      <w:marBottom w:val="0"/>
                      <w:divBdr>
                        <w:top w:val="none" w:sz="0" w:space="0" w:color="auto"/>
                        <w:left w:val="none" w:sz="0" w:space="0" w:color="auto"/>
                        <w:bottom w:val="none" w:sz="0" w:space="0" w:color="auto"/>
                        <w:right w:val="none" w:sz="0" w:space="0" w:color="auto"/>
                      </w:divBdr>
                    </w:div>
                  </w:divsChild>
                </w:div>
                <w:div w:id="2062944974">
                  <w:marLeft w:val="0"/>
                  <w:marRight w:val="0"/>
                  <w:marTop w:val="0"/>
                  <w:marBottom w:val="0"/>
                  <w:divBdr>
                    <w:top w:val="none" w:sz="0" w:space="0" w:color="auto"/>
                    <w:left w:val="none" w:sz="0" w:space="0" w:color="auto"/>
                    <w:bottom w:val="none" w:sz="0" w:space="0" w:color="auto"/>
                    <w:right w:val="none" w:sz="0" w:space="0" w:color="auto"/>
                  </w:divBdr>
                  <w:divsChild>
                    <w:div w:id="1485505796">
                      <w:marLeft w:val="0"/>
                      <w:marRight w:val="0"/>
                      <w:marTop w:val="0"/>
                      <w:marBottom w:val="0"/>
                      <w:divBdr>
                        <w:top w:val="none" w:sz="0" w:space="0" w:color="auto"/>
                        <w:left w:val="none" w:sz="0" w:space="0" w:color="auto"/>
                        <w:bottom w:val="none" w:sz="0" w:space="0" w:color="auto"/>
                        <w:right w:val="none" w:sz="0" w:space="0" w:color="auto"/>
                      </w:divBdr>
                    </w:div>
                  </w:divsChild>
                </w:div>
                <w:div w:id="498009724">
                  <w:marLeft w:val="0"/>
                  <w:marRight w:val="0"/>
                  <w:marTop w:val="0"/>
                  <w:marBottom w:val="0"/>
                  <w:divBdr>
                    <w:top w:val="none" w:sz="0" w:space="0" w:color="auto"/>
                    <w:left w:val="none" w:sz="0" w:space="0" w:color="auto"/>
                    <w:bottom w:val="none" w:sz="0" w:space="0" w:color="auto"/>
                    <w:right w:val="none" w:sz="0" w:space="0" w:color="auto"/>
                  </w:divBdr>
                  <w:divsChild>
                    <w:div w:id="18971824">
                      <w:marLeft w:val="0"/>
                      <w:marRight w:val="0"/>
                      <w:marTop w:val="0"/>
                      <w:marBottom w:val="0"/>
                      <w:divBdr>
                        <w:top w:val="none" w:sz="0" w:space="0" w:color="auto"/>
                        <w:left w:val="none" w:sz="0" w:space="0" w:color="auto"/>
                        <w:bottom w:val="none" w:sz="0" w:space="0" w:color="auto"/>
                        <w:right w:val="none" w:sz="0" w:space="0" w:color="auto"/>
                      </w:divBdr>
                    </w:div>
                  </w:divsChild>
                </w:div>
                <w:div w:id="2013994320">
                  <w:marLeft w:val="0"/>
                  <w:marRight w:val="0"/>
                  <w:marTop w:val="0"/>
                  <w:marBottom w:val="0"/>
                  <w:divBdr>
                    <w:top w:val="none" w:sz="0" w:space="0" w:color="auto"/>
                    <w:left w:val="none" w:sz="0" w:space="0" w:color="auto"/>
                    <w:bottom w:val="none" w:sz="0" w:space="0" w:color="auto"/>
                    <w:right w:val="none" w:sz="0" w:space="0" w:color="auto"/>
                  </w:divBdr>
                  <w:divsChild>
                    <w:div w:id="1119951700">
                      <w:marLeft w:val="0"/>
                      <w:marRight w:val="0"/>
                      <w:marTop w:val="0"/>
                      <w:marBottom w:val="0"/>
                      <w:divBdr>
                        <w:top w:val="none" w:sz="0" w:space="0" w:color="auto"/>
                        <w:left w:val="none" w:sz="0" w:space="0" w:color="auto"/>
                        <w:bottom w:val="none" w:sz="0" w:space="0" w:color="auto"/>
                        <w:right w:val="none" w:sz="0" w:space="0" w:color="auto"/>
                      </w:divBdr>
                    </w:div>
                  </w:divsChild>
                </w:div>
                <w:div w:id="816921255">
                  <w:marLeft w:val="0"/>
                  <w:marRight w:val="0"/>
                  <w:marTop w:val="0"/>
                  <w:marBottom w:val="0"/>
                  <w:divBdr>
                    <w:top w:val="none" w:sz="0" w:space="0" w:color="auto"/>
                    <w:left w:val="none" w:sz="0" w:space="0" w:color="auto"/>
                    <w:bottom w:val="none" w:sz="0" w:space="0" w:color="auto"/>
                    <w:right w:val="none" w:sz="0" w:space="0" w:color="auto"/>
                  </w:divBdr>
                  <w:divsChild>
                    <w:div w:id="419331966">
                      <w:marLeft w:val="0"/>
                      <w:marRight w:val="0"/>
                      <w:marTop w:val="0"/>
                      <w:marBottom w:val="0"/>
                      <w:divBdr>
                        <w:top w:val="none" w:sz="0" w:space="0" w:color="auto"/>
                        <w:left w:val="none" w:sz="0" w:space="0" w:color="auto"/>
                        <w:bottom w:val="none" w:sz="0" w:space="0" w:color="auto"/>
                        <w:right w:val="none" w:sz="0" w:space="0" w:color="auto"/>
                      </w:divBdr>
                    </w:div>
                  </w:divsChild>
                </w:div>
                <w:div w:id="2046782524">
                  <w:marLeft w:val="0"/>
                  <w:marRight w:val="0"/>
                  <w:marTop w:val="0"/>
                  <w:marBottom w:val="0"/>
                  <w:divBdr>
                    <w:top w:val="none" w:sz="0" w:space="0" w:color="auto"/>
                    <w:left w:val="none" w:sz="0" w:space="0" w:color="auto"/>
                    <w:bottom w:val="none" w:sz="0" w:space="0" w:color="auto"/>
                    <w:right w:val="none" w:sz="0" w:space="0" w:color="auto"/>
                  </w:divBdr>
                  <w:divsChild>
                    <w:div w:id="1129740847">
                      <w:marLeft w:val="0"/>
                      <w:marRight w:val="0"/>
                      <w:marTop w:val="0"/>
                      <w:marBottom w:val="0"/>
                      <w:divBdr>
                        <w:top w:val="none" w:sz="0" w:space="0" w:color="auto"/>
                        <w:left w:val="none" w:sz="0" w:space="0" w:color="auto"/>
                        <w:bottom w:val="none" w:sz="0" w:space="0" w:color="auto"/>
                        <w:right w:val="none" w:sz="0" w:space="0" w:color="auto"/>
                      </w:divBdr>
                    </w:div>
                  </w:divsChild>
                </w:div>
                <w:div w:id="831725851">
                  <w:marLeft w:val="0"/>
                  <w:marRight w:val="0"/>
                  <w:marTop w:val="0"/>
                  <w:marBottom w:val="0"/>
                  <w:divBdr>
                    <w:top w:val="none" w:sz="0" w:space="0" w:color="auto"/>
                    <w:left w:val="none" w:sz="0" w:space="0" w:color="auto"/>
                    <w:bottom w:val="none" w:sz="0" w:space="0" w:color="auto"/>
                    <w:right w:val="none" w:sz="0" w:space="0" w:color="auto"/>
                  </w:divBdr>
                  <w:divsChild>
                    <w:div w:id="1775393526">
                      <w:marLeft w:val="0"/>
                      <w:marRight w:val="0"/>
                      <w:marTop w:val="0"/>
                      <w:marBottom w:val="0"/>
                      <w:divBdr>
                        <w:top w:val="none" w:sz="0" w:space="0" w:color="auto"/>
                        <w:left w:val="none" w:sz="0" w:space="0" w:color="auto"/>
                        <w:bottom w:val="none" w:sz="0" w:space="0" w:color="auto"/>
                        <w:right w:val="none" w:sz="0" w:space="0" w:color="auto"/>
                      </w:divBdr>
                    </w:div>
                  </w:divsChild>
                </w:div>
                <w:div w:id="580874751">
                  <w:marLeft w:val="0"/>
                  <w:marRight w:val="0"/>
                  <w:marTop w:val="0"/>
                  <w:marBottom w:val="0"/>
                  <w:divBdr>
                    <w:top w:val="none" w:sz="0" w:space="0" w:color="auto"/>
                    <w:left w:val="none" w:sz="0" w:space="0" w:color="auto"/>
                    <w:bottom w:val="none" w:sz="0" w:space="0" w:color="auto"/>
                    <w:right w:val="none" w:sz="0" w:space="0" w:color="auto"/>
                  </w:divBdr>
                  <w:divsChild>
                    <w:div w:id="267351846">
                      <w:marLeft w:val="0"/>
                      <w:marRight w:val="0"/>
                      <w:marTop w:val="0"/>
                      <w:marBottom w:val="0"/>
                      <w:divBdr>
                        <w:top w:val="none" w:sz="0" w:space="0" w:color="auto"/>
                        <w:left w:val="none" w:sz="0" w:space="0" w:color="auto"/>
                        <w:bottom w:val="none" w:sz="0" w:space="0" w:color="auto"/>
                        <w:right w:val="none" w:sz="0" w:space="0" w:color="auto"/>
                      </w:divBdr>
                    </w:div>
                  </w:divsChild>
                </w:div>
                <w:div w:id="1805466610">
                  <w:marLeft w:val="0"/>
                  <w:marRight w:val="0"/>
                  <w:marTop w:val="0"/>
                  <w:marBottom w:val="0"/>
                  <w:divBdr>
                    <w:top w:val="none" w:sz="0" w:space="0" w:color="auto"/>
                    <w:left w:val="none" w:sz="0" w:space="0" w:color="auto"/>
                    <w:bottom w:val="none" w:sz="0" w:space="0" w:color="auto"/>
                    <w:right w:val="none" w:sz="0" w:space="0" w:color="auto"/>
                  </w:divBdr>
                  <w:divsChild>
                    <w:div w:id="2145614376">
                      <w:marLeft w:val="0"/>
                      <w:marRight w:val="0"/>
                      <w:marTop w:val="0"/>
                      <w:marBottom w:val="0"/>
                      <w:divBdr>
                        <w:top w:val="none" w:sz="0" w:space="0" w:color="auto"/>
                        <w:left w:val="none" w:sz="0" w:space="0" w:color="auto"/>
                        <w:bottom w:val="none" w:sz="0" w:space="0" w:color="auto"/>
                        <w:right w:val="none" w:sz="0" w:space="0" w:color="auto"/>
                      </w:divBdr>
                    </w:div>
                  </w:divsChild>
                </w:div>
                <w:div w:id="850097889">
                  <w:marLeft w:val="0"/>
                  <w:marRight w:val="0"/>
                  <w:marTop w:val="0"/>
                  <w:marBottom w:val="0"/>
                  <w:divBdr>
                    <w:top w:val="none" w:sz="0" w:space="0" w:color="auto"/>
                    <w:left w:val="none" w:sz="0" w:space="0" w:color="auto"/>
                    <w:bottom w:val="none" w:sz="0" w:space="0" w:color="auto"/>
                    <w:right w:val="none" w:sz="0" w:space="0" w:color="auto"/>
                  </w:divBdr>
                  <w:divsChild>
                    <w:div w:id="1087308561">
                      <w:marLeft w:val="0"/>
                      <w:marRight w:val="0"/>
                      <w:marTop w:val="0"/>
                      <w:marBottom w:val="0"/>
                      <w:divBdr>
                        <w:top w:val="none" w:sz="0" w:space="0" w:color="auto"/>
                        <w:left w:val="none" w:sz="0" w:space="0" w:color="auto"/>
                        <w:bottom w:val="none" w:sz="0" w:space="0" w:color="auto"/>
                        <w:right w:val="none" w:sz="0" w:space="0" w:color="auto"/>
                      </w:divBdr>
                    </w:div>
                  </w:divsChild>
                </w:div>
                <w:div w:id="2103447981">
                  <w:marLeft w:val="0"/>
                  <w:marRight w:val="0"/>
                  <w:marTop w:val="0"/>
                  <w:marBottom w:val="0"/>
                  <w:divBdr>
                    <w:top w:val="none" w:sz="0" w:space="0" w:color="auto"/>
                    <w:left w:val="none" w:sz="0" w:space="0" w:color="auto"/>
                    <w:bottom w:val="none" w:sz="0" w:space="0" w:color="auto"/>
                    <w:right w:val="none" w:sz="0" w:space="0" w:color="auto"/>
                  </w:divBdr>
                  <w:divsChild>
                    <w:div w:id="1002781597">
                      <w:marLeft w:val="0"/>
                      <w:marRight w:val="0"/>
                      <w:marTop w:val="0"/>
                      <w:marBottom w:val="0"/>
                      <w:divBdr>
                        <w:top w:val="none" w:sz="0" w:space="0" w:color="auto"/>
                        <w:left w:val="none" w:sz="0" w:space="0" w:color="auto"/>
                        <w:bottom w:val="none" w:sz="0" w:space="0" w:color="auto"/>
                        <w:right w:val="none" w:sz="0" w:space="0" w:color="auto"/>
                      </w:divBdr>
                    </w:div>
                  </w:divsChild>
                </w:div>
                <w:div w:id="1831751715">
                  <w:marLeft w:val="0"/>
                  <w:marRight w:val="0"/>
                  <w:marTop w:val="0"/>
                  <w:marBottom w:val="0"/>
                  <w:divBdr>
                    <w:top w:val="none" w:sz="0" w:space="0" w:color="auto"/>
                    <w:left w:val="none" w:sz="0" w:space="0" w:color="auto"/>
                    <w:bottom w:val="none" w:sz="0" w:space="0" w:color="auto"/>
                    <w:right w:val="none" w:sz="0" w:space="0" w:color="auto"/>
                  </w:divBdr>
                  <w:divsChild>
                    <w:div w:id="36418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078586">
              <w:marLeft w:val="0"/>
              <w:marRight w:val="0"/>
              <w:marTop w:val="0"/>
              <w:marBottom w:val="0"/>
              <w:divBdr>
                <w:top w:val="none" w:sz="0" w:space="0" w:color="auto"/>
                <w:left w:val="none" w:sz="0" w:space="0" w:color="auto"/>
                <w:bottom w:val="none" w:sz="0" w:space="0" w:color="auto"/>
                <w:right w:val="none" w:sz="0" w:space="0" w:color="auto"/>
              </w:divBdr>
              <w:divsChild>
                <w:div w:id="1897888959">
                  <w:marLeft w:val="0"/>
                  <w:marRight w:val="0"/>
                  <w:marTop w:val="0"/>
                  <w:marBottom w:val="0"/>
                  <w:divBdr>
                    <w:top w:val="none" w:sz="0" w:space="0" w:color="auto"/>
                    <w:left w:val="none" w:sz="0" w:space="0" w:color="auto"/>
                    <w:bottom w:val="none" w:sz="0" w:space="0" w:color="auto"/>
                    <w:right w:val="none" w:sz="0" w:space="0" w:color="auto"/>
                  </w:divBdr>
                </w:div>
              </w:divsChild>
            </w:div>
            <w:div w:id="1503158845">
              <w:marLeft w:val="0"/>
              <w:marRight w:val="0"/>
              <w:marTop w:val="0"/>
              <w:marBottom w:val="0"/>
              <w:divBdr>
                <w:top w:val="none" w:sz="0" w:space="0" w:color="auto"/>
                <w:left w:val="none" w:sz="0" w:space="0" w:color="auto"/>
                <w:bottom w:val="none" w:sz="0" w:space="0" w:color="auto"/>
                <w:right w:val="none" w:sz="0" w:space="0" w:color="auto"/>
              </w:divBdr>
              <w:divsChild>
                <w:div w:id="808403374">
                  <w:marLeft w:val="0"/>
                  <w:marRight w:val="0"/>
                  <w:marTop w:val="0"/>
                  <w:marBottom w:val="0"/>
                  <w:divBdr>
                    <w:top w:val="none" w:sz="0" w:space="0" w:color="auto"/>
                    <w:left w:val="none" w:sz="0" w:space="0" w:color="auto"/>
                    <w:bottom w:val="none" w:sz="0" w:space="0" w:color="auto"/>
                    <w:right w:val="none" w:sz="0" w:space="0" w:color="auto"/>
                  </w:divBdr>
                </w:div>
              </w:divsChild>
            </w:div>
            <w:div w:id="723262242">
              <w:marLeft w:val="0"/>
              <w:marRight w:val="0"/>
              <w:marTop w:val="0"/>
              <w:marBottom w:val="0"/>
              <w:divBdr>
                <w:top w:val="none" w:sz="0" w:space="0" w:color="auto"/>
                <w:left w:val="none" w:sz="0" w:space="0" w:color="auto"/>
                <w:bottom w:val="none" w:sz="0" w:space="0" w:color="auto"/>
                <w:right w:val="none" w:sz="0" w:space="0" w:color="auto"/>
              </w:divBdr>
              <w:divsChild>
                <w:div w:id="190070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409271">
      <w:bodyDiv w:val="1"/>
      <w:marLeft w:val="0"/>
      <w:marRight w:val="0"/>
      <w:marTop w:val="0"/>
      <w:marBottom w:val="0"/>
      <w:divBdr>
        <w:top w:val="none" w:sz="0" w:space="0" w:color="auto"/>
        <w:left w:val="none" w:sz="0" w:space="0" w:color="auto"/>
        <w:bottom w:val="none" w:sz="0" w:space="0" w:color="auto"/>
        <w:right w:val="none" w:sz="0" w:space="0" w:color="auto"/>
      </w:divBdr>
      <w:divsChild>
        <w:div w:id="1534229683">
          <w:marLeft w:val="0"/>
          <w:marRight w:val="0"/>
          <w:marTop w:val="0"/>
          <w:marBottom w:val="0"/>
          <w:divBdr>
            <w:top w:val="none" w:sz="0" w:space="0" w:color="auto"/>
            <w:left w:val="none" w:sz="0" w:space="0" w:color="auto"/>
            <w:bottom w:val="none" w:sz="0" w:space="0" w:color="auto"/>
            <w:right w:val="none" w:sz="0" w:space="0" w:color="auto"/>
          </w:divBdr>
          <w:divsChild>
            <w:div w:id="471365859">
              <w:marLeft w:val="0"/>
              <w:marRight w:val="0"/>
              <w:marTop w:val="0"/>
              <w:marBottom w:val="0"/>
              <w:divBdr>
                <w:top w:val="none" w:sz="0" w:space="0" w:color="auto"/>
                <w:left w:val="none" w:sz="0" w:space="0" w:color="auto"/>
                <w:bottom w:val="none" w:sz="0" w:space="0" w:color="auto"/>
                <w:right w:val="none" w:sz="0" w:space="0" w:color="auto"/>
              </w:divBdr>
              <w:divsChild>
                <w:div w:id="87700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666074">
      <w:bodyDiv w:val="1"/>
      <w:marLeft w:val="0"/>
      <w:marRight w:val="0"/>
      <w:marTop w:val="0"/>
      <w:marBottom w:val="0"/>
      <w:divBdr>
        <w:top w:val="none" w:sz="0" w:space="0" w:color="auto"/>
        <w:left w:val="none" w:sz="0" w:space="0" w:color="auto"/>
        <w:bottom w:val="none" w:sz="0" w:space="0" w:color="auto"/>
        <w:right w:val="none" w:sz="0" w:space="0" w:color="auto"/>
      </w:divBdr>
      <w:divsChild>
        <w:div w:id="581990092">
          <w:marLeft w:val="0"/>
          <w:marRight w:val="0"/>
          <w:marTop w:val="0"/>
          <w:marBottom w:val="0"/>
          <w:divBdr>
            <w:top w:val="none" w:sz="0" w:space="0" w:color="auto"/>
            <w:left w:val="none" w:sz="0" w:space="0" w:color="auto"/>
            <w:bottom w:val="none" w:sz="0" w:space="0" w:color="auto"/>
            <w:right w:val="none" w:sz="0" w:space="0" w:color="auto"/>
          </w:divBdr>
          <w:divsChild>
            <w:div w:id="1599437550">
              <w:marLeft w:val="0"/>
              <w:marRight w:val="0"/>
              <w:marTop w:val="0"/>
              <w:marBottom w:val="0"/>
              <w:divBdr>
                <w:top w:val="none" w:sz="0" w:space="0" w:color="auto"/>
                <w:left w:val="none" w:sz="0" w:space="0" w:color="auto"/>
                <w:bottom w:val="none" w:sz="0" w:space="0" w:color="auto"/>
                <w:right w:val="none" w:sz="0" w:space="0" w:color="auto"/>
              </w:divBdr>
              <w:divsChild>
                <w:div w:id="45869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517529">
      <w:bodyDiv w:val="1"/>
      <w:marLeft w:val="0"/>
      <w:marRight w:val="0"/>
      <w:marTop w:val="0"/>
      <w:marBottom w:val="0"/>
      <w:divBdr>
        <w:top w:val="none" w:sz="0" w:space="0" w:color="auto"/>
        <w:left w:val="none" w:sz="0" w:space="0" w:color="auto"/>
        <w:bottom w:val="none" w:sz="0" w:space="0" w:color="auto"/>
        <w:right w:val="none" w:sz="0" w:space="0" w:color="auto"/>
      </w:divBdr>
    </w:div>
    <w:div w:id="407113307">
      <w:bodyDiv w:val="1"/>
      <w:marLeft w:val="0"/>
      <w:marRight w:val="0"/>
      <w:marTop w:val="0"/>
      <w:marBottom w:val="0"/>
      <w:divBdr>
        <w:top w:val="none" w:sz="0" w:space="0" w:color="auto"/>
        <w:left w:val="none" w:sz="0" w:space="0" w:color="auto"/>
        <w:bottom w:val="none" w:sz="0" w:space="0" w:color="auto"/>
        <w:right w:val="none" w:sz="0" w:space="0" w:color="auto"/>
      </w:divBdr>
    </w:div>
    <w:div w:id="427045359">
      <w:bodyDiv w:val="1"/>
      <w:marLeft w:val="0"/>
      <w:marRight w:val="0"/>
      <w:marTop w:val="0"/>
      <w:marBottom w:val="0"/>
      <w:divBdr>
        <w:top w:val="none" w:sz="0" w:space="0" w:color="auto"/>
        <w:left w:val="none" w:sz="0" w:space="0" w:color="auto"/>
        <w:bottom w:val="none" w:sz="0" w:space="0" w:color="auto"/>
        <w:right w:val="none" w:sz="0" w:space="0" w:color="auto"/>
      </w:divBdr>
      <w:divsChild>
        <w:div w:id="1060976057">
          <w:marLeft w:val="0"/>
          <w:marRight w:val="0"/>
          <w:marTop w:val="0"/>
          <w:marBottom w:val="0"/>
          <w:divBdr>
            <w:top w:val="none" w:sz="0" w:space="0" w:color="auto"/>
            <w:left w:val="none" w:sz="0" w:space="0" w:color="auto"/>
            <w:bottom w:val="none" w:sz="0" w:space="0" w:color="auto"/>
            <w:right w:val="none" w:sz="0" w:space="0" w:color="auto"/>
          </w:divBdr>
          <w:divsChild>
            <w:div w:id="1888255195">
              <w:marLeft w:val="0"/>
              <w:marRight w:val="0"/>
              <w:marTop w:val="0"/>
              <w:marBottom w:val="0"/>
              <w:divBdr>
                <w:top w:val="none" w:sz="0" w:space="0" w:color="auto"/>
                <w:left w:val="none" w:sz="0" w:space="0" w:color="auto"/>
                <w:bottom w:val="none" w:sz="0" w:space="0" w:color="auto"/>
                <w:right w:val="none" w:sz="0" w:space="0" w:color="auto"/>
              </w:divBdr>
              <w:divsChild>
                <w:div w:id="1129667927">
                  <w:marLeft w:val="0"/>
                  <w:marRight w:val="0"/>
                  <w:marTop w:val="0"/>
                  <w:marBottom w:val="0"/>
                  <w:divBdr>
                    <w:top w:val="none" w:sz="0" w:space="0" w:color="auto"/>
                    <w:left w:val="none" w:sz="0" w:space="0" w:color="auto"/>
                    <w:bottom w:val="none" w:sz="0" w:space="0" w:color="auto"/>
                    <w:right w:val="none" w:sz="0" w:space="0" w:color="auto"/>
                  </w:divBdr>
                </w:div>
              </w:divsChild>
            </w:div>
            <w:div w:id="2121022728">
              <w:marLeft w:val="0"/>
              <w:marRight w:val="0"/>
              <w:marTop w:val="0"/>
              <w:marBottom w:val="0"/>
              <w:divBdr>
                <w:top w:val="none" w:sz="0" w:space="0" w:color="auto"/>
                <w:left w:val="none" w:sz="0" w:space="0" w:color="auto"/>
                <w:bottom w:val="none" w:sz="0" w:space="0" w:color="auto"/>
                <w:right w:val="none" w:sz="0" w:space="0" w:color="auto"/>
              </w:divBdr>
              <w:divsChild>
                <w:div w:id="204231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536484">
      <w:bodyDiv w:val="1"/>
      <w:marLeft w:val="0"/>
      <w:marRight w:val="0"/>
      <w:marTop w:val="0"/>
      <w:marBottom w:val="0"/>
      <w:divBdr>
        <w:top w:val="none" w:sz="0" w:space="0" w:color="auto"/>
        <w:left w:val="none" w:sz="0" w:space="0" w:color="auto"/>
        <w:bottom w:val="none" w:sz="0" w:space="0" w:color="auto"/>
        <w:right w:val="none" w:sz="0" w:space="0" w:color="auto"/>
      </w:divBdr>
      <w:divsChild>
        <w:div w:id="63575769">
          <w:marLeft w:val="0"/>
          <w:marRight w:val="0"/>
          <w:marTop w:val="0"/>
          <w:marBottom w:val="0"/>
          <w:divBdr>
            <w:top w:val="none" w:sz="0" w:space="0" w:color="auto"/>
            <w:left w:val="none" w:sz="0" w:space="0" w:color="auto"/>
            <w:bottom w:val="none" w:sz="0" w:space="0" w:color="auto"/>
            <w:right w:val="none" w:sz="0" w:space="0" w:color="auto"/>
          </w:divBdr>
          <w:divsChild>
            <w:div w:id="334462698">
              <w:marLeft w:val="0"/>
              <w:marRight w:val="0"/>
              <w:marTop w:val="0"/>
              <w:marBottom w:val="0"/>
              <w:divBdr>
                <w:top w:val="none" w:sz="0" w:space="0" w:color="auto"/>
                <w:left w:val="none" w:sz="0" w:space="0" w:color="auto"/>
                <w:bottom w:val="none" w:sz="0" w:space="0" w:color="auto"/>
                <w:right w:val="none" w:sz="0" w:space="0" w:color="auto"/>
              </w:divBdr>
              <w:divsChild>
                <w:div w:id="179602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0736361">
      <w:bodyDiv w:val="1"/>
      <w:marLeft w:val="0"/>
      <w:marRight w:val="0"/>
      <w:marTop w:val="0"/>
      <w:marBottom w:val="0"/>
      <w:divBdr>
        <w:top w:val="none" w:sz="0" w:space="0" w:color="auto"/>
        <w:left w:val="none" w:sz="0" w:space="0" w:color="auto"/>
        <w:bottom w:val="none" w:sz="0" w:space="0" w:color="auto"/>
        <w:right w:val="none" w:sz="0" w:space="0" w:color="auto"/>
      </w:divBdr>
      <w:divsChild>
        <w:div w:id="548761992">
          <w:marLeft w:val="0"/>
          <w:marRight w:val="0"/>
          <w:marTop w:val="0"/>
          <w:marBottom w:val="0"/>
          <w:divBdr>
            <w:top w:val="none" w:sz="0" w:space="0" w:color="auto"/>
            <w:left w:val="none" w:sz="0" w:space="0" w:color="auto"/>
            <w:bottom w:val="none" w:sz="0" w:space="0" w:color="auto"/>
            <w:right w:val="none" w:sz="0" w:space="0" w:color="auto"/>
          </w:divBdr>
          <w:divsChild>
            <w:div w:id="1257976206">
              <w:marLeft w:val="0"/>
              <w:marRight w:val="0"/>
              <w:marTop w:val="0"/>
              <w:marBottom w:val="0"/>
              <w:divBdr>
                <w:top w:val="none" w:sz="0" w:space="0" w:color="auto"/>
                <w:left w:val="none" w:sz="0" w:space="0" w:color="auto"/>
                <w:bottom w:val="none" w:sz="0" w:space="0" w:color="auto"/>
                <w:right w:val="none" w:sz="0" w:space="0" w:color="auto"/>
              </w:divBdr>
              <w:divsChild>
                <w:div w:id="124834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586962">
      <w:bodyDiv w:val="1"/>
      <w:marLeft w:val="0"/>
      <w:marRight w:val="0"/>
      <w:marTop w:val="0"/>
      <w:marBottom w:val="0"/>
      <w:divBdr>
        <w:top w:val="none" w:sz="0" w:space="0" w:color="auto"/>
        <w:left w:val="none" w:sz="0" w:space="0" w:color="auto"/>
        <w:bottom w:val="none" w:sz="0" w:space="0" w:color="auto"/>
        <w:right w:val="none" w:sz="0" w:space="0" w:color="auto"/>
      </w:divBdr>
    </w:div>
    <w:div w:id="528613863">
      <w:bodyDiv w:val="1"/>
      <w:marLeft w:val="0"/>
      <w:marRight w:val="0"/>
      <w:marTop w:val="0"/>
      <w:marBottom w:val="0"/>
      <w:divBdr>
        <w:top w:val="none" w:sz="0" w:space="0" w:color="auto"/>
        <w:left w:val="none" w:sz="0" w:space="0" w:color="auto"/>
        <w:bottom w:val="none" w:sz="0" w:space="0" w:color="auto"/>
        <w:right w:val="none" w:sz="0" w:space="0" w:color="auto"/>
      </w:divBdr>
    </w:div>
    <w:div w:id="651644850">
      <w:bodyDiv w:val="1"/>
      <w:marLeft w:val="0"/>
      <w:marRight w:val="0"/>
      <w:marTop w:val="0"/>
      <w:marBottom w:val="0"/>
      <w:divBdr>
        <w:top w:val="none" w:sz="0" w:space="0" w:color="auto"/>
        <w:left w:val="none" w:sz="0" w:space="0" w:color="auto"/>
        <w:bottom w:val="none" w:sz="0" w:space="0" w:color="auto"/>
        <w:right w:val="none" w:sz="0" w:space="0" w:color="auto"/>
      </w:divBdr>
    </w:div>
    <w:div w:id="662009939">
      <w:bodyDiv w:val="1"/>
      <w:marLeft w:val="0"/>
      <w:marRight w:val="0"/>
      <w:marTop w:val="0"/>
      <w:marBottom w:val="0"/>
      <w:divBdr>
        <w:top w:val="none" w:sz="0" w:space="0" w:color="auto"/>
        <w:left w:val="none" w:sz="0" w:space="0" w:color="auto"/>
        <w:bottom w:val="none" w:sz="0" w:space="0" w:color="auto"/>
        <w:right w:val="none" w:sz="0" w:space="0" w:color="auto"/>
      </w:divBdr>
      <w:divsChild>
        <w:div w:id="1736469185">
          <w:marLeft w:val="0"/>
          <w:marRight w:val="0"/>
          <w:marTop w:val="0"/>
          <w:marBottom w:val="0"/>
          <w:divBdr>
            <w:top w:val="none" w:sz="0" w:space="0" w:color="auto"/>
            <w:left w:val="none" w:sz="0" w:space="0" w:color="auto"/>
            <w:bottom w:val="none" w:sz="0" w:space="0" w:color="auto"/>
            <w:right w:val="none" w:sz="0" w:space="0" w:color="auto"/>
          </w:divBdr>
          <w:divsChild>
            <w:div w:id="632831463">
              <w:marLeft w:val="0"/>
              <w:marRight w:val="0"/>
              <w:marTop w:val="0"/>
              <w:marBottom w:val="0"/>
              <w:divBdr>
                <w:top w:val="none" w:sz="0" w:space="0" w:color="auto"/>
                <w:left w:val="none" w:sz="0" w:space="0" w:color="auto"/>
                <w:bottom w:val="none" w:sz="0" w:space="0" w:color="auto"/>
                <w:right w:val="none" w:sz="0" w:space="0" w:color="auto"/>
              </w:divBdr>
              <w:divsChild>
                <w:div w:id="9767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87799">
      <w:bodyDiv w:val="1"/>
      <w:marLeft w:val="0"/>
      <w:marRight w:val="0"/>
      <w:marTop w:val="0"/>
      <w:marBottom w:val="0"/>
      <w:divBdr>
        <w:top w:val="none" w:sz="0" w:space="0" w:color="auto"/>
        <w:left w:val="none" w:sz="0" w:space="0" w:color="auto"/>
        <w:bottom w:val="none" w:sz="0" w:space="0" w:color="auto"/>
        <w:right w:val="none" w:sz="0" w:space="0" w:color="auto"/>
      </w:divBdr>
    </w:div>
    <w:div w:id="679045734">
      <w:bodyDiv w:val="1"/>
      <w:marLeft w:val="0"/>
      <w:marRight w:val="0"/>
      <w:marTop w:val="0"/>
      <w:marBottom w:val="0"/>
      <w:divBdr>
        <w:top w:val="none" w:sz="0" w:space="0" w:color="auto"/>
        <w:left w:val="none" w:sz="0" w:space="0" w:color="auto"/>
        <w:bottom w:val="none" w:sz="0" w:space="0" w:color="auto"/>
        <w:right w:val="none" w:sz="0" w:space="0" w:color="auto"/>
      </w:divBdr>
    </w:div>
    <w:div w:id="687565145">
      <w:bodyDiv w:val="1"/>
      <w:marLeft w:val="0"/>
      <w:marRight w:val="0"/>
      <w:marTop w:val="0"/>
      <w:marBottom w:val="0"/>
      <w:divBdr>
        <w:top w:val="none" w:sz="0" w:space="0" w:color="auto"/>
        <w:left w:val="none" w:sz="0" w:space="0" w:color="auto"/>
        <w:bottom w:val="none" w:sz="0" w:space="0" w:color="auto"/>
        <w:right w:val="none" w:sz="0" w:space="0" w:color="auto"/>
      </w:divBdr>
      <w:divsChild>
        <w:div w:id="1475560150">
          <w:marLeft w:val="0"/>
          <w:marRight w:val="0"/>
          <w:marTop w:val="0"/>
          <w:marBottom w:val="0"/>
          <w:divBdr>
            <w:top w:val="none" w:sz="0" w:space="0" w:color="auto"/>
            <w:left w:val="none" w:sz="0" w:space="0" w:color="auto"/>
            <w:bottom w:val="none" w:sz="0" w:space="0" w:color="auto"/>
            <w:right w:val="none" w:sz="0" w:space="0" w:color="auto"/>
          </w:divBdr>
          <w:divsChild>
            <w:div w:id="545682612">
              <w:marLeft w:val="0"/>
              <w:marRight w:val="0"/>
              <w:marTop w:val="0"/>
              <w:marBottom w:val="0"/>
              <w:divBdr>
                <w:top w:val="none" w:sz="0" w:space="0" w:color="auto"/>
                <w:left w:val="none" w:sz="0" w:space="0" w:color="auto"/>
                <w:bottom w:val="none" w:sz="0" w:space="0" w:color="auto"/>
                <w:right w:val="none" w:sz="0" w:space="0" w:color="auto"/>
              </w:divBdr>
              <w:divsChild>
                <w:div w:id="154659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09775">
      <w:bodyDiv w:val="1"/>
      <w:marLeft w:val="0"/>
      <w:marRight w:val="0"/>
      <w:marTop w:val="0"/>
      <w:marBottom w:val="0"/>
      <w:divBdr>
        <w:top w:val="none" w:sz="0" w:space="0" w:color="auto"/>
        <w:left w:val="none" w:sz="0" w:space="0" w:color="auto"/>
        <w:bottom w:val="none" w:sz="0" w:space="0" w:color="auto"/>
        <w:right w:val="none" w:sz="0" w:space="0" w:color="auto"/>
      </w:divBdr>
    </w:div>
    <w:div w:id="776489367">
      <w:bodyDiv w:val="1"/>
      <w:marLeft w:val="0"/>
      <w:marRight w:val="0"/>
      <w:marTop w:val="0"/>
      <w:marBottom w:val="0"/>
      <w:divBdr>
        <w:top w:val="none" w:sz="0" w:space="0" w:color="auto"/>
        <w:left w:val="none" w:sz="0" w:space="0" w:color="auto"/>
        <w:bottom w:val="none" w:sz="0" w:space="0" w:color="auto"/>
        <w:right w:val="none" w:sz="0" w:space="0" w:color="auto"/>
      </w:divBdr>
      <w:divsChild>
        <w:div w:id="971522100">
          <w:marLeft w:val="0"/>
          <w:marRight w:val="0"/>
          <w:marTop w:val="0"/>
          <w:marBottom w:val="0"/>
          <w:divBdr>
            <w:top w:val="none" w:sz="0" w:space="0" w:color="auto"/>
            <w:left w:val="none" w:sz="0" w:space="0" w:color="auto"/>
            <w:bottom w:val="none" w:sz="0" w:space="0" w:color="auto"/>
            <w:right w:val="none" w:sz="0" w:space="0" w:color="auto"/>
          </w:divBdr>
          <w:divsChild>
            <w:div w:id="1831942650">
              <w:marLeft w:val="0"/>
              <w:marRight w:val="0"/>
              <w:marTop w:val="0"/>
              <w:marBottom w:val="0"/>
              <w:divBdr>
                <w:top w:val="none" w:sz="0" w:space="0" w:color="auto"/>
                <w:left w:val="none" w:sz="0" w:space="0" w:color="auto"/>
                <w:bottom w:val="none" w:sz="0" w:space="0" w:color="auto"/>
                <w:right w:val="none" w:sz="0" w:space="0" w:color="auto"/>
              </w:divBdr>
              <w:divsChild>
                <w:div w:id="81017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264252">
      <w:bodyDiv w:val="1"/>
      <w:marLeft w:val="0"/>
      <w:marRight w:val="0"/>
      <w:marTop w:val="0"/>
      <w:marBottom w:val="0"/>
      <w:divBdr>
        <w:top w:val="none" w:sz="0" w:space="0" w:color="auto"/>
        <w:left w:val="none" w:sz="0" w:space="0" w:color="auto"/>
        <w:bottom w:val="none" w:sz="0" w:space="0" w:color="auto"/>
        <w:right w:val="none" w:sz="0" w:space="0" w:color="auto"/>
      </w:divBdr>
      <w:divsChild>
        <w:div w:id="772826694">
          <w:marLeft w:val="0"/>
          <w:marRight w:val="0"/>
          <w:marTop w:val="0"/>
          <w:marBottom w:val="0"/>
          <w:divBdr>
            <w:top w:val="none" w:sz="0" w:space="0" w:color="auto"/>
            <w:left w:val="none" w:sz="0" w:space="0" w:color="auto"/>
            <w:bottom w:val="none" w:sz="0" w:space="0" w:color="auto"/>
            <w:right w:val="none" w:sz="0" w:space="0" w:color="auto"/>
          </w:divBdr>
          <w:divsChild>
            <w:div w:id="1686900628">
              <w:marLeft w:val="0"/>
              <w:marRight w:val="0"/>
              <w:marTop w:val="0"/>
              <w:marBottom w:val="0"/>
              <w:divBdr>
                <w:top w:val="none" w:sz="0" w:space="0" w:color="auto"/>
                <w:left w:val="none" w:sz="0" w:space="0" w:color="auto"/>
                <w:bottom w:val="none" w:sz="0" w:space="0" w:color="auto"/>
                <w:right w:val="none" w:sz="0" w:space="0" w:color="auto"/>
              </w:divBdr>
              <w:divsChild>
                <w:div w:id="1862236461">
                  <w:marLeft w:val="0"/>
                  <w:marRight w:val="0"/>
                  <w:marTop w:val="0"/>
                  <w:marBottom w:val="0"/>
                  <w:divBdr>
                    <w:top w:val="none" w:sz="0" w:space="0" w:color="auto"/>
                    <w:left w:val="none" w:sz="0" w:space="0" w:color="auto"/>
                    <w:bottom w:val="none" w:sz="0" w:space="0" w:color="auto"/>
                    <w:right w:val="none" w:sz="0" w:space="0" w:color="auto"/>
                  </w:divBdr>
                </w:div>
              </w:divsChild>
            </w:div>
            <w:div w:id="151455942">
              <w:marLeft w:val="0"/>
              <w:marRight w:val="0"/>
              <w:marTop w:val="0"/>
              <w:marBottom w:val="0"/>
              <w:divBdr>
                <w:top w:val="none" w:sz="0" w:space="0" w:color="auto"/>
                <w:left w:val="none" w:sz="0" w:space="0" w:color="auto"/>
                <w:bottom w:val="none" w:sz="0" w:space="0" w:color="auto"/>
                <w:right w:val="none" w:sz="0" w:space="0" w:color="auto"/>
              </w:divBdr>
              <w:divsChild>
                <w:div w:id="101962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942173">
      <w:bodyDiv w:val="1"/>
      <w:marLeft w:val="0"/>
      <w:marRight w:val="0"/>
      <w:marTop w:val="0"/>
      <w:marBottom w:val="0"/>
      <w:divBdr>
        <w:top w:val="none" w:sz="0" w:space="0" w:color="auto"/>
        <w:left w:val="none" w:sz="0" w:space="0" w:color="auto"/>
        <w:bottom w:val="none" w:sz="0" w:space="0" w:color="auto"/>
        <w:right w:val="none" w:sz="0" w:space="0" w:color="auto"/>
      </w:divBdr>
      <w:divsChild>
        <w:div w:id="1412001014">
          <w:marLeft w:val="0"/>
          <w:marRight w:val="0"/>
          <w:marTop w:val="0"/>
          <w:marBottom w:val="0"/>
          <w:divBdr>
            <w:top w:val="none" w:sz="0" w:space="0" w:color="auto"/>
            <w:left w:val="none" w:sz="0" w:space="0" w:color="auto"/>
            <w:bottom w:val="none" w:sz="0" w:space="0" w:color="auto"/>
            <w:right w:val="none" w:sz="0" w:space="0" w:color="auto"/>
          </w:divBdr>
          <w:divsChild>
            <w:div w:id="88695820">
              <w:marLeft w:val="0"/>
              <w:marRight w:val="0"/>
              <w:marTop w:val="0"/>
              <w:marBottom w:val="0"/>
              <w:divBdr>
                <w:top w:val="none" w:sz="0" w:space="0" w:color="auto"/>
                <w:left w:val="none" w:sz="0" w:space="0" w:color="auto"/>
                <w:bottom w:val="none" w:sz="0" w:space="0" w:color="auto"/>
                <w:right w:val="none" w:sz="0" w:space="0" w:color="auto"/>
              </w:divBdr>
              <w:divsChild>
                <w:div w:id="18016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735672">
      <w:bodyDiv w:val="1"/>
      <w:marLeft w:val="0"/>
      <w:marRight w:val="0"/>
      <w:marTop w:val="0"/>
      <w:marBottom w:val="0"/>
      <w:divBdr>
        <w:top w:val="none" w:sz="0" w:space="0" w:color="auto"/>
        <w:left w:val="none" w:sz="0" w:space="0" w:color="auto"/>
        <w:bottom w:val="none" w:sz="0" w:space="0" w:color="auto"/>
        <w:right w:val="none" w:sz="0" w:space="0" w:color="auto"/>
      </w:divBdr>
    </w:div>
    <w:div w:id="981154208">
      <w:bodyDiv w:val="1"/>
      <w:marLeft w:val="0"/>
      <w:marRight w:val="0"/>
      <w:marTop w:val="0"/>
      <w:marBottom w:val="0"/>
      <w:divBdr>
        <w:top w:val="none" w:sz="0" w:space="0" w:color="auto"/>
        <w:left w:val="none" w:sz="0" w:space="0" w:color="auto"/>
        <w:bottom w:val="none" w:sz="0" w:space="0" w:color="auto"/>
        <w:right w:val="none" w:sz="0" w:space="0" w:color="auto"/>
      </w:divBdr>
    </w:div>
    <w:div w:id="988634109">
      <w:bodyDiv w:val="1"/>
      <w:marLeft w:val="0"/>
      <w:marRight w:val="0"/>
      <w:marTop w:val="0"/>
      <w:marBottom w:val="0"/>
      <w:divBdr>
        <w:top w:val="none" w:sz="0" w:space="0" w:color="auto"/>
        <w:left w:val="none" w:sz="0" w:space="0" w:color="auto"/>
        <w:bottom w:val="none" w:sz="0" w:space="0" w:color="auto"/>
        <w:right w:val="none" w:sz="0" w:space="0" w:color="auto"/>
      </w:divBdr>
      <w:divsChild>
        <w:div w:id="473836932">
          <w:marLeft w:val="0"/>
          <w:marRight w:val="0"/>
          <w:marTop w:val="0"/>
          <w:marBottom w:val="0"/>
          <w:divBdr>
            <w:top w:val="none" w:sz="0" w:space="0" w:color="auto"/>
            <w:left w:val="none" w:sz="0" w:space="0" w:color="auto"/>
            <w:bottom w:val="none" w:sz="0" w:space="0" w:color="auto"/>
            <w:right w:val="none" w:sz="0" w:space="0" w:color="auto"/>
          </w:divBdr>
          <w:divsChild>
            <w:div w:id="1406880780">
              <w:marLeft w:val="0"/>
              <w:marRight w:val="0"/>
              <w:marTop w:val="0"/>
              <w:marBottom w:val="0"/>
              <w:divBdr>
                <w:top w:val="none" w:sz="0" w:space="0" w:color="auto"/>
                <w:left w:val="none" w:sz="0" w:space="0" w:color="auto"/>
                <w:bottom w:val="none" w:sz="0" w:space="0" w:color="auto"/>
                <w:right w:val="none" w:sz="0" w:space="0" w:color="auto"/>
              </w:divBdr>
              <w:divsChild>
                <w:div w:id="1394934553">
                  <w:marLeft w:val="0"/>
                  <w:marRight w:val="0"/>
                  <w:marTop w:val="0"/>
                  <w:marBottom w:val="0"/>
                  <w:divBdr>
                    <w:top w:val="none" w:sz="0" w:space="0" w:color="auto"/>
                    <w:left w:val="none" w:sz="0" w:space="0" w:color="auto"/>
                    <w:bottom w:val="none" w:sz="0" w:space="0" w:color="auto"/>
                    <w:right w:val="none" w:sz="0" w:space="0" w:color="auto"/>
                  </w:divBdr>
                </w:div>
              </w:divsChild>
            </w:div>
            <w:div w:id="1077438829">
              <w:marLeft w:val="0"/>
              <w:marRight w:val="0"/>
              <w:marTop w:val="0"/>
              <w:marBottom w:val="0"/>
              <w:divBdr>
                <w:top w:val="none" w:sz="0" w:space="0" w:color="auto"/>
                <w:left w:val="none" w:sz="0" w:space="0" w:color="auto"/>
                <w:bottom w:val="none" w:sz="0" w:space="0" w:color="auto"/>
                <w:right w:val="none" w:sz="0" w:space="0" w:color="auto"/>
              </w:divBdr>
              <w:divsChild>
                <w:div w:id="214581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634351">
      <w:bodyDiv w:val="1"/>
      <w:marLeft w:val="0"/>
      <w:marRight w:val="0"/>
      <w:marTop w:val="0"/>
      <w:marBottom w:val="0"/>
      <w:divBdr>
        <w:top w:val="none" w:sz="0" w:space="0" w:color="auto"/>
        <w:left w:val="none" w:sz="0" w:space="0" w:color="auto"/>
        <w:bottom w:val="none" w:sz="0" w:space="0" w:color="auto"/>
        <w:right w:val="none" w:sz="0" w:space="0" w:color="auto"/>
      </w:divBdr>
      <w:divsChild>
        <w:div w:id="154035779">
          <w:marLeft w:val="0"/>
          <w:marRight w:val="0"/>
          <w:marTop w:val="0"/>
          <w:marBottom w:val="0"/>
          <w:divBdr>
            <w:top w:val="none" w:sz="0" w:space="0" w:color="auto"/>
            <w:left w:val="none" w:sz="0" w:space="0" w:color="auto"/>
            <w:bottom w:val="none" w:sz="0" w:space="0" w:color="auto"/>
            <w:right w:val="none" w:sz="0" w:space="0" w:color="auto"/>
          </w:divBdr>
          <w:divsChild>
            <w:div w:id="1412390695">
              <w:marLeft w:val="0"/>
              <w:marRight w:val="0"/>
              <w:marTop w:val="0"/>
              <w:marBottom w:val="0"/>
              <w:divBdr>
                <w:top w:val="none" w:sz="0" w:space="0" w:color="auto"/>
                <w:left w:val="none" w:sz="0" w:space="0" w:color="auto"/>
                <w:bottom w:val="none" w:sz="0" w:space="0" w:color="auto"/>
                <w:right w:val="none" w:sz="0" w:space="0" w:color="auto"/>
              </w:divBdr>
              <w:divsChild>
                <w:div w:id="133919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2147841">
      <w:bodyDiv w:val="1"/>
      <w:marLeft w:val="0"/>
      <w:marRight w:val="0"/>
      <w:marTop w:val="0"/>
      <w:marBottom w:val="0"/>
      <w:divBdr>
        <w:top w:val="none" w:sz="0" w:space="0" w:color="auto"/>
        <w:left w:val="none" w:sz="0" w:space="0" w:color="auto"/>
        <w:bottom w:val="none" w:sz="0" w:space="0" w:color="auto"/>
        <w:right w:val="none" w:sz="0" w:space="0" w:color="auto"/>
      </w:divBdr>
    </w:div>
    <w:div w:id="1054767773">
      <w:bodyDiv w:val="1"/>
      <w:marLeft w:val="0"/>
      <w:marRight w:val="0"/>
      <w:marTop w:val="0"/>
      <w:marBottom w:val="0"/>
      <w:divBdr>
        <w:top w:val="none" w:sz="0" w:space="0" w:color="auto"/>
        <w:left w:val="none" w:sz="0" w:space="0" w:color="auto"/>
        <w:bottom w:val="none" w:sz="0" w:space="0" w:color="auto"/>
        <w:right w:val="none" w:sz="0" w:space="0" w:color="auto"/>
      </w:divBdr>
      <w:divsChild>
        <w:div w:id="1825732051">
          <w:marLeft w:val="0"/>
          <w:marRight w:val="0"/>
          <w:marTop w:val="0"/>
          <w:marBottom w:val="0"/>
          <w:divBdr>
            <w:top w:val="none" w:sz="0" w:space="0" w:color="auto"/>
            <w:left w:val="none" w:sz="0" w:space="0" w:color="auto"/>
            <w:bottom w:val="none" w:sz="0" w:space="0" w:color="auto"/>
            <w:right w:val="none" w:sz="0" w:space="0" w:color="auto"/>
          </w:divBdr>
          <w:divsChild>
            <w:div w:id="135420153">
              <w:marLeft w:val="0"/>
              <w:marRight w:val="0"/>
              <w:marTop w:val="0"/>
              <w:marBottom w:val="0"/>
              <w:divBdr>
                <w:top w:val="none" w:sz="0" w:space="0" w:color="auto"/>
                <w:left w:val="none" w:sz="0" w:space="0" w:color="auto"/>
                <w:bottom w:val="none" w:sz="0" w:space="0" w:color="auto"/>
                <w:right w:val="none" w:sz="0" w:space="0" w:color="auto"/>
              </w:divBdr>
              <w:divsChild>
                <w:div w:id="28358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008950">
      <w:bodyDiv w:val="1"/>
      <w:marLeft w:val="0"/>
      <w:marRight w:val="0"/>
      <w:marTop w:val="0"/>
      <w:marBottom w:val="0"/>
      <w:divBdr>
        <w:top w:val="none" w:sz="0" w:space="0" w:color="auto"/>
        <w:left w:val="none" w:sz="0" w:space="0" w:color="auto"/>
        <w:bottom w:val="none" w:sz="0" w:space="0" w:color="auto"/>
        <w:right w:val="none" w:sz="0" w:space="0" w:color="auto"/>
      </w:divBdr>
    </w:div>
    <w:div w:id="1124733902">
      <w:bodyDiv w:val="1"/>
      <w:marLeft w:val="0"/>
      <w:marRight w:val="0"/>
      <w:marTop w:val="0"/>
      <w:marBottom w:val="0"/>
      <w:divBdr>
        <w:top w:val="none" w:sz="0" w:space="0" w:color="auto"/>
        <w:left w:val="none" w:sz="0" w:space="0" w:color="auto"/>
        <w:bottom w:val="none" w:sz="0" w:space="0" w:color="auto"/>
        <w:right w:val="none" w:sz="0" w:space="0" w:color="auto"/>
      </w:divBdr>
      <w:divsChild>
        <w:div w:id="1423457156">
          <w:marLeft w:val="0"/>
          <w:marRight w:val="0"/>
          <w:marTop w:val="0"/>
          <w:marBottom w:val="0"/>
          <w:divBdr>
            <w:top w:val="none" w:sz="0" w:space="0" w:color="auto"/>
            <w:left w:val="none" w:sz="0" w:space="0" w:color="auto"/>
            <w:bottom w:val="none" w:sz="0" w:space="0" w:color="auto"/>
            <w:right w:val="none" w:sz="0" w:space="0" w:color="auto"/>
          </w:divBdr>
          <w:divsChild>
            <w:div w:id="104426002">
              <w:marLeft w:val="0"/>
              <w:marRight w:val="0"/>
              <w:marTop w:val="0"/>
              <w:marBottom w:val="0"/>
              <w:divBdr>
                <w:top w:val="none" w:sz="0" w:space="0" w:color="auto"/>
                <w:left w:val="none" w:sz="0" w:space="0" w:color="auto"/>
                <w:bottom w:val="none" w:sz="0" w:space="0" w:color="auto"/>
                <w:right w:val="none" w:sz="0" w:space="0" w:color="auto"/>
              </w:divBdr>
              <w:divsChild>
                <w:div w:id="179293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020516">
      <w:bodyDiv w:val="1"/>
      <w:marLeft w:val="0"/>
      <w:marRight w:val="0"/>
      <w:marTop w:val="0"/>
      <w:marBottom w:val="0"/>
      <w:divBdr>
        <w:top w:val="none" w:sz="0" w:space="0" w:color="auto"/>
        <w:left w:val="none" w:sz="0" w:space="0" w:color="auto"/>
        <w:bottom w:val="none" w:sz="0" w:space="0" w:color="auto"/>
        <w:right w:val="none" w:sz="0" w:space="0" w:color="auto"/>
      </w:divBdr>
      <w:divsChild>
        <w:div w:id="1423407568">
          <w:marLeft w:val="0"/>
          <w:marRight w:val="0"/>
          <w:marTop w:val="0"/>
          <w:marBottom w:val="0"/>
          <w:divBdr>
            <w:top w:val="none" w:sz="0" w:space="0" w:color="auto"/>
            <w:left w:val="none" w:sz="0" w:space="0" w:color="auto"/>
            <w:bottom w:val="none" w:sz="0" w:space="0" w:color="auto"/>
            <w:right w:val="none" w:sz="0" w:space="0" w:color="auto"/>
          </w:divBdr>
          <w:divsChild>
            <w:div w:id="1984460040">
              <w:marLeft w:val="0"/>
              <w:marRight w:val="0"/>
              <w:marTop w:val="0"/>
              <w:marBottom w:val="0"/>
              <w:divBdr>
                <w:top w:val="none" w:sz="0" w:space="0" w:color="auto"/>
                <w:left w:val="none" w:sz="0" w:space="0" w:color="auto"/>
                <w:bottom w:val="none" w:sz="0" w:space="0" w:color="auto"/>
                <w:right w:val="none" w:sz="0" w:space="0" w:color="auto"/>
              </w:divBdr>
              <w:divsChild>
                <w:div w:id="29067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336184">
      <w:bodyDiv w:val="1"/>
      <w:marLeft w:val="0"/>
      <w:marRight w:val="0"/>
      <w:marTop w:val="0"/>
      <w:marBottom w:val="0"/>
      <w:divBdr>
        <w:top w:val="none" w:sz="0" w:space="0" w:color="auto"/>
        <w:left w:val="none" w:sz="0" w:space="0" w:color="auto"/>
        <w:bottom w:val="none" w:sz="0" w:space="0" w:color="auto"/>
        <w:right w:val="none" w:sz="0" w:space="0" w:color="auto"/>
      </w:divBdr>
      <w:divsChild>
        <w:div w:id="1056783599">
          <w:marLeft w:val="0"/>
          <w:marRight w:val="0"/>
          <w:marTop w:val="0"/>
          <w:marBottom w:val="0"/>
          <w:divBdr>
            <w:top w:val="none" w:sz="0" w:space="0" w:color="auto"/>
            <w:left w:val="none" w:sz="0" w:space="0" w:color="auto"/>
            <w:bottom w:val="none" w:sz="0" w:space="0" w:color="auto"/>
            <w:right w:val="none" w:sz="0" w:space="0" w:color="auto"/>
          </w:divBdr>
          <w:divsChild>
            <w:div w:id="1914702212">
              <w:marLeft w:val="0"/>
              <w:marRight w:val="0"/>
              <w:marTop w:val="0"/>
              <w:marBottom w:val="0"/>
              <w:divBdr>
                <w:top w:val="none" w:sz="0" w:space="0" w:color="auto"/>
                <w:left w:val="none" w:sz="0" w:space="0" w:color="auto"/>
                <w:bottom w:val="none" w:sz="0" w:space="0" w:color="auto"/>
                <w:right w:val="none" w:sz="0" w:space="0" w:color="auto"/>
              </w:divBdr>
              <w:divsChild>
                <w:div w:id="23992184">
                  <w:marLeft w:val="0"/>
                  <w:marRight w:val="0"/>
                  <w:marTop w:val="0"/>
                  <w:marBottom w:val="0"/>
                  <w:divBdr>
                    <w:top w:val="none" w:sz="0" w:space="0" w:color="auto"/>
                    <w:left w:val="none" w:sz="0" w:space="0" w:color="auto"/>
                    <w:bottom w:val="none" w:sz="0" w:space="0" w:color="auto"/>
                    <w:right w:val="none" w:sz="0" w:space="0" w:color="auto"/>
                  </w:divBdr>
                </w:div>
              </w:divsChild>
            </w:div>
            <w:div w:id="1947229967">
              <w:marLeft w:val="0"/>
              <w:marRight w:val="0"/>
              <w:marTop w:val="0"/>
              <w:marBottom w:val="0"/>
              <w:divBdr>
                <w:top w:val="none" w:sz="0" w:space="0" w:color="auto"/>
                <w:left w:val="none" w:sz="0" w:space="0" w:color="auto"/>
                <w:bottom w:val="none" w:sz="0" w:space="0" w:color="auto"/>
                <w:right w:val="none" w:sz="0" w:space="0" w:color="auto"/>
              </w:divBdr>
              <w:divsChild>
                <w:div w:id="14224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058374">
      <w:bodyDiv w:val="1"/>
      <w:marLeft w:val="0"/>
      <w:marRight w:val="0"/>
      <w:marTop w:val="0"/>
      <w:marBottom w:val="0"/>
      <w:divBdr>
        <w:top w:val="none" w:sz="0" w:space="0" w:color="auto"/>
        <w:left w:val="none" w:sz="0" w:space="0" w:color="auto"/>
        <w:bottom w:val="none" w:sz="0" w:space="0" w:color="auto"/>
        <w:right w:val="none" w:sz="0" w:space="0" w:color="auto"/>
      </w:divBdr>
    </w:div>
    <w:div w:id="1217081296">
      <w:bodyDiv w:val="1"/>
      <w:marLeft w:val="0"/>
      <w:marRight w:val="0"/>
      <w:marTop w:val="0"/>
      <w:marBottom w:val="0"/>
      <w:divBdr>
        <w:top w:val="none" w:sz="0" w:space="0" w:color="auto"/>
        <w:left w:val="none" w:sz="0" w:space="0" w:color="auto"/>
        <w:bottom w:val="none" w:sz="0" w:space="0" w:color="auto"/>
        <w:right w:val="none" w:sz="0" w:space="0" w:color="auto"/>
      </w:divBdr>
    </w:div>
    <w:div w:id="1217857697">
      <w:bodyDiv w:val="1"/>
      <w:marLeft w:val="0"/>
      <w:marRight w:val="0"/>
      <w:marTop w:val="0"/>
      <w:marBottom w:val="0"/>
      <w:divBdr>
        <w:top w:val="none" w:sz="0" w:space="0" w:color="auto"/>
        <w:left w:val="none" w:sz="0" w:space="0" w:color="auto"/>
        <w:bottom w:val="none" w:sz="0" w:space="0" w:color="auto"/>
        <w:right w:val="none" w:sz="0" w:space="0" w:color="auto"/>
      </w:divBdr>
      <w:divsChild>
        <w:div w:id="1539122204">
          <w:marLeft w:val="0"/>
          <w:marRight w:val="0"/>
          <w:marTop w:val="0"/>
          <w:marBottom w:val="0"/>
          <w:divBdr>
            <w:top w:val="none" w:sz="0" w:space="0" w:color="auto"/>
            <w:left w:val="none" w:sz="0" w:space="0" w:color="auto"/>
            <w:bottom w:val="none" w:sz="0" w:space="0" w:color="auto"/>
            <w:right w:val="none" w:sz="0" w:space="0" w:color="auto"/>
          </w:divBdr>
          <w:divsChild>
            <w:div w:id="1697269851">
              <w:marLeft w:val="0"/>
              <w:marRight w:val="0"/>
              <w:marTop w:val="0"/>
              <w:marBottom w:val="0"/>
              <w:divBdr>
                <w:top w:val="none" w:sz="0" w:space="0" w:color="auto"/>
                <w:left w:val="none" w:sz="0" w:space="0" w:color="auto"/>
                <w:bottom w:val="none" w:sz="0" w:space="0" w:color="auto"/>
                <w:right w:val="none" w:sz="0" w:space="0" w:color="auto"/>
              </w:divBdr>
              <w:divsChild>
                <w:div w:id="67469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348494">
      <w:bodyDiv w:val="1"/>
      <w:marLeft w:val="0"/>
      <w:marRight w:val="0"/>
      <w:marTop w:val="0"/>
      <w:marBottom w:val="0"/>
      <w:divBdr>
        <w:top w:val="none" w:sz="0" w:space="0" w:color="auto"/>
        <w:left w:val="none" w:sz="0" w:space="0" w:color="auto"/>
        <w:bottom w:val="none" w:sz="0" w:space="0" w:color="auto"/>
        <w:right w:val="none" w:sz="0" w:space="0" w:color="auto"/>
      </w:divBdr>
      <w:divsChild>
        <w:div w:id="717121745">
          <w:marLeft w:val="0"/>
          <w:marRight w:val="0"/>
          <w:marTop w:val="0"/>
          <w:marBottom w:val="0"/>
          <w:divBdr>
            <w:top w:val="none" w:sz="0" w:space="0" w:color="auto"/>
            <w:left w:val="none" w:sz="0" w:space="0" w:color="auto"/>
            <w:bottom w:val="none" w:sz="0" w:space="0" w:color="auto"/>
            <w:right w:val="none" w:sz="0" w:space="0" w:color="auto"/>
          </w:divBdr>
          <w:divsChild>
            <w:div w:id="1990863756">
              <w:marLeft w:val="0"/>
              <w:marRight w:val="0"/>
              <w:marTop w:val="0"/>
              <w:marBottom w:val="0"/>
              <w:divBdr>
                <w:top w:val="none" w:sz="0" w:space="0" w:color="auto"/>
                <w:left w:val="none" w:sz="0" w:space="0" w:color="auto"/>
                <w:bottom w:val="none" w:sz="0" w:space="0" w:color="auto"/>
                <w:right w:val="none" w:sz="0" w:space="0" w:color="auto"/>
              </w:divBdr>
              <w:divsChild>
                <w:div w:id="185765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260163">
      <w:bodyDiv w:val="1"/>
      <w:marLeft w:val="0"/>
      <w:marRight w:val="0"/>
      <w:marTop w:val="0"/>
      <w:marBottom w:val="0"/>
      <w:divBdr>
        <w:top w:val="none" w:sz="0" w:space="0" w:color="auto"/>
        <w:left w:val="none" w:sz="0" w:space="0" w:color="auto"/>
        <w:bottom w:val="none" w:sz="0" w:space="0" w:color="auto"/>
        <w:right w:val="none" w:sz="0" w:space="0" w:color="auto"/>
      </w:divBdr>
    </w:div>
    <w:div w:id="1417753405">
      <w:bodyDiv w:val="1"/>
      <w:marLeft w:val="0"/>
      <w:marRight w:val="0"/>
      <w:marTop w:val="0"/>
      <w:marBottom w:val="0"/>
      <w:divBdr>
        <w:top w:val="none" w:sz="0" w:space="0" w:color="auto"/>
        <w:left w:val="none" w:sz="0" w:space="0" w:color="auto"/>
        <w:bottom w:val="none" w:sz="0" w:space="0" w:color="auto"/>
        <w:right w:val="none" w:sz="0" w:space="0" w:color="auto"/>
      </w:divBdr>
    </w:div>
    <w:div w:id="1437286530">
      <w:bodyDiv w:val="1"/>
      <w:marLeft w:val="0"/>
      <w:marRight w:val="0"/>
      <w:marTop w:val="0"/>
      <w:marBottom w:val="0"/>
      <w:divBdr>
        <w:top w:val="none" w:sz="0" w:space="0" w:color="auto"/>
        <w:left w:val="none" w:sz="0" w:space="0" w:color="auto"/>
        <w:bottom w:val="none" w:sz="0" w:space="0" w:color="auto"/>
        <w:right w:val="none" w:sz="0" w:space="0" w:color="auto"/>
      </w:divBdr>
      <w:divsChild>
        <w:div w:id="269435364">
          <w:marLeft w:val="0"/>
          <w:marRight w:val="0"/>
          <w:marTop w:val="0"/>
          <w:marBottom w:val="0"/>
          <w:divBdr>
            <w:top w:val="none" w:sz="0" w:space="0" w:color="auto"/>
            <w:left w:val="none" w:sz="0" w:space="0" w:color="auto"/>
            <w:bottom w:val="none" w:sz="0" w:space="0" w:color="auto"/>
            <w:right w:val="none" w:sz="0" w:space="0" w:color="auto"/>
          </w:divBdr>
          <w:divsChild>
            <w:div w:id="1334341030">
              <w:marLeft w:val="0"/>
              <w:marRight w:val="0"/>
              <w:marTop w:val="0"/>
              <w:marBottom w:val="0"/>
              <w:divBdr>
                <w:top w:val="none" w:sz="0" w:space="0" w:color="auto"/>
                <w:left w:val="none" w:sz="0" w:space="0" w:color="auto"/>
                <w:bottom w:val="none" w:sz="0" w:space="0" w:color="auto"/>
                <w:right w:val="none" w:sz="0" w:space="0" w:color="auto"/>
              </w:divBdr>
              <w:divsChild>
                <w:div w:id="1905606572">
                  <w:marLeft w:val="0"/>
                  <w:marRight w:val="0"/>
                  <w:marTop w:val="0"/>
                  <w:marBottom w:val="0"/>
                  <w:divBdr>
                    <w:top w:val="none" w:sz="0" w:space="0" w:color="auto"/>
                    <w:left w:val="none" w:sz="0" w:space="0" w:color="auto"/>
                    <w:bottom w:val="none" w:sz="0" w:space="0" w:color="auto"/>
                    <w:right w:val="none" w:sz="0" w:space="0" w:color="auto"/>
                  </w:divBdr>
                  <w:divsChild>
                    <w:div w:id="169129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437053">
      <w:bodyDiv w:val="1"/>
      <w:marLeft w:val="0"/>
      <w:marRight w:val="0"/>
      <w:marTop w:val="0"/>
      <w:marBottom w:val="0"/>
      <w:divBdr>
        <w:top w:val="none" w:sz="0" w:space="0" w:color="auto"/>
        <w:left w:val="none" w:sz="0" w:space="0" w:color="auto"/>
        <w:bottom w:val="none" w:sz="0" w:space="0" w:color="auto"/>
        <w:right w:val="none" w:sz="0" w:space="0" w:color="auto"/>
      </w:divBdr>
    </w:div>
    <w:div w:id="1477724735">
      <w:bodyDiv w:val="1"/>
      <w:marLeft w:val="0"/>
      <w:marRight w:val="0"/>
      <w:marTop w:val="0"/>
      <w:marBottom w:val="0"/>
      <w:divBdr>
        <w:top w:val="none" w:sz="0" w:space="0" w:color="auto"/>
        <w:left w:val="none" w:sz="0" w:space="0" w:color="auto"/>
        <w:bottom w:val="none" w:sz="0" w:space="0" w:color="auto"/>
        <w:right w:val="none" w:sz="0" w:space="0" w:color="auto"/>
      </w:divBdr>
      <w:divsChild>
        <w:div w:id="987437797">
          <w:marLeft w:val="0"/>
          <w:marRight w:val="0"/>
          <w:marTop w:val="0"/>
          <w:marBottom w:val="0"/>
          <w:divBdr>
            <w:top w:val="none" w:sz="0" w:space="0" w:color="auto"/>
            <w:left w:val="none" w:sz="0" w:space="0" w:color="auto"/>
            <w:bottom w:val="none" w:sz="0" w:space="0" w:color="auto"/>
            <w:right w:val="none" w:sz="0" w:space="0" w:color="auto"/>
          </w:divBdr>
          <w:divsChild>
            <w:div w:id="1037463845">
              <w:marLeft w:val="0"/>
              <w:marRight w:val="0"/>
              <w:marTop w:val="0"/>
              <w:marBottom w:val="0"/>
              <w:divBdr>
                <w:top w:val="none" w:sz="0" w:space="0" w:color="auto"/>
                <w:left w:val="none" w:sz="0" w:space="0" w:color="auto"/>
                <w:bottom w:val="none" w:sz="0" w:space="0" w:color="auto"/>
                <w:right w:val="none" w:sz="0" w:space="0" w:color="auto"/>
              </w:divBdr>
              <w:divsChild>
                <w:div w:id="118635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550580">
      <w:bodyDiv w:val="1"/>
      <w:marLeft w:val="0"/>
      <w:marRight w:val="0"/>
      <w:marTop w:val="0"/>
      <w:marBottom w:val="0"/>
      <w:divBdr>
        <w:top w:val="none" w:sz="0" w:space="0" w:color="auto"/>
        <w:left w:val="none" w:sz="0" w:space="0" w:color="auto"/>
        <w:bottom w:val="none" w:sz="0" w:space="0" w:color="auto"/>
        <w:right w:val="none" w:sz="0" w:space="0" w:color="auto"/>
      </w:divBdr>
    </w:div>
    <w:div w:id="1538472520">
      <w:bodyDiv w:val="1"/>
      <w:marLeft w:val="0"/>
      <w:marRight w:val="0"/>
      <w:marTop w:val="0"/>
      <w:marBottom w:val="0"/>
      <w:divBdr>
        <w:top w:val="none" w:sz="0" w:space="0" w:color="auto"/>
        <w:left w:val="none" w:sz="0" w:space="0" w:color="auto"/>
        <w:bottom w:val="none" w:sz="0" w:space="0" w:color="auto"/>
        <w:right w:val="none" w:sz="0" w:space="0" w:color="auto"/>
      </w:divBdr>
      <w:divsChild>
        <w:div w:id="1854951412">
          <w:marLeft w:val="0"/>
          <w:marRight w:val="0"/>
          <w:marTop w:val="0"/>
          <w:marBottom w:val="0"/>
          <w:divBdr>
            <w:top w:val="none" w:sz="0" w:space="0" w:color="auto"/>
            <w:left w:val="none" w:sz="0" w:space="0" w:color="auto"/>
            <w:bottom w:val="none" w:sz="0" w:space="0" w:color="auto"/>
            <w:right w:val="none" w:sz="0" w:space="0" w:color="auto"/>
          </w:divBdr>
          <w:divsChild>
            <w:div w:id="1778331971">
              <w:marLeft w:val="0"/>
              <w:marRight w:val="0"/>
              <w:marTop w:val="0"/>
              <w:marBottom w:val="0"/>
              <w:divBdr>
                <w:top w:val="none" w:sz="0" w:space="0" w:color="auto"/>
                <w:left w:val="none" w:sz="0" w:space="0" w:color="auto"/>
                <w:bottom w:val="none" w:sz="0" w:space="0" w:color="auto"/>
                <w:right w:val="none" w:sz="0" w:space="0" w:color="auto"/>
              </w:divBdr>
              <w:divsChild>
                <w:div w:id="101098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175147">
      <w:bodyDiv w:val="1"/>
      <w:marLeft w:val="0"/>
      <w:marRight w:val="0"/>
      <w:marTop w:val="0"/>
      <w:marBottom w:val="0"/>
      <w:divBdr>
        <w:top w:val="none" w:sz="0" w:space="0" w:color="auto"/>
        <w:left w:val="none" w:sz="0" w:space="0" w:color="auto"/>
        <w:bottom w:val="none" w:sz="0" w:space="0" w:color="auto"/>
        <w:right w:val="none" w:sz="0" w:space="0" w:color="auto"/>
      </w:divBdr>
    </w:div>
    <w:div w:id="1642538583">
      <w:bodyDiv w:val="1"/>
      <w:marLeft w:val="0"/>
      <w:marRight w:val="0"/>
      <w:marTop w:val="0"/>
      <w:marBottom w:val="0"/>
      <w:divBdr>
        <w:top w:val="none" w:sz="0" w:space="0" w:color="auto"/>
        <w:left w:val="none" w:sz="0" w:space="0" w:color="auto"/>
        <w:bottom w:val="none" w:sz="0" w:space="0" w:color="auto"/>
        <w:right w:val="none" w:sz="0" w:space="0" w:color="auto"/>
      </w:divBdr>
    </w:div>
    <w:div w:id="1683120330">
      <w:bodyDiv w:val="1"/>
      <w:marLeft w:val="0"/>
      <w:marRight w:val="0"/>
      <w:marTop w:val="0"/>
      <w:marBottom w:val="0"/>
      <w:divBdr>
        <w:top w:val="none" w:sz="0" w:space="0" w:color="auto"/>
        <w:left w:val="none" w:sz="0" w:space="0" w:color="auto"/>
        <w:bottom w:val="none" w:sz="0" w:space="0" w:color="auto"/>
        <w:right w:val="none" w:sz="0" w:space="0" w:color="auto"/>
      </w:divBdr>
    </w:div>
    <w:div w:id="1688678628">
      <w:bodyDiv w:val="1"/>
      <w:marLeft w:val="0"/>
      <w:marRight w:val="0"/>
      <w:marTop w:val="0"/>
      <w:marBottom w:val="0"/>
      <w:divBdr>
        <w:top w:val="none" w:sz="0" w:space="0" w:color="auto"/>
        <w:left w:val="none" w:sz="0" w:space="0" w:color="auto"/>
        <w:bottom w:val="none" w:sz="0" w:space="0" w:color="auto"/>
        <w:right w:val="none" w:sz="0" w:space="0" w:color="auto"/>
      </w:divBdr>
    </w:div>
    <w:div w:id="1694531539">
      <w:bodyDiv w:val="1"/>
      <w:marLeft w:val="0"/>
      <w:marRight w:val="0"/>
      <w:marTop w:val="0"/>
      <w:marBottom w:val="0"/>
      <w:divBdr>
        <w:top w:val="none" w:sz="0" w:space="0" w:color="auto"/>
        <w:left w:val="none" w:sz="0" w:space="0" w:color="auto"/>
        <w:bottom w:val="none" w:sz="0" w:space="0" w:color="auto"/>
        <w:right w:val="none" w:sz="0" w:space="0" w:color="auto"/>
      </w:divBdr>
    </w:div>
    <w:div w:id="1759402674">
      <w:bodyDiv w:val="1"/>
      <w:marLeft w:val="0"/>
      <w:marRight w:val="0"/>
      <w:marTop w:val="0"/>
      <w:marBottom w:val="0"/>
      <w:divBdr>
        <w:top w:val="none" w:sz="0" w:space="0" w:color="auto"/>
        <w:left w:val="none" w:sz="0" w:space="0" w:color="auto"/>
        <w:bottom w:val="none" w:sz="0" w:space="0" w:color="auto"/>
        <w:right w:val="none" w:sz="0" w:space="0" w:color="auto"/>
      </w:divBdr>
      <w:divsChild>
        <w:div w:id="1882664739">
          <w:marLeft w:val="0"/>
          <w:marRight w:val="0"/>
          <w:marTop w:val="0"/>
          <w:marBottom w:val="0"/>
          <w:divBdr>
            <w:top w:val="none" w:sz="0" w:space="0" w:color="auto"/>
            <w:left w:val="none" w:sz="0" w:space="0" w:color="auto"/>
            <w:bottom w:val="none" w:sz="0" w:space="0" w:color="auto"/>
            <w:right w:val="none" w:sz="0" w:space="0" w:color="auto"/>
          </w:divBdr>
          <w:divsChild>
            <w:div w:id="1936858173">
              <w:marLeft w:val="0"/>
              <w:marRight w:val="0"/>
              <w:marTop w:val="0"/>
              <w:marBottom w:val="0"/>
              <w:divBdr>
                <w:top w:val="none" w:sz="0" w:space="0" w:color="auto"/>
                <w:left w:val="none" w:sz="0" w:space="0" w:color="auto"/>
                <w:bottom w:val="none" w:sz="0" w:space="0" w:color="auto"/>
                <w:right w:val="none" w:sz="0" w:space="0" w:color="auto"/>
              </w:divBdr>
              <w:divsChild>
                <w:div w:id="186694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108782">
      <w:bodyDiv w:val="1"/>
      <w:marLeft w:val="0"/>
      <w:marRight w:val="0"/>
      <w:marTop w:val="0"/>
      <w:marBottom w:val="0"/>
      <w:divBdr>
        <w:top w:val="none" w:sz="0" w:space="0" w:color="auto"/>
        <w:left w:val="none" w:sz="0" w:space="0" w:color="auto"/>
        <w:bottom w:val="none" w:sz="0" w:space="0" w:color="auto"/>
        <w:right w:val="none" w:sz="0" w:space="0" w:color="auto"/>
      </w:divBdr>
    </w:div>
    <w:div w:id="1878538755">
      <w:bodyDiv w:val="1"/>
      <w:marLeft w:val="0"/>
      <w:marRight w:val="0"/>
      <w:marTop w:val="0"/>
      <w:marBottom w:val="0"/>
      <w:divBdr>
        <w:top w:val="none" w:sz="0" w:space="0" w:color="auto"/>
        <w:left w:val="none" w:sz="0" w:space="0" w:color="auto"/>
        <w:bottom w:val="none" w:sz="0" w:space="0" w:color="auto"/>
        <w:right w:val="none" w:sz="0" w:space="0" w:color="auto"/>
      </w:divBdr>
      <w:divsChild>
        <w:div w:id="364528881">
          <w:marLeft w:val="0"/>
          <w:marRight w:val="0"/>
          <w:marTop w:val="0"/>
          <w:marBottom w:val="0"/>
          <w:divBdr>
            <w:top w:val="none" w:sz="0" w:space="0" w:color="auto"/>
            <w:left w:val="none" w:sz="0" w:space="0" w:color="auto"/>
            <w:bottom w:val="none" w:sz="0" w:space="0" w:color="auto"/>
            <w:right w:val="none" w:sz="0" w:space="0" w:color="auto"/>
          </w:divBdr>
          <w:divsChild>
            <w:div w:id="1234124104">
              <w:marLeft w:val="0"/>
              <w:marRight w:val="0"/>
              <w:marTop w:val="0"/>
              <w:marBottom w:val="0"/>
              <w:divBdr>
                <w:top w:val="none" w:sz="0" w:space="0" w:color="auto"/>
                <w:left w:val="none" w:sz="0" w:space="0" w:color="auto"/>
                <w:bottom w:val="none" w:sz="0" w:space="0" w:color="auto"/>
                <w:right w:val="none" w:sz="0" w:space="0" w:color="auto"/>
              </w:divBdr>
              <w:divsChild>
                <w:div w:id="44777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540288">
      <w:bodyDiv w:val="1"/>
      <w:marLeft w:val="0"/>
      <w:marRight w:val="0"/>
      <w:marTop w:val="0"/>
      <w:marBottom w:val="0"/>
      <w:divBdr>
        <w:top w:val="none" w:sz="0" w:space="0" w:color="auto"/>
        <w:left w:val="none" w:sz="0" w:space="0" w:color="auto"/>
        <w:bottom w:val="none" w:sz="0" w:space="0" w:color="auto"/>
        <w:right w:val="none" w:sz="0" w:space="0" w:color="auto"/>
      </w:divBdr>
      <w:divsChild>
        <w:div w:id="957568009">
          <w:marLeft w:val="0"/>
          <w:marRight w:val="0"/>
          <w:marTop w:val="0"/>
          <w:marBottom w:val="0"/>
          <w:divBdr>
            <w:top w:val="none" w:sz="0" w:space="0" w:color="auto"/>
            <w:left w:val="none" w:sz="0" w:space="0" w:color="auto"/>
            <w:bottom w:val="none" w:sz="0" w:space="0" w:color="auto"/>
            <w:right w:val="none" w:sz="0" w:space="0" w:color="auto"/>
          </w:divBdr>
          <w:divsChild>
            <w:div w:id="619532395">
              <w:marLeft w:val="0"/>
              <w:marRight w:val="0"/>
              <w:marTop w:val="0"/>
              <w:marBottom w:val="0"/>
              <w:divBdr>
                <w:top w:val="none" w:sz="0" w:space="0" w:color="auto"/>
                <w:left w:val="none" w:sz="0" w:space="0" w:color="auto"/>
                <w:bottom w:val="none" w:sz="0" w:space="0" w:color="auto"/>
                <w:right w:val="none" w:sz="0" w:space="0" w:color="auto"/>
              </w:divBdr>
              <w:divsChild>
                <w:div w:id="211872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704588">
      <w:bodyDiv w:val="1"/>
      <w:marLeft w:val="0"/>
      <w:marRight w:val="0"/>
      <w:marTop w:val="0"/>
      <w:marBottom w:val="0"/>
      <w:divBdr>
        <w:top w:val="none" w:sz="0" w:space="0" w:color="auto"/>
        <w:left w:val="none" w:sz="0" w:space="0" w:color="auto"/>
        <w:bottom w:val="none" w:sz="0" w:space="0" w:color="auto"/>
        <w:right w:val="none" w:sz="0" w:space="0" w:color="auto"/>
      </w:divBdr>
      <w:divsChild>
        <w:div w:id="699210507">
          <w:marLeft w:val="0"/>
          <w:marRight w:val="0"/>
          <w:marTop w:val="0"/>
          <w:marBottom w:val="0"/>
          <w:divBdr>
            <w:top w:val="none" w:sz="0" w:space="0" w:color="auto"/>
            <w:left w:val="none" w:sz="0" w:space="0" w:color="auto"/>
            <w:bottom w:val="none" w:sz="0" w:space="0" w:color="auto"/>
            <w:right w:val="none" w:sz="0" w:space="0" w:color="auto"/>
          </w:divBdr>
          <w:divsChild>
            <w:div w:id="923606916">
              <w:marLeft w:val="0"/>
              <w:marRight w:val="0"/>
              <w:marTop w:val="0"/>
              <w:marBottom w:val="0"/>
              <w:divBdr>
                <w:top w:val="none" w:sz="0" w:space="0" w:color="auto"/>
                <w:left w:val="none" w:sz="0" w:space="0" w:color="auto"/>
                <w:bottom w:val="none" w:sz="0" w:space="0" w:color="auto"/>
                <w:right w:val="none" w:sz="0" w:space="0" w:color="auto"/>
              </w:divBdr>
              <w:divsChild>
                <w:div w:id="155631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746117">
      <w:bodyDiv w:val="1"/>
      <w:marLeft w:val="0"/>
      <w:marRight w:val="0"/>
      <w:marTop w:val="0"/>
      <w:marBottom w:val="0"/>
      <w:divBdr>
        <w:top w:val="none" w:sz="0" w:space="0" w:color="auto"/>
        <w:left w:val="none" w:sz="0" w:space="0" w:color="auto"/>
        <w:bottom w:val="none" w:sz="0" w:space="0" w:color="auto"/>
        <w:right w:val="none" w:sz="0" w:space="0" w:color="auto"/>
      </w:divBdr>
      <w:divsChild>
        <w:div w:id="2002151931">
          <w:marLeft w:val="0"/>
          <w:marRight w:val="0"/>
          <w:marTop w:val="0"/>
          <w:marBottom w:val="0"/>
          <w:divBdr>
            <w:top w:val="none" w:sz="0" w:space="0" w:color="auto"/>
            <w:left w:val="none" w:sz="0" w:space="0" w:color="auto"/>
            <w:bottom w:val="none" w:sz="0" w:space="0" w:color="auto"/>
            <w:right w:val="none" w:sz="0" w:space="0" w:color="auto"/>
          </w:divBdr>
          <w:divsChild>
            <w:div w:id="209997299">
              <w:marLeft w:val="0"/>
              <w:marRight w:val="0"/>
              <w:marTop w:val="0"/>
              <w:marBottom w:val="0"/>
              <w:divBdr>
                <w:top w:val="none" w:sz="0" w:space="0" w:color="auto"/>
                <w:left w:val="none" w:sz="0" w:space="0" w:color="auto"/>
                <w:bottom w:val="none" w:sz="0" w:space="0" w:color="auto"/>
                <w:right w:val="none" w:sz="0" w:space="0" w:color="auto"/>
              </w:divBdr>
              <w:divsChild>
                <w:div w:id="179008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058849">
      <w:bodyDiv w:val="1"/>
      <w:marLeft w:val="0"/>
      <w:marRight w:val="0"/>
      <w:marTop w:val="0"/>
      <w:marBottom w:val="0"/>
      <w:divBdr>
        <w:top w:val="none" w:sz="0" w:space="0" w:color="auto"/>
        <w:left w:val="none" w:sz="0" w:space="0" w:color="auto"/>
        <w:bottom w:val="none" w:sz="0" w:space="0" w:color="auto"/>
        <w:right w:val="none" w:sz="0" w:space="0" w:color="auto"/>
      </w:divBdr>
      <w:divsChild>
        <w:div w:id="621227498">
          <w:marLeft w:val="0"/>
          <w:marRight w:val="0"/>
          <w:marTop w:val="0"/>
          <w:marBottom w:val="0"/>
          <w:divBdr>
            <w:top w:val="none" w:sz="0" w:space="0" w:color="auto"/>
            <w:left w:val="none" w:sz="0" w:space="0" w:color="auto"/>
            <w:bottom w:val="none" w:sz="0" w:space="0" w:color="auto"/>
            <w:right w:val="none" w:sz="0" w:space="0" w:color="auto"/>
          </w:divBdr>
          <w:divsChild>
            <w:div w:id="789250506">
              <w:marLeft w:val="0"/>
              <w:marRight w:val="0"/>
              <w:marTop w:val="0"/>
              <w:marBottom w:val="0"/>
              <w:divBdr>
                <w:top w:val="none" w:sz="0" w:space="0" w:color="auto"/>
                <w:left w:val="none" w:sz="0" w:space="0" w:color="auto"/>
                <w:bottom w:val="none" w:sz="0" w:space="0" w:color="auto"/>
                <w:right w:val="none" w:sz="0" w:space="0" w:color="auto"/>
              </w:divBdr>
              <w:divsChild>
                <w:div w:id="22557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854506">
      <w:bodyDiv w:val="1"/>
      <w:marLeft w:val="0"/>
      <w:marRight w:val="0"/>
      <w:marTop w:val="0"/>
      <w:marBottom w:val="0"/>
      <w:divBdr>
        <w:top w:val="none" w:sz="0" w:space="0" w:color="auto"/>
        <w:left w:val="none" w:sz="0" w:space="0" w:color="auto"/>
        <w:bottom w:val="none" w:sz="0" w:space="0" w:color="auto"/>
        <w:right w:val="none" w:sz="0" w:space="0" w:color="auto"/>
      </w:divBdr>
      <w:divsChild>
        <w:div w:id="751508211">
          <w:marLeft w:val="0"/>
          <w:marRight w:val="0"/>
          <w:marTop w:val="0"/>
          <w:marBottom w:val="0"/>
          <w:divBdr>
            <w:top w:val="none" w:sz="0" w:space="0" w:color="auto"/>
            <w:left w:val="none" w:sz="0" w:space="0" w:color="auto"/>
            <w:bottom w:val="none" w:sz="0" w:space="0" w:color="auto"/>
            <w:right w:val="none" w:sz="0" w:space="0" w:color="auto"/>
          </w:divBdr>
          <w:divsChild>
            <w:div w:id="1331713271">
              <w:marLeft w:val="0"/>
              <w:marRight w:val="0"/>
              <w:marTop w:val="0"/>
              <w:marBottom w:val="0"/>
              <w:divBdr>
                <w:top w:val="none" w:sz="0" w:space="0" w:color="auto"/>
                <w:left w:val="none" w:sz="0" w:space="0" w:color="auto"/>
                <w:bottom w:val="none" w:sz="0" w:space="0" w:color="auto"/>
                <w:right w:val="none" w:sz="0" w:space="0" w:color="auto"/>
              </w:divBdr>
              <w:divsChild>
                <w:div w:id="160684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040542">
      <w:bodyDiv w:val="1"/>
      <w:marLeft w:val="0"/>
      <w:marRight w:val="0"/>
      <w:marTop w:val="0"/>
      <w:marBottom w:val="0"/>
      <w:divBdr>
        <w:top w:val="none" w:sz="0" w:space="0" w:color="auto"/>
        <w:left w:val="none" w:sz="0" w:space="0" w:color="auto"/>
        <w:bottom w:val="none" w:sz="0" w:space="0" w:color="auto"/>
        <w:right w:val="none" w:sz="0" w:space="0" w:color="auto"/>
      </w:divBdr>
    </w:div>
    <w:div w:id="2036803464">
      <w:bodyDiv w:val="1"/>
      <w:marLeft w:val="0"/>
      <w:marRight w:val="0"/>
      <w:marTop w:val="0"/>
      <w:marBottom w:val="0"/>
      <w:divBdr>
        <w:top w:val="none" w:sz="0" w:space="0" w:color="auto"/>
        <w:left w:val="none" w:sz="0" w:space="0" w:color="auto"/>
        <w:bottom w:val="none" w:sz="0" w:space="0" w:color="auto"/>
        <w:right w:val="none" w:sz="0" w:space="0" w:color="auto"/>
      </w:divBdr>
    </w:div>
    <w:div w:id="2042127069">
      <w:bodyDiv w:val="1"/>
      <w:marLeft w:val="0"/>
      <w:marRight w:val="0"/>
      <w:marTop w:val="0"/>
      <w:marBottom w:val="0"/>
      <w:divBdr>
        <w:top w:val="none" w:sz="0" w:space="0" w:color="auto"/>
        <w:left w:val="none" w:sz="0" w:space="0" w:color="auto"/>
        <w:bottom w:val="none" w:sz="0" w:space="0" w:color="auto"/>
        <w:right w:val="none" w:sz="0" w:space="0" w:color="auto"/>
      </w:divBdr>
      <w:divsChild>
        <w:div w:id="1784498815">
          <w:marLeft w:val="0"/>
          <w:marRight w:val="0"/>
          <w:marTop w:val="0"/>
          <w:marBottom w:val="0"/>
          <w:divBdr>
            <w:top w:val="none" w:sz="0" w:space="0" w:color="auto"/>
            <w:left w:val="none" w:sz="0" w:space="0" w:color="auto"/>
            <w:bottom w:val="none" w:sz="0" w:space="0" w:color="auto"/>
            <w:right w:val="none" w:sz="0" w:space="0" w:color="auto"/>
          </w:divBdr>
          <w:divsChild>
            <w:div w:id="622155741">
              <w:marLeft w:val="0"/>
              <w:marRight w:val="0"/>
              <w:marTop w:val="0"/>
              <w:marBottom w:val="0"/>
              <w:divBdr>
                <w:top w:val="none" w:sz="0" w:space="0" w:color="auto"/>
                <w:left w:val="none" w:sz="0" w:space="0" w:color="auto"/>
                <w:bottom w:val="none" w:sz="0" w:space="0" w:color="auto"/>
                <w:right w:val="none" w:sz="0" w:space="0" w:color="auto"/>
              </w:divBdr>
              <w:divsChild>
                <w:div w:id="116405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25298">
      <w:bodyDiv w:val="1"/>
      <w:marLeft w:val="0"/>
      <w:marRight w:val="0"/>
      <w:marTop w:val="0"/>
      <w:marBottom w:val="0"/>
      <w:divBdr>
        <w:top w:val="none" w:sz="0" w:space="0" w:color="auto"/>
        <w:left w:val="none" w:sz="0" w:space="0" w:color="auto"/>
        <w:bottom w:val="none" w:sz="0" w:space="0" w:color="auto"/>
        <w:right w:val="none" w:sz="0" w:space="0" w:color="auto"/>
      </w:divBdr>
    </w:div>
    <w:div w:id="21048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png"/><Relationship Id="rId18" Type="http://schemas.openxmlformats.org/officeDocument/2006/relationships/hyperlink" Target="http://www.egal.org.rs/sr/"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hyperlink" Target="https://www.transserbia.org/vesti/1283-saopstenje-organizacije-gayten-lgbt-povodom-nestasice-leka-neofolin"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transserbia.org/vesti/1482-donet-pravilnik-o-nacinu-izdavanja-i-obrazcu-potvrde-nadlezne-zdravstvene-ustanove-o-promeni-pola" TargetMode="External"/><Relationship Id="rId20" Type="http://schemas.openxmlformats.org/officeDocument/2006/relationships/header" Target="header1.xml"/><Relationship Id="rId29"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ravnopravnost.gov.rs/wp-content/uploads/2021/04/Poverenik-za-zastitu-ravnopravnosti-Godisnji-izvestaj-za-2020.pdf" TargetMode="External"/><Relationship Id="rId23" Type="http://schemas.openxmlformats.org/officeDocument/2006/relationships/footer" Target="footer2.xml"/><Relationship Id="rId28" Type="http://schemas.openxmlformats.org/officeDocument/2006/relationships/customXml" Target="../customXml/item2.xml"/><Relationship Id="rId10" Type="http://schemas.openxmlformats.org/officeDocument/2006/relationships/image" Target="media/image3.png"/><Relationship Id="rId19" Type="http://schemas.openxmlformats.org/officeDocument/2006/relationships/hyperlink" Target="https://www.facebook.com/LnQ.Belgrad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ravnopravnost.gov.rs/en/" TargetMode="External"/><Relationship Id="rId22" Type="http://schemas.openxmlformats.org/officeDocument/2006/relationships/footer" Target="footer1.xml"/><Relationship Id="rId27" Type="http://schemas.openxmlformats.org/officeDocument/2006/relationships/theme" Target="theme/theme1.xml"/><Relationship Id="rId30"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labris.org.rs/sites/default/files/Model%20zakona%20o%20gra&#273;anskom%20partnerstvu.pdf" TargetMode="External"/><Relationship Id="rId13" Type="http://schemas.openxmlformats.org/officeDocument/2006/relationships/hyperlink" Target="https://www.paragraf.rs/propisi/zakon_o_maticnim_knjigama.html" TargetMode="External"/><Relationship Id="rId18" Type="http://schemas.openxmlformats.org/officeDocument/2006/relationships/hyperlink" Target="https://www.paragraf.rs/propisi/zakon_o_maticnim_knjigama.html" TargetMode="External"/><Relationship Id="rId3" Type="http://schemas.openxmlformats.org/officeDocument/2006/relationships/hyperlink" Target="https://www.paragraf.rs/propisi/zakon_o_zabrani_diskriminacije.html" TargetMode="External"/><Relationship Id="rId7" Type="http://schemas.openxmlformats.org/officeDocument/2006/relationships/hyperlink" Target="http://labris.org.rs/sr/labris-predstavio-model-zakona-o-gra&#273;anskom-partnerstvu" TargetMode="External"/><Relationship Id="rId12" Type="http://schemas.openxmlformats.org/officeDocument/2006/relationships/hyperlink" Target="https://www.lgbti-era.org/sites/default/files/pdfdocs/Annual%20LGBT%20Survey.pdf" TargetMode="External"/><Relationship Id="rId17" Type="http://schemas.openxmlformats.org/officeDocument/2006/relationships/hyperlink" Target="https://www.lgbti-era.org/sites/default/files/pdfdocs/Research%20on%20the%20needs%20of%20transgender%20and%20non-binary%20people%20in%20the%20Republic%20of%20Serbia%20A%20research%20report_0.pdf" TargetMode="External"/><Relationship Id="rId2" Type="http://schemas.openxmlformats.org/officeDocument/2006/relationships/hyperlink" Target="https://www.paragraf.rs/propisi/zakon_o_zabrani_diskriminacije.html" TargetMode="External"/><Relationship Id="rId16" Type="http://schemas.openxmlformats.org/officeDocument/2006/relationships/hyperlink" Target="https://www.paragraf.rs/propisi/zakon_o_pravima_pacijenata.html" TargetMode="External"/><Relationship Id="rId1" Type="http://schemas.openxmlformats.org/officeDocument/2006/relationships/hyperlink" Target="http://www.ustavni.sud.rs/page/view/sr-Latn-CS/70-100028/ustav-republike-srbije" TargetMode="External"/><Relationship Id="rId6" Type="http://schemas.openxmlformats.org/officeDocument/2006/relationships/hyperlink" Target="https://pescanik.net/pravna-analiza-izbora-poverenika-za-zastitu-ravnopravnosti/" TargetMode="External"/><Relationship Id="rId11" Type="http://schemas.openxmlformats.org/officeDocument/2006/relationships/hyperlink" Target="https://www.lgbti-era.org/sites/default/files/pdfdocs/0351-124587-WP-P156209-DISCRIMINATION-AGAINST-SEXUAL-MINORITIES-IN-EDUCATION-AND-HOUSING-EVIDENCE-FROM-TWO-FIELD-EXPERIMENTS-IN-SERBIA-PUBLIC-ENGLISH.pdf" TargetMode="External"/><Relationship Id="rId5" Type="http://schemas.openxmlformats.org/officeDocument/2006/relationships/hyperlink" Target="https://otvoreniparlament.rs/aktuelno/209" TargetMode="External"/><Relationship Id="rId15" Type="http://schemas.openxmlformats.org/officeDocument/2006/relationships/hyperlink" Target="https://www.paragraf.rs/propisi/zakon_o_zdravstvenom_osiguranju.html" TargetMode="External"/><Relationship Id="rId10" Type="http://schemas.openxmlformats.org/officeDocument/2006/relationships/hyperlink" Target="https://www.lgbti-era.org/sites/default/files/pdfdocs/A-Comparative-Analysis-of-the-Socioeconomic-Dimensions-of-LGBTI-Exclusion-in-Serbia.pdf" TargetMode="External"/><Relationship Id="rId19" Type="http://schemas.openxmlformats.org/officeDocument/2006/relationships/hyperlink" Target="https://www.lgbti-era.org/sites/default/files/pdfdocs/ENG%20L%26Q%20i%20EGAL%20Analysis%20Covid%2019%20and%20LGBTI%20community%20in%20Serbia.pdf" TargetMode="External"/><Relationship Id="rId4" Type="http://schemas.openxmlformats.org/officeDocument/2006/relationships/hyperlink" Target="https://www.lgbti-era.org/one-stop-shop/written-contribution-3rd-cycle-universal-periodic-review-republic-serbia-mid-term" TargetMode="External"/><Relationship Id="rId9" Type="http://schemas.openxmlformats.org/officeDocument/2006/relationships/hyperlink" Target="https://fra.europa.eu/en/data-and-maps/2020/lgbti-survey-data-explorer" TargetMode="External"/><Relationship Id="rId14" Type="http://schemas.openxmlformats.org/officeDocument/2006/relationships/hyperlink" Target="http://www.pravno-informacioni-sistem.rs/SlGlasnikPortal/eli/rep/sgrs/ministarstva/pravilnik/2018/103/5/reg" TargetMode="External"/></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0ADF4F-DE8B-474D-AC14-30C66547CF06}">
  <ds:schemaRefs>
    <ds:schemaRef ds:uri="http://schemas.openxmlformats.org/officeDocument/2006/bibliography"/>
  </ds:schemaRefs>
</ds:datastoreItem>
</file>

<file path=customXml/itemProps2.xml><?xml version="1.0" encoding="utf-8"?>
<ds:datastoreItem xmlns:ds="http://schemas.openxmlformats.org/officeDocument/2006/customXml" ds:itemID="{B7A9587B-04A7-4CFC-B2DA-F3BA83F78EBB}"/>
</file>

<file path=customXml/itemProps3.xml><?xml version="1.0" encoding="utf-8"?>
<ds:datastoreItem xmlns:ds="http://schemas.openxmlformats.org/officeDocument/2006/customXml" ds:itemID="{45632A23-E540-4E41-9326-06CADE324419}"/>
</file>

<file path=customXml/itemProps4.xml><?xml version="1.0" encoding="utf-8"?>
<ds:datastoreItem xmlns:ds="http://schemas.openxmlformats.org/officeDocument/2006/customXml" ds:itemID="{663F412E-88EE-4372-9F2C-CFEA4D6A78B6}"/>
</file>

<file path=docProps/app.xml><?xml version="1.0" encoding="utf-8"?>
<Properties xmlns="http://schemas.openxmlformats.org/officeDocument/2006/extended-properties" xmlns:vt="http://schemas.openxmlformats.org/officeDocument/2006/docPropsVTypes">
  <Template>Normal.dotm</Template>
  <TotalTime>0</TotalTime>
  <Pages>15</Pages>
  <Words>6903</Words>
  <Characters>37743</Characters>
  <Application>Microsoft Office Word</Application>
  <DocSecurity>0</DocSecurity>
  <Lines>314</Lines>
  <Paragraphs>89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Deftones</Company>
  <LinksUpToDate>false</LinksUpToDate>
  <CharactersWithSpaces>44557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Galil</dc:creator>
  <cp:lastModifiedBy>REYNAUD Céline</cp:lastModifiedBy>
  <cp:revision>2</cp:revision>
  <cp:lastPrinted>2020-10-01T19:56:00Z</cp:lastPrinted>
  <dcterms:created xsi:type="dcterms:W3CDTF">2022-01-17T09:39:00Z</dcterms:created>
  <dcterms:modified xsi:type="dcterms:W3CDTF">2022-01-17T09:39:00Z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