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C680A" w14:textId="04BC6D3E" w:rsidR="00636990" w:rsidRPr="005C716E" w:rsidRDefault="00EC4919" w:rsidP="00A05BEB">
      <w:pPr>
        <w:jc w:val="center"/>
        <w:rPr>
          <w:rFonts w:ascii="Arial" w:hAnsi="Arial" w:cs="Arial"/>
        </w:rPr>
      </w:pPr>
      <w:r>
        <w:rPr>
          <w:rFonts w:ascii="Arial" w:hAnsi="Arial" w:cs="Arial"/>
          <w:noProof/>
        </w:rPr>
        <w:drawing>
          <wp:inline distT="0" distB="0" distL="0" distR="0" wp14:anchorId="4BB7A682" wp14:editId="6519EABB">
            <wp:extent cx="2928373" cy="983143"/>
            <wp:effectExtent l="0" t="0" r="5715" b="7620"/>
            <wp:docPr id="139430309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303093" name="Immagine 139430309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40185" cy="987109"/>
                    </a:xfrm>
                    <a:prstGeom prst="rect">
                      <a:avLst/>
                    </a:prstGeom>
                  </pic:spPr>
                </pic:pic>
              </a:graphicData>
            </a:graphic>
          </wp:inline>
        </w:drawing>
      </w:r>
    </w:p>
    <w:p w14:paraId="3B076506" w14:textId="12066228" w:rsidR="00884FFD" w:rsidRPr="00884FFD" w:rsidRDefault="00884FFD" w:rsidP="00884FFD">
      <w:pPr>
        <w:spacing w:after="61" w:line="240" w:lineRule="auto"/>
        <w:rPr>
          <w:rFonts w:ascii="Optima" w:eastAsia="Calibri" w:hAnsi="Optima" w:cs="Arial"/>
          <w:color w:val="000000"/>
          <w:sz w:val="24"/>
          <w:szCs w:val="24"/>
          <w:lang w:eastAsia="it-IT"/>
        </w:rPr>
      </w:pPr>
    </w:p>
    <w:p w14:paraId="403B3579" w14:textId="77777777" w:rsidR="00805E15" w:rsidRPr="00805E15" w:rsidRDefault="00805E15" w:rsidP="00805E15">
      <w:pPr>
        <w:spacing w:after="0" w:line="240" w:lineRule="auto"/>
        <w:jc w:val="right"/>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To the CEDAW Committee</w:t>
      </w:r>
    </w:p>
    <w:p w14:paraId="3A7F3946"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3DC515DC"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Report of the Differenza Donna Association on the implementation of the obligations arising from CEDAW, the general recommendations, and recommendations set out in the view F. v. Italy, 18 July 2022</w:t>
      </w:r>
    </w:p>
    <w:p w14:paraId="4CE4742F"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734A120D"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1.</w:t>
      </w:r>
      <w:r w:rsidRPr="00805E15">
        <w:rPr>
          <w:rFonts w:ascii="Calibri" w:eastAsia="Calibri" w:hAnsi="Calibri" w:cs="Times New Roman"/>
          <w:b/>
          <w:bCs/>
          <w:kern w:val="2"/>
          <w:sz w:val="24"/>
          <w:szCs w:val="24"/>
          <w:lang w:val="en-US"/>
          <w14:ligatures w14:val="standardContextual"/>
        </w:rPr>
        <w:tab/>
        <w:t>Data and statistics</w:t>
      </w:r>
    </w:p>
    <w:p w14:paraId="7BA37AE6"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 xml:space="preserve">About data, the first issue is the widespread tendency to downplay the phenomenon of male violence against women through data and statistics of dubious scientific </w:t>
      </w:r>
      <w:proofErr w:type="gramStart"/>
      <w:r w:rsidRPr="00805E15">
        <w:rPr>
          <w:rFonts w:ascii="Calibri" w:eastAsia="Calibri" w:hAnsi="Calibri" w:cs="Times New Roman"/>
          <w:kern w:val="2"/>
          <w:sz w:val="24"/>
          <w:szCs w:val="24"/>
          <w:lang w:val="en-US"/>
          <w14:ligatures w14:val="standardContextual"/>
        </w:rPr>
        <w:t>quality,  denying</w:t>
      </w:r>
      <w:proofErr w:type="gramEnd"/>
      <w:r w:rsidRPr="00805E15">
        <w:rPr>
          <w:rFonts w:ascii="Calibri" w:eastAsia="Calibri" w:hAnsi="Calibri" w:cs="Times New Roman"/>
          <w:kern w:val="2"/>
          <w:sz w:val="24"/>
          <w:szCs w:val="24"/>
          <w:lang w:val="en-US"/>
          <w14:ligatures w14:val="standardContextual"/>
        </w:rPr>
        <w:t xml:space="preserve"> value the </w:t>
      </w:r>
      <w:proofErr w:type="spellStart"/>
      <w:r w:rsidRPr="00805E15">
        <w:rPr>
          <w:rFonts w:ascii="Calibri" w:eastAsia="Calibri" w:hAnsi="Calibri" w:cs="Times New Roman"/>
          <w:kern w:val="2"/>
          <w:sz w:val="24"/>
          <w:szCs w:val="24"/>
          <w:lang w:val="en-US"/>
          <w14:ligatures w14:val="standardContextual"/>
        </w:rPr>
        <w:t>the</w:t>
      </w:r>
      <w:proofErr w:type="spellEnd"/>
      <w:r w:rsidRPr="00805E15">
        <w:rPr>
          <w:rFonts w:ascii="Calibri" w:eastAsia="Calibri" w:hAnsi="Calibri" w:cs="Times New Roman"/>
          <w:kern w:val="2"/>
          <w:sz w:val="24"/>
          <w:szCs w:val="24"/>
          <w:lang w:val="en-US"/>
          <w14:ligatures w14:val="standardContextual"/>
        </w:rPr>
        <w:t xml:space="preserve"> official data, </w:t>
      </w:r>
      <w:r w:rsidRPr="00805E15">
        <w:rPr>
          <w:rFonts w:ascii="Calibri" w:eastAsia="Calibri" w:hAnsi="Calibri" w:cs="Times New Roman"/>
          <w:b/>
          <w:bCs/>
          <w:kern w:val="2"/>
          <w:sz w:val="24"/>
          <w:szCs w:val="24"/>
          <w:lang w:val="en-US"/>
          <w14:ligatures w14:val="standardContextual"/>
        </w:rPr>
        <w:t xml:space="preserve">as it is already the case internationally, that are used to promote policies against women's rights. </w:t>
      </w:r>
      <w:r w:rsidRPr="00805E15">
        <w:rPr>
          <w:rFonts w:ascii="Calibri" w:eastAsia="Calibri" w:hAnsi="Calibri" w:cs="Times New Roman"/>
          <w:kern w:val="2"/>
          <w:sz w:val="24"/>
          <w:szCs w:val="24"/>
          <w:lang w:val="en-US"/>
          <w14:ligatures w14:val="standardContextual"/>
        </w:rPr>
        <w:t xml:space="preserve">This happens on the issue of abortion, where numbers without a source are used to charge the medical practice with damage to women's health, complaining that it is used as a form of birth control, which is </w:t>
      </w:r>
      <w:r w:rsidRPr="00805E15">
        <w:rPr>
          <w:rFonts w:ascii="Calibri" w:eastAsia="Calibri" w:hAnsi="Calibri" w:cs="Times New Roman"/>
          <w:b/>
          <w:bCs/>
          <w:kern w:val="2"/>
          <w:sz w:val="24"/>
          <w:szCs w:val="24"/>
          <w:lang w:val="en-US"/>
          <w14:ligatures w14:val="standardContextual"/>
        </w:rPr>
        <w:t>not valid according to official surveys that prove the sharp decline in the use of abortion in Italy</w:t>
      </w:r>
      <w:r w:rsidRPr="00805E15">
        <w:rPr>
          <w:rFonts w:ascii="Calibri" w:eastAsia="Calibri" w:hAnsi="Calibri" w:cs="Times New Roman"/>
          <w:kern w:val="2"/>
          <w:sz w:val="24"/>
          <w:szCs w:val="24"/>
          <w:lang w:val="en-US"/>
          <w14:ligatures w14:val="standardContextual"/>
        </w:rPr>
        <w:t>. The same strategy is beginning to be used about male violence against women and feminicide: the number of women killed is disputed and qualified according to the social description of feminicide, claiming that such would not be the case, for example, that committed by elderly husbands against their sick wives, ignoring the sexist nature of this conduct. There are no structured and stable surveys of judicial statistics disaggregated by gender and sex. There is no separate disaggregated data on the phenomenon of gender-based violence against women with disabilities.</w:t>
      </w:r>
    </w:p>
    <w:p w14:paraId="49AEC543"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50D270FB"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2.</w:t>
      </w:r>
      <w:r w:rsidRPr="00805E15">
        <w:rPr>
          <w:rFonts w:ascii="Calibri" w:eastAsia="Calibri" w:hAnsi="Calibri" w:cs="Times New Roman"/>
          <w:b/>
          <w:bCs/>
          <w:kern w:val="2"/>
          <w:sz w:val="24"/>
          <w:szCs w:val="24"/>
          <w:lang w:val="en-US"/>
          <w14:ligatures w14:val="standardContextual"/>
        </w:rPr>
        <w:tab/>
        <w:t>Women's rights and gender equality after the pandemic and recovery measures</w:t>
      </w:r>
    </w:p>
    <w:p w14:paraId="34453EA0"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The pandemic and the implementation of the National Recovery and Resilience Plan (PNRR) provided strengthening measures in digital, construction, and infrastructure, characterized by the predominance of male labor, without adequate measures to increase female participation. It turned out that in distributing the funds through calls for tenders, a part of them should have been allocated to labor support measures, including creating nursery plans at the local level. However, many calls for finding remained without assignment.</w:t>
      </w:r>
    </w:p>
    <w:p w14:paraId="5F805A1D"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The overall approach focuses on the outsourcing of family care to foster female labor participation without adequately promoting the sharing of care responsibilities and without strengthening welfare. One aspect linked to the PNRR concerns the promotion of gender equality in companies, with the introduction of gender certification and tax incentives for hiring young people and women. However, almost 70% of the contracts provide for a total derogation from the clause obliging the companies that win the tender to employ at least 30% of young people under 36 and women: as many as 51,850 out of a total of 75,109 NRP or NPC contracts surveyed in Anac's National Public Contracts Database from July 2022 to 1 June 2023, i.e. 69.03%. There are 1,900 (2.53%) calls for tenders for which the contracting stations have requested a partial derogation (i.e., a lowering of the 30% clause), while 21,229 (28.26%) provide for compliance with the quota of young people and women prescribed by law.</w:t>
      </w:r>
    </w:p>
    <w:p w14:paraId="5A0DEA24"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It should be noted that one measure that was introduced, which provided tax incentives for the hiring of women out of violence, lacks data to prove its effectiveness.</w:t>
      </w:r>
    </w:p>
    <w:p w14:paraId="62DC5E96"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3B2595D5"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3.</w:t>
      </w:r>
      <w:r w:rsidRPr="00805E15">
        <w:rPr>
          <w:rFonts w:ascii="Calibri" w:eastAsia="Calibri" w:hAnsi="Calibri" w:cs="Times New Roman"/>
          <w:b/>
          <w:bCs/>
          <w:kern w:val="2"/>
          <w:sz w:val="24"/>
          <w:szCs w:val="24"/>
          <w:lang w:val="en-US"/>
          <w14:ligatures w14:val="standardContextual"/>
        </w:rPr>
        <w:tab/>
        <w:t>Legislation, policies, and institutional networks with particular reference to male violence against women</w:t>
      </w:r>
    </w:p>
    <w:p w14:paraId="2BF1D117"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lastRenderedPageBreak/>
        <w:t>Legislative policy in Italy is all about emergency and urgency, and this also applies to all legislative initiatives concerning women's rights, in particular, the right of women to live free from violence together with their children.</w:t>
      </w:r>
    </w:p>
    <w:p w14:paraId="76EF287C"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Regulatory reforms continually follow one another without a systemic reference framework or a stable political vision rooted in national and territorial politics.</w:t>
      </w:r>
    </w:p>
    <w:p w14:paraId="4FF101AD"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The buzzwords are prevention, protection, and safety without, however, an awareness of the oppressive, sexist nature of the discriminatory and violent dynamics towards women.</w:t>
      </w:r>
    </w:p>
    <w:p w14:paraId="6BDA2196"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 xml:space="preserve">Moreover, the numerous laws that have followed one another over the years, which have endowed the legal system with a system of legal institutions </w:t>
      </w:r>
      <w:r w:rsidRPr="00805E15">
        <w:rPr>
          <w:rFonts w:ascii="Calibri" w:eastAsia="Calibri" w:hAnsi="Calibri" w:cs="Times New Roman"/>
          <w:b/>
          <w:bCs/>
          <w:kern w:val="2"/>
          <w:sz w:val="24"/>
          <w:szCs w:val="24"/>
          <w:lang w:val="en-US"/>
          <w14:ligatures w14:val="standardContextual"/>
        </w:rPr>
        <w:t>abstractly suitable to guarantee an adequate and timely response</w:t>
      </w:r>
      <w:r w:rsidRPr="00805E15">
        <w:rPr>
          <w:rFonts w:ascii="Calibri" w:eastAsia="Calibri" w:hAnsi="Calibri" w:cs="Times New Roman"/>
          <w:kern w:val="2"/>
          <w:sz w:val="24"/>
          <w:szCs w:val="24"/>
          <w:lang w:val="en-US"/>
          <w14:ligatures w14:val="standardContextual"/>
        </w:rPr>
        <w:t>, in substance prove ineffective because no funds are provided to finance the institutional network (law enforcement agencies, judiciary, territorial network, and anti-violence centers and feminist organizations) nor a gender-based training against sexist stereotypes and prejudices has been implemented.</w:t>
      </w:r>
      <w:r w:rsidRPr="00805E15">
        <w:rPr>
          <w:rFonts w:ascii="Calibri" w:eastAsia="Calibri" w:hAnsi="Calibri" w:cs="Times New Roman"/>
          <w:kern w:val="2"/>
          <w:sz w:val="24"/>
          <w:szCs w:val="24"/>
          <w14:ligatures w14:val="standardContextual"/>
        </w:rPr>
        <w:t xml:space="preserve"> </w:t>
      </w:r>
      <w:r w:rsidRPr="00805E15">
        <w:rPr>
          <w:rFonts w:ascii="Calibri" w:eastAsia="Calibri" w:hAnsi="Calibri" w:cs="Times New Roman"/>
          <w:kern w:val="2"/>
          <w:sz w:val="24"/>
          <w:szCs w:val="24"/>
          <w:lang w:val="en-US"/>
          <w14:ligatures w14:val="standardContextual"/>
        </w:rPr>
        <w:t>All these laws are zero budget.</w:t>
      </w:r>
    </w:p>
    <w:p w14:paraId="2A476C3B"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110FED47"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4.</w:t>
      </w:r>
      <w:r w:rsidRPr="00805E15">
        <w:rPr>
          <w:rFonts w:ascii="Calibri" w:eastAsia="Calibri" w:hAnsi="Calibri" w:cs="Times New Roman"/>
          <w:b/>
          <w:bCs/>
          <w:kern w:val="2"/>
          <w:sz w:val="24"/>
          <w:szCs w:val="24"/>
          <w:lang w:val="en-US"/>
          <w14:ligatures w14:val="standardContextual"/>
        </w:rPr>
        <w:tab/>
        <w:t>Access to justice</w:t>
      </w:r>
    </w:p>
    <w:p w14:paraId="2B0E681A"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 xml:space="preserve">Access to justice, in general, for women remains an obstacle course and arena of serious </w:t>
      </w:r>
      <w:r w:rsidRPr="00805E15">
        <w:rPr>
          <w:rFonts w:ascii="Calibri" w:eastAsia="Calibri" w:hAnsi="Calibri" w:cs="Times New Roman"/>
          <w:b/>
          <w:bCs/>
          <w:kern w:val="2"/>
          <w:sz w:val="24"/>
          <w:szCs w:val="24"/>
          <w:lang w:val="en-US"/>
          <w14:ligatures w14:val="standardContextual"/>
        </w:rPr>
        <w:t>secondary victimization and vicarious violence</w:t>
      </w:r>
      <w:r w:rsidRPr="00805E15">
        <w:rPr>
          <w:rFonts w:ascii="Calibri" w:eastAsia="Calibri" w:hAnsi="Calibri" w:cs="Times New Roman"/>
          <w:kern w:val="2"/>
          <w:sz w:val="24"/>
          <w:szCs w:val="24"/>
          <w:lang w:val="en-US"/>
          <w14:ligatures w14:val="standardContextual"/>
        </w:rPr>
        <w:t>, as abusive men use legal institutions to continue perpetrating violence against women.</w:t>
      </w:r>
    </w:p>
    <w:p w14:paraId="62BC86D5"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 xml:space="preserve">In civil law for separation and divorce and juvenile law in child custody proceedings, access to justice is compromised by the high costs to be faced, especially for parenting skills counseling.  Civil justice has therefore become forcibly paid and therefore classist and sexist given the economic gap in access to economic resources and fair pay for women. In criminal cases, the generalized measure of legal aid has turned out to be outsourcing to be borne by women lawyers who take on the burden of expert legal assistance since the dedicated fund provided for by Law 119/2013 has not been set up, the ordinary one is operational, and the payouts are meager, thus compromising the possibility of ensuring qualitatively adequate legal assistance and discriminating against the legal profession that women practice for other women. </w:t>
      </w:r>
    </w:p>
    <w:p w14:paraId="758D8DF7"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Access to justice is also thwarted by the exceptionally long and unreasonable processing times of proceedings compared to the urgent protection of fundamental rights.</w:t>
      </w:r>
    </w:p>
    <w:p w14:paraId="528C2ED8"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For migrant women, the path is made even more difficult because the legality of their stay often conditions it; translation and interpretation or cultural mediation are unavailable. Specific strengthening measures such as residence permit for reasons of violence (art. 18 bis Legislative Decree 286/1998) are ignored on the territory or denied by the competent authorities, leaving women in a situation of social fragility and vulnerability to violence. The fear of being expelled hinders access to justice.</w:t>
      </w:r>
    </w:p>
    <w:p w14:paraId="66EE06E2"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The restorative justice mechanisms introduced by the recent reforms (</w:t>
      </w:r>
      <w:proofErr w:type="spellStart"/>
      <w:r w:rsidRPr="00805E15">
        <w:rPr>
          <w:rFonts w:ascii="Calibri" w:eastAsia="Calibri" w:hAnsi="Calibri" w:cs="Times New Roman"/>
          <w:kern w:val="2"/>
          <w:sz w:val="24"/>
          <w:szCs w:val="24"/>
          <w:lang w:val="en-US"/>
          <w14:ligatures w14:val="standardContextual"/>
        </w:rPr>
        <w:t>Cartabia</w:t>
      </w:r>
      <w:proofErr w:type="spellEnd"/>
      <w:r w:rsidRPr="00805E15">
        <w:rPr>
          <w:rFonts w:ascii="Calibri" w:eastAsia="Calibri" w:hAnsi="Calibri" w:cs="Times New Roman"/>
          <w:kern w:val="2"/>
          <w:sz w:val="24"/>
          <w:szCs w:val="24"/>
          <w:lang w:val="en-US"/>
          <w14:ligatures w14:val="standardContextual"/>
        </w:rPr>
        <w:t xml:space="preserve"> Law) produce generalized impunity for perpetrators of violence against women and determine additional risk factors because there is no guarantee and control over the paths and their effectiveness.</w:t>
      </w:r>
    </w:p>
    <w:p w14:paraId="548AF3F4"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Compensation for damages is a right not guaranteed to women by current legal institutions. Insufficient is the established compensation fund that excludes many crimes, most severely the victims of trafficking, who are also discriminated against in the quantum of compensation (EUR 1,500). There is lack of staff training on non-discrimination in the judiciary, inadequacy of the fight against negative stereotypes and a general inaccessibility of the judiciary system about information and communications in case of women with disabilities. In Italy, the legal protection institutions also aim to substitute people with disabilities, not support them in decision-making, and allow maximum self-determination. Various forms of reproductive coercion and forced sterilization are reported by women with disabilities.</w:t>
      </w:r>
    </w:p>
    <w:p w14:paraId="71BDA809"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13E45DA7"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3AE9973A"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2E5B5175"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0050B0A0"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5.</w:t>
      </w:r>
      <w:r w:rsidRPr="00805E15">
        <w:rPr>
          <w:rFonts w:ascii="Calibri" w:eastAsia="Calibri" w:hAnsi="Calibri" w:cs="Times New Roman"/>
          <w:b/>
          <w:bCs/>
          <w:kern w:val="2"/>
          <w:sz w:val="24"/>
          <w:szCs w:val="24"/>
          <w:lang w:val="en-US"/>
          <w14:ligatures w14:val="standardContextual"/>
        </w:rPr>
        <w:tab/>
        <w:t>Women, peace and security</w:t>
      </w:r>
    </w:p>
    <w:p w14:paraId="3294A9AA"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lastRenderedPageBreak/>
        <w:t xml:space="preserve">The specific resolutions on the subject are periodically reviewed and implemented through training initiatives; however, they should also guide the country's international policy consistent with Article 10 of the Italian Constitution, which rejects war as an instrument of international relations. </w:t>
      </w:r>
    </w:p>
    <w:p w14:paraId="0C3DB9CD"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 xml:space="preserve">The effectiveness of measures to prevent and address sexual and gender-based violence against women in domestic and international conflict situations is compromised by a lack of human and financial resources. International cooperation funds have often been diverted to other purposes, including, for example, the assisted repatriation of foreign women, albeit in areas of exposure to generalized violence such as Libya, </w:t>
      </w:r>
      <w:proofErr w:type="spellStart"/>
      <w:r w:rsidRPr="00805E15">
        <w:rPr>
          <w:rFonts w:ascii="Calibri" w:eastAsia="Calibri" w:hAnsi="Calibri" w:cs="Times New Roman"/>
          <w:kern w:val="2"/>
          <w:sz w:val="24"/>
          <w:szCs w:val="24"/>
          <w:lang w:val="en-US"/>
          <w14:ligatures w14:val="standardContextual"/>
        </w:rPr>
        <w:t>fuelling</w:t>
      </w:r>
      <w:proofErr w:type="spellEnd"/>
      <w:r w:rsidRPr="00805E15">
        <w:rPr>
          <w:rFonts w:ascii="Calibri" w:eastAsia="Calibri" w:hAnsi="Calibri" w:cs="Times New Roman"/>
          <w:kern w:val="2"/>
          <w:sz w:val="24"/>
          <w:szCs w:val="24"/>
          <w:lang w:val="en-US"/>
          <w14:ligatures w14:val="standardContextual"/>
        </w:rPr>
        <w:t xml:space="preserve"> persecution practices against women. There are no dedicated measures to protect women exposed to sexual and gender-based violence in conflict, nor support and reparation measures.</w:t>
      </w:r>
    </w:p>
    <w:p w14:paraId="370DA392"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2148F76D"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6.</w:t>
      </w:r>
      <w:r w:rsidRPr="00805E15">
        <w:rPr>
          <w:rFonts w:ascii="Calibri" w:eastAsia="Calibri" w:hAnsi="Calibri" w:cs="Times New Roman"/>
          <w:b/>
          <w:bCs/>
          <w:kern w:val="2"/>
          <w:sz w:val="24"/>
          <w:szCs w:val="24"/>
          <w:lang w:val="en-US"/>
          <w14:ligatures w14:val="standardContextual"/>
        </w:rPr>
        <w:tab/>
        <w:t>Institutional structures for the advancement of women</w:t>
      </w:r>
    </w:p>
    <w:p w14:paraId="0748CCD8"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There are no mechanisms and institutional structures in our legal system dedicated to the advancement of women in society. The Equal Opportunities Department, its territorial branches, or the Parliamentary Enquiry Commission on Feminicide and Gender-based Violence can be considered as such. In Italy, there needs to be more independent institutions and agencies monitoring the implementation of fundamental rights; in particular, there is a need for an independent agency with the specific purpose of guaranteeing the advancement of women's rights in the legal system.</w:t>
      </w:r>
    </w:p>
    <w:p w14:paraId="0EE72F72"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5613EC00"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7.</w:t>
      </w:r>
      <w:r w:rsidRPr="00805E15">
        <w:rPr>
          <w:rFonts w:ascii="Calibri" w:eastAsia="Calibri" w:hAnsi="Calibri" w:cs="Times New Roman"/>
          <w:b/>
          <w:bCs/>
          <w:kern w:val="2"/>
          <w:sz w:val="24"/>
          <w:szCs w:val="24"/>
          <w:lang w:val="en-US"/>
          <w14:ligatures w14:val="standardContextual"/>
        </w:rPr>
        <w:tab/>
        <w:t>Temporary Special Measures</w:t>
      </w:r>
    </w:p>
    <w:p w14:paraId="55518FB2"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The specific measures such as quotas to promote labor inclusion, the occupation of top positions, and to foster political participation have not only proved to be the result of differential inclusion strategies that do not take into account the value and substantial contribution of women's social advancement but have also been instrumentalized by power groups within the various contexts, such as in political representation: thus mere façade ploys that in practice have encouraged women's participation to a minimal extent. There are few top positions for women in every economic, productive, and institutional sector. Women are targets of a severe practice of hate speech whenever they expose themselves publicly and exercise the prerogatives of their roles. Welfare measures for economic and labor empowerment are family-based.</w:t>
      </w:r>
    </w:p>
    <w:p w14:paraId="35027562"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3A5E02A6"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8.</w:t>
      </w:r>
      <w:r w:rsidRPr="00805E15">
        <w:rPr>
          <w:rFonts w:ascii="Calibri" w:eastAsia="Calibri" w:hAnsi="Calibri" w:cs="Times New Roman"/>
          <w:b/>
          <w:bCs/>
          <w:kern w:val="2"/>
          <w:sz w:val="24"/>
          <w:szCs w:val="24"/>
          <w:lang w:val="en-US"/>
          <w14:ligatures w14:val="standardContextual"/>
        </w:rPr>
        <w:tab/>
        <w:t>Stereotypes and discriminatory practices</w:t>
      </w:r>
    </w:p>
    <w:p w14:paraId="4398702C"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 xml:space="preserve">The situation photographed by the decision rendered by the CEDAW Committee in the case F. v. Italy of 18 June 2022, following which both the measures recommended in favor of the individual author of the communication supported by the undersigned association, who has not received any compensation or form of reparation and the general measures have remained unimplemented; in particular, there are no tools for the detection of judicial stereotypes nor </w:t>
      </w:r>
      <w:r w:rsidRPr="00805E15">
        <w:rPr>
          <w:rFonts w:ascii="Calibri" w:eastAsia="Calibri" w:hAnsi="Calibri" w:cs="Times New Roman"/>
          <w:i/>
          <w:iCs/>
          <w:kern w:val="2"/>
          <w:sz w:val="24"/>
          <w:szCs w:val="24"/>
          <w:lang w:val="en-US"/>
          <w14:ligatures w14:val="standardContextual"/>
        </w:rPr>
        <w:t>accountability</w:t>
      </w:r>
      <w:r w:rsidRPr="00805E15">
        <w:rPr>
          <w:rFonts w:ascii="Calibri" w:eastAsia="Calibri" w:hAnsi="Calibri" w:cs="Times New Roman"/>
          <w:kern w:val="2"/>
          <w:sz w:val="24"/>
          <w:szCs w:val="24"/>
          <w:lang w:val="en-US"/>
          <w14:ligatures w14:val="standardContextual"/>
        </w:rPr>
        <w:t xml:space="preserve"> mechanisms, on the contrary, sexist readings and justifications analyses of discrimination and violence against women, endorsed by the case law of merit, are repeated and strengthened.</w:t>
      </w:r>
    </w:p>
    <w:p w14:paraId="4A1427F8"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024E22B9"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9.</w:t>
      </w:r>
      <w:r w:rsidRPr="00805E15">
        <w:rPr>
          <w:rFonts w:ascii="Calibri" w:eastAsia="Calibri" w:hAnsi="Calibri" w:cs="Times New Roman"/>
          <w:b/>
          <w:bCs/>
          <w:kern w:val="2"/>
          <w:sz w:val="24"/>
          <w:szCs w:val="24"/>
          <w:lang w:val="en-US"/>
          <w14:ligatures w14:val="standardContextual"/>
        </w:rPr>
        <w:tab/>
        <w:t>Gender-based violence against women</w:t>
      </w:r>
    </w:p>
    <w:p w14:paraId="0A96CD94"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 xml:space="preserve">The National Anti-Violence Plan, drafted without the actual participation of women from civil society and feminist organizations, takes a standardized form of governance that, instead of promoting a feminist vision, seems to favor a bureaucratic approach to the protection system. The gender and feminist perspective </w:t>
      </w:r>
      <w:proofErr w:type="gramStart"/>
      <w:r w:rsidRPr="00805E15">
        <w:rPr>
          <w:rFonts w:ascii="Calibri" w:eastAsia="Calibri" w:hAnsi="Calibri" w:cs="Times New Roman"/>
          <w:kern w:val="2"/>
          <w:sz w:val="24"/>
          <w:szCs w:val="24"/>
          <w:lang w:val="en-US"/>
          <w14:ligatures w14:val="standardContextual"/>
        </w:rPr>
        <w:t>is</w:t>
      </w:r>
      <w:proofErr w:type="gramEnd"/>
      <w:r w:rsidRPr="00805E15">
        <w:rPr>
          <w:rFonts w:ascii="Calibri" w:eastAsia="Calibri" w:hAnsi="Calibri" w:cs="Times New Roman"/>
          <w:kern w:val="2"/>
          <w:sz w:val="24"/>
          <w:szCs w:val="24"/>
          <w:lang w:val="en-US"/>
          <w14:ligatures w14:val="standardContextual"/>
        </w:rPr>
        <w:t xml:space="preserve"> often neglected, as it is considered too transformative and is set aside in favor of neutral approaches based on the dimension of relationships, reciprocity, and pathology of relationships rather than directly addressing gender issues.</w:t>
      </w:r>
    </w:p>
    <w:p w14:paraId="56596D59"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 xml:space="preserve">The public discourse focuses on safety, prevention, and protection, but these goals often burden individual women. Shelter homes, for instance, need to be more robust, well-funded, and characterized by uncertainty and short duration. Moreover, they are often subordinated to registered residents; in some territories, access is conditional on submitting a criminal complaint, basing their accessibility on the fee per woman paid by the social service. Therefore, adequate protection can only be ensured with residence (and therefore for foreign women without residence </w:t>
      </w:r>
      <w:r w:rsidRPr="00805E15">
        <w:rPr>
          <w:rFonts w:ascii="Calibri" w:eastAsia="Calibri" w:hAnsi="Calibri" w:cs="Times New Roman"/>
          <w:kern w:val="2"/>
          <w:sz w:val="24"/>
          <w:szCs w:val="24"/>
          <w:lang w:val="en-US"/>
          <w14:ligatures w14:val="standardContextual"/>
        </w:rPr>
        <w:lastRenderedPageBreak/>
        <w:t>permits). There is a territorial inhomogeneity in compliance with the minimum requirements (h24 and 7/7) between the different shelters included in mapping the anti-violence centers. It is essential to underline that many of these shelters do not adopt a feminist and gender perspective.</w:t>
      </w:r>
    </w:p>
    <w:p w14:paraId="3FC4E436" w14:textId="6C0985F6"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Particularly problematic is the institutional response to young women of foreign origin who, although they manage to escape from domestic violence and the risk of forced marriages, are placed in foster home systems and then left without resources and help when they turn eighteen, thus aggravating their objective condition of vulnerability to family violence. Emblematic of this inadequate institutional response is the case of S</w:t>
      </w:r>
      <w:r w:rsidR="008C1B30">
        <w:rPr>
          <w:rFonts w:ascii="Calibri" w:eastAsia="Calibri" w:hAnsi="Calibri" w:cs="Times New Roman"/>
          <w:kern w:val="2"/>
          <w:sz w:val="24"/>
          <w:szCs w:val="24"/>
          <w:lang w:val="en-US"/>
          <w14:ligatures w14:val="standardContextual"/>
        </w:rPr>
        <w:t>.</w:t>
      </w:r>
      <w:r w:rsidRPr="00805E15">
        <w:rPr>
          <w:rFonts w:ascii="Calibri" w:eastAsia="Calibri" w:hAnsi="Calibri" w:cs="Times New Roman"/>
          <w:kern w:val="2"/>
          <w:sz w:val="24"/>
          <w:szCs w:val="24"/>
          <w:lang w:val="en-US"/>
          <w14:ligatures w14:val="standardContextual"/>
        </w:rPr>
        <w:t xml:space="preserve"> A</w:t>
      </w:r>
      <w:r w:rsidR="008C1B30">
        <w:rPr>
          <w:rFonts w:ascii="Calibri" w:eastAsia="Calibri" w:hAnsi="Calibri" w:cs="Times New Roman"/>
          <w:kern w:val="2"/>
          <w:sz w:val="24"/>
          <w:szCs w:val="24"/>
          <w:lang w:val="en-US"/>
          <w14:ligatures w14:val="standardContextual"/>
        </w:rPr>
        <w:t>.</w:t>
      </w:r>
      <w:r w:rsidRPr="00805E15">
        <w:rPr>
          <w:rFonts w:ascii="Calibri" w:eastAsia="Calibri" w:hAnsi="Calibri" w:cs="Times New Roman"/>
          <w:kern w:val="2"/>
          <w:sz w:val="24"/>
          <w:szCs w:val="24"/>
          <w:lang w:val="en-US"/>
          <w14:ligatures w14:val="standardContextual"/>
        </w:rPr>
        <w:t xml:space="preserve">, a young Pakistani girl killed by her family clan following her rebellion against forced marriage: the girl had asked for help from the entire territorial network, but the danger to her life was underestimated. The parents were sentenced to life imprisonment, but public responsibility for her death remains to be ascertained.  </w:t>
      </w:r>
    </w:p>
    <w:p w14:paraId="7F73C3F4"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 xml:space="preserve">In Italy there is still no inclusive and accessible reception in the system of services dealing with women victims of violence, Anti-Violence </w:t>
      </w:r>
      <w:proofErr w:type="spellStart"/>
      <w:r w:rsidRPr="00805E15">
        <w:rPr>
          <w:rFonts w:ascii="Calibri" w:eastAsia="Calibri" w:hAnsi="Calibri" w:cs="Times New Roman"/>
          <w:kern w:val="2"/>
          <w:sz w:val="24"/>
          <w:szCs w:val="24"/>
          <w:lang w:val="en-US"/>
          <w14:ligatures w14:val="standardContextual"/>
        </w:rPr>
        <w:t>Centres</w:t>
      </w:r>
      <w:proofErr w:type="spellEnd"/>
      <w:r w:rsidRPr="00805E15">
        <w:rPr>
          <w:rFonts w:ascii="Calibri" w:eastAsia="Calibri" w:hAnsi="Calibri" w:cs="Times New Roman"/>
          <w:kern w:val="2"/>
          <w:sz w:val="24"/>
          <w:szCs w:val="24"/>
          <w:lang w:val="en-US"/>
          <w14:ligatures w14:val="standardContextual"/>
        </w:rPr>
        <w:t>, Police and Social Services.</w:t>
      </w:r>
    </w:p>
    <w:p w14:paraId="17316DC4"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 xml:space="preserve">The Network of Anti-Violence Services are still unprepared to welcome women with disabilities: ISTAT tells us that 94.1% of the Shelter Homes have criteria to exclude guests from reception, and that 80.7% of them do not welcome women with psychiatric distress (read more about this in this article). </w:t>
      </w:r>
    </w:p>
    <w:p w14:paraId="5E4CB112"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Violence against sons and daughters is now seriously concealed, rarely investigated with a high rate of archiving because the children are considered incapable of reporting and in any case conditioned by the relationship between the parents, which is considered conflictual.</w:t>
      </w:r>
    </w:p>
    <w:p w14:paraId="3F31FA92"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7B66969E"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10.</w:t>
      </w:r>
      <w:r w:rsidRPr="00805E15">
        <w:rPr>
          <w:rFonts w:ascii="Calibri" w:eastAsia="Calibri" w:hAnsi="Calibri" w:cs="Times New Roman"/>
          <w:b/>
          <w:bCs/>
          <w:kern w:val="2"/>
          <w:sz w:val="24"/>
          <w:szCs w:val="24"/>
          <w:lang w:val="en-US"/>
          <w14:ligatures w14:val="standardContextual"/>
        </w:rPr>
        <w:tab/>
        <w:t>Trafficking in women and sexual exploitation</w:t>
      </w:r>
    </w:p>
    <w:p w14:paraId="29AD1499"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In our experience, trafficking in human beings remains predominantly a phenomenon concerning women, who are primarily involved in sexual exploitation as well as labor and criminal activities. The regulation of immigration and residence in Italy aggravates and widens the opportunities for women to be recruited for sexual exploitation, as do the rejection policies that the government supports. Measures such as repatriations, the outsourcing of the management of access to the territory, bilateral agreements with countries where indiscriminate violence is known to occur (e.g., Libya), and the specific social vulnerabilities of women (e.g., Albania, Tunisia, Turkey), expose migrant women to trafficking and sexual exploitation.</w:t>
      </w:r>
    </w:p>
    <w:p w14:paraId="6FFC0C51"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There is no criminal investigation of the phenomenon or prosecution of criminal networks that exploit trafficked women on the territory.</w:t>
      </w:r>
    </w:p>
    <w:p w14:paraId="33717E5B"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Moreover, the normalization of prostitution as a dimension of free choice, regardless of the experience of the women directly involved who instead speak of subjection and slavery, contributes to concealing the violent and oppressive nature. It is also necessary to redefine support and protection programs outside of moralistic and control logic. Most anti-trafficking organizations are religiously based, and this conditions the institutional response.</w:t>
      </w:r>
    </w:p>
    <w:p w14:paraId="24093783"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10A356E3"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11.</w:t>
      </w:r>
      <w:r w:rsidRPr="00805E15">
        <w:rPr>
          <w:rFonts w:ascii="Calibri" w:eastAsia="Calibri" w:hAnsi="Calibri" w:cs="Times New Roman"/>
          <w:b/>
          <w:bCs/>
          <w:kern w:val="2"/>
          <w:sz w:val="24"/>
          <w:szCs w:val="24"/>
          <w:lang w:val="en-US"/>
          <w14:ligatures w14:val="standardContextual"/>
        </w:rPr>
        <w:tab/>
        <w:t>Political participation and public life</w:t>
      </w:r>
    </w:p>
    <w:p w14:paraId="65490214"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Women's political participation remains very low and hindered by a prevalence of masculine and sexist logic in institutional politics. Women in politics are targets of hate speech and marginalization practices, and the concrete space for feminist politics is precluded by the logic of exclusion and stigmatization of feminist politics as such.</w:t>
      </w:r>
    </w:p>
    <w:p w14:paraId="3CE19B46"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360E9663"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12.</w:t>
      </w:r>
      <w:r w:rsidRPr="00805E15">
        <w:rPr>
          <w:rFonts w:ascii="Calibri" w:eastAsia="Calibri" w:hAnsi="Calibri" w:cs="Times New Roman"/>
          <w:b/>
          <w:bCs/>
          <w:kern w:val="2"/>
          <w:sz w:val="24"/>
          <w:szCs w:val="24"/>
          <w:lang w:val="en-US"/>
          <w14:ligatures w14:val="standardContextual"/>
        </w:rPr>
        <w:tab/>
        <w:t xml:space="preserve">Nationality  </w:t>
      </w:r>
    </w:p>
    <w:p w14:paraId="68AC1227" w14:textId="77777777" w:rsid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Access to Italian citizenship remains difficult and hindered by income and continuity of residence issues, which implies continuity of residence, demanding women to maintain. New generations with family experience of migration remain trapped in the logic of immigration control and, in the absence of adequate access to citizenship, are excluded from public careers, from active and passive political participation, and, therefore, from society.</w:t>
      </w:r>
    </w:p>
    <w:p w14:paraId="758AED4F" w14:textId="77777777" w:rsidR="008C1B30" w:rsidRPr="00805E15" w:rsidRDefault="008C1B30" w:rsidP="00805E15">
      <w:pPr>
        <w:spacing w:after="0" w:line="240" w:lineRule="auto"/>
        <w:jc w:val="both"/>
        <w:rPr>
          <w:rFonts w:ascii="Calibri" w:eastAsia="Calibri" w:hAnsi="Calibri" w:cs="Times New Roman"/>
          <w:kern w:val="2"/>
          <w:sz w:val="24"/>
          <w:szCs w:val="24"/>
          <w:lang w:val="en-US"/>
          <w14:ligatures w14:val="standardContextual"/>
        </w:rPr>
      </w:pPr>
    </w:p>
    <w:p w14:paraId="2C41593B"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6208F7F6"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lastRenderedPageBreak/>
        <w:t>13.</w:t>
      </w:r>
      <w:r w:rsidRPr="00805E15">
        <w:rPr>
          <w:rFonts w:ascii="Calibri" w:eastAsia="Calibri" w:hAnsi="Calibri" w:cs="Times New Roman"/>
          <w:b/>
          <w:bCs/>
          <w:kern w:val="2"/>
          <w:sz w:val="24"/>
          <w:szCs w:val="24"/>
          <w:lang w:val="en-US"/>
          <w14:ligatures w14:val="standardContextual"/>
        </w:rPr>
        <w:tab/>
        <w:t>Education</w:t>
      </w:r>
    </w:p>
    <w:p w14:paraId="0D1D75CE"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Formal and informal education remains steeped in sexist stereotypes. School and university curricula remain defined according to a neutral perspective, effectively excluding female and feminist knowledge in every discipline. There is an absence of any educational programming adequate to overcome the relational dynamics that fuel gender-based violence and sexist discrimination. Our daily commitment leads us to the firm awareness of the urgent need for a radical and transversal public, permanent and continuous prevention campaign to accompany the change in relationships, starting from the educational institutions, but compulsorily to be spread to all citizenship, in the short, medium and long term.</w:t>
      </w:r>
    </w:p>
    <w:p w14:paraId="3E3D26B8"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Cultural change can only be achieved with economic availability and an ad hoc structured financial strategic plan. Systemic training is needed for the entire anti-violence network and all citizens, starting from schools of all levels, workplaces, and families.</w:t>
      </w:r>
    </w:p>
    <w:p w14:paraId="4B03343D"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Cultural reform also means, specifically, changing textbooks steeped in stereotypes and prejudices, bringing back the female subjectivity erased and absent in the history of disciplines, and strengthening the school system with specific training not only for male and female students but also for the educating community of teachers, school staff and parents.</w:t>
      </w:r>
    </w:p>
    <w:p w14:paraId="54F7E85E"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We need a cultural reform within our schools that brings theoretical and practical transversal skills and the development of critical thinking to our students and their families. We must overcome the Conception of care as a hierarchy and power between genders to understand what autonomy, self-determination, consent, well-being, and relationships with others mean.</w:t>
      </w:r>
    </w:p>
    <w:p w14:paraId="459A40AE"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49B02794"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14.</w:t>
      </w:r>
      <w:r w:rsidRPr="00805E15">
        <w:rPr>
          <w:rFonts w:ascii="Calibri" w:eastAsia="Calibri" w:hAnsi="Calibri" w:cs="Times New Roman"/>
          <w:b/>
          <w:bCs/>
          <w:kern w:val="2"/>
          <w:sz w:val="24"/>
          <w:szCs w:val="24"/>
          <w:lang w:val="en-US"/>
          <w14:ligatures w14:val="standardContextual"/>
        </w:rPr>
        <w:tab/>
        <w:t xml:space="preserve">The </w:t>
      </w:r>
      <w:proofErr w:type="spellStart"/>
      <w:r w:rsidRPr="00805E15">
        <w:rPr>
          <w:rFonts w:ascii="Calibri" w:eastAsia="Calibri" w:hAnsi="Calibri" w:cs="Times New Roman"/>
          <w:b/>
          <w:bCs/>
          <w:kern w:val="2"/>
          <w:sz w:val="24"/>
          <w:szCs w:val="24"/>
          <w:lang w:val="en-US"/>
          <w14:ligatures w14:val="standardContextual"/>
        </w:rPr>
        <w:t>labour</w:t>
      </w:r>
      <w:proofErr w:type="spellEnd"/>
      <w:r w:rsidRPr="00805E15">
        <w:rPr>
          <w:rFonts w:ascii="Calibri" w:eastAsia="Calibri" w:hAnsi="Calibri" w:cs="Times New Roman"/>
          <w:b/>
          <w:bCs/>
          <w:kern w:val="2"/>
          <w:sz w:val="24"/>
          <w:szCs w:val="24"/>
          <w:lang w:val="en-US"/>
          <w14:ligatures w14:val="standardContextual"/>
        </w:rPr>
        <w:t xml:space="preserve"> </w:t>
      </w:r>
      <w:proofErr w:type="gramStart"/>
      <w:r w:rsidRPr="00805E15">
        <w:rPr>
          <w:rFonts w:ascii="Calibri" w:eastAsia="Calibri" w:hAnsi="Calibri" w:cs="Times New Roman"/>
          <w:b/>
          <w:bCs/>
          <w:kern w:val="2"/>
          <w:sz w:val="24"/>
          <w:szCs w:val="24"/>
          <w:lang w:val="en-US"/>
          <w14:ligatures w14:val="standardContextual"/>
        </w:rPr>
        <w:t>market</w:t>
      </w:r>
      <w:proofErr w:type="gramEnd"/>
    </w:p>
    <w:p w14:paraId="05EB46D7"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 xml:space="preserve">In Italy, more than 50 percent of women are out of work and have no financial autonomy, and only half of the female population has a bank account. Women's work is precarious and underpaid in segregated sectors based on gender and sexist stereotypes. There is also a radical feminization of poverty. Support measures are few, inadequate, and </w:t>
      </w:r>
      <w:proofErr w:type="spellStart"/>
      <w:r w:rsidRPr="00805E15">
        <w:rPr>
          <w:rFonts w:ascii="Calibri" w:eastAsia="Calibri" w:hAnsi="Calibri" w:cs="Times New Roman"/>
          <w:kern w:val="2"/>
          <w:sz w:val="24"/>
          <w:szCs w:val="24"/>
          <w:lang w:val="en-US"/>
          <w14:ligatures w14:val="standardContextual"/>
        </w:rPr>
        <w:t>familistic</w:t>
      </w:r>
      <w:proofErr w:type="spellEnd"/>
      <w:r w:rsidRPr="00805E15">
        <w:rPr>
          <w:rFonts w:ascii="Calibri" w:eastAsia="Calibri" w:hAnsi="Calibri" w:cs="Times New Roman"/>
          <w:kern w:val="2"/>
          <w:sz w:val="24"/>
          <w:szCs w:val="24"/>
          <w:lang w:val="en-US"/>
          <w14:ligatures w14:val="standardContextual"/>
        </w:rPr>
        <w:t>, without a vision aimed at empowering women and, above all, are welfarist, outside a scheme that promotes social security.</w:t>
      </w:r>
    </w:p>
    <w:p w14:paraId="2E095310"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The Global Gender Gap Report 2023 (every year it surveys the state of the gender gap in the world) with worrying data for Italy, which, in the ranking of 146 countries analyzed, drops 13 positions: from 63rd in 2022 to 79th in 2023.</w:t>
      </w:r>
    </w:p>
    <w:p w14:paraId="36C4660E"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278BE760"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15.</w:t>
      </w:r>
      <w:r w:rsidRPr="00805E15">
        <w:rPr>
          <w:rFonts w:ascii="Calibri" w:eastAsia="Calibri" w:hAnsi="Calibri" w:cs="Times New Roman"/>
          <w:b/>
          <w:bCs/>
          <w:kern w:val="2"/>
          <w:sz w:val="24"/>
          <w:szCs w:val="24"/>
          <w:lang w:val="en-US"/>
          <w14:ligatures w14:val="standardContextual"/>
        </w:rPr>
        <w:tab/>
        <w:t xml:space="preserve">Health </w:t>
      </w:r>
    </w:p>
    <w:p w14:paraId="3D3821DF"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In every sphere, health protection suffers from the destruction of public social measures. The national health service has been severely weakened with an inevitable decline in prevention, treatment, and care access. The most severe impact is on the protection of sexual and reproductive health, an area in which the non-availability of services is combined with obstacles placed in the way for ideological reasons and which produce obstetric violence, imposed pregnancies, medicalization and suffering, and the crushing of freedom of self-determination.</w:t>
      </w:r>
    </w:p>
    <w:p w14:paraId="2D78333E"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 xml:space="preserve">There are not enough birth points, but neither are </w:t>
      </w:r>
      <w:proofErr w:type="gramStart"/>
      <w:r w:rsidRPr="00805E15">
        <w:rPr>
          <w:rFonts w:ascii="Calibri" w:eastAsia="Calibri" w:hAnsi="Calibri" w:cs="Times New Roman"/>
          <w:kern w:val="2"/>
          <w:sz w:val="24"/>
          <w:szCs w:val="24"/>
          <w:lang w:val="en-US"/>
          <w14:ligatures w14:val="standardContextual"/>
        </w:rPr>
        <w:t>there</w:t>
      </w:r>
      <w:proofErr w:type="gramEnd"/>
      <w:r w:rsidRPr="00805E15">
        <w:rPr>
          <w:rFonts w:ascii="Calibri" w:eastAsia="Calibri" w:hAnsi="Calibri" w:cs="Times New Roman"/>
          <w:kern w:val="2"/>
          <w:sz w:val="24"/>
          <w:szCs w:val="24"/>
          <w:lang w:val="en-US"/>
          <w14:ligatures w14:val="standardContextual"/>
        </w:rPr>
        <w:t xml:space="preserve"> hospital facilities with medical personnel who are not conscientious objectors about abortion and prenatal diagnosis. There is little recourse to telemedicine that could prevent the excessive medicalization of access to medical practices under Law 194/1978. There is a bill currently under consideration in Parliament (art.14 of law 194/1978, </w:t>
      </w:r>
      <w:r w:rsidRPr="00805E15">
        <w:rPr>
          <w:rFonts w:ascii="Calibri" w:eastAsia="Calibri" w:hAnsi="Calibri" w:cs="Times New Roman"/>
          <w:b/>
          <w:bCs/>
          <w:kern w:val="2"/>
          <w:sz w:val="24"/>
          <w:szCs w:val="24"/>
          <w:lang w:val="en-US"/>
          <w14:ligatures w14:val="standardContextual"/>
        </w:rPr>
        <w:t>paragraph 1-bis</w:t>
      </w:r>
      <w:r w:rsidRPr="00805E15">
        <w:rPr>
          <w:rFonts w:ascii="Calibri" w:eastAsia="Calibri" w:hAnsi="Calibri" w:cs="Times New Roman"/>
          <w:kern w:val="2"/>
          <w:sz w:val="24"/>
          <w:szCs w:val="24"/>
          <w:lang w:val="en-US"/>
          <w14:ligatures w14:val="standardContextual"/>
        </w:rPr>
        <w:t>) which would like to force women to feel the fetus' heartbeat before abortion.</w:t>
      </w:r>
    </w:p>
    <w:p w14:paraId="77529315"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 xml:space="preserve">We report the case of the fetus cemetery discovered in Rome, where more than 3,000 women who had undergone therapeutic abortions had their names and surnames put on their graves to identify the fetuses buried without their knowledge. The municipality of Rome and the cemetery have been fined, but the women have not yet been compensated. The health damage caused by male violence and institutional violence to women remains uninvestigated and unaddressed in terms of care and reparation. </w:t>
      </w:r>
    </w:p>
    <w:p w14:paraId="35E18A5C"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2885BD78"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16.</w:t>
      </w:r>
      <w:r w:rsidRPr="00805E15">
        <w:rPr>
          <w:rFonts w:ascii="Calibri" w:eastAsia="Calibri" w:hAnsi="Calibri" w:cs="Times New Roman"/>
          <w:b/>
          <w:bCs/>
          <w:kern w:val="2"/>
          <w:sz w:val="24"/>
          <w:szCs w:val="24"/>
          <w:lang w:val="en-US"/>
          <w14:ligatures w14:val="standardContextual"/>
        </w:rPr>
        <w:tab/>
        <w:t>Migrant, asylum-seeking and refugee women</w:t>
      </w:r>
    </w:p>
    <w:p w14:paraId="2DC27A77"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lastRenderedPageBreak/>
        <w:t xml:space="preserve">Immigration regulation produces institutional violence against women, exacerbates persecution and gender discrimination, and exposes them to male violence in intimate relationships. All women, regardless of entry or legal residence, suffer the blackmail of losing their residence permit or being deported if they do not have one. The specific residence permits introduced into the system are not known by the territorial network and, in any case, are not an automatism; above all, they are related to the criminal complaint that precisely because of the irregularity of the stay women are afraid to present. There has been an increase in women's access to refugee status due to persecution on gender grounds; however, the rate of recognition remains low and is mainly motivated by belonging to the particular social group, as the political nature of the discrimination and persecution that women suffer is still not recognized. It would be necessary to overcome the current legal framework entirely and to establish in the implementation of Article 10 of the Constitution the right to first access to the territory and </w:t>
      </w:r>
      <w:proofErr w:type="spellStart"/>
      <w:r w:rsidRPr="00805E15">
        <w:rPr>
          <w:rFonts w:ascii="Calibri" w:eastAsia="Calibri" w:hAnsi="Calibri" w:cs="Times New Roman"/>
          <w:kern w:val="2"/>
          <w:sz w:val="24"/>
          <w:szCs w:val="24"/>
          <w:lang w:val="en-US"/>
          <w14:ligatures w14:val="standardContextual"/>
        </w:rPr>
        <w:t>regularisation</w:t>
      </w:r>
      <w:proofErr w:type="spellEnd"/>
      <w:r w:rsidRPr="00805E15">
        <w:rPr>
          <w:rFonts w:ascii="Calibri" w:eastAsia="Calibri" w:hAnsi="Calibri" w:cs="Times New Roman"/>
          <w:kern w:val="2"/>
          <w:sz w:val="24"/>
          <w:szCs w:val="24"/>
          <w:lang w:val="en-US"/>
          <w14:ligatures w14:val="standardContextual"/>
        </w:rPr>
        <w:t xml:space="preserve"> in the territory based on each woman's migration project as an inalienable component of the search for opportunities for a dignified life free from violence.</w:t>
      </w:r>
    </w:p>
    <w:p w14:paraId="18E0E0DA"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061ED8D3"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17.</w:t>
      </w:r>
      <w:r w:rsidRPr="00805E15">
        <w:rPr>
          <w:rFonts w:ascii="Calibri" w:eastAsia="Calibri" w:hAnsi="Calibri" w:cs="Times New Roman"/>
          <w:b/>
          <w:bCs/>
          <w:kern w:val="2"/>
          <w:sz w:val="24"/>
          <w:szCs w:val="24"/>
          <w:lang w:val="en-US"/>
          <w14:ligatures w14:val="standardContextual"/>
        </w:rPr>
        <w:tab/>
        <w:t>Marriage and family relations</w:t>
      </w:r>
    </w:p>
    <w:p w14:paraId="6870D105"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 xml:space="preserve">Family relations are still characterized by sexist and discriminatory stereotypes of women both in caring for the family and in exercising related responsibilities. </w:t>
      </w:r>
    </w:p>
    <w:p w14:paraId="4B0F99C3"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Women's commitment to work is stigmatized as an element that distracts from the management of children; if women do not work socially, there is blame for the maintenance of husbands/fathers both during the relationship and in family crises.</w:t>
      </w:r>
    </w:p>
    <w:p w14:paraId="308AABBA"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 xml:space="preserve">The sexist reading of family relationships and the maternal role is aggravated in court, where </w:t>
      </w:r>
      <w:r w:rsidRPr="00805E15">
        <w:rPr>
          <w:rFonts w:ascii="Calibri" w:eastAsia="Calibri" w:hAnsi="Calibri" w:cs="Times New Roman"/>
          <w:i/>
          <w:iCs/>
          <w:kern w:val="2"/>
          <w:sz w:val="24"/>
          <w:szCs w:val="24"/>
          <w:lang w:val="en-US"/>
          <w14:ligatures w14:val="standardContextual"/>
        </w:rPr>
        <w:t xml:space="preserve">mother-blaming </w:t>
      </w:r>
      <w:r w:rsidRPr="00805E15">
        <w:rPr>
          <w:rFonts w:ascii="Calibri" w:eastAsia="Calibri" w:hAnsi="Calibri" w:cs="Times New Roman"/>
          <w:kern w:val="2"/>
          <w:sz w:val="24"/>
          <w:szCs w:val="24"/>
          <w:lang w:val="en-US"/>
          <w14:ligatures w14:val="standardContextual"/>
        </w:rPr>
        <w:t xml:space="preserve">arguments are conveyed: mothers are blamed for every behavior of their children, including their rejection of the father they are afraid of. </w:t>
      </w:r>
    </w:p>
    <w:p w14:paraId="52EAC8E6"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Women then have to take on the care of older people and any disability that affects family members in a condition of extreme loneliness.</w:t>
      </w:r>
    </w:p>
    <w:p w14:paraId="142A0097"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2A655CF3" w14:textId="77777777" w:rsidR="00805E15" w:rsidRPr="00805E15" w:rsidRDefault="00805E15" w:rsidP="00805E15">
      <w:pPr>
        <w:spacing w:after="0" w:line="240" w:lineRule="auto"/>
        <w:jc w:val="both"/>
        <w:rPr>
          <w:rFonts w:ascii="Calibri" w:eastAsia="Calibri" w:hAnsi="Calibri" w:cs="Times New Roman"/>
          <w:b/>
          <w:bCs/>
          <w:kern w:val="2"/>
          <w:sz w:val="24"/>
          <w:szCs w:val="24"/>
          <w:lang w:val="en-US"/>
          <w14:ligatures w14:val="standardContextual"/>
        </w:rPr>
      </w:pPr>
      <w:r w:rsidRPr="00805E15">
        <w:rPr>
          <w:rFonts w:ascii="Calibri" w:eastAsia="Calibri" w:hAnsi="Calibri" w:cs="Times New Roman"/>
          <w:b/>
          <w:bCs/>
          <w:kern w:val="2"/>
          <w:sz w:val="24"/>
          <w:szCs w:val="24"/>
          <w:lang w:val="en-US"/>
          <w14:ligatures w14:val="standardContextual"/>
        </w:rPr>
        <w:t>Conclusions</w:t>
      </w:r>
    </w:p>
    <w:p w14:paraId="0DABA3AF"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Differenza Donna denounces that the CEDAW remains unimplemented in Italy, which has proceeded to a merely formal adjustment of the legal system, producing damage to individual women and society of intergenerational scope that must cease immediately and find timely reparation.</w:t>
      </w:r>
    </w:p>
    <w:p w14:paraId="0CB3160B" w14:textId="77777777" w:rsidR="00805E15" w:rsidRPr="00805E15" w:rsidRDefault="00805E15" w:rsidP="00805E15">
      <w:pPr>
        <w:spacing w:after="0" w:line="240" w:lineRule="auto"/>
        <w:jc w:val="both"/>
        <w:rPr>
          <w:rFonts w:ascii="Calibri" w:eastAsia="Calibri" w:hAnsi="Calibri" w:cs="Times New Roman"/>
          <w:kern w:val="2"/>
          <w:sz w:val="24"/>
          <w:szCs w:val="24"/>
          <w:lang w:val="en-US"/>
          <w14:ligatures w14:val="standardContextual"/>
        </w:rPr>
      </w:pPr>
    </w:p>
    <w:p w14:paraId="4D615094" w14:textId="77777777" w:rsidR="00805E15" w:rsidRPr="00805E15" w:rsidRDefault="00805E15" w:rsidP="00805E15">
      <w:pPr>
        <w:spacing w:after="0" w:line="240" w:lineRule="auto"/>
        <w:jc w:val="right"/>
        <w:rPr>
          <w:rFonts w:ascii="Calibri" w:eastAsia="Calibri" w:hAnsi="Calibri" w:cs="Times New Roman"/>
          <w:kern w:val="2"/>
          <w:sz w:val="24"/>
          <w:szCs w:val="24"/>
          <w14:ligatures w14:val="standardContextual"/>
        </w:rPr>
      </w:pPr>
      <w:proofErr w:type="spellStart"/>
      <w:r w:rsidRPr="00805E15">
        <w:rPr>
          <w:rFonts w:ascii="Calibri" w:eastAsia="Calibri" w:hAnsi="Calibri" w:cs="Times New Roman"/>
          <w:kern w:val="2"/>
          <w:sz w:val="24"/>
          <w:szCs w:val="24"/>
          <w14:ligatures w14:val="standardContextual"/>
        </w:rPr>
        <w:t>President</w:t>
      </w:r>
      <w:proofErr w:type="spellEnd"/>
      <w:r w:rsidRPr="00805E15">
        <w:rPr>
          <w:rFonts w:ascii="Calibri" w:eastAsia="Calibri" w:hAnsi="Calibri" w:cs="Times New Roman"/>
          <w:kern w:val="2"/>
          <w:sz w:val="24"/>
          <w:szCs w:val="24"/>
          <w14:ligatures w14:val="standardContextual"/>
        </w:rPr>
        <w:t xml:space="preserve"> of the Differenza Donna </w:t>
      </w:r>
    </w:p>
    <w:p w14:paraId="295D1A87" w14:textId="77777777" w:rsidR="00805E15" w:rsidRPr="00805E15" w:rsidRDefault="00805E15" w:rsidP="00805E15">
      <w:pPr>
        <w:spacing w:after="0" w:line="240" w:lineRule="auto"/>
        <w:jc w:val="right"/>
        <w:rPr>
          <w:rFonts w:ascii="Calibri" w:eastAsia="Calibri" w:hAnsi="Calibri" w:cs="Times New Roman"/>
          <w:kern w:val="2"/>
          <w:sz w:val="24"/>
          <w:szCs w:val="24"/>
          <w14:ligatures w14:val="standardContextual"/>
        </w:rPr>
      </w:pPr>
      <w:r w:rsidRPr="00805E15">
        <w:rPr>
          <w:rFonts w:ascii="Calibri" w:eastAsia="Calibri" w:hAnsi="Calibri" w:cs="Times New Roman"/>
          <w:kern w:val="2"/>
          <w:sz w:val="24"/>
          <w:szCs w:val="24"/>
          <w14:ligatures w14:val="standardContextual"/>
        </w:rPr>
        <w:t>Elisa Ercoli</w:t>
      </w:r>
    </w:p>
    <w:p w14:paraId="73CF81EF" w14:textId="77777777" w:rsidR="00805E15" w:rsidRPr="00805E15" w:rsidRDefault="00805E15" w:rsidP="00805E15">
      <w:pPr>
        <w:spacing w:after="0" w:line="240" w:lineRule="auto"/>
        <w:jc w:val="right"/>
        <w:rPr>
          <w:rFonts w:ascii="Calibri" w:eastAsia="Calibri" w:hAnsi="Calibri" w:cs="Times New Roman"/>
          <w:kern w:val="2"/>
          <w:sz w:val="24"/>
          <w:szCs w:val="24"/>
          <w14:ligatures w14:val="standardContextual"/>
        </w:rPr>
      </w:pPr>
      <w:r w:rsidRPr="00805E15">
        <w:rPr>
          <w:rFonts w:ascii="Calibri" w:eastAsia="Calibri" w:hAnsi="Calibri" w:cs="Times New Roman"/>
          <w:kern w:val="2"/>
          <w:sz w:val="24"/>
          <w:szCs w:val="24"/>
          <w14:ligatures w14:val="standardContextual"/>
        </w:rPr>
        <w:t xml:space="preserve">and the </w:t>
      </w:r>
    </w:p>
    <w:p w14:paraId="7AB8A64E" w14:textId="77777777" w:rsidR="00805E15" w:rsidRPr="00805E15" w:rsidRDefault="00805E15" w:rsidP="00805E15">
      <w:pPr>
        <w:spacing w:after="0" w:line="240" w:lineRule="auto"/>
        <w:jc w:val="right"/>
        <w:rPr>
          <w:rFonts w:ascii="Calibri" w:eastAsia="Calibri" w:hAnsi="Calibri" w:cs="Times New Roman"/>
          <w:kern w:val="2"/>
          <w:sz w:val="24"/>
          <w:szCs w:val="24"/>
          <w:lang w:val="en-US"/>
          <w14:ligatures w14:val="standardContextual"/>
        </w:rPr>
      </w:pPr>
      <w:r w:rsidRPr="00805E15">
        <w:rPr>
          <w:rFonts w:ascii="Calibri" w:eastAsia="Calibri" w:hAnsi="Calibri" w:cs="Times New Roman"/>
          <w:kern w:val="2"/>
          <w:sz w:val="24"/>
          <w:szCs w:val="24"/>
          <w:lang w:val="en-US"/>
          <w14:ligatures w14:val="standardContextual"/>
        </w:rPr>
        <w:t>Members of the board</w:t>
      </w:r>
    </w:p>
    <w:p w14:paraId="0621269D" w14:textId="4D50E536" w:rsidR="003C572E" w:rsidRDefault="003C572E" w:rsidP="0033776B">
      <w:pPr>
        <w:spacing w:after="0"/>
        <w:jc w:val="both"/>
        <w:rPr>
          <w:rFonts w:ascii="Arial" w:eastAsia="Times New Roman" w:hAnsi="Arial" w:cs="Arial"/>
          <w:lang w:eastAsia="it-IT"/>
        </w:rPr>
      </w:pPr>
    </w:p>
    <w:sectPr w:rsidR="003C572E" w:rsidSect="00262161">
      <w:footerReference w:type="default" r:id="rId9"/>
      <w:pgSz w:w="11906" w:h="16838"/>
      <w:pgMar w:top="284" w:right="1134" w:bottom="1134" w:left="1134"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7FFDA" w14:textId="77777777" w:rsidR="00351825" w:rsidRDefault="00351825" w:rsidP="006C434A">
      <w:pPr>
        <w:spacing w:after="0" w:line="240" w:lineRule="auto"/>
      </w:pPr>
      <w:r>
        <w:separator/>
      </w:r>
    </w:p>
  </w:endnote>
  <w:endnote w:type="continuationSeparator" w:id="0">
    <w:p w14:paraId="027106FA" w14:textId="77777777" w:rsidR="00351825" w:rsidRDefault="00351825" w:rsidP="006C4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Eurostile">
    <w:altName w:val="Segoe Script"/>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tima">
    <w:altName w:val="Bell MT"/>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68387"/>
      <w:docPartObj>
        <w:docPartGallery w:val="Page Numbers (Bottom of Page)"/>
        <w:docPartUnique/>
      </w:docPartObj>
    </w:sdtPr>
    <w:sdtContent>
      <w:p w14:paraId="65D61690" w14:textId="778EF27E" w:rsidR="000530D4" w:rsidRPr="00BF2AF1" w:rsidRDefault="00EC4919" w:rsidP="000530D4">
        <w:pPr>
          <w:pStyle w:val="Pidipagina"/>
          <w:jc w:val="center"/>
          <w:rPr>
            <w:color w:val="CC0066"/>
          </w:rPr>
        </w:pPr>
        <w:r>
          <w:rPr>
            <w:color w:val="CC0066"/>
          </w:rPr>
          <w:t>Legal Seat</w:t>
        </w:r>
        <w:r w:rsidR="000530D4" w:rsidRPr="00BF2AF1">
          <w:rPr>
            <w:color w:val="CC0066"/>
          </w:rPr>
          <w:t>: Via della Lungara 19 ● 00165 Rom</w:t>
        </w:r>
        <w:r>
          <w:rPr>
            <w:color w:val="CC0066"/>
          </w:rPr>
          <w:t>e</w:t>
        </w:r>
      </w:p>
      <w:p w14:paraId="612C8D91" w14:textId="416F4795" w:rsidR="000530D4" w:rsidRPr="00BF2AF1" w:rsidRDefault="00EC4919" w:rsidP="000530D4">
        <w:pPr>
          <w:pStyle w:val="Pidipagina"/>
          <w:jc w:val="center"/>
          <w:rPr>
            <w:color w:val="CC0066"/>
          </w:rPr>
        </w:pPr>
        <w:r>
          <w:rPr>
            <w:color w:val="CC0066"/>
          </w:rPr>
          <w:t>Headquarter</w:t>
        </w:r>
        <w:r w:rsidR="000530D4" w:rsidRPr="00BF2AF1">
          <w:rPr>
            <w:color w:val="CC0066"/>
          </w:rPr>
          <w:t xml:space="preserve">: via </w:t>
        </w:r>
        <w:r w:rsidR="004E1921">
          <w:rPr>
            <w:color w:val="CC0066"/>
          </w:rPr>
          <w:t>Tacito 90 ● 00193</w:t>
        </w:r>
        <w:r w:rsidR="000530D4" w:rsidRPr="00BF2AF1">
          <w:rPr>
            <w:color w:val="CC0066"/>
          </w:rPr>
          <w:t xml:space="preserve"> Rom</w:t>
        </w:r>
        <w:r>
          <w:rPr>
            <w:color w:val="CC0066"/>
          </w:rPr>
          <w:t>e</w:t>
        </w:r>
        <w:r w:rsidR="000530D4" w:rsidRPr="00BF2AF1">
          <w:rPr>
            <w:color w:val="CC0066"/>
          </w:rPr>
          <w:t xml:space="preserve"> ● Tel.</w:t>
        </w:r>
        <w:r w:rsidR="000530D4">
          <w:rPr>
            <w:color w:val="CC0066"/>
          </w:rPr>
          <w:t xml:space="preserve"> </w:t>
        </w:r>
        <w:r>
          <w:rPr>
            <w:color w:val="CC0066"/>
          </w:rPr>
          <w:t>+39(</w:t>
        </w:r>
        <w:r w:rsidR="000530D4">
          <w:rPr>
            <w:color w:val="CC0066"/>
          </w:rPr>
          <w:t>06</w:t>
        </w:r>
        <w:r>
          <w:rPr>
            <w:color w:val="CC0066"/>
          </w:rPr>
          <w:t>)</w:t>
        </w:r>
        <w:r w:rsidR="000530D4">
          <w:rPr>
            <w:color w:val="CC0066"/>
          </w:rPr>
          <w:t xml:space="preserve"> 6780537 </w:t>
        </w:r>
      </w:p>
      <w:p w14:paraId="053FEC2A" w14:textId="77777777" w:rsidR="006C434A" w:rsidRPr="000530D4" w:rsidRDefault="000530D4" w:rsidP="000530D4">
        <w:pPr>
          <w:pStyle w:val="Pidipagina"/>
          <w:jc w:val="center"/>
          <w:rPr>
            <w:color w:val="CC0066"/>
          </w:rPr>
        </w:pPr>
        <w:r w:rsidRPr="00BF2AF1">
          <w:rPr>
            <w:color w:val="CC0066"/>
          </w:rPr>
          <w:t>www.differenzadonna.</w:t>
        </w:r>
        <w:r>
          <w:rPr>
            <w:color w:val="CC0066"/>
          </w:rPr>
          <w:t>org</w:t>
        </w:r>
        <w:r w:rsidRPr="00BF2AF1">
          <w:rPr>
            <w:color w:val="CC0066"/>
          </w:rPr>
          <w:t>● d.donna@differenzadonna.it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19A8E" w14:textId="77777777" w:rsidR="00351825" w:rsidRDefault="00351825" w:rsidP="006C434A">
      <w:pPr>
        <w:spacing w:after="0" w:line="240" w:lineRule="auto"/>
      </w:pPr>
      <w:r>
        <w:separator/>
      </w:r>
    </w:p>
  </w:footnote>
  <w:footnote w:type="continuationSeparator" w:id="0">
    <w:p w14:paraId="13F257CA" w14:textId="77777777" w:rsidR="00351825" w:rsidRDefault="00351825" w:rsidP="006C43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Eurostile" w:hAnsi="Eurostile" w:cs="Eurostile"/>
        <w:b/>
        <w:i w:val="0"/>
        <w:sz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Titolo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4D22150"/>
    <w:multiLevelType w:val="hybridMultilevel"/>
    <w:tmpl w:val="93162150"/>
    <w:lvl w:ilvl="0" w:tplc="7472A92C">
      <w:start w:val="9"/>
      <w:numFmt w:val="lowerLetter"/>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95A7471"/>
    <w:multiLevelType w:val="hybridMultilevel"/>
    <w:tmpl w:val="E2AEAF94"/>
    <w:lvl w:ilvl="0" w:tplc="62E8B262">
      <w:start w:val="1"/>
      <w:numFmt w:val="lowerLetter"/>
      <w:lvlText w:val="%1)"/>
      <w:lvlJc w:val="left"/>
      <w:pPr>
        <w:ind w:left="1437" w:hanging="360"/>
      </w:pPr>
      <w:rPr>
        <w:rFonts w:ascii="Arial" w:eastAsia="Times New Roman" w:hAnsi="Arial" w:cs="Arial"/>
      </w:rPr>
    </w:lvl>
    <w:lvl w:ilvl="1" w:tplc="04100003" w:tentative="1">
      <w:start w:val="1"/>
      <w:numFmt w:val="bullet"/>
      <w:lvlText w:val="o"/>
      <w:lvlJc w:val="left"/>
      <w:pPr>
        <w:ind w:left="2157" w:hanging="360"/>
      </w:pPr>
      <w:rPr>
        <w:rFonts w:ascii="Courier New" w:hAnsi="Courier New" w:cs="Courier New" w:hint="default"/>
      </w:rPr>
    </w:lvl>
    <w:lvl w:ilvl="2" w:tplc="04100005" w:tentative="1">
      <w:start w:val="1"/>
      <w:numFmt w:val="bullet"/>
      <w:lvlText w:val=""/>
      <w:lvlJc w:val="left"/>
      <w:pPr>
        <w:ind w:left="2877" w:hanging="360"/>
      </w:pPr>
      <w:rPr>
        <w:rFonts w:ascii="Wingdings" w:hAnsi="Wingdings" w:hint="default"/>
      </w:rPr>
    </w:lvl>
    <w:lvl w:ilvl="3" w:tplc="04100001" w:tentative="1">
      <w:start w:val="1"/>
      <w:numFmt w:val="bullet"/>
      <w:lvlText w:val=""/>
      <w:lvlJc w:val="left"/>
      <w:pPr>
        <w:ind w:left="3597" w:hanging="360"/>
      </w:pPr>
      <w:rPr>
        <w:rFonts w:ascii="Symbol" w:hAnsi="Symbol" w:hint="default"/>
      </w:rPr>
    </w:lvl>
    <w:lvl w:ilvl="4" w:tplc="04100003" w:tentative="1">
      <w:start w:val="1"/>
      <w:numFmt w:val="bullet"/>
      <w:lvlText w:val="o"/>
      <w:lvlJc w:val="left"/>
      <w:pPr>
        <w:ind w:left="4317" w:hanging="360"/>
      </w:pPr>
      <w:rPr>
        <w:rFonts w:ascii="Courier New" w:hAnsi="Courier New" w:cs="Courier New" w:hint="default"/>
      </w:rPr>
    </w:lvl>
    <w:lvl w:ilvl="5" w:tplc="04100005" w:tentative="1">
      <w:start w:val="1"/>
      <w:numFmt w:val="bullet"/>
      <w:lvlText w:val=""/>
      <w:lvlJc w:val="left"/>
      <w:pPr>
        <w:ind w:left="5037" w:hanging="360"/>
      </w:pPr>
      <w:rPr>
        <w:rFonts w:ascii="Wingdings" w:hAnsi="Wingdings" w:hint="default"/>
      </w:rPr>
    </w:lvl>
    <w:lvl w:ilvl="6" w:tplc="04100001" w:tentative="1">
      <w:start w:val="1"/>
      <w:numFmt w:val="bullet"/>
      <w:lvlText w:val=""/>
      <w:lvlJc w:val="left"/>
      <w:pPr>
        <w:ind w:left="5757" w:hanging="360"/>
      </w:pPr>
      <w:rPr>
        <w:rFonts w:ascii="Symbol" w:hAnsi="Symbol" w:hint="default"/>
      </w:rPr>
    </w:lvl>
    <w:lvl w:ilvl="7" w:tplc="04100003" w:tentative="1">
      <w:start w:val="1"/>
      <w:numFmt w:val="bullet"/>
      <w:lvlText w:val="o"/>
      <w:lvlJc w:val="left"/>
      <w:pPr>
        <w:ind w:left="6477" w:hanging="360"/>
      </w:pPr>
      <w:rPr>
        <w:rFonts w:ascii="Courier New" w:hAnsi="Courier New" w:cs="Courier New" w:hint="default"/>
      </w:rPr>
    </w:lvl>
    <w:lvl w:ilvl="8" w:tplc="04100005" w:tentative="1">
      <w:start w:val="1"/>
      <w:numFmt w:val="bullet"/>
      <w:lvlText w:val=""/>
      <w:lvlJc w:val="left"/>
      <w:pPr>
        <w:ind w:left="7197" w:hanging="360"/>
      </w:pPr>
      <w:rPr>
        <w:rFonts w:ascii="Wingdings" w:hAnsi="Wingdings" w:hint="default"/>
      </w:rPr>
    </w:lvl>
  </w:abstractNum>
  <w:abstractNum w:abstractNumId="3" w15:restartNumberingAfterBreak="0">
    <w:nsid w:val="0E7C7060"/>
    <w:multiLevelType w:val="hybridMultilevel"/>
    <w:tmpl w:val="EA04554E"/>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4" w15:restartNumberingAfterBreak="0">
    <w:nsid w:val="139F5FCE"/>
    <w:multiLevelType w:val="hybridMultilevel"/>
    <w:tmpl w:val="59BA99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CF06795"/>
    <w:multiLevelType w:val="hybridMultilevel"/>
    <w:tmpl w:val="6C4C0432"/>
    <w:lvl w:ilvl="0" w:tplc="04100003">
      <w:start w:val="1"/>
      <w:numFmt w:val="bullet"/>
      <w:lvlText w:val="o"/>
      <w:lvlJc w:val="left"/>
      <w:pPr>
        <w:ind w:left="1428" w:hanging="360"/>
      </w:pPr>
      <w:rPr>
        <w:rFonts w:ascii="Courier New" w:hAnsi="Courier New" w:cs="Courier New"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6" w15:restartNumberingAfterBreak="0">
    <w:nsid w:val="1E560DFB"/>
    <w:multiLevelType w:val="hybridMultilevel"/>
    <w:tmpl w:val="0D78EEF4"/>
    <w:lvl w:ilvl="0" w:tplc="3C920F30">
      <w:start w:val="1"/>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F2160C3"/>
    <w:multiLevelType w:val="hybridMultilevel"/>
    <w:tmpl w:val="A2D667D6"/>
    <w:lvl w:ilvl="0" w:tplc="E7E626C0">
      <w:start w:val="1"/>
      <w:numFmt w:val="decimal"/>
      <w:lvlText w:val="%1."/>
      <w:lvlJc w:val="left"/>
      <w:pPr>
        <w:ind w:left="629" w:hanging="360"/>
      </w:pPr>
      <w:rPr>
        <w:rFonts w:hint="default"/>
        <w:b/>
        <w:bCs/>
      </w:rPr>
    </w:lvl>
    <w:lvl w:ilvl="1" w:tplc="04100019" w:tentative="1">
      <w:start w:val="1"/>
      <w:numFmt w:val="lowerLetter"/>
      <w:lvlText w:val="%2."/>
      <w:lvlJc w:val="left"/>
      <w:pPr>
        <w:ind w:left="1349" w:hanging="360"/>
      </w:pPr>
    </w:lvl>
    <w:lvl w:ilvl="2" w:tplc="0410001B" w:tentative="1">
      <w:start w:val="1"/>
      <w:numFmt w:val="lowerRoman"/>
      <w:lvlText w:val="%3."/>
      <w:lvlJc w:val="right"/>
      <w:pPr>
        <w:ind w:left="2069" w:hanging="180"/>
      </w:pPr>
    </w:lvl>
    <w:lvl w:ilvl="3" w:tplc="0410000F" w:tentative="1">
      <w:start w:val="1"/>
      <w:numFmt w:val="decimal"/>
      <w:lvlText w:val="%4."/>
      <w:lvlJc w:val="left"/>
      <w:pPr>
        <w:ind w:left="2789" w:hanging="360"/>
      </w:pPr>
    </w:lvl>
    <w:lvl w:ilvl="4" w:tplc="04100019" w:tentative="1">
      <w:start w:val="1"/>
      <w:numFmt w:val="lowerLetter"/>
      <w:lvlText w:val="%5."/>
      <w:lvlJc w:val="left"/>
      <w:pPr>
        <w:ind w:left="3509" w:hanging="360"/>
      </w:pPr>
    </w:lvl>
    <w:lvl w:ilvl="5" w:tplc="0410001B" w:tentative="1">
      <w:start w:val="1"/>
      <w:numFmt w:val="lowerRoman"/>
      <w:lvlText w:val="%6."/>
      <w:lvlJc w:val="right"/>
      <w:pPr>
        <w:ind w:left="4229" w:hanging="180"/>
      </w:pPr>
    </w:lvl>
    <w:lvl w:ilvl="6" w:tplc="0410000F" w:tentative="1">
      <w:start w:val="1"/>
      <w:numFmt w:val="decimal"/>
      <w:lvlText w:val="%7."/>
      <w:lvlJc w:val="left"/>
      <w:pPr>
        <w:ind w:left="4949" w:hanging="360"/>
      </w:pPr>
    </w:lvl>
    <w:lvl w:ilvl="7" w:tplc="04100019" w:tentative="1">
      <w:start w:val="1"/>
      <w:numFmt w:val="lowerLetter"/>
      <w:lvlText w:val="%8."/>
      <w:lvlJc w:val="left"/>
      <w:pPr>
        <w:ind w:left="5669" w:hanging="360"/>
      </w:pPr>
    </w:lvl>
    <w:lvl w:ilvl="8" w:tplc="0410001B" w:tentative="1">
      <w:start w:val="1"/>
      <w:numFmt w:val="lowerRoman"/>
      <w:lvlText w:val="%9."/>
      <w:lvlJc w:val="right"/>
      <w:pPr>
        <w:ind w:left="6389" w:hanging="180"/>
      </w:pPr>
    </w:lvl>
  </w:abstractNum>
  <w:abstractNum w:abstractNumId="8" w15:restartNumberingAfterBreak="0">
    <w:nsid w:val="219634FE"/>
    <w:multiLevelType w:val="hybridMultilevel"/>
    <w:tmpl w:val="E4FC4F8A"/>
    <w:lvl w:ilvl="0" w:tplc="04100003">
      <w:start w:val="1"/>
      <w:numFmt w:val="bullet"/>
      <w:lvlText w:val="o"/>
      <w:lvlJc w:val="left"/>
      <w:pPr>
        <w:ind w:left="1004" w:hanging="360"/>
      </w:pPr>
      <w:rPr>
        <w:rFonts w:ascii="Courier New" w:hAnsi="Courier New" w:cs="Courier New" w:hint="default"/>
      </w:rPr>
    </w:lvl>
    <w:lvl w:ilvl="1" w:tplc="7AC8B3A0">
      <w:start w:val="13"/>
      <w:numFmt w:val="bullet"/>
      <w:lvlText w:val=""/>
      <w:lvlJc w:val="left"/>
      <w:pPr>
        <w:ind w:left="1724" w:hanging="360"/>
      </w:pPr>
      <w:rPr>
        <w:rFonts w:ascii="Wingdings" w:eastAsia="Times New Roman" w:hAnsi="Wingdings" w:cs="Arial" w:hint="default"/>
        <w:sz w:val="20"/>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9" w15:restartNumberingAfterBreak="0">
    <w:nsid w:val="29665BBD"/>
    <w:multiLevelType w:val="multilevel"/>
    <w:tmpl w:val="318ACC4C"/>
    <w:styleLink w:val="List13"/>
    <w:lvl w:ilvl="0">
      <w:start w:val="1"/>
      <w:numFmt w:val="decimal"/>
      <w:lvlText w:val="%1."/>
      <w:lvlJc w:val="left"/>
      <w:pPr>
        <w:tabs>
          <w:tab w:val="num" w:pos="360"/>
        </w:tabs>
        <w:ind w:left="360" w:hanging="218"/>
      </w:pPr>
      <w:rPr>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95"/>
        </w:tabs>
        <w:ind w:left="1495"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302"/>
        </w:tabs>
        <w:ind w:left="2302"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3022"/>
        </w:tabs>
        <w:ind w:left="3022"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742"/>
        </w:tabs>
        <w:ind w:left="3742"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462"/>
        </w:tabs>
        <w:ind w:left="4462"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182"/>
        </w:tabs>
        <w:ind w:left="5182"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902"/>
        </w:tabs>
        <w:ind w:left="5902"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622"/>
        </w:tabs>
        <w:ind w:left="6622"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10" w15:restartNumberingAfterBreak="0">
    <w:nsid w:val="2C7B1737"/>
    <w:multiLevelType w:val="multilevel"/>
    <w:tmpl w:val="ACC0C42E"/>
    <w:styleLink w:val="Stileimportato27"/>
    <w:lvl w:ilvl="0">
      <w:start w:val="1"/>
      <w:numFmt w:val="decimal"/>
      <w:lvlText w:val="%1)"/>
      <w:lvlJc w:val="left"/>
      <w:pPr>
        <w:tabs>
          <w:tab w:val="num" w:pos="340"/>
        </w:tabs>
        <w:ind w:left="340" w:hanging="340"/>
      </w:pPr>
      <w:rPr>
        <w:rFonts w:ascii="Times New Roman" w:eastAsiaTheme="minorHAnsi" w:hAnsi="Times New Roman" w:cs="Times New Roman"/>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160"/>
        </w:tabs>
        <w:ind w:left="2160"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320"/>
        </w:tabs>
        <w:ind w:left="4320"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480"/>
        </w:tabs>
        <w:ind w:left="6480"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11" w15:restartNumberingAfterBreak="0">
    <w:nsid w:val="303F2475"/>
    <w:multiLevelType w:val="multilevel"/>
    <w:tmpl w:val="73CCBC68"/>
    <w:styleLink w:val="Stileimportato24"/>
    <w:lvl w:ilvl="0">
      <w:start w:val="1"/>
      <w:numFmt w:val="decimal"/>
      <w:lvlText w:val="%1)"/>
      <w:lvlJc w:val="left"/>
      <w:pPr>
        <w:tabs>
          <w:tab w:val="num" w:pos="720"/>
        </w:tabs>
        <w:ind w:left="720" w:hanging="360"/>
      </w:pPr>
      <w:rPr>
        <w:rFonts w:ascii="Times New Roman" w:eastAsiaTheme="minorHAnsi" w:hAnsi="Times New Roman" w:cs="Times New Roman"/>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160"/>
        </w:tabs>
        <w:ind w:left="2160"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320"/>
        </w:tabs>
        <w:ind w:left="4320"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480"/>
        </w:tabs>
        <w:ind w:left="6480"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12" w15:restartNumberingAfterBreak="0">
    <w:nsid w:val="35640DD5"/>
    <w:multiLevelType w:val="multilevel"/>
    <w:tmpl w:val="C9821930"/>
    <w:styleLink w:val="Stileimportato18"/>
    <w:lvl w:ilvl="0">
      <w:start w:val="1"/>
      <w:numFmt w:val="decimal"/>
      <w:lvlText w:val="%1."/>
      <w:lvlJc w:val="left"/>
      <w:pPr>
        <w:tabs>
          <w:tab w:val="num" w:pos="720"/>
        </w:tabs>
        <w:ind w:left="720" w:hanging="360"/>
      </w:pPr>
      <w:rPr>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160"/>
        </w:tabs>
        <w:ind w:left="2160"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320"/>
        </w:tabs>
        <w:ind w:left="4320"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480"/>
        </w:tabs>
        <w:ind w:left="6480"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13" w15:restartNumberingAfterBreak="0">
    <w:nsid w:val="357E4F8A"/>
    <w:multiLevelType w:val="hybridMultilevel"/>
    <w:tmpl w:val="93721B3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00B2021"/>
    <w:multiLevelType w:val="hybridMultilevel"/>
    <w:tmpl w:val="B1FC8160"/>
    <w:styleLink w:val="Stileimportato181"/>
    <w:lvl w:ilvl="0" w:tplc="E0CA50B8">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1F56B22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8A23DC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7BC0BF0">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42FC31E8">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FF231F8">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4DE5BA0">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98EE58D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BC9083E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47B76A79"/>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A085E95"/>
    <w:multiLevelType w:val="hybridMultilevel"/>
    <w:tmpl w:val="9982B9F6"/>
    <w:lvl w:ilvl="0" w:tplc="04100005">
      <w:start w:val="1"/>
      <w:numFmt w:val="bullet"/>
      <w:lvlText w:val=""/>
      <w:lvlJc w:val="left"/>
      <w:pPr>
        <w:ind w:left="1077" w:hanging="360"/>
      </w:pPr>
      <w:rPr>
        <w:rFonts w:ascii="Wingdings" w:hAnsi="Wingdings"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7" w15:restartNumberingAfterBreak="0">
    <w:nsid w:val="4C3A1829"/>
    <w:multiLevelType w:val="multilevel"/>
    <w:tmpl w:val="37340CBC"/>
    <w:styleLink w:val="Harvard"/>
    <w:lvl w:ilvl="0">
      <w:start w:val="1"/>
      <w:numFmt w:val="upperRoman"/>
      <w:lvlText w:val="%1."/>
      <w:lvlJc w:val="left"/>
      <w:pPr>
        <w:tabs>
          <w:tab w:val="num" w:pos="458"/>
        </w:tabs>
        <w:ind w:left="458" w:hanging="458"/>
      </w:pPr>
      <w:rPr>
        <w:position w:val="0"/>
        <w:sz w:val="28"/>
        <w:szCs w:val="28"/>
      </w:rPr>
    </w:lvl>
    <w:lvl w:ilvl="1">
      <w:start w:val="1"/>
      <w:numFmt w:val="upperLetter"/>
      <w:lvlText w:val="%2."/>
      <w:lvlJc w:val="left"/>
      <w:pPr>
        <w:tabs>
          <w:tab w:val="num" w:pos="818"/>
        </w:tabs>
        <w:ind w:left="818" w:hanging="458"/>
      </w:pPr>
      <w:rPr>
        <w:position w:val="0"/>
        <w:sz w:val="28"/>
        <w:szCs w:val="28"/>
      </w:rPr>
    </w:lvl>
    <w:lvl w:ilvl="2">
      <w:start w:val="1"/>
      <w:numFmt w:val="decimal"/>
      <w:lvlText w:val="%3."/>
      <w:lvlJc w:val="left"/>
      <w:pPr>
        <w:tabs>
          <w:tab w:val="num" w:pos="1178"/>
        </w:tabs>
        <w:ind w:left="1178" w:hanging="458"/>
      </w:pPr>
      <w:rPr>
        <w:position w:val="0"/>
        <w:sz w:val="28"/>
        <w:szCs w:val="28"/>
      </w:rPr>
    </w:lvl>
    <w:lvl w:ilvl="3">
      <w:start w:val="1"/>
      <w:numFmt w:val="lowerLetter"/>
      <w:lvlText w:val="%4)"/>
      <w:lvlJc w:val="left"/>
      <w:pPr>
        <w:tabs>
          <w:tab w:val="num" w:pos="1538"/>
        </w:tabs>
        <w:ind w:left="1538" w:hanging="458"/>
      </w:pPr>
      <w:rPr>
        <w:position w:val="0"/>
        <w:sz w:val="28"/>
        <w:szCs w:val="28"/>
      </w:rPr>
    </w:lvl>
    <w:lvl w:ilvl="4">
      <w:start w:val="1"/>
      <w:numFmt w:val="decimal"/>
      <w:lvlText w:val="(%5)"/>
      <w:lvlJc w:val="left"/>
      <w:pPr>
        <w:tabs>
          <w:tab w:val="num" w:pos="1898"/>
        </w:tabs>
        <w:ind w:left="1898" w:hanging="458"/>
      </w:pPr>
      <w:rPr>
        <w:position w:val="0"/>
        <w:sz w:val="28"/>
        <w:szCs w:val="28"/>
      </w:rPr>
    </w:lvl>
    <w:lvl w:ilvl="5">
      <w:start w:val="1"/>
      <w:numFmt w:val="lowerLetter"/>
      <w:lvlText w:val="(%6)"/>
      <w:lvlJc w:val="left"/>
      <w:pPr>
        <w:tabs>
          <w:tab w:val="num" w:pos="2258"/>
        </w:tabs>
        <w:ind w:left="2258" w:hanging="458"/>
      </w:pPr>
      <w:rPr>
        <w:position w:val="0"/>
        <w:sz w:val="28"/>
        <w:szCs w:val="28"/>
      </w:rPr>
    </w:lvl>
    <w:lvl w:ilvl="6">
      <w:start w:val="1"/>
      <w:numFmt w:val="lowerRoman"/>
      <w:lvlText w:val="%7)"/>
      <w:lvlJc w:val="left"/>
      <w:pPr>
        <w:tabs>
          <w:tab w:val="num" w:pos="2618"/>
        </w:tabs>
        <w:ind w:left="2618" w:hanging="458"/>
      </w:pPr>
      <w:rPr>
        <w:position w:val="0"/>
        <w:sz w:val="28"/>
        <w:szCs w:val="28"/>
      </w:rPr>
    </w:lvl>
    <w:lvl w:ilvl="7">
      <w:start w:val="1"/>
      <w:numFmt w:val="decimal"/>
      <w:lvlText w:val="(%8)"/>
      <w:lvlJc w:val="left"/>
      <w:pPr>
        <w:tabs>
          <w:tab w:val="num" w:pos="2978"/>
        </w:tabs>
        <w:ind w:left="2978" w:hanging="458"/>
      </w:pPr>
      <w:rPr>
        <w:position w:val="0"/>
        <w:sz w:val="28"/>
        <w:szCs w:val="28"/>
      </w:rPr>
    </w:lvl>
    <w:lvl w:ilvl="8">
      <w:start w:val="1"/>
      <w:numFmt w:val="lowerLetter"/>
      <w:lvlText w:val="(%9)"/>
      <w:lvlJc w:val="left"/>
      <w:pPr>
        <w:tabs>
          <w:tab w:val="num" w:pos="3338"/>
        </w:tabs>
        <w:ind w:left="3338" w:hanging="458"/>
      </w:pPr>
      <w:rPr>
        <w:position w:val="0"/>
        <w:sz w:val="28"/>
        <w:szCs w:val="28"/>
      </w:rPr>
    </w:lvl>
  </w:abstractNum>
  <w:abstractNum w:abstractNumId="18" w15:restartNumberingAfterBreak="0">
    <w:nsid w:val="54E51043"/>
    <w:multiLevelType w:val="multilevel"/>
    <w:tmpl w:val="061477B4"/>
    <w:styleLink w:val="Stileimportato15"/>
    <w:lvl w:ilvl="0">
      <w:start w:val="1"/>
      <w:numFmt w:val="decimal"/>
      <w:lvlText w:val="%1."/>
      <w:lvlJc w:val="left"/>
      <w:pPr>
        <w:tabs>
          <w:tab w:val="num" w:pos="720"/>
        </w:tabs>
        <w:ind w:left="720" w:hanging="360"/>
      </w:pPr>
      <w:rPr>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160"/>
        </w:tabs>
        <w:ind w:left="2160"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320"/>
        </w:tabs>
        <w:ind w:left="4320"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480"/>
        </w:tabs>
        <w:ind w:left="6480"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19" w15:restartNumberingAfterBreak="0">
    <w:nsid w:val="5A8978B7"/>
    <w:multiLevelType w:val="multilevel"/>
    <w:tmpl w:val="B346F06E"/>
    <w:styleLink w:val="List12"/>
    <w:lvl w:ilvl="0">
      <w:start w:val="1"/>
      <w:numFmt w:val="decimal"/>
      <w:lvlText w:val="%1."/>
      <w:lvlJc w:val="left"/>
      <w:pPr>
        <w:tabs>
          <w:tab w:val="num" w:pos="360"/>
        </w:tabs>
        <w:ind w:left="360" w:hanging="218"/>
      </w:pPr>
      <w:rPr>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95"/>
        </w:tabs>
        <w:ind w:left="1495"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302"/>
        </w:tabs>
        <w:ind w:left="2302"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3022"/>
        </w:tabs>
        <w:ind w:left="3022"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742"/>
        </w:tabs>
        <w:ind w:left="3742"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462"/>
        </w:tabs>
        <w:ind w:left="4462"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182"/>
        </w:tabs>
        <w:ind w:left="5182"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902"/>
        </w:tabs>
        <w:ind w:left="5902"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622"/>
        </w:tabs>
        <w:ind w:left="6622"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20" w15:restartNumberingAfterBreak="0">
    <w:nsid w:val="5CDB7F89"/>
    <w:multiLevelType w:val="hybridMultilevel"/>
    <w:tmpl w:val="04DEF5D6"/>
    <w:styleLink w:val="Stileimportato20"/>
    <w:lvl w:ilvl="0" w:tplc="C07253FA">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1BB4095A">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EB46916">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C440BDC">
      <w:start w:val="1"/>
      <w:numFmt w:val="bullet"/>
      <w:lvlText w:val="•"/>
      <w:lvlJc w:val="left"/>
      <w:pPr>
        <w:tabs>
          <w:tab w:val="left" w:pos="1080"/>
        </w:tabs>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3CC23926">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0E4C63C">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82046050">
      <w:start w:val="1"/>
      <w:numFmt w:val="bullet"/>
      <w:lvlText w:val="•"/>
      <w:lvlJc w:val="left"/>
      <w:pPr>
        <w:tabs>
          <w:tab w:val="left" w:pos="1080"/>
        </w:tabs>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5594A038">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3B870B2">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1" w15:restartNumberingAfterBreak="0">
    <w:nsid w:val="601F4F35"/>
    <w:multiLevelType w:val="multilevel"/>
    <w:tmpl w:val="E0B62CFA"/>
    <w:styleLink w:val="Stileimportato22"/>
    <w:lvl w:ilvl="0">
      <w:start w:val="1"/>
      <w:numFmt w:val="decimal"/>
      <w:lvlText w:val="%1)"/>
      <w:lvlJc w:val="left"/>
      <w:pPr>
        <w:tabs>
          <w:tab w:val="num" w:pos="340"/>
        </w:tabs>
        <w:ind w:left="340" w:hanging="340"/>
      </w:pPr>
      <w:rPr>
        <w:rFonts w:ascii="Times New Roman" w:eastAsiaTheme="minorHAnsi" w:hAnsi="Times New Roman" w:cs="Times New Roman"/>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160"/>
        </w:tabs>
        <w:ind w:left="2160"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320"/>
        </w:tabs>
        <w:ind w:left="4320"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480"/>
        </w:tabs>
        <w:ind w:left="6480"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22" w15:restartNumberingAfterBreak="0">
    <w:nsid w:val="62DF4818"/>
    <w:multiLevelType w:val="hybridMultilevel"/>
    <w:tmpl w:val="15803F12"/>
    <w:styleLink w:val="Stileimportato19"/>
    <w:lvl w:ilvl="0" w:tplc="FD74D360">
      <w:start w:val="1"/>
      <w:numFmt w:val="bullet"/>
      <w:lvlText w:val="❑"/>
      <w:lvlJc w:val="left"/>
      <w:pPr>
        <w:ind w:left="78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AEC0A392">
      <w:start w:val="1"/>
      <w:numFmt w:val="bullet"/>
      <w:lvlText w:val="o"/>
      <w:lvlJc w:val="left"/>
      <w:pPr>
        <w:tabs>
          <w:tab w:val="left" w:pos="720"/>
        </w:tabs>
        <w:ind w:left="150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BAD8962A">
      <w:start w:val="1"/>
      <w:numFmt w:val="bullet"/>
      <w:lvlText w:val="▪"/>
      <w:lvlJc w:val="left"/>
      <w:pPr>
        <w:tabs>
          <w:tab w:val="left" w:pos="720"/>
        </w:tabs>
        <w:ind w:left="222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DAA5BA4">
      <w:start w:val="1"/>
      <w:numFmt w:val="bullet"/>
      <w:lvlText w:val="•"/>
      <w:lvlJc w:val="left"/>
      <w:pPr>
        <w:tabs>
          <w:tab w:val="left" w:pos="720"/>
        </w:tabs>
        <w:ind w:left="294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01101A22">
      <w:start w:val="1"/>
      <w:numFmt w:val="bullet"/>
      <w:lvlText w:val="o"/>
      <w:lvlJc w:val="left"/>
      <w:pPr>
        <w:tabs>
          <w:tab w:val="left" w:pos="720"/>
        </w:tabs>
        <w:ind w:left="366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5D22A88">
      <w:start w:val="1"/>
      <w:numFmt w:val="bullet"/>
      <w:lvlText w:val="▪"/>
      <w:lvlJc w:val="left"/>
      <w:pPr>
        <w:tabs>
          <w:tab w:val="left" w:pos="720"/>
        </w:tabs>
        <w:ind w:left="438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BC4717C">
      <w:start w:val="1"/>
      <w:numFmt w:val="bullet"/>
      <w:lvlText w:val="•"/>
      <w:lvlJc w:val="left"/>
      <w:pPr>
        <w:tabs>
          <w:tab w:val="left" w:pos="720"/>
        </w:tabs>
        <w:ind w:left="510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0A04B3AC">
      <w:start w:val="1"/>
      <w:numFmt w:val="bullet"/>
      <w:lvlText w:val="o"/>
      <w:lvlJc w:val="left"/>
      <w:pPr>
        <w:tabs>
          <w:tab w:val="left" w:pos="720"/>
        </w:tabs>
        <w:ind w:left="582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AF24DAA">
      <w:start w:val="1"/>
      <w:numFmt w:val="bullet"/>
      <w:lvlText w:val="▪"/>
      <w:lvlJc w:val="left"/>
      <w:pPr>
        <w:tabs>
          <w:tab w:val="left" w:pos="720"/>
        </w:tabs>
        <w:ind w:left="654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3" w15:restartNumberingAfterBreak="0">
    <w:nsid w:val="694F37DC"/>
    <w:multiLevelType w:val="hybridMultilevel"/>
    <w:tmpl w:val="7216304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9FE0ECB"/>
    <w:multiLevelType w:val="hybridMultilevel"/>
    <w:tmpl w:val="2C2E48D2"/>
    <w:lvl w:ilvl="0" w:tplc="04100017">
      <w:start w:val="1"/>
      <w:numFmt w:val="lowerLetter"/>
      <w:lvlText w:val="%1)"/>
      <w:lvlJc w:val="left"/>
      <w:pPr>
        <w:tabs>
          <w:tab w:val="num" w:pos="720"/>
        </w:tabs>
        <w:ind w:left="720" w:hanging="360"/>
      </w:p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6B4046E5"/>
    <w:multiLevelType w:val="hybridMultilevel"/>
    <w:tmpl w:val="6FAC8B1C"/>
    <w:lvl w:ilvl="0" w:tplc="297CEAD6">
      <w:start w:val="1"/>
      <w:numFmt w:val="decimal"/>
      <w:lvlText w:val="%1."/>
      <w:lvlJc w:val="left"/>
      <w:pPr>
        <w:ind w:left="629" w:hanging="360"/>
      </w:pPr>
      <w:rPr>
        <w:rFonts w:hint="default"/>
        <w:b/>
        <w:bCs/>
      </w:rPr>
    </w:lvl>
    <w:lvl w:ilvl="1" w:tplc="04100019" w:tentative="1">
      <w:start w:val="1"/>
      <w:numFmt w:val="lowerLetter"/>
      <w:lvlText w:val="%2."/>
      <w:lvlJc w:val="left"/>
      <w:pPr>
        <w:ind w:left="1349" w:hanging="360"/>
      </w:pPr>
    </w:lvl>
    <w:lvl w:ilvl="2" w:tplc="0410001B" w:tentative="1">
      <w:start w:val="1"/>
      <w:numFmt w:val="lowerRoman"/>
      <w:lvlText w:val="%3."/>
      <w:lvlJc w:val="right"/>
      <w:pPr>
        <w:ind w:left="2069" w:hanging="180"/>
      </w:pPr>
    </w:lvl>
    <w:lvl w:ilvl="3" w:tplc="0410000F" w:tentative="1">
      <w:start w:val="1"/>
      <w:numFmt w:val="decimal"/>
      <w:lvlText w:val="%4."/>
      <w:lvlJc w:val="left"/>
      <w:pPr>
        <w:ind w:left="2789" w:hanging="360"/>
      </w:pPr>
    </w:lvl>
    <w:lvl w:ilvl="4" w:tplc="04100019" w:tentative="1">
      <w:start w:val="1"/>
      <w:numFmt w:val="lowerLetter"/>
      <w:lvlText w:val="%5."/>
      <w:lvlJc w:val="left"/>
      <w:pPr>
        <w:ind w:left="3509" w:hanging="360"/>
      </w:pPr>
    </w:lvl>
    <w:lvl w:ilvl="5" w:tplc="0410001B" w:tentative="1">
      <w:start w:val="1"/>
      <w:numFmt w:val="lowerRoman"/>
      <w:lvlText w:val="%6."/>
      <w:lvlJc w:val="right"/>
      <w:pPr>
        <w:ind w:left="4229" w:hanging="180"/>
      </w:pPr>
    </w:lvl>
    <w:lvl w:ilvl="6" w:tplc="0410000F" w:tentative="1">
      <w:start w:val="1"/>
      <w:numFmt w:val="decimal"/>
      <w:lvlText w:val="%7."/>
      <w:lvlJc w:val="left"/>
      <w:pPr>
        <w:ind w:left="4949" w:hanging="360"/>
      </w:pPr>
    </w:lvl>
    <w:lvl w:ilvl="7" w:tplc="04100019" w:tentative="1">
      <w:start w:val="1"/>
      <w:numFmt w:val="lowerLetter"/>
      <w:lvlText w:val="%8."/>
      <w:lvlJc w:val="left"/>
      <w:pPr>
        <w:ind w:left="5669" w:hanging="360"/>
      </w:pPr>
    </w:lvl>
    <w:lvl w:ilvl="8" w:tplc="0410001B" w:tentative="1">
      <w:start w:val="1"/>
      <w:numFmt w:val="lowerRoman"/>
      <w:lvlText w:val="%9."/>
      <w:lvlJc w:val="right"/>
      <w:pPr>
        <w:ind w:left="6389" w:hanging="180"/>
      </w:pPr>
    </w:lvl>
  </w:abstractNum>
  <w:abstractNum w:abstractNumId="26" w15:restartNumberingAfterBreak="0">
    <w:nsid w:val="6C827640"/>
    <w:multiLevelType w:val="hybridMultilevel"/>
    <w:tmpl w:val="93721B3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EA801E5"/>
    <w:multiLevelType w:val="multilevel"/>
    <w:tmpl w:val="AE2EA420"/>
    <w:styleLink w:val="Stileimportato21"/>
    <w:lvl w:ilvl="0">
      <w:start w:val="1"/>
      <w:numFmt w:val="decimal"/>
      <w:lvlText w:val="%1."/>
      <w:lvlJc w:val="left"/>
      <w:pPr>
        <w:tabs>
          <w:tab w:val="num" w:pos="720"/>
        </w:tabs>
        <w:ind w:left="720" w:hanging="360"/>
      </w:pPr>
      <w:rPr>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160"/>
        </w:tabs>
        <w:ind w:left="2160"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320"/>
        </w:tabs>
        <w:ind w:left="4320"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480"/>
        </w:tabs>
        <w:ind w:left="6480"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28" w15:restartNumberingAfterBreak="0">
    <w:nsid w:val="7ABD7AE6"/>
    <w:multiLevelType w:val="hybridMultilevel"/>
    <w:tmpl w:val="B97438C4"/>
    <w:lvl w:ilvl="0" w:tplc="ACFA9774">
      <w:start w:val="7"/>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2937FD"/>
    <w:multiLevelType w:val="hybridMultilevel"/>
    <w:tmpl w:val="233C379E"/>
    <w:lvl w:ilvl="0" w:tplc="0410000F">
      <w:start w:val="1"/>
      <w:numFmt w:val="decimal"/>
      <w:lvlText w:val="%1."/>
      <w:lvlJc w:val="left"/>
      <w:pPr>
        <w:ind w:left="717" w:hanging="360"/>
      </w:pPr>
      <w:rPr>
        <w:rFonts w:hint="default"/>
      </w:rPr>
    </w:lvl>
    <w:lvl w:ilvl="1" w:tplc="04100019">
      <w:start w:val="1"/>
      <w:numFmt w:val="lowerLetter"/>
      <w:lvlText w:val="%2."/>
      <w:lvlJc w:val="left"/>
      <w:pPr>
        <w:ind w:left="1437" w:hanging="360"/>
      </w:pPr>
    </w:lvl>
    <w:lvl w:ilvl="2" w:tplc="0410001B" w:tentative="1">
      <w:start w:val="1"/>
      <w:numFmt w:val="lowerRoman"/>
      <w:lvlText w:val="%3."/>
      <w:lvlJc w:val="right"/>
      <w:pPr>
        <w:ind w:left="2157" w:hanging="180"/>
      </w:pPr>
    </w:lvl>
    <w:lvl w:ilvl="3" w:tplc="0410000F" w:tentative="1">
      <w:start w:val="1"/>
      <w:numFmt w:val="decimal"/>
      <w:lvlText w:val="%4."/>
      <w:lvlJc w:val="left"/>
      <w:pPr>
        <w:ind w:left="2877" w:hanging="360"/>
      </w:pPr>
    </w:lvl>
    <w:lvl w:ilvl="4" w:tplc="04100019" w:tentative="1">
      <w:start w:val="1"/>
      <w:numFmt w:val="lowerLetter"/>
      <w:lvlText w:val="%5."/>
      <w:lvlJc w:val="left"/>
      <w:pPr>
        <w:ind w:left="3597" w:hanging="360"/>
      </w:pPr>
    </w:lvl>
    <w:lvl w:ilvl="5" w:tplc="0410001B" w:tentative="1">
      <w:start w:val="1"/>
      <w:numFmt w:val="lowerRoman"/>
      <w:lvlText w:val="%6."/>
      <w:lvlJc w:val="right"/>
      <w:pPr>
        <w:ind w:left="4317" w:hanging="180"/>
      </w:pPr>
    </w:lvl>
    <w:lvl w:ilvl="6" w:tplc="0410000F" w:tentative="1">
      <w:start w:val="1"/>
      <w:numFmt w:val="decimal"/>
      <w:lvlText w:val="%7."/>
      <w:lvlJc w:val="left"/>
      <w:pPr>
        <w:ind w:left="5037" w:hanging="360"/>
      </w:pPr>
    </w:lvl>
    <w:lvl w:ilvl="7" w:tplc="04100019" w:tentative="1">
      <w:start w:val="1"/>
      <w:numFmt w:val="lowerLetter"/>
      <w:lvlText w:val="%8."/>
      <w:lvlJc w:val="left"/>
      <w:pPr>
        <w:ind w:left="5757" w:hanging="360"/>
      </w:pPr>
    </w:lvl>
    <w:lvl w:ilvl="8" w:tplc="0410001B" w:tentative="1">
      <w:start w:val="1"/>
      <w:numFmt w:val="lowerRoman"/>
      <w:lvlText w:val="%9."/>
      <w:lvlJc w:val="right"/>
      <w:pPr>
        <w:ind w:left="6477" w:hanging="180"/>
      </w:pPr>
    </w:lvl>
  </w:abstractNum>
  <w:abstractNum w:abstractNumId="30" w15:restartNumberingAfterBreak="0">
    <w:nsid w:val="7DEF0A0D"/>
    <w:multiLevelType w:val="hybridMultilevel"/>
    <w:tmpl w:val="66704EA6"/>
    <w:styleLink w:val="Stileimportato16"/>
    <w:lvl w:ilvl="0" w:tplc="D06429DA">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D95654A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9F12099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BB88E1E8">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034A7FAE">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9DEE7A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2F26EB2">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010C92AA">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8328DC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num w:numId="1" w16cid:durableId="736586030">
    <w:abstractNumId w:val="17"/>
  </w:num>
  <w:num w:numId="2" w16cid:durableId="1026714874">
    <w:abstractNumId w:val="9"/>
  </w:num>
  <w:num w:numId="3" w16cid:durableId="1078746961">
    <w:abstractNumId w:val="18"/>
  </w:num>
  <w:num w:numId="4" w16cid:durableId="2020572207">
    <w:abstractNumId w:val="12"/>
  </w:num>
  <w:num w:numId="5" w16cid:durableId="502597105">
    <w:abstractNumId w:val="27"/>
  </w:num>
  <w:num w:numId="6" w16cid:durableId="976765965">
    <w:abstractNumId w:val="21"/>
  </w:num>
  <w:num w:numId="7" w16cid:durableId="482044920">
    <w:abstractNumId w:val="11"/>
  </w:num>
  <w:num w:numId="8" w16cid:durableId="736053930">
    <w:abstractNumId w:val="10"/>
  </w:num>
  <w:num w:numId="9" w16cid:durableId="1450777310">
    <w:abstractNumId w:val="19"/>
  </w:num>
  <w:num w:numId="10" w16cid:durableId="1857228756">
    <w:abstractNumId w:val="30"/>
  </w:num>
  <w:num w:numId="11" w16cid:durableId="1857767729">
    <w:abstractNumId w:val="14"/>
  </w:num>
  <w:num w:numId="12" w16cid:durableId="615603194">
    <w:abstractNumId w:val="22"/>
  </w:num>
  <w:num w:numId="13" w16cid:durableId="187572886">
    <w:abstractNumId w:val="20"/>
  </w:num>
  <w:num w:numId="14" w16cid:durableId="1007830850">
    <w:abstractNumId w:val="23"/>
  </w:num>
  <w:num w:numId="15" w16cid:durableId="1186748837">
    <w:abstractNumId w:val="4"/>
  </w:num>
  <w:num w:numId="16" w16cid:durableId="1126124249">
    <w:abstractNumId w:val="15"/>
  </w:num>
  <w:num w:numId="17" w16cid:durableId="974261260">
    <w:abstractNumId w:val="3"/>
  </w:num>
  <w:num w:numId="18" w16cid:durableId="1088967247">
    <w:abstractNumId w:val="1"/>
  </w:num>
  <w:num w:numId="19" w16cid:durableId="895091398">
    <w:abstractNumId w:val="0"/>
  </w:num>
  <w:num w:numId="20" w16cid:durableId="674844667">
    <w:abstractNumId w:val="0"/>
  </w:num>
  <w:num w:numId="21" w16cid:durableId="2114863121">
    <w:abstractNumId w:val="26"/>
  </w:num>
  <w:num w:numId="22" w16cid:durableId="294415987">
    <w:abstractNumId w:val="13"/>
  </w:num>
  <w:num w:numId="23" w16cid:durableId="524295175">
    <w:abstractNumId w:val="6"/>
  </w:num>
  <w:num w:numId="24" w16cid:durableId="840437992">
    <w:abstractNumId w:val="24"/>
  </w:num>
  <w:num w:numId="25" w16cid:durableId="1816141092">
    <w:abstractNumId w:val="29"/>
  </w:num>
  <w:num w:numId="26" w16cid:durableId="839587455">
    <w:abstractNumId w:val="2"/>
  </w:num>
  <w:num w:numId="27" w16cid:durableId="558514638">
    <w:abstractNumId w:val="5"/>
  </w:num>
  <w:num w:numId="28" w16cid:durableId="1410469600">
    <w:abstractNumId w:val="8"/>
  </w:num>
  <w:num w:numId="29" w16cid:durableId="1003899100">
    <w:abstractNumId w:val="16"/>
  </w:num>
  <w:num w:numId="30" w16cid:durableId="1521507491">
    <w:abstractNumId w:val="28"/>
  </w:num>
  <w:num w:numId="31" w16cid:durableId="1319384212">
    <w:abstractNumId w:val="25"/>
  </w:num>
  <w:num w:numId="32" w16cid:durableId="1059673676">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C64"/>
    <w:rsid w:val="00007BDB"/>
    <w:rsid w:val="000220EC"/>
    <w:rsid w:val="00027309"/>
    <w:rsid w:val="000515E9"/>
    <w:rsid w:val="000530D4"/>
    <w:rsid w:val="00053320"/>
    <w:rsid w:val="000552E9"/>
    <w:rsid w:val="00063F07"/>
    <w:rsid w:val="000652FE"/>
    <w:rsid w:val="00067B0F"/>
    <w:rsid w:val="0007423B"/>
    <w:rsid w:val="00085276"/>
    <w:rsid w:val="00086031"/>
    <w:rsid w:val="000A567B"/>
    <w:rsid w:val="000A7FC1"/>
    <w:rsid w:val="000C1B31"/>
    <w:rsid w:val="000E031E"/>
    <w:rsid w:val="000E23C3"/>
    <w:rsid w:val="000E2404"/>
    <w:rsid w:val="000F1D4A"/>
    <w:rsid w:val="000F6154"/>
    <w:rsid w:val="001045D3"/>
    <w:rsid w:val="00114AFA"/>
    <w:rsid w:val="0013129D"/>
    <w:rsid w:val="00141ACE"/>
    <w:rsid w:val="00152FEA"/>
    <w:rsid w:val="00155ECB"/>
    <w:rsid w:val="0016203E"/>
    <w:rsid w:val="00193E3E"/>
    <w:rsid w:val="001A6E09"/>
    <w:rsid w:val="001B1665"/>
    <w:rsid w:val="001B1EE5"/>
    <w:rsid w:val="001B2496"/>
    <w:rsid w:val="001C3614"/>
    <w:rsid w:val="001F3947"/>
    <w:rsid w:val="001F66A4"/>
    <w:rsid w:val="0021395C"/>
    <w:rsid w:val="00213DFC"/>
    <w:rsid w:val="002269E9"/>
    <w:rsid w:val="00230422"/>
    <w:rsid w:val="002334CB"/>
    <w:rsid w:val="00240874"/>
    <w:rsid w:val="002476CA"/>
    <w:rsid w:val="00254ED9"/>
    <w:rsid w:val="00257034"/>
    <w:rsid w:val="002574D1"/>
    <w:rsid w:val="00262161"/>
    <w:rsid w:val="00267A0C"/>
    <w:rsid w:val="00271BF2"/>
    <w:rsid w:val="00275F8C"/>
    <w:rsid w:val="00282D48"/>
    <w:rsid w:val="00287D77"/>
    <w:rsid w:val="002934C4"/>
    <w:rsid w:val="00295067"/>
    <w:rsid w:val="00295C92"/>
    <w:rsid w:val="002A2852"/>
    <w:rsid w:val="002B5414"/>
    <w:rsid w:val="002B7BB7"/>
    <w:rsid w:val="002C2ECF"/>
    <w:rsid w:val="002D7D47"/>
    <w:rsid w:val="002E1D3E"/>
    <w:rsid w:val="002E66A4"/>
    <w:rsid w:val="002E7DC0"/>
    <w:rsid w:val="002F22AD"/>
    <w:rsid w:val="002F242E"/>
    <w:rsid w:val="00303FA9"/>
    <w:rsid w:val="00323399"/>
    <w:rsid w:val="00331B39"/>
    <w:rsid w:val="00331F8A"/>
    <w:rsid w:val="0033776B"/>
    <w:rsid w:val="00341C2E"/>
    <w:rsid w:val="003513DE"/>
    <w:rsid w:val="00351825"/>
    <w:rsid w:val="00351A88"/>
    <w:rsid w:val="0035403B"/>
    <w:rsid w:val="00357A26"/>
    <w:rsid w:val="00363DDD"/>
    <w:rsid w:val="00385D05"/>
    <w:rsid w:val="00394424"/>
    <w:rsid w:val="003B7E69"/>
    <w:rsid w:val="003C4556"/>
    <w:rsid w:val="003C572E"/>
    <w:rsid w:val="003D15A1"/>
    <w:rsid w:val="003D3A1A"/>
    <w:rsid w:val="0040381F"/>
    <w:rsid w:val="004206D5"/>
    <w:rsid w:val="00437A4B"/>
    <w:rsid w:val="00440C64"/>
    <w:rsid w:val="00441CB1"/>
    <w:rsid w:val="00443847"/>
    <w:rsid w:val="00450568"/>
    <w:rsid w:val="00462BF4"/>
    <w:rsid w:val="00480FCF"/>
    <w:rsid w:val="00491ADB"/>
    <w:rsid w:val="004935D9"/>
    <w:rsid w:val="00497D64"/>
    <w:rsid w:val="004A1565"/>
    <w:rsid w:val="004B3977"/>
    <w:rsid w:val="004C71D6"/>
    <w:rsid w:val="004E1921"/>
    <w:rsid w:val="004E5421"/>
    <w:rsid w:val="004F5168"/>
    <w:rsid w:val="00504BE2"/>
    <w:rsid w:val="00506259"/>
    <w:rsid w:val="005066E9"/>
    <w:rsid w:val="00513425"/>
    <w:rsid w:val="00542990"/>
    <w:rsid w:val="005624E2"/>
    <w:rsid w:val="00581D8E"/>
    <w:rsid w:val="00583552"/>
    <w:rsid w:val="00583D8F"/>
    <w:rsid w:val="00584215"/>
    <w:rsid w:val="00587C22"/>
    <w:rsid w:val="0059102A"/>
    <w:rsid w:val="00594675"/>
    <w:rsid w:val="005A7CD5"/>
    <w:rsid w:val="005B2A55"/>
    <w:rsid w:val="005B313B"/>
    <w:rsid w:val="005B592D"/>
    <w:rsid w:val="005C716E"/>
    <w:rsid w:val="005F497F"/>
    <w:rsid w:val="00617D07"/>
    <w:rsid w:val="00621ED3"/>
    <w:rsid w:val="0062226A"/>
    <w:rsid w:val="00625108"/>
    <w:rsid w:val="0063302F"/>
    <w:rsid w:val="006363B5"/>
    <w:rsid w:val="00636990"/>
    <w:rsid w:val="00655AB2"/>
    <w:rsid w:val="006726AB"/>
    <w:rsid w:val="0069051D"/>
    <w:rsid w:val="00691C65"/>
    <w:rsid w:val="006B130E"/>
    <w:rsid w:val="006B5607"/>
    <w:rsid w:val="006B5D0E"/>
    <w:rsid w:val="006C434A"/>
    <w:rsid w:val="006D13FE"/>
    <w:rsid w:val="006D238A"/>
    <w:rsid w:val="006D2935"/>
    <w:rsid w:val="006F5E01"/>
    <w:rsid w:val="00704F20"/>
    <w:rsid w:val="00706916"/>
    <w:rsid w:val="00710F52"/>
    <w:rsid w:val="00712EE8"/>
    <w:rsid w:val="0071449A"/>
    <w:rsid w:val="0071539E"/>
    <w:rsid w:val="007164E3"/>
    <w:rsid w:val="00725BD6"/>
    <w:rsid w:val="00727321"/>
    <w:rsid w:val="00734C74"/>
    <w:rsid w:val="00736B45"/>
    <w:rsid w:val="00743F9E"/>
    <w:rsid w:val="00745C7E"/>
    <w:rsid w:val="00761F94"/>
    <w:rsid w:val="00774C7C"/>
    <w:rsid w:val="007751A6"/>
    <w:rsid w:val="00775E55"/>
    <w:rsid w:val="007776E3"/>
    <w:rsid w:val="00781903"/>
    <w:rsid w:val="007942F7"/>
    <w:rsid w:val="007A259C"/>
    <w:rsid w:val="007A56A3"/>
    <w:rsid w:val="007A56C0"/>
    <w:rsid w:val="007A77CE"/>
    <w:rsid w:val="007B1047"/>
    <w:rsid w:val="007B39F4"/>
    <w:rsid w:val="007B7C2A"/>
    <w:rsid w:val="007D0EB3"/>
    <w:rsid w:val="007D329C"/>
    <w:rsid w:val="007E1C36"/>
    <w:rsid w:val="007F310C"/>
    <w:rsid w:val="00805E15"/>
    <w:rsid w:val="008160FE"/>
    <w:rsid w:val="00816C6C"/>
    <w:rsid w:val="00847944"/>
    <w:rsid w:val="008536DC"/>
    <w:rsid w:val="00864FFC"/>
    <w:rsid w:val="00881234"/>
    <w:rsid w:val="00884FFD"/>
    <w:rsid w:val="0089549F"/>
    <w:rsid w:val="008A18BF"/>
    <w:rsid w:val="008A3420"/>
    <w:rsid w:val="008A63A7"/>
    <w:rsid w:val="008B530C"/>
    <w:rsid w:val="008B56E4"/>
    <w:rsid w:val="008C1B30"/>
    <w:rsid w:val="008C4FFB"/>
    <w:rsid w:val="008C702E"/>
    <w:rsid w:val="008D3D4F"/>
    <w:rsid w:val="008E08CA"/>
    <w:rsid w:val="008F313E"/>
    <w:rsid w:val="009106BE"/>
    <w:rsid w:val="00917CAB"/>
    <w:rsid w:val="009202F8"/>
    <w:rsid w:val="00920AF2"/>
    <w:rsid w:val="00923F7C"/>
    <w:rsid w:val="00937570"/>
    <w:rsid w:val="009412F9"/>
    <w:rsid w:val="00945C6F"/>
    <w:rsid w:val="00966C25"/>
    <w:rsid w:val="009746BB"/>
    <w:rsid w:val="009826D2"/>
    <w:rsid w:val="009946F5"/>
    <w:rsid w:val="009A57CC"/>
    <w:rsid w:val="009A7502"/>
    <w:rsid w:val="009B76A5"/>
    <w:rsid w:val="009C1AF1"/>
    <w:rsid w:val="009D3B50"/>
    <w:rsid w:val="009D7C53"/>
    <w:rsid w:val="009F2E7E"/>
    <w:rsid w:val="00A05BEB"/>
    <w:rsid w:val="00A16D41"/>
    <w:rsid w:val="00A16FF8"/>
    <w:rsid w:val="00A21F17"/>
    <w:rsid w:val="00A31984"/>
    <w:rsid w:val="00A34AEA"/>
    <w:rsid w:val="00A37ACC"/>
    <w:rsid w:val="00A4055D"/>
    <w:rsid w:val="00A54C38"/>
    <w:rsid w:val="00A95DD3"/>
    <w:rsid w:val="00AA188F"/>
    <w:rsid w:val="00AA2C39"/>
    <w:rsid w:val="00AB22A8"/>
    <w:rsid w:val="00AB2850"/>
    <w:rsid w:val="00AB3313"/>
    <w:rsid w:val="00AC1E64"/>
    <w:rsid w:val="00AC5D33"/>
    <w:rsid w:val="00AE29E6"/>
    <w:rsid w:val="00AE46C4"/>
    <w:rsid w:val="00AE4C6F"/>
    <w:rsid w:val="00B06379"/>
    <w:rsid w:val="00B06554"/>
    <w:rsid w:val="00B10385"/>
    <w:rsid w:val="00B11994"/>
    <w:rsid w:val="00B17488"/>
    <w:rsid w:val="00B20C22"/>
    <w:rsid w:val="00B26234"/>
    <w:rsid w:val="00B27A93"/>
    <w:rsid w:val="00B34302"/>
    <w:rsid w:val="00B37D73"/>
    <w:rsid w:val="00B47220"/>
    <w:rsid w:val="00B51E58"/>
    <w:rsid w:val="00B53996"/>
    <w:rsid w:val="00B60A21"/>
    <w:rsid w:val="00B719B3"/>
    <w:rsid w:val="00B82881"/>
    <w:rsid w:val="00B8403D"/>
    <w:rsid w:val="00B958FF"/>
    <w:rsid w:val="00B9748D"/>
    <w:rsid w:val="00B97A13"/>
    <w:rsid w:val="00BA1FCC"/>
    <w:rsid w:val="00BA2D7B"/>
    <w:rsid w:val="00BA3F5D"/>
    <w:rsid w:val="00BA4EF6"/>
    <w:rsid w:val="00BA69AA"/>
    <w:rsid w:val="00BB0E29"/>
    <w:rsid w:val="00BB258F"/>
    <w:rsid w:val="00BE0383"/>
    <w:rsid w:val="00BF3355"/>
    <w:rsid w:val="00BF72B6"/>
    <w:rsid w:val="00C05CAB"/>
    <w:rsid w:val="00C103E1"/>
    <w:rsid w:val="00C179CA"/>
    <w:rsid w:val="00C3006D"/>
    <w:rsid w:val="00C316B4"/>
    <w:rsid w:val="00C41C57"/>
    <w:rsid w:val="00C50BCA"/>
    <w:rsid w:val="00C670CA"/>
    <w:rsid w:val="00C67B41"/>
    <w:rsid w:val="00C924E5"/>
    <w:rsid w:val="00C95125"/>
    <w:rsid w:val="00C97486"/>
    <w:rsid w:val="00CA3497"/>
    <w:rsid w:val="00CB5762"/>
    <w:rsid w:val="00CB7D68"/>
    <w:rsid w:val="00CD3E79"/>
    <w:rsid w:val="00CE57FC"/>
    <w:rsid w:val="00CF4B00"/>
    <w:rsid w:val="00D17028"/>
    <w:rsid w:val="00D201FA"/>
    <w:rsid w:val="00D3413D"/>
    <w:rsid w:val="00D34299"/>
    <w:rsid w:val="00D531BF"/>
    <w:rsid w:val="00D53D93"/>
    <w:rsid w:val="00D91FA5"/>
    <w:rsid w:val="00D93DF0"/>
    <w:rsid w:val="00DA71B5"/>
    <w:rsid w:val="00DC0BC4"/>
    <w:rsid w:val="00DE180F"/>
    <w:rsid w:val="00DE3215"/>
    <w:rsid w:val="00DF3442"/>
    <w:rsid w:val="00E03097"/>
    <w:rsid w:val="00E05FCE"/>
    <w:rsid w:val="00E119A5"/>
    <w:rsid w:val="00E11CC5"/>
    <w:rsid w:val="00E1617A"/>
    <w:rsid w:val="00E22CF1"/>
    <w:rsid w:val="00E308F9"/>
    <w:rsid w:val="00E31A8C"/>
    <w:rsid w:val="00E31DF5"/>
    <w:rsid w:val="00E33096"/>
    <w:rsid w:val="00E37AC3"/>
    <w:rsid w:val="00E51D68"/>
    <w:rsid w:val="00E542FC"/>
    <w:rsid w:val="00E75C2F"/>
    <w:rsid w:val="00E76249"/>
    <w:rsid w:val="00E81890"/>
    <w:rsid w:val="00EB0A9D"/>
    <w:rsid w:val="00EB51D6"/>
    <w:rsid w:val="00EB6CD7"/>
    <w:rsid w:val="00EC4919"/>
    <w:rsid w:val="00EC4B00"/>
    <w:rsid w:val="00EE1DF0"/>
    <w:rsid w:val="00EF0DC6"/>
    <w:rsid w:val="00EF3824"/>
    <w:rsid w:val="00F0011F"/>
    <w:rsid w:val="00F255B9"/>
    <w:rsid w:val="00F354CC"/>
    <w:rsid w:val="00F7351E"/>
    <w:rsid w:val="00F738FC"/>
    <w:rsid w:val="00F75B15"/>
    <w:rsid w:val="00FA3BF3"/>
    <w:rsid w:val="00FA4B46"/>
    <w:rsid w:val="00FB75DB"/>
    <w:rsid w:val="00FD55B6"/>
    <w:rsid w:val="00FD7738"/>
    <w:rsid w:val="00FE7AC6"/>
    <w:rsid w:val="00FF19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357C4"/>
  <w15:docId w15:val="{14AACB66-06DD-4CB8-91A6-512831685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37570"/>
  </w:style>
  <w:style w:type="paragraph" w:styleId="Titolo3">
    <w:name w:val="heading 3"/>
    <w:basedOn w:val="Normale"/>
    <w:next w:val="Normale"/>
    <w:link w:val="Titolo3Carattere"/>
    <w:uiPriority w:val="9"/>
    <w:semiHidden/>
    <w:unhideWhenUsed/>
    <w:qFormat/>
    <w:rsid w:val="0040381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itolo8">
    <w:name w:val="heading 8"/>
    <w:basedOn w:val="Normale"/>
    <w:next w:val="Normale"/>
    <w:link w:val="Titolo8Carattere"/>
    <w:qFormat/>
    <w:rsid w:val="00141ACE"/>
    <w:pPr>
      <w:keepNext/>
      <w:numPr>
        <w:ilvl w:val="7"/>
        <w:numId w:val="19"/>
      </w:numPr>
      <w:suppressAutoHyphens/>
      <w:spacing w:after="0" w:line="312" w:lineRule="auto"/>
      <w:jc w:val="center"/>
      <w:outlineLvl w:val="7"/>
    </w:pPr>
    <w:rPr>
      <w:rFonts w:ascii="Arial" w:eastAsia="Times New Roman" w:hAnsi="Arial" w:cs="Arial"/>
      <w:b/>
      <w:bCs/>
      <w:szCs w:val="24"/>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6C434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C434A"/>
  </w:style>
  <w:style w:type="paragraph" w:styleId="Pidipagina">
    <w:name w:val="footer"/>
    <w:basedOn w:val="Normale"/>
    <w:link w:val="PidipaginaCarattere"/>
    <w:uiPriority w:val="99"/>
    <w:unhideWhenUsed/>
    <w:rsid w:val="006C434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C434A"/>
  </w:style>
  <w:style w:type="paragraph" w:styleId="Testofumetto">
    <w:name w:val="Balloon Text"/>
    <w:basedOn w:val="Normale"/>
    <w:link w:val="TestofumettoCarattere"/>
    <w:uiPriority w:val="99"/>
    <w:semiHidden/>
    <w:unhideWhenUsed/>
    <w:rsid w:val="00A34AEA"/>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34AEA"/>
    <w:rPr>
      <w:rFonts w:ascii="Segoe UI" w:hAnsi="Segoe UI" w:cs="Segoe UI"/>
      <w:sz w:val="18"/>
      <w:szCs w:val="18"/>
    </w:rPr>
  </w:style>
  <w:style w:type="character" w:styleId="Collegamentoipertestuale">
    <w:name w:val="Hyperlink"/>
    <w:basedOn w:val="Carpredefinitoparagrafo"/>
    <w:uiPriority w:val="99"/>
    <w:unhideWhenUsed/>
    <w:rsid w:val="00710F52"/>
    <w:rPr>
      <w:color w:val="0000FF" w:themeColor="hyperlink"/>
      <w:u w:val="single"/>
    </w:rPr>
  </w:style>
  <w:style w:type="paragraph" w:customStyle="1" w:styleId="Default">
    <w:name w:val="Default"/>
    <w:rsid w:val="00945C6F"/>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TableNormal">
    <w:name w:val="Table Normal"/>
    <w:uiPriority w:val="2"/>
    <w:semiHidden/>
    <w:unhideWhenUsed/>
    <w:qFormat/>
    <w:rsid w:val="00DA71B5"/>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DA71B5"/>
    <w:pPr>
      <w:widowControl w:val="0"/>
      <w:spacing w:after="0" w:line="240" w:lineRule="auto"/>
    </w:pPr>
    <w:rPr>
      <w:rFonts w:ascii="Calibri" w:eastAsia="Calibri" w:hAnsi="Calibri" w:cs="Calibri"/>
      <w:lang w:val="en-US"/>
    </w:rPr>
  </w:style>
  <w:style w:type="character" w:customStyle="1" w:styleId="CorpotestoCarattere">
    <w:name w:val="Corpo testo Carattere"/>
    <w:basedOn w:val="Carpredefinitoparagrafo"/>
    <w:link w:val="Corpotesto"/>
    <w:uiPriority w:val="1"/>
    <w:rsid w:val="00DA71B5"/>
    <w:rPr>
      <w:rFonts w:ascii="Calibri" w:eastAsia="Calibri" w:hAnsi="Calibri" w:cs="Calibri"/>
      <w:lang w:val="en-US"/>
    </w:rPr>
  </w:style>
  <w:style w:type="paragraph" w:customStyle="1" w:styleId="TableParagraph">
    <w:name w:val="Table Paragraph"/>
    <w:basedOn w:val="Normale"/>
    <w:uiPriority w:val="1"/>
    <w:qFormat/>
    <w:rsid w:val="00DA71B5"/>
    <w:pPr>
      <w:widowControl w:val="0"/>
      <w:spacing w:after="0" w:line="194" w:lineRule="exact"/>
      <w:ind w:right="222"/>
      <w:jc w:val="right"/>
    </w:pPr>
    <w:rPr>
      <w:rFonts w:ascii="Calibri" w:eastAsia="Calibri" w:hAnsi="Calibri" w:cs="Calibri"/>
      <w:lang w:val="en-US"/>
    </w:rPr>
  </w:style>
  <w:style w:type="character" w:customStyle="1" w:styleId="apple-converted-space">
    <w:name w:val="apple-converted-space"/>
    <w:basedOn w:val="Carpredefinitoparagrafo"/>
    <w:rsid w:val="00691C65"/>
  </w:style>
  <w:style w:type="paragraph" w:customStyle="1" w:styleId="ParaAttribute0">
    <w:name w:val="ParaAttribute0"/>
    <w:rsid w:val="00EF3824"/>
    <w:pPr>
      <w:widowControl w:val="0"/>
      <w:pBdr>
        <w:top w:val="nil"/>
        <w:left w:val="nil"/>
        <w:bottom w:val="nil"/>
        <w:right w:val="nil"/>
        <w:between w:val="nil"/>
        <w:bar w:val="nil"/>
      </w:pBdr>
      <w:spacing w:after="0" w:line="240" w:lineRule="auto"/>
    </w:pPr>
    <w:rPr>
      <w:rFonts w:ascii="Times New Roman" w:eastAsia="Arial Unicode MS" w:hAnsi="Arial Unicode MS" w:cs="Arial Unicode MS"/>
      <w:color w:val="000000"/>
      <w:sz w:val="20"/>
      <w:szCs w:val="20"/>
      <w:u w:color="000000"/>
      <w:bdr w:val="nil"/>
      <w:lang w:eastAsia="it-IT"/>
    </w:rPr>
  </w:style>
  <w:style w:type="numbering" w:customStyle="1" w:styleId="Harvard">
    <w:name w:val="Harvard"/>
    <w:rsid w:val="00EF3824"/>
    <w:pPr>
      <w:numPr>
        <w:numId w:val="1"/>
      </w:numPr>
    </w:pPr>
  </w:style>
  <w:style w:type="table" w:styleId="Grigliatabella">
    <w:name w:val="Table Grid"/>
    <w:basedOn w:val="Tabellanormale"/>
    <w:uiPriority w:val="39"/>
    <w:rsid w:val="00594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594675"/>
    <w:pPr>
      <w:ind w:left="720"/>
      <w:contextualSpacing/>
    </w:pPr>
  </w:style>
  <w:style w:type="paragraph" w:customStyle="1" w:styleId="Corpo">
    <w:name w:val="Corpo"/>
    <w:rsid w:val="00B20C22"/>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it-IT"/>
    </w:rPr>
  </w:style>
  <w:style w:type="paragraph" w:styleId="Rientrocorpodeltesto2">
    <w:name w:val="Body Text Indent 2"/>
    <w:basedOn w:val="Normale"/>
    <w:link w:val="Rientrocorpodeltesto2Carattere"/>
    <w:uiPriority w:val="99"/>
    <w:semiHidden/>
    <w:unhideWhenUsed/>
    <w:rsid w:val="007D0EB3"/>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7D0EB3"/>
  </w:style>
  <w:style w:type="paragraph" w:customStyle="1" w:styleId="Corpodeltesto31">
    <w:name w:val="Corpo del testo 31"/>
    <w:basedOn w:val="Normale"/>
    <w:rsid w:val="007D0EB3"/>
    <w:pPr>
      <w:shd w:val="clear" w:color="auto" w:fill="FFFFFF"/>
      <w:suppressAutoHyphens/>
      <w:spacing w:after="120" w:line="360" w:lineRule="auto"/>
    </w:pPr>
    <w:rPr>
      <w:rFonts w:ascii="Times New Roman" w:eastAsia="Times New Roman" w:hAnsi="Times New Roman" w:cs="Times New Roman"/>
      <w:color w:val="000000"/>
      <w:spacing w:val="4"/>
      <w:sz w:val="24"/>
      <w:szCs w:val="24"/>
      <w:lang w:eastAsia="ar-SA"/>
    </w:rPr>
  </w:style>
  <w:style w:type="paragraph" w:styleId="Sottotitolo">
    <w:name w:val="Subtitle"/>
    <w:basedOn w:val="Normale"/>
    <w:next w:val="Corpotesto"/>
    <w:link w:val="SottotitoloCarattere"/>
    <w:qFormat/>
    <w:rsid w:val="007D0EB3"/>
    <w:pPr>
      <w:suppressAutoHyphens/>
      <w:spacing w:after="0" w:line="240" w:lineRule="auto"/>
    </w:pPr>
    <w:rPr>
      <w:rFonts w:ascii="Times New Roman" w:eastAsia="Times New Roman" w:hAnsi="Times New Roman" w:cs="Times New Roman"/>
      <w:b/>
      <w:sz w:val="20"/>
      <w:szCs w:val="20"/>
      <w:lang w:eastAsia="ar-SA"/>
    </w:rPr>
  </w:style>
  <w:style w:type="character" w:customStyle="1" w:styleId="SottotitoloCarattere">
    <w:name w:val="Sottotitolo Carattere"/>
    <w:basedOn w:val="Carpredefinitoparagrafo"/>
    <w:link w:val="Sottotitolo"/>
    <w:rsid w:val="007D0EB3"/>
    <w:rPr>
      <w:rFonts w:ascii="Times New Roman" w:eastAsia="Times New Roman" w:hAnsi="Times New Roman" w:cs="Times New Roman"/>
      <w:b/>
      <w:sz w:val="20"/>
      <w:szCs w:val="20"/>
      <w:lang w:eastAsia="ar-SA"/>
    </w:rPr>
  </w:style>
  <w:style w:type="paragraph" w:customStyle="1" w:styleId="Rientrocorpodeltesto21">
    <w:name w:val="Rientro corpo del testo 21"/>
    <w:basedOn w:val="Normale"/>
    <w:rsid w:val="007D0EB3"/>
    <w:pPr>
      <w:suppressAutoHyphens/>
      <w:spacing w:after="120" w:line="480" w:lineRule="auto"/>
      <w:ind w:left="283"/>
    </w:pPr>
    <w:rPr>
      <w:rFonts w:ascii="Tahoma" w:eastAsia="Times New Roman" w:hAnsi="Tahoma" w:cs="Tahoma"/>
      <w:szCs w:val="24"/>
      <w:lang w:eastAsia="ar-SA"/>
    </w:rPr>
  </w:style>
  <w:style w:type="paragraph" w:styleId="Titolo">
    <w:name w:val="Title"/>
    <w:basedOn w:val="Normale"/>
    <w:next w:val="Sottotitolo"/>
    <w:link w:val="TitoloCarattere"/>
    <w:uiPriority w:val="10"/>
    <w:qFormat/>
    <w:rsid w:val="00BA4EF6"/>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TitoloCarattere">
    <w:name w:val="Titolo Carattere"/>
    <w:basedOn w:val="Carpredefinitoparagrafo"/>
    <w:link w:val="Titolo"/>
    <w:uiPriority w:val="10"/>
    <w:rsid w:val="00BA4EF6"/>
    <w:rPr>
      <w:rFonts w:ascii="Times New Roman" w:eastAsia="Times New Roman" w:hAnsi="Times New Roman" w:cs="Times New Roman"/>
      <w:b/>
      <w:bCs/>
      <w:sz w:val="28"/>
      <w:szCs w:val="24"/>
      <w:lang w:eastAsia="ar-SA"/>
    </w:rPr>
  </w:style>
  <w:style w:type="numbering" w:customStyle="1" w:styleId="List12">
    <w:name w:val="List 12"/>
    <w:basedOn w:val="Nessunelenco"/>
    <w:rsid w:val="00761F94"/>
    <w:pPr>
      <w:numPr>
        <w:numId w:val="9"/>
      </w:numPr>
    </w:pPr>
  </w:style>
  <w:style w:type="numbering" w:customStyle="1" w:styleId="List13">
    <w:name w:val="List 13"/>
    <w:basedOn w:val="Nessunelenco"/>
    <w:rsid w:val="00761F94"/>
    <w:pPr>
      <w:numPr>
        <w:numId w:val="2"/>
      </w:numPr>
    </w:pPr>
  </w:style>
  <w:style w:type="numbering" w:customStyle="1" w:styleId="Stileimportato15">
    <w:name w:val="Stile importato 15"/>
    <w:rsid w:val="00761F94"/>
    <w:pPr>
      <w:numPr>
        <w:numId w:val="3"/>
      </w:numPr>
    </w:pPr>
  </w:style>
  <w:style w:type="numbering" w:customStyle="1" w:styleId="Stileimportato18">
    <w:name w:val="Stile importato 18"/>
    <w:rsid w:val="00761F94"/>
    <w:pPr>
      <w:numPr>
        <w:numId w:val="4"/>
      </w:numPr>
    </w:pPr>
  </w:style>
  <w:style w:type="numbering" w:customStyle="1" w:styleId="Stileimportato21">
    <w:name w:val="Stile importato 21"/>
    <w:rsid w:val="00761F94"/>
    <w:pPr>
      <w:numPr>
        <w:numId w:val="5"/>
      </w:numPr>
    </w:pPr>
  </w:style>
  <w:style w:type="numbering" w:customStyle="1" w:styleId="Stileimportato22">
    <w:name w:val="Stile importato 22"/>
    <w:rsid w:val="00761F94"/>
    <w:pPr>
      <w:numPr>
        <w:numId w:val="6"/>
      </w:numPr>
    </w:pPr>
  </w:style>
  <w:style w:type="numbering" w:customStyle="1" w:styleId="Stileimportato24">
    <w:name w:val="Stile importato 24"/>
    <w:rsid w:val="00761F94"/>
    <w:pPr>
      <w:numPr>
        <w:numId w:val="7"/>
      </w:numPr>
    </w:pPr>
  </w:style>
  <w:style w:type="numbering" w:customStyle="1" w:styleId="Stileimportato27">
    <w:name w:val="Stile importato 27"/>
    <w:rsid w:val="00761F94"/>
    <w:pPr>
      <w:numPr>
        <w:numId w:val="8"/>
      </w:numPr>
    </w:pPr>
  </w:style>
  <w:style w:type="paragraph" w:customStyle="1" w:styleId="CorpoA">
    <w:name w:val="Corpo A"/>
    <w:rsid w:val="00357A26"/>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it-IT"/>
    </w:rPr>
  </w:style>
  <w:style w:type="paragraph" w:styleId="Rientrocorpodeltesto">
    <w:name w:val="Body Text Indent"/>
    <w:basedOn w:val="Normale"/>
    <w:link w:val="RientrocorpodeltestoCarattere"/>
    <w:uiPriority w:val="99"/>
    <w:semiHidden/>
    <w:unhideWhenUsed/>
    <w:rsid w:val="004B3977"/>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4B3977"/>
  </w:style>
  <w:style w:type="numbering" w:customStyle="1" w:styleId="Stileimportato16">
    <w:name w:val="Stile importato 16"/>
    <w:rsid w:val="004B3977"/>
    <w:pPr>
      <w:numPr>
        <w:numId w:val="10"/>
      </w:numPr>
    </w:pPr>
  </w:style>
  <w:style w:type="numbering" w:customStyle="1" w:styleId="Stileimportato181">
    <w:name w:val="Stile importato 181"/>
    <w:rsid w:val="004B3977"/>
    <w:pPr>
      <w:numPr>
        <w:numId w:val="11"/>
      </w:numPr>
    </w:pPr>
  </w:style>
  <w:style w:type="numbering" w:customStyle="1" w:styleId="Stileimportato19">
    <w:name w:val="Stile importato 19"/>
    <w:rsid w:val="004B3977"/>
    <w:pPr>
      <w:numPr>
        <w:numId w:val="12"/>
      </w:numPr>
    </w:pPr>
  </w:style>
  <w:style w:type="numbering" w:customStyle="1" w:styleId="Stileimportato20">
    <w:name w:val="Stile importato 20"/>
    <w:rsid w:val="004B3977"/>
    <w:pPr>
      <w:numPr>
        <w:numId w:val="13"/>
      </w:numPr>
    </w:pPr>
  </w:style>
  <w:style w:type="character" w:styleId="Rimandocommento">
    <w:name w:val="annotation reference"/>
    <w:basedOn w:val="Carpredefinitoparagrafo"/>
    <w:uiPriority w:val="99"/>
    <w:semiHidden/>
    <w:unhideWhenUsed/>
    <w:rsid w:val="003C4556"/>
    <w:rPr>
      <w:sz w:val="16"/>
      <w:szCs w:val="16"/>
    </w:rPr>
  </w:style>
  <w:style w:type="paragraph" w:styleId="Corpodeltesto3">
    <w:name w:val="Body Text 3"/>
    <w:basedOn w:val="Normale"/>
    <w:link w:val="Corpodeltesto3Carattere"/>
    <w:uiPriority w:val="99"/>
    <w:semiHidden/>
    <w:unhideWhenUsed/>
    <w:rsid w:val="00636990"/>
    <w:pPr>
      <w:spacing w:after="120"/>
    </w:pPr>
    <w:rPr>
      <w:sz w:val="16"/>
      <w:szCs w:val="16"/>
    </w:rPr>
  </w:style>
  <w:style w:type="character" w:customStyle="1" w:styleId="Corpodeltesto3Carattere">
    <w:name w:val="Corpo del testo 3 Carattere"/>
    <w:basedOn w:val="Carpredefinitoparagrafo"/>
    <w:link w:val="Corpodeltesto3"/>
    <w:uiPriority w:val="99"/>
    <w:semiHidden/>
    <w:rsid w:val="00636990"/>
    <w:rPr>
      <w:sz w:val="16"/>
      <w:szCs w:val="16"/>
    </w:rPr>
  </w:style>
  <w:style w:type="character" w:styleId="Numeropagina">
    <w:name w:val="page number"/>
    <w:basedOn w:val="Carpredefinitoparagrafo"/>
    <w:uiPriority w:val="99"/>
    <w:rsid w:val="00636990"/>
  </w:style>
  <w:style w:type="paragraph" w:customStyle="1" w:styleId="Testonotaapidipagina1">
    <w:name w:val="Testo nota a piè di pagina1"/>
    <w:basedOn w:val="Normale"/>
    <w:next w:val="Testonotaapidipagina"/>
    <w:link w:val="TestonotaapidipaginaCarattere"/>
    <w:uiPriority w:val="99"/>
    <w:semiHidden/>
    <w:unhideWhenUsed/>
    <w:rsid w:val="00CA3497"/>
    <w:pPr>
      <w:spacing w:after="0" w:line="240" w:lineRule="auto"/>
    </w:pPr>
    <w:rPr>
      <w:rFonts w:cs="Times New Roman"/>
      <w:sz w:val="20"/>
      <w:szCs w:val="20"/>
    </w:rPr>
  </w:style>
  <w:style w:type="character" w:customStyle="1" w:styleId="TestonotaapidipaginaCarattere">
    <w:name w:val="Testo nota a piè di pagina Carattere"/>
    <w:basedOn w:val="Carpredefinitoparagrafo"/>
    <w:link w:val="Testonotaapidipagina1"/>
    <w:uiPriority w:val="99"/>
    <w:semiHidden/>
    <w:locked/>
    <w:rsid w:val="00CA3497"/>
    <w:rPr>
      <w:rFonts w:cs="Times New Roman"/>
      <w:sz w:val="20"/>
      <w:szCs w:val="20"/>
    </w:rPr>
  </w:style>
  <w:style w:type="character" w:styleId="Rimandonotaapidipagina">
    <w:name w:val="footnote reference"/>
    <w:basedOn w:val="Carpredefinitoparagrafo"/>
    <w:uiPriority w:val="99"/>
    <w:semiHidden/>
    <w:unhideWhenUsed/>
    <w:rsid w:val="00CA3497"/>
    <w:rPr>
      <w:rFonts w:cs="Times New Roman"/>
      <w:vertAlign w:val="superscript"/>
    </w:rPr>
  </w:style>
  <w:style w:type="paragraph" w:styleId="Testonotaapidipagina">
    <w:name w:val="footnote text"/>
    <w:basedOn w:val="Normale"/>
    <w:link w:val="TestonotaapidipaginaCarattere1"/>
    <w:uiPriority w:val="99"/>
    <w:semiHidden/>
    <w:unhideWhenUsed/>
    <w:rsid w:val="00CA3497"/>
    <w:pPr>
      <w:spacing w:after="0" w:line="240" w:lineRule="auto"/>
    </w:pPr>
    <w:rPr>
      <w:sz w:val="20"/>
      <w:szCs w:val="20"/>
    </w:rPr>
  </w:style>
  <w:style w:type="character" w:customStyle="1" w:styleId="TestonotaapidipaginaCarattere1">
    <w:name w:val="Testo nota a piè di pagina Carattere1"/>
    <w:basedOn w:val="Carpredefinitoparagrafo"/>
    <w:link w:val="Testonotaapidipagina"/>
    <w:uiPriority w:val="99"/>
    <w:semiHidden/>
    <w:rsid w:val="00CA3497"/>
    <w:rPr>
      <w:sz w:val="20"/>
      <w:szCs w:val="20"/>
    </w:rPr>
  </w:style>
  <w:style w:type="paragraph" w:styleId="NormaleWeb">
    <w:name w:val="Normal (Web)"/>
    <w:basedOn w:val="Normale"/>
    <w:uiPriority w:val="99"/>
    <w:rsid w:val="00736B4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itolo8Carattere">
    <w:name w:val="Titolo 8 Carattere"/>
    <w:basedOn w:val="Carpredefinitoparagrafo"/>
    <w:link w:val="Titolo8"/>
    <w:rsid w:val="00141ACE"/>
    <w:rPr>
      <w:rFonts w:ascii="Arial" w:eastAsia="Times New Roman" w:hAnsi="Arial" w:cs="Arial"/>
      <w:b/>
      <w:bCs/>
      <w:szCs w:val="24"/>
      <w:lang w:eastAsia="zh-CN"/>
    </w:rPr>
  </w:style>
  <w:style w:type="character" w:customStyle="1" w:styleId="Titolo3Carattere">
    <w:name w:val="Titolo 3 Carattere"/>
    <w:basedOn w:val="Carpredefinitoparagrafo"/>
    <w:link w:val="Titolo3"/>
    <w:uiPriority w:val="9"/>
    <w:semiHidden/>
    <w:rsid w:val="0040381F"/>
    <w:rPr>
      <w:rFonts w:asciiTheme="majorHAnsi" w:eastAsiaTheme="majorEastAsia" w:hAnsiTheme="majorHAnsi" w:cstheme="majorBidi"/>
      <w:color w:val="243F60" w:themeColor="accent1" w:themeShade="7F"/>
      <w:sz w:val="24"/>
      <w:szCs w:val="24"/>
    </w:rPr>
  </w:style>
  <w:style w:type="paragraph" w:styleId="Corpodeltesto2">
    <w:name w:val="Body Text 2"/>
    <w:basedOn w:val="Normale"/>
    <w:link w:val="Corpodeltesto2Carattere"/>
    <w:uiPriority w:val="99"/>
    <w:semiHidden/>
    <w:unhideWhenUsed/>
    <w:rsid w:val="0040381F"/>
    <w:pPr>
      <w:spacing w:after="120" w:line="480" w:lineRule="auto"/>
    </w:pPr>
  </w:style>
  <w:style w:type="character" w:customStyle="1" w:styleId="Corpodeltesto2Carattere">
    <w:name w:val="Corpo del testo 2 Carattere"/>
    <w:basedOn w:val="Carpredefinitoparagrafo"/>
    <w:link w:val="Corpodeltesto2"/>
    <w:uiPriority w:val="99"/>
    <w:semiHidden/>
    <w:rsid w:val="0040381F"/>
  </w:style>
  <w:style w:type="paragraph" w:styleId="Rientrocorpodeltesto3">
    <w:name w:val="Body Text Indent 3"/>
    <w:basedOn w:val="Normale"/>
    <w:link w:val="Rientrocorpodeltesto3Carattere"/>
    <w:uiPriority w:val="99"/>
    <w:semiHidden/>
    <w:unhideWhenUsed/>
    <w:rsid w:val="0040381F"/>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40381F"/>
    <w:rPr>
      <w:sz w:val="16"/>
      <w:szCs w:val="16"/>
    </w:rPr>
  </w:style>
  <w:style w:type="table" w:customStyle="1" w:styleId="Grigliatabella1">
    <w:name w:val="Griglia tabella1"/>
    <w:basedOn w:val="Tabellanormale"/>
    <w:next w:val="Grigliatabella"/>
    <w:uiPriority w:val="39"/>
    <w:rsid w:val="003C572E"/>
    <w:pPr>
      <w:spacing w:after="0" w:line="240" w:lineRule="auto"/>
    </w:pPr>
    <w:rPr>
      <w:rFonts w:eastAsia="Times New Roman" w:cs="Arial"/>
      <w:kern w:val="2"/>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39"/>
    <w:rsid w:val="003C572E"/>
    <w:pPr>
      <w:spacing w:after="0" w:line="240" w:lineRule="auto"/>
    </w:pPr>
    <w:rPr>
      <w:rFonts w:eastAsia="Times New Roman" w:cs="Arial"/>
      <w:kern w:val="2"/>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77274">
      <w:bodyDiv w:val="1"/>
      <w:marLeft w:val="0"/>
      <w:marRight w:val="0"/>
      <w:marTop w:val="0"/>
      <w:marBottom w:val="0"/>
      <w:divBdr>
        <w:top w:val="none" w:sz="0" w:space="0" w:color="auto"/>
        <w:left w:val="none" w:sz="0" w:space="0" w:color="auto"/>
        <w:bottom w:val="none" w:sz="0" w:space="0" w:color="auto"/>
        <w:right w:val="none" w:sz="0" w:space="0" w:color="auto"/>
      </w:divBdr>
    </w:div>
    <w:div w:id="48697198">
      <w:bodyDiv w:val="1"/>
      <w:marLeft w:val="0"/>
      <w:marRight w:val="0"/>
      <w:marTop w:val="0"/>
      <w:marBottom w:val="0"/>
      <w:divBdr>
        <w:top w:val="none" w:sz="0" w:space="0" w:color="auto"/>
        <w:left w:val="none" w:sz="0" w:space="0" w:color="auto"/>
        <w:bottom w:val="none" w:sz="0" w:space="0" w:color="auto"/>
        <w:right w:val="none" w:sz="0" w:space="0" w:color="auto"/>
      </w:divBdr>
    </w:div>
    <w:div w:id="49771032">
      <w:bodyDiv w:val="1"/>
      <w:marLeft w:val="0"/>
      <w:marRight w:val="0"/>
      <w:marTop w:val="0"/>
      <w:marBottom w:val="0"/>
      <w:divBdr>
        <w:top w:val="none" w:sz="0" w:space="0" w:color="auto"/>
        <w:left w:val="none" w:sz="0" w:space="0" w:color="auto"/>
        <w:bottom w:val="none" w:sz="0" w:space="0" w:color="auto"/>
        <w:right w:val="none" w:sz="0" w:space="0" w:color="auto"/>
      </w:divBdr>
    </w:div>
    <w:div w:id="61367788">
      <w:bodyDiv w:val="1"/>
      <w:marLeft w:val="0"/>
      <w:marRight w:val="0"/>
      <w:marTop w:val="0"/>
      <w:marBottom w:val="0"/>
      <w:divBdr>
        <w:top w:val="none" w:sz="0" w:space="0" w:color="auto"/>
        <w:left w:val="none" w:sz="0" w:space="0" w:color="auto"/>
        <w:bottom w:val="none" w:sz="0" w:space="0" w:color="auto"/>
        <w:right w:val="none" w:sz="0" w:space="0" w:color="auto"/>
      </w:divBdr>
    </w:div>
    <w:div w:id="132605511">
      <w:bodyDiv w:val="1"/>
      <w:marLeft w:val="0"/>
      <w:marRight w:val="0"/>
      <w:marTop w:val="0"/>
      <w:marBottom w:val="0"/>
      <w:divBdr>
        <w:top w:val="none" w:sz="0" w:space="0" w:color="auto"/>
        <w:left w:val="none" w:sz="0" w:space="0" w:color="auto"/>
        <w:bottom w:val="none" w:sz="0" w:space="0" w:color="auto"/>
        <w:right w:val="none" w:sz="0" w:space="0" w:color="auto"/>
      </w:divBdr>
    </w:div>
    <w:div w:id="1001008274">
      <w:bodyDiv w:val="1"/>
      <w:marLeft w:val="0"/>
      <w:marRight w:val="0"/>
      <w:marTop w:val="0"/>
      <w:marBottom w:val="0"/>
      <w:divBdr>
        <w:top w:val="none" w:sz="0" w:space="0" w:color="auto"/>
        <w:left w:val="none" w:sz="0" w:space="0" w:color="auto"/>
        <w:bottom w:val="none" w:sz="0" w:space="0" w:color="auto"/>
        <w:right w:val="none" w:sz="0" w:space="0" w:color="auto"/>
      </w:divBdr>
    </w:div>
    <w:div w:id="1422067849">
      <w:bodyDiv w:val="1"/>
      <w:marLeft w:val="0"/>
      <w:marRight w:val="0"/>
      <w:marTop w:val="0"/>
      <w:marBottom w:val="0"/>
      <w:divBdr>
        <w:top w:val="none" w:sz="0" w:space="0" w:color="auto"/>
        <w:left w:val="none" w:sz="0" w:space="0" w:color="auto"/>
        <w:bottom w:val="none" w:sz="0" w:space="0" w:color="auto"/>
        <w:right w:val="none" w:sz="0" w:space="0" w:color="auto"/>
      </w:divBdr>
      <w:divsChild>
        <w:div w:id="37701540">
          <w:marLeft w:val="0"/>
          <w:marRight w:val="0"/>
          <w:marTop w:val="0"/>
          <w:marBottom w:val="0"/>
          <w:divBdr>
            <w:top w:val="none" w:sz="0" w:space="0" w:color="auto"/>
            <w:left w:val="none" w:sz="0" w:space="0" w:color="auto"/>
            <w:bottom w:val="none" w:sz="0" w:space="0" w:color="auto"/>
            <w:right w:val="none" w:sz="0" w:space="0" w:color="auto"/>
          </w:divBdr>
        </w:div>
        <w:div w:id="45223468">
          <w:marLeft w:val="0"/>
          <w:marRight w:val="0"/>
          <w:marTop w:val="0"/>
          <w:marBottom w:val="0"/>
          <w:divBdr>
            <w:top w:val="none" w:sz="0" w:space="0" w:color="auto"/>
            <w:left w:val="none" w:sz="0" w:space="0" w:color="auto"/>
            <w:bottom w:val="none" w:sz="0" w:space="0" w:color="auto"/>
            <w:right w:val="none" w:sz="0" w:space="0" w:color="auto"/>
          </w:divBdr>
        </w:div>
        <w:div w:id="65079585">
          <w:marLeft w:val="0"/>
          <w:marRight w:val="0"/>
          <w:marTop w:val="0"/>
          <w:marBottom w:val="0"/>
          <w:divBdr>
            <w:top w:val="none" w:sz="0" w:space="0" w:color="auto"/>
            <w:left w:val="none" w:sz="0" w:space="0" w:color="auto"/>
            <w:bottom w:val="none" w:sz="0" w:space="0" w:color="auto"/>
            <w:right w:val="none" w:sz="0" w:space="0" w:color="auto"/>
          </w:divBdr>
        </w:div>
        <w:div w:id="498734229">
          <w:marLeft w:val="0"/>
          <w:marRight w:val="0"/>
          <w:marTop w:val="0"/>
          <w:marBottom w:val="0"/>
          <w:divBdr>
            <w:top w:val="none" w:sz="0" w:space="0" w:color="auto"/>
            <w:left w:val="none" w:sz="0" w:space="0" w:color="auto"/>
            <w:bottom w:val="none" w:sz="0" w:space="0" w:color="auto"/>
            <w:right w:val="none" w:sz="0" w:space="0" w:color="auto"/>
          </w:divBdr>
        </w:div>
        <w:div w:id="569123742">
          <w:marLeft w:val="0"/>
          <w:marRight w:val="0"/>
          <w:marTop w:val="0"/>
          <w:marBottom w:val="0"/>
          <w:divBdr>
            <w:top w:val="none" w:sz="0" w:space="0" w:color="auto"/>
            <w:left w:val="none" w:sz="0" w:space="0" w:color="auto"/>
            <w:bottom w:val="none" w:sz="0" w:space="0" w:color="auto"/>
            <w:right w:val="none" w:sz="0" w:space="0" w:color="auto"/>
          </w:divBdr>
        </w:div>
        <w:div w:id="745031418">
          <w:marLeft w:val="0"/>
          <w:marRight w:val="0"/>
          <w:marTop w:val="0"/>
          <w:marBottom w:val="0"/>
          <w:divBdr>
            <w:top w:val="none" w:sz="0" w:space="0" w:color="auto"/>
            <w:left w:val="none" w:sz="0" w:space="0" w:color="auto"/>
            <w:bottom w:val="none" w:sz="0" w:space="0" w:color="auto"/>
            <w:right w:val="none" w:sz="0" w:space="0" w:color="auto"/>
          </w:divBdr>
        </w:div>
        <w:div w:id="806313303">
          <w:marLeft w:val="0"/>
          <w:marRight w:val="0"/>
          <w:marTop w:val="0"/>
          <w:marBottom w:val="0"/>
          <w:divBdr>
            <w:top w:val="none" w:sz="0" w:space="0" w:color="auto"/>
            <w:left w:val="none" w:sz="0" w:space="0" w:color="auto"/>
            <w:bottom w:val="none" w:sz="0" w:space="0" w:color="auto"/>
            <w:right w:val="none" w:sz="0" w:space="0" w:color="auto"/>
          </w:divBdr>
        </w:div>
        <w:div w:id="837771282">
          <w:marLeft w:val="0"/>
          <w:marRight w:val="0"/>
          <w:marTop w:val="0"/>
          <w:marBottom w:val="0"/>
          <w:divBdr>
            <w:top w:val="none" w:sz="0" w:space="0" w:color="auto"/>
            <w:left w:val="none" w:sz="0" w:space="0" w:color="auto"/>
            <w:bottom w:val="none" w:sz="0" w:space="0" w:color="auto"/>
            <w:right w:val="none" w:sz="0" w:space="0" w:color="auto"/>
          </w:divBdr>
        </w:div>
        <w:div w:id="842940376">
          <w:marLeft w:val="0"/>
          <w:marRight w:val="0"/>
          <w:marTop w:val="0"/>
          <w:marBottom w:val="0"/>
          <w:divBdr>
            <w:top w:val="none" w:sz="0" w:space="0" w:color="auto"/>
            <w:left w:val="none" w:sz="0" w:space="0" w:color="auto"/>
            <w:bottom w:val="none" w:sz="0" w:space="0" w:color="auto"/>
            <w:right w:val="none" w:sz="0" w:space="0" w:color="auto"/>
          </w:divBdr>
        </w:div>
        <w:div w:id="960264776">
          <w:marLeft w:val="0"/>
          <w:marRight w:val="0"/>
          <w:marTop w:val="0"/>
          <w:marBottom w:val="0"/>
          <w:divBdr>
            <w:top w:val="none" w:sz="0" w:space="0" w:color="auto"/>
            <w:left w:val="none" w:sz="0" w:space="0" w:color="auto"/>
            <w:bottom w:val="none" w:sz="0" w:space="0" w:color="auto"/>
            <w:right w:val="none" w:sz="0" w:space="0" w:color="auto"/>
          </w:divBdr>
        </w:div>
        <w:div w:id="1064181946">
          <w:marLeft w:val="0"/>
          <w:marRight w:val="0"/>
          <w:marTop w:val="0"/>
          <w:marBottom w:val="0"/>
          <w:divBdr>
            <w:top w:val="none" w:sz="0" w:space="0" w:color="auto"/>
            <w:left w:val="none" w:sz="0" w:space="0" w:color="auto"/>
            <w:bottom w:val="none" w:sz="0" w:space="0" w:color="auto"/>
            <w:right w:val="none" w:sz="0" w:space="0" w:color="auto"/>
          </w:divBdr>
        </w:div>
        <w:div w:id="1121924483">
          <w:marLeft w:val="0"/>
          <w:marRight w:val="0"/>
          <w:marTop w:val="0"/>
          <w:marBottom w:val="0"/>
          <w:divBdr>
            <w:top w:val="none" w:sz="0" w:space="0" w:color="auto"/>
            <w:left w:val="none" w:sz="0" w:space="0" w:color="auto"/>
            <w:bottom w:val="none" w:sz="0" w:space="0" w:color="auto"/>
            <w:right w:val="none" w:sz="0" w:space="0" w:color="auto"/>
          </w:divBdr>
        </w:div>
        <w:div w:id="1175731931">
          <w:marLeft w:val="0"/>
          <w:marRight w:val="0"/>
          <w:marTop w:val="0"/>
          <w:marBottom w:val="0"/>
          <w:divBdr>
            <w:top w:val="none" w:sz="0" w:space="0" w:color="auto"/>
            <w:left w:val="none" w:sz="0" w:space="0" w:color="auto"/>
            <w:bottom w:val="none" w:sz="0" w:space="0" w:color="auto"/>
            <w:right w:val="none" w:sz="0" w:space="0" w:color="auto"/>
          </w:divBdr>
        </w:div>
        <w:div w:id="1212308784">
          <w:marLeft w:val="0"/>
          <w:marRight w:val="0"/>
          <w:marTop w:val="0"/>
          <w:marBottom w:val="0"/>
          <w:divBdr>
            <w:top w:val="none" w:sz="0" w:space="0" w:color="auto"/>
            <w:left w:val="none" w:sz="0" w:space="0" w:color="auto"/>
            <w:bottom w:val="none" w:sz="0" w:space="0" w:color="auto"/>
            <w:right w:val="none" w:sz="0" w:space="0" w:color="auto"/>
          </w:divBdr>
        </w:div>
        <w:div w:id="1268852919">
          <w:marLeft w:val="0"/>
          <w:marRight w:val="0"/>
          <w:marTop w:val="0"/>
          <w:marBottom w:val="0"/>
          <w:divBdr>
            <w:top w:val="none" w:sz="0" w:space="0" w:color="auto"/>
            <w:left w:val="none" w:sz="0" w:space="0" w:color="auto"/>
            <w:bottom w:val="none" w:sz="0" w:space="0" w:color="auto"/>
            <w:right w:val="none" w:sz="0" w:space="0" w:color="auto"/>
          </w:divBdr>
        </w:div>
        <w:div w:id="1311714395">
          <w:marLeft w:val="0"/>
          <w:marRight w:val="0"/>
          <w:marTop w:val="0"/>
          <w:marBottom w:val="0"/>
          <w:divBdr>
            <w:top w:val="none" w:sz="0" w:space="0" w:color="auto"/>
            <w:left w:val="none" w:sz="0" w:space="0" w:color="auto"/>
            <w:bottom w:val="none" w:sz="0" w:space="0" w:color="auto"/>
            <w:right w:val="none" w:sz="0" w:space="0" w:color="auto"/>
          </w:divBdr>
        </w:div>
        <w:div w:id="1346319739">
          <w:marLeft w:val="0"/>
          <w:marRight w:val="0"/>
          <w:marTop w:val="0"/>
          <w:marBottom w:val="0"/>
          <w:divBdr>
            <w:top w:val="none" w:sz="0" w:space="0" w:color="auto"/>
            <w:left w:val="none" w:sz="0" w:space="0" w:color="auto"/>
            <w:bottom w:val="none" w:sz="0" w:space="0" w:color="auto"/>
            <w:right w:val="none" w:sz="0" w:space="0" w:color="auto"/>
          </w:divBdr>
        </w:div>
        <w:div w:id="1359622136">
          <w:marLeft w:val="0"/>
          <w:marRight w:val="0"/>
          <w:marTop w:val="0"/>
          <w:marBottom w:val="0"/>
          <w:divBdr>
            <w:top w:val="none" w:sz="0" w:space="0" w:color="auto"/>
            <w:left w:val="none" w:sz="0" w:space="0" w:color="auto"/>
            <w:bottom w:val="none" w:sz="0" w:space="0" w:color="auto"/>
            <w:right w:val="none" w:sz="0" w:space="0" w:color="auto"/>
          </w:divBdr>
        </w:div>
        <w:div w:id="1441027329">
          <w:marLeft w:val="0"/>
          <w:marRight w:val="0"/>
          <w:marTop w:val="0"/>
          <w:marBottom w:val="0"/>
          <w:divBdr>
            <w:top w:val="none" w:sz="0" w:space="0" w:color="auto"/>
            <w:left w:val="none" w:sz="0" w:space="0" w:color="auto"/>
            <w:bottom w:val="none" w:sz="0" w:space="0" w:color="auto"/>
            <w:right w:val="none" w:sz="0" w:space="0" w:color="auto"/>
          </w:divBdr>
        </w:div>
        <w:div w:id="1464692346">
          <w:marLeft w:val="0"/>
          <w:marRight w:val="0"/>
          <w:marTop w:val="0"/>
          <w:marBottom w:val="0"/>
          <w:divBdr>
            <w:top w:val="none" w:sz="0" w:space="0" w:color="auto"/>
            <w:left w:val="none" w:sz="0" w:space="0" w:color="auto"/>
            <w:bottom w:val="none" w:sz="0" w:space="0" w:color="auto"/>
            <w:right w:val="none" w:sz="0" w:space="0" w:color="auto"/>
          </w:divBdr>
        </w:div>
        <w:div w:id="1466964872">
          <w:marLeft w:val="0"/>
          <w:marRight w:val="0"/>
          <w:marTop w:val="0"/>
          <w:marBottom w:val="0"/>
          <w:divBdr>
            <w:top w:val="none" w:sz="0" w:space="0" w:color="auto"/>
            <w:left w:val="none" w:sz="0" w:space="0" w:color="auto"/>
            <w:bottom w:val="none" w:sz="0" w:space="0" w:color="auto"/>
            <w:right w:val="none" w:sz="0" w:space="0" w:color="auto"/>
          </w:divBdr>
        </w:div>
        <w:div w:id="1521697903">
          <w:marLeft w:val="0"/>
          <w:marRight w:val="0"/>
          <w:marTop w:val="0"/>
          <w:marBottom w:val="0"/>
          <w:divBdr>
            <w:top w:val="none" w:sz="0" w:space="0" w:color="auto"/>
            <w:left w:val="none" w:sz="0" w:space="0" w:color="auto"/>
            <w:bottom w:val="none" w:sz="0" w:space="0" w:color="auto"/>
            <w:right w:val="none" w:sz="0" w:space="0" w:color="auto"/>
          </w:divBdr>
        </w:div>
        <w:div w:id="1776896664">
          <w:marLeft w:val="0"/>
          <w:marRight w:val="0"/>
          <w:marTop w:val="0"/>
          <w:marBottom w:val="0"/>
          <w:divBdr>
            <w:top w:val="none" w:sz="0" w:space="0" w:color="auto"/>
            <w:left w:val="none" w:sz="0" w:space="0" w:color="auto"/>
            <w:bottom w:val="none" w:sz="0" w:space="0" w:color="auto"/>
            <w:right w:val="none" w:sz="0" w:space="0" w:color="auto"/>
          </w:divBdr>
        </w:div>
        <w:div w:id="1811678001">
          <w:marLeft w:val="0"/>
          <w:marRight w:val="0"/>
          <w:marTop w:val="0"/>
          <w:marBottom w:val="0"/>
          <w:divBdr>
            <w:top w:val="none" w:sz="0" w:space="0" w:color="auto"/>
            <w:left w:val="none" w:sz="0" w:space="0" w:color="auto"/>
            <w:bottom w:val="none" w:sz="0" w:space="0" w:color="auto"/>
            <w:right w:val="none" w:sz="0" w:space="0" w:color="auto"/>
          </w:divBdr>
        </w:div>
        <w:div w:id="1842545837">
          <w:marLeft w:val="0"/>
          <w:marRight w:val="0"/>
          <w:marTop w:val="0"/>
          <w:marBottom w:val="0"/>
          <w:divBdr>
            <w:top w:val="none" w:sz="0" w:space="0" w:color="auto"/>
            <w:left w:val="none" w:sz="0" w:space="0" w:color="auto"/>
            <w:bottom w:val="none" w:sz="0" w:space="0" w:color="auto"/>
            <w:right w:val="none" w:sz="0" w:space="0" w:color="auto"/>
          </w:divBdr>
        </w:div>
        <w:div w:id="1872956281">
          <w:marLeft w:val="0"/>
          <w:marRight w:val="0"/>
          <w:marTop w:val="0"/>
          <w:marBottom w:val="0"/>
          <w:divBdr>
            <w:top w:val="none" w:sz="0" w:space="0" w:color="auto"/>
            <w:left w:val="none" w:sz="0" w:space="0" w:color="auto"/>
            <w:bottom w:val="none" w:sz="0" w:space="0" w:color="auto"/>
            <w:right w:val="none" w:sz="0" w:space="0" w:color="auto"/>
          </w:divBdr>
        </w:div>
        <w:div w:id="1958099153">
          <w:marLeft w:val="0"/>
          <w:marRight w:val="0"/>
          <w:marTop w:val="0"/>
          <w:marBottom w:val="0"/>
          <w:divBdr>
            <w:top w:val="none" w:sz="0" w:space="0" w:color="auto"/>
            <w:left w:val="none" w:sz="0" w:space="0" w:color="auto"/>
            <w:bottom w:val="none" w:sz="0" w:space="0" w:color="auto"/>
            <w:right w:val="none" w:sz="0" w:space="0" w:color="auto"/>
          </w:divBdr>
        </w:div>
        <w:div w:id="1963999619">
          <w:marLeft w:val="0"/>
          <w:marRight w:val="0"/>
          <w:marTop w:val="0"/>
          <w:marBottom w:val="0"/>
          <w:divBdr>
            <w:top w:val="none" w:sz="0" w:space="0" w:color="auto"/>
            <w:left w:val="none" w:sz="0" w:space="0" w:color="auto"/>
            <w:bottom w:val="none" w:sz="0" w:space="0" w:color="auto"/>
            <w:right w:val="none" w:sz="0" w:space="0" w:color="auto"/>
          </w:divBdr>
        </w:div>
        <w:div w:id="2068918651">
          <w:marLeft w:val="0"/>
          <w:marRight w:val="0"/>
          <w:marTop w:val="0"/>
          <w:marBottom w:val="0"/>
          <w:divBdr>
            <w:top w:val="none" w:sz="0" w:space="0" w:color="auto"/>
            <w:left w:val="none" w:sz="0" w:space="0" w:color="auto"/>
            <w:bottom w:val="none" w:sz="0" w:space="0" w:color="auto"/>
            <w:right w:val="none" w:sz="0" w:space="0" w:color="auto"/>
          </w:divBdr>
        </w:div>
        <w:div w:id="2084141669">
          <w:marLeft w:val="0"/>
          <w:marRight w:val="0"/>
          <w:marTop w:val="0"/>
          <w:marBottom w:val="0"/>
          <w:divBdr>
            <w:top w:val="none" w:sz="0" w:space="0" w:color="auto"/>
            <w:left w:val="none" w:sz="0" w:space="0" w:color="auto"/>
            <w:bottom w:val="none" w:sz="0" w:space="0" w:color="auto"/>
            <w:right w:val="none" w:sz="0" w:space="0" w:color="auto"/>
          </w:divBdr>
        </w:div>
      </w:divsChild>
    </w:div>
    <w:div w:id="1525484669">
      <w:bodyDiv w:val="1"/>
      <w:marLeft w:val="0"/>
      <w:marRight w:val="0"/>
      <w:marTop w:val="0"/>
      <w:marBottom w:val="0"/>
      <w:divBdr>
        <w:top w:val="none" w:sz="0" w:space="0" w:color="auto"/>
        <w:left w:val="none" w:sz="0" w:space="0" w:color="auto"/>
        <w:bottom w:val="none" w:sz="0" w:space="0" w:color="auto"/>
        <w:right w:val="none" w:sz="0" w:space="0" w:color="auto"/>
      </w:divBdr>
      <w:divsChild>
        <w:div w:id="180749151">
          <w:marLeft w:val="0"/>
          <w:marRight w:val="0"/>
          <w:marTop w:val="0"/>
          <w:marBottom w:val="0"/>
          <w:divBdr>
            <w:top w:val="none" w:sz="0" w:space="0" w:color="auto"/>
            <w:left w:val="none" w:sz="0" w:space="0" w:color="auto"/>
            <w:bottom w:val="none" w:sz="0" w:space="0" w:color="auto"/>
            <w:right w:val="none" w:sz="0" w:space="0" w:color="auto"/>
          </w:divBdr>
        </w:div>
      </w:divsChild>
    </w:div>
    <w:div w:id="197501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9B63A-33AB-4464-A9A2-B4E4D3D00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3305</Words>
  <Characters>18840</Characters>
  <Application>Microsoft Office Word</Application>
  <DocSecurity>0</DocSecurity>
  <Lines>157</Lines>
  <Paragraphs>44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LUCIO SPAGNULO</dc:creator>
  <cp:keywords/>
  <dc:description/>
  <cp:lastModifiedBy>ELISA ERCOLI</cp:lastModifiedBy>
  <cp:revision>4</cp:revision>
  <cp:lastPrinted>2022-11-30T16:20:00Z</cp:lastPrinted>
  <dcterms:created xsi:type="dcterms:W3CDTF">2024-01-02T10:00:00Z</dcterms:created>
  <dcterms:modified xsi:type="dcterms:W3CDTF">2024-01-03T15:04:00Z</dcterms:modified>
</cp:coreProperties>
</file>