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14F1C" w14:textId="77777777" w:rsidR="009050B1" w:rsidRDefault="009050B1" w:rsidP="00812141">
      <w:pPr>
        <w:spacing w:line="360" w:lineRule="auto"/>
        <w:ind w:left="-360" w:right="-360"/>
        <w:jc w:val="center"/>
        <w:rPr>
          <w:b/>
          <w:sz w:val="24"/>
          <w:szCs w:val="24"/>
        </w:rPr>
      </w:pPr>
    </w:p>
    <w:p w14:paraId="62B789A8" w14:textId="56D9ED4C" w:rsidR="00DB5BB7" w:rsidRDefault="00B4606C" w:rsidP="00812141">
      <w:pPr>
        <w:spacing w:line="360" w:lineRule="auto"/>
        <w:ind w:left="-360" w:right="-360"/>
        <w:jc w:val="center"/>
        <w:rPr>
          <w:b/>
          <w:sz w:val="24"/>
          <w:szCs w:val="24"/>
        </w:rPr>
      </w:pPr>
      <w:r>
        <w:rPr>
          <w:b/>
          <w:sz w:val="24"/>
          <w:szCs w:val="24"/>
        </w:rPr>
        <w:t xml:space="preserve">Parallel Report submitted by </w:t>
      </w:r>
    </w:p>
    <w:p w14:paraId="3628D157" w14:textId="77777777" w:rsidR="00DB5BB7" w:rsidRDefault="00B4606C" w:rsidP="00812141">
      <w:pPr>
        <w:spacing w:line="360" w:lineRule="auto"/>
        <w:ind w:left="-360" w:right="-360"/>
        <w:jc w:val="center"/>
        <w:rPr>
          <w:b/>
        </w:rPr>
      </w:pPr>
      <w:r>
        <w:rPr>
          <w:b/>
          <w:sz w:val="24"/>
          <w:szCs w:val="24"/>
        </w:rPr>
        <w:t>the Center for International Environmental Law and the Center for Constitutional Rights</w:t>
      </w:r>
      <w:r>
        <w:rPr>
          <w:b/>
          <w:sz w:val="24"/>
          <w:szCs w:val="24"/>
        </w:rPr>
        <w:br/>
        <w:t xml:space="preserve">to the Human Rights Committee </w:t>
      </w:r>
      <w:r>
        <w:rPr>
          <w:b/>
          <w:sz w:val="24"/>
          <w:szCs w:val="24"/>
        </w:rPr>
        <w:br/>
      </w:r>
      <w:r>
        <w:rPr>
          <w:b/>
          <w:sz w:val="24"/>
          <w:szCs w:val="24"/>
        </w:rPr>
        <w:t xml:space="preserve">On the occasion of the consideration of the Concluding Observations </w:t>
      </w:r>
      <w:r>
        <w:rPr>
          <w:b/>
          <w:sz w:val="24"/>
          <w:szCs w:val="24"/>
        </w:rPr>
        <w:br/>
        <w:t>for the United States of America</w:t>
      </w:r>
      <w:r>
        <w:rPr>
          <w:b/>
          <w:sz w:val="24"/>
          <w:szCs w:val="24"/>
        </w:rPr>
        <w:br/>
        <w:t>139th Session (9 October - 3 November 2023)</w:t>
      </w:r>
      <w:r>
        <w:rPr>
          <w:b/>
        </w:rPr>
        <w:br/>
      </w:r>
    </w:p>
    <w:tbl>
      <w:tblPr>
        <w:tblStyle w:val="a"/>
        <w:tblW w:w="9990" w:type="dxa"/>
        <w:tblInd w:w="-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90"/>
      </w:tblGrid>
      <w:tr w:rsidR="00DB5BB7" w14:paraId="66E4E78B" w14:textId="77777777" w:rsidTr="00812141">
        <w:tc>
          <w:tcPr>
            <w:tcW w:w="9990" w:type="dxa"/>
            <w:shd w:val="clear" w:color="auto" w:fill="auto"/>
            <w:tcMar>
              <w:top w:w="100" w:type="dxa"/>
              <w:left w:w="100" w:type="dxa"/>
              <w:bottom w:w="100" w:type="dxa"/>
              <w:right w:w="100" w:type="dxa"/>
            </w:tcMar>
          </w:tcPr>
          <w:p w14:paraId="56F3D23E" w14:textId="77777777" w:rsidR="00DB5BB7" w:rsidRDefault="00B4606C" w:rsidP="00812141">
            <w:pPr>
              <w:widowControl w:val="0"/>
              <w:pBdr>
                <w:top w:val="nil"/>
                <w:left w:val="nil"/>
                <w:bottom w:val="nil"/>
                <w:right w:val="nil"/>
                <w:between w:val="nil"/>
              </w:pBdr>
              <w:spacing w:line="240" w:lineRule="auto"/>
              <w:ind w:left="80" w:right="170"/>
              <w:rPr>
                <w:b/>
              </w:rPr>
            </w:pPr>
            <w:r>
              <w:rPr>
                <w:b/>
              </w:rPr>
              <w:t xml:space="preserve">Executive Summary </w:t>
            </w:r>
          </w:p>
          <w:p w14:paraId="62D573FB" w14:textId="77777777" w:rsidR="00DB5BB7" w:rsidRDefault="00DB5BB7" w:rsidP="00812141">
            <w:pPr>
              <w:widowControl w:val="0"/>
              <w:pBdr>
                <w:top w:val="nil"/>
                <w:left w:val="nil"/>
                <w:bottom w:val="nil"/>
                <w:right w:val="nil"/>
                <w:between w:val="nil"/>
              </w:pBdr>
              <w:spacing w:line="240" w:lineRule="auto"/>
              <w:ind w:left="80" w:right="170"/>
            </w:pPr>
          </w:p>
          <w:p w14:paraId="31CF4DC2" w14:textId="77777777" w:rsidR="00DB5BB7" w:rsidRDefault="00B4606C" w:rsidP="00812141">
            <w:pPr>
              <w:widowControl w:val="0"/>
              <w:pBdr>
                <w:top w:val="nil"/>
                <w:left w:val="nil"/>
                <w:bottom w:val="nil"/>
                <w:right w:val="nil"/>
                <w:between w:val="nil"/>
              </w:pBdr>
              <w:spacing w:line="240" w:lineRule="auto"/>
              <w:ind w:left="80" w:right="170"/>
              <w:jc w:val="both"/>
            </w:pPr>
            <w:r>
              <w:t xml:space="preserve">The United States’ ongoing support for fossil fuels and petrochemicals, and its position </w:t>
            </w:r>
            <w:r>
              <w:t>as the single largest producer of oil and gas in the world and a top driver of oil and gas expansion plans globally, are incompatible with its obligations under the ICCPR to take all reasonable action to prevent foreseeable threats to the right to life. Th</w:t>
            </w:r>
            <w:r>
              <w:t>e State party is opening up federal land to new fossil fuel projects, easing the issuance of new permits for energy infrastructure, heavily subsidizing the fossil fuel sector, and allowing further build-out of petrochemical facilities. These policies cause</w:t>
            </w:r>
            <w:r>
              <w:t xml:space="preserve"> or contribute to toxic pollution in affected communities, and exacerbate the climate crisis, thus breaching the State party’s obligation to respect, protect and fulfill the right to life under Article 6 of the ICCPR. The United States cannot address signi</w:t>
            </w:r>
            <w:r>
              <w:t xml:space="preserve">ficant threats to the right to life posed by the </w:t>
            </w:r>
            <w:r>
              <w:rPr>
                <w:i/>
              </w:rPr>
              <w:t>effects</w:t>
            </w:r>
            <w:r>
              <w:t xml:space="preserve"> of climate change without taking adequate action to curb the </w:t>
            </w:r>
            <w:r>
              <w:rPr>
                <w:i/>
              </w:rPr>
              <w:t>causes</w:t>
            </w:r>
            <w:r>
              <w:t xml:space="preserve"> of climate change – chief among them, fossil fuels.</w:t>
            </w:r>
          </w:p>
          <w:p w14:paraId="78E6E2B1" w14:textId="77777777" w:rsidR="00DB5BB7" w:rsidRDefault="00DB5BB7" w:rsidP="00812141">
            <w:pPr>
              <w:widowControl w:val="0"/>
              <w:pBdr>
                <w:top w:val="nil"/>
                <w:left w:val="nil"/>
                <w:bottom w:val="nil"/>
                <w:right w:val="nil"/>
                <w:between w:val="nil"/>
              </w:pBdr>
              <w:spacing w:line="240" w:lineRule="auto"/>
              <w:ind w:left="80" w:right="170"/>
              <w:jc w:val="both"/>
            </w:pPr>
          </w:p>
          <w:p w14:paraId="4C938AA0" w14:textId="77777777" w:rsidR="00DB5BB7" w:rsidRDefault="00B4606C" w:rsidP="00812141">
            <w:pPr>
              <w:widowControl w:val="0"/>
              <w:pBdr>
                <w:top w:val="nil"/>
                <w:left w:val="nil"/>
                <w:bottom w:val="nil"/>
                <w:right w:val="nil"/>
                <w:between w:val="nil"/>
              </w:pBdr>
              <w:spacing w:line="240" w:lineRule="auto"/>
              <w:ind w:left="80" w:right="170"/>
              <w:jc w:val="both"/>
            </w:pPr>
            <w:r>
              <w:t>In light of the above, we respectfully call upon this Committee to issue the f</w:t>
            </w:r>
            <w:r>
              <w:t xml:space="preserve">ollowing recommendation to the United States: </w:t>
            </w:r>
          </w:p>
          <w:p w14:paraId="5339EC5F" w14:textId="77777777" w:rsidR="00DB5BB7" w:rsidRDefault="00DB5BB7" w:rsidP="00812141">
            <w:pPr>
              <w:widowControl w:val="0"/>
              <w:pBdr>
                <w:top w:val="nil"/>
                <w:left w:val="nil"/>
                <w:bottom w:val="nil"/>
                <w:right w:val="nil"/>
                <w:between w:val="nil"/>
              </w:pBdr>
              <w:spacing w:line="240" w:lineRule="auto"/>
              <w:ind w:left="80" w:right="170"/>
              <w:jc w:val="both"/>
            </w:pPr>
          </w:p>
          <w:p w14:paraId="702DE6F4" w14:textId="77777777" w:rsidR="00DB5BB7" w:rsidRDefault="00B4606C" w:rsidP="00812141">
            <w:pPr>
              <w:widowControl w:val="0"/>
              <w:pBdr>
                <w:top w:val="nil"/>
                <w:left w:val="nil"/>
                <w:bottom w:val="nil"/>
                <w:right w:val="nil"/>
                <w:between w:val="nil"/>
              </w:pBdr>
              <w:spacing w:line="240" w:lineRule="auto"/>
              <w:ind w:left="80" w:right="170"/>
              <w:jc w:val="both"/>
              <w:rPr>
                <w:b/>
              </w:rPr>
            </w:pPr>
            <w:r>
              <w:rPr>
                <w:b/>
              </w:rPr>
              <w:t>The Committee recommends that the State party, in line with its obligations under Article 6 of the Covenant, strengthen its legal framework on climate change, including by halting all new oil and gas operatio</w:t>
            </w:r>
            <w:r>
              <w:rPr>
                <w:b/>
              </w:rPr>
              <w:t>ns, stopping the issuance of new fossil fuel and petrochemical licenses, reversing the rollback of environmental review policies for energy infrastructure permits, and halting subsidies to the fossil fuel  industry.</w:t>
            </w:r>
          </w:p>
          <w:p w14:paraId="2C0214CE" w14:textId="77777777" w:rsidR="00DB5BB7" w:rsidRDefault="00DB5BB7" w:rsidP="00812141">
            <w:pPr>
              <w:widowControl w:val="0"/>
              <w:pBdr>
                <w:top w:val="nil"/>
                <w:left w:val="nil"/>
                <w:bottom w:val="nil"/>
                <w:right w:val="nil"/>
                <w:between w:val="nil"/>
              </w:pBdr>
              <w:spacing w:line="240" w:lineRule="auto"/>
              <w:ind w:left="-360" w:right="-360"/>
            </w:pPr>
          </w:p>
        </w:tc>
      </w:tr>
    </w:tbl>
    <w:p w14:paraId="7693AEFD" w14:textId="77777777" w:rsidR="00DB5BB7" w:rsidRDefault="00DB5BB7" w:rsidP="00812141">
      <w:pPr>
        <w:ind w:left="-360" w:right="-360"/>
        <w:rPr>
          <w:b/>
        </w:rPr>
      </w:pPr>
    </w:p>
    <w:p w14:paraId="1AAD048B" w14:textId="77777777" w:rsidR="00DB5BB7" w:rsidRDefault="00B4606C" w:rsidP="00812141">
      <w:pPr>
        <w:ind w:left="-360" w:right="-360"/>
        <w:rPr>
          <w:b/>
          <w:sz w:val="20"/>
          <w:szCs w:val="20"/>
        </w:rPr>
      </w:pPr>
      <w:r>
        <w:rPr>
          <w:b/>
          <w:sz w:val="20"/>
          <w:szCs w:val="20"/>
        </w:rPr>
        <w:t xml:space="preserve">About the submitting </w:t>
      </w:r>
      <w:r>
        <w:rPr>
          <w:b/>
          <w:sz w:val="20"/>
          <w:szCs w:val="20"/>
        </w:rPr>
        <w:t>organizations:</w:t>
      </w:r>
    </w:p>
    <w:p w14:paraId="7A93F9DF" w14:textId="77777777" w:rsidR="00DB5BB7" w:rsidRDefault="00DB5BB7" w:rsidP="00812141">
      <w:pPr>
        <w:ind w:left="-360" w:right="-360"/>
        <w:rPr>
          <w:b/>
          <w:sz w:val="20"/>
          <w:szCs w:val="20"/>
        </w:rPr>
      </w:pPr>
    </w:p>
    <w:p w14:paraId="19E5D4C1" w14:textId="77777777" w:rsidR="00DB5BB7" w:rsidRDefault="00B4606C" w:rsidP="00812141">
      <w:pPr>
        <w:ind w:left="-360" w:right="-360"/>
        <w:jc w:val="both"/>
        <w:rPr>
          <w:sz w:val="20"/>
          <w:szCs w:val="20"/>
        </w:rPr>
      </w:pPr>
      <w:r>
        <w:rPr>
          <w:sz w:val="20"/>
          <w:szCs w:val="20"/>
        </w:rPr>
        <w:t xml:space="preserve">The </w:t>
      </w:r>
      <w:r>
        <w:rPr>
          <w:b/>
          <w:sz w:val="20"/>
          <w:szCs w:val="20"/>
        </w:rPr>
        <w:t xml:space="preserve">Center for International Environmental Law (CIEL) </w:t>
      </w:r>
      <w:r>
        <w:rPr>
          <w:sz w:val="20"/>
          <w:szCs w:val="20"/>
        </w:rPr>
        <w:t>uses the power of law to protect the environment, promote human rights, and ensure a just and sustainable society. CIEL seeks a world where the law reflects the interconnection between h</w:t>
      </w:r>
      <w:r>
        <w:rPr>
          <w:sz w:val="20"/>
          <w:szCs w:val="20"/>
        </w:rPr>
        <w:t>umans and the environment, respects the limits of the planet, protects the dignity and equality of each person, and encourages all of earth’s inhabitants to live in balance with each other.</w:t>
      </w:r>
    </w:p>
    <w:p w14:paraId="211FA397" w14:textId="77777777" w:rsidR="00DB5BB7" w:rsidRDefault="00DB5BB7" w:rsidP="00812141">
      <w:pPr>
        <w:ind w:left="-360" w:right="-360"/>
        <w:jc w:val="both"/>
        <w:rPr>
          <w:sz w:val="20"/>
          <w:szCs w:val="20"/>
        </w:rPr>
      </w:pPr>
    </w:p>
    <w:p w14:paraId="55D3A987" w14:textId="77777777" w:rsidR="00DB5BB7" w:rsidRDefault="00B4606C" w:rsidP="00812141">
      <w:pPr>
        <w:ind w:left="-360" w:right="-360"/>
        <w:jc w:val="both"/>
        <w:rPr>
          <w:sz w:val="20"/>
          <w:szCs w:val="20"/>
        </w:rPr>
      </w:pPr>
      <w:r>
        <w:rPr>
          <w:sz w:val="20"/>
          <w:szCs w:val="20"/>
        </w:rPr>
        <w:t xml:space="preserve">The </w:t>
      </w:r>
      <w:r>
        <w:rPr>
          <w:b/>
          <w:sz w:val="20"/>
          <w:szCs w:val="20"/>
        </w:rPr>
        <w:t xml:space="preserve">Center for Constitutional Rights </w:t>
      </w:r>
      <w:r>
        <w:rPr>
          <w:sz w:val="20"/>
          <w:szCs w:val="20"/>
        </w:rPr>
        <w:t>works with communities under</w:t>
      </w:r>
      <w:r>
        <w:rPr>
          <w:sz w:val="20"/>
          <w:szCs w:val="20"/>
        </w:rPr>
        <w:t xml:space="preserve"> threat to fight for justice and liberation through litigation, advocacy, and strategic communications. Since 1966, the Center for Constitutional Rights has taken on oppressive systems of power, including structural racism, gender oppression, economic ineq</w:t>
      </w:r>
      <w:r>
        <w:rPr>
          <w:sz w:val="20"/>
          <w:szCs w:val="20"/>
        </w:rPr>
        <w:t>uity, and governmental overreach. The Center for Constitutional Rights has special consultative status with ECOSOC.</w:t>
      </w:r>
    </w:p>
    <w:p w14:paraId="6A23FCCF" w14:textId="77777777" w:rsidR="00812141" w:rsidRDefault="00812141" w:rsidP="00812141">
      <w:pPr>
        <w:ind w:left="-360" w:right="-360"/>
        <w:jc w:val="both"/>
        <w:rPr>
          <w:sz w:val="20"/>
          <w:szCs w:val="20"/>
        </w:rPr>
      </w:pPr>
    </w:p>
    <w:p w14:paraId="1D0E658D" w14:textId="77777777" w:rsidR="00DB5BB7" w:rsidRDefault="00B4606C" w:rsidP="00812141">
      <w:pPr>
        <w:ind w:left="-360" w:right="-360"/>
        <w:jc w:val="both"/>
        <w:rPr>
          <w:b/>
        </w:rPr>
      </w:pPr>
      <w:r>
        <w:rPr>
          <w:b/>
        </w:rPr>
        <w:lastRenderedPageBreak/>
        <w:t>The United States’ ongoing support for fossil fuels breaches Article 6 of the ICCPR</w:t>
      </w:r>
    </w:p>
    <w:p w14:paraId="4C5A9DFA" w14:textId="77777777" w:rsidR="00DB5BB7" w:rsidRDefault="00DB5BB7" w:rsidP="00812141">
      <w:pPr>
        <w:ind w:left="-360" w:right="-360"/>
        <w:jc w:val="both"/>
      </w:pPr>
    </w:p>
    <w:p w14:paraId="4B6B4BCC" w14:textId="77777777" w:rsidR="00DB5BB7" w:rsidRDefault="00B4606C" w:rsidP="00812141">
      <w:pPr>
        <w:ind w:left="-360" w:right="-360"/>
        <w:jc w:val="both"/>
      </w:pPr>
      <w:r>
        <w:t xml:space="preserve">The United States government is pursuing policies that are exacerbating climate change and harming communities due to environmental pollution. Such policies, which are in breach of the State party’s obligation to respect, protect, and fulfill the right to </w:t>
      </w:r>
      <w:r>
        <w:t>life under Article 6 of the Covenant, include opening up federal land to new fossil fuel projects, easing the issuance of new permits for energy infrastructure, heavily subsidizing the fossil fuel sector, and allowing further build-out of petrochemical fac</w:t>
      </w:r>
      <w:r>
        <w:t xml:space="preserve">ilities. </w:t>
      </w:r>
    </w:p>
    <w:p w14:paraId="6E47B1FD" w14:textId="77777777" w:rsidR="00DB5BB7" w:rsidRDefault="00B4606C" w:rsidP="00812141">
      <w:pPr>
        <w:spacing w:after="200"/>
        <w:ind w:left="-360" w:right="-360"/>
        <w:jc w:val="both"/>
        <w:rPr>
          <w:i/>
        </w:rPr>
      </w:pPr>
      <w:r>
        <w:rPr>
          <w:i/>
        </w:rPr>
        <w:t xml:space="preserve">The United States’ ongoing and growing production, consumption and export of fossil fuels </w:t>
      </w:r>
    </w:p>
    <w:p w14:paraId="4F8431CB" w14:textId="77777777" w:rsidR="00DB5BB7" w:rsidRDefault="00B4606C" w:rsidP="00812141">
      <w:pPr>
        <w:ind w:left="-360" w:right="-360"/>
        <w:jc w:val="both"/>
        <w:rPr>
          <w:highlight w:val="white"/>
        </w:rPr>
      </w:pPr>
      <w:r>
        <w:t>The United States is the world’s top producer of oil and gas,</w:t>
      </w:r>
      <w:r>
        <w:rPr>
          <w:vertAlign w:val="superscript"/>
        </w:rPr>
        <w:footnoteReference w:id="1"/>
      </w:r>
      <w:r>
        <w:t xml:space="preserve"> with production levels hitting record highs in 2023.</w:t>
      </w:r>
      <w:r>
        <w:rPr>
          <w:vertAlign w:val="superscript"/>
        </w:rPr>
        <w:footnoteReference w:id="2"/>
      </w:r>
      <w:r>
        <w:t xml:space="preserve"> It is also driving expansion of glob</w:t>
      </w:r>
      <w:r>
        <w:t>al oil and gas production, responsible for more than one third of planned new oil and gas production through 2050.</w:t>
      </w:r>
      <w:r>
        <w:rPr>
          <w:vertAlign w:val="superscript"/>
        </w:rPr>
        <w:footnoteReference w:id="3"/>
      </w:r>
      <w:r>
        <w:t xml:space="preserve"> Much of the growth in domestic gas production comes from unconventional sources (horizontal drilling and hydraulic fracturing or “fracking”</w:t>
      </w:r>
      <w:r>
        <w:t>),</w:t>
      </w:r>
      <w:r>
        <w:rPr>
          <w:vertAlign w:val="superscript"/>
        </w:rPr>
        <w:footnoteReference w:id="4"/>
      </w:r>
      <w:r>
        <w:t xml:space="preserve"> which has allowed producers to access previously inaccessible reserves,</w:t>
      </w:r>
      <w:r>
        <w:rPr>
          <w:vertAlign w:val="superscript"/>
        </w:rPr>
        <w:footnoteReference w:id="5"/>
      </w:r>
      <w:r>
        <w:t xml:space="preserve"> but which generates significant added environmental and health hazards</w:t>
      </w:r>
      <w:r>
        <w:rPr>
          <w:vertAlign w:val="superscript"/>
        </w:rPr>
        <w:footnoteReference w:id="6"/>
      </w:r>
      <w:r>
        <w:t xml:space="preserve"> on top of climate impacts.  As of 2022, around 60% of domestic </w:t>
      </w:r>
      <w:r>
        <w:lastRenderedPageBreak/>
        <w:t>electricity was generated from fossil fue</w:t>
      </w:r>
      <w:r>
        <w:t>ls (coal, natural gas, petroleum, and other gases), while only 22% came from renewable energy sources.</w:t>
      </w:r>
      <w:r>
        <w:rPr>
          <w:vertAlign w:val="superscript"/>
        </w:rPr>
        <w:footnoteReference w:id="7"/>
      </w:r>
      <w:r>
        <w:t xml:space="preserve"> Since 2020, the U.S. has been a net exporter of  petroleum, though it still continues to import fossil fuels to meet domestic consumption demand.</w:t>
      </w:r>
      <w:r>
        <w:rPr>
          <w:vertAlign w:val="superscript"/>
        </w:rPr>
        <w:footnoteReference w:id="8"/>
      </w:r>
      <w:r>
        <w:t xml:space="preserve"> In </w:t>
      </w:r>
      <w:r>
        <w:t>2022 alone, the U.S.’s total petroleum exports amounted to about 9.58 million barrels per day.</w:t>
      </w:r>
      <w:r>
        <w:rPr>
          <w:vertAlign w:val="superscript"/>
        </w:rPr>
        <w:footnoteReference w:id="9"/>
      </w:r>
      <w:r>
        <w:t xml:space="preserve"> A net exporter of gas, the same year also saw U.S. total gas exports reach their highest level, amounting to </w:t>
      </w:r>
      <w:r>
        <w:rPr>
          <w:highlight w:val="white"/>
        </w:rPr>
        <w:t>6.90 trillion cubic feet (Tcf).</w:t>
      </w:r>
      <w:r>
        <w:rPr>
          <w:highlight w:val="white"/>
          <w:vertAlign w:val="superscript"/>
        </w:rPr>
        <w:footnoteReference w:id="10"/>
      </w:r>
      <w:r>
        <w:rPr>
          <w:highlight w:val="white"/>
        </w:rPr>
        <w:t xml:space="preserve"> This growth in g</w:t>
      </w:r>
      <w:r>
        <w:rPr>
          <w:highlight w:val="white"/>
        </w:rPr>
        <w:t>as production and export is happening despite its projected impacts on U.S. Gulf States, like Texas and Louisiana, especially communities that already face and will continue to face negative health impacts due to toxic pollutants and degraded air and water</w:t>
      </w:r>
      <w:r>
        <w:rPr>
          <w:highlight w:val="white"/>
        </w:rPr>
        <w:t>, and many people whose livelihoods are dependent on tourism, which will suffer with the climate crisis.</w:t>
      </w:r>
      <w:r>
        <w:rPr>
          <w:highlight w:val="white"/>
          <w:vertAlign w:val="superscript"/>
        </w:rPr>
        <w:footnoteReference w:id="11"/>
      </w:r>
      <w:r>
        <w:rPr>
          <w:highlight w:val="white"/>
        </w:rPr>
        <w:t xml:space="preserve"> </w:t>
      </w:r>
      <w:r>
        <w:t>The domestic fossil fuel industry is dominated by multinational companies.</w:t>
      </w:r>
      <w:r>
        <w:rPr>
          <w:vertAlign w:val="superscript"/>
        </w:rPr>
        <w:footnoteReference w:id="12"/>
      </w:r>
    </w:p>
    <w:p w14:paraId="1D770E64" w14:textId="77777777" w:rsidR="00DB5BB7" w:rsidRDefault="00DB5BB7" w:rsidP="00812141">
      <w:pPr>
        <w:ind w:left="-360" w:right="-360"/>
        <w:jc w:val="both"/>
        <w:rPr>
          <w:highlight w:val="white"/>
        </w:rPr>
      </w:pPr>
    </w:p>
    <w:p w14:paraId="7B6FDD67" w14:textId="77777777" w:rsidR="00DB5BB7" w:rsidRDefault="00B4606C" w:rsidP="00812141">
      <w:pPr>
        <w:ind w:left="-360" w:right="-360"/>
        <w:jc w:val="both"/>
        <w:rPr>
          <w:highlight w:val="white"/>
        </w:rPr>
      </w:pPr>
      <w:r>
        <w:rPr>
          <w:highlight w:val="white"/>
        </w:rPr>
        <w:t xml:space="preserve">Fossil fuel production, whether for domestic consumption or </w:t>
      </w:r>
      <w:r>
        <w:rPr>
          <w:highlight w:val="white"/>
        </w:rPr>
        <w:t>export, is undermining the right to life, through immediate impacts and through its exacerbation of climate change. The consequences of fossil fuel production for the right to life are no less foreseeable when the products are consumed extraterritorially t</w:t>
      </w:r>
      <w:r>
        <w:rPr>
          <w:highlight w:val="white"/>
        </w:rPr>
        <w:t>han when they are consumed domestically. As elaborated below, the United States has an obligation to consider all foreseeable effects of its support for fossil fuels, be they domestic or extraterritorial, and to take measures to prevent, mitigate and remed</w:t>
      </w:r>
      <w:r>
        <w:rPr>
          <w:highlight w:val="white"/>
        </w:rPr>
        <w:t>y those foreseeable impacts on the right to life, beginning with an immediate halt to fossil fuel expansion and rapid reduction of reliance on fossil fuels.</w:t>
      </w:r>
    </w:p>
    <w:p w14:paraId="0D8DB8C6" w14:textId="77777777" w:rsidR="00DB5BB7" w:rsidRDefault="00DB5BB7" w:rsidP="00812141">
      <w:pPr>
        <w:ind w:left="-360" w:right="-360"/>
        <w:jc w:val="both"/>
      </w:pPr>
    </w:p>
    <w:p w14:paraId="10F63D41" w14:textId="77777777" w:rsidR="00DB5BB7" w:rsidRDefault="00B4606C" w:rsidP="00812141">
      <w:pPr>
        <w:spacing w:after="200"/>
        <w:ind w:left="-360" w:right="-360"/>
        <w:jc w:val="both"/>
        <w:rPr>
          <w:i/>
        </w:rPr>
      </w:pPr>
      <w:r>
        <w:rPr>
          <w:i/>
        </w:rPr>
        <w:t xml:space="preserve">The United States’ continued subsidies to fossil fuels  </w:t>
      </w:r>
    </w:p>
    <w:p w14:paraId="5198985D" w14:textId="77777777" w:rsidR="00DB5BB7" w:rsidRDefault="00B4606C" w:rsidP="00812141">
      <w:pPr>
        <w:ind w:left="-360" w:right="-360"/>
        <w:jc w:val="both"/>
        <w:rPr>
          <w:sz w:val="14"/>
          <w:szCs w:val="14"/>
        </w:rPr>
      </w:pPr>
      <w:r>
        <w:t>The U.S. provides significant financial s</w:t>
      </w:r>
      <w:r>
        <w:t>upport and incentives to the oil and gas sector. In early 2020, as the COVID-19 global pandemic struck and global energy prices collapsed, the government passed a stimulus bill granting companies, including many in the fossil fuel industry, billions of dol</w:t>
      </w:r>
      <w:r>
        <w:t>lars in tax benefits.</w:t>
      </w:r>
      <w:r>
        <w:rPr>
          <w:vertAlign w:val="superscript"/>
        </w:rPr>
        <w:footnoteReference w:id="13"/>
      </w:r>
      <w:r>
        <w:t xml:space="preserve"> It is estimated that as of 2023, between 10 and 50 billion dollars of public money go into the </w:t>
      </w:r>
      <w:r>
        <w:lastRenderedPageBreak/>
        <w:t>fossil fuel industry in the U.S. every year.</w:t>
      </w:r>
      <w:r>
        <w:rPr>
          <w:vertAlign w:val="superscript"/>
        </w:rPr>
        <w:footnoteReference w:id="14"/>
      </w:r>
      <w:r>
        <w:t xml:space="preserve"> Although the current presidential administration has promised to abolish oil and gas subsi</w:t>
      </w:r>
      <w:r>
        <w:t>dies, it has proven difficult to get such measures passed through the U.S. Congress.</w:t>
      </w:r>
      <w:r>
        <w:rPr>
          <w:vertAlign w:val="superscript"/>
        </w:rPr>
        <w:footnoteReference w:id="15"/>
      </w:r>
      <w:r>
        <w:t xml:space="preserve"> In the face of </w:t>
      </w:r>
      <w:r>
        <w:rPr>
          <w:color w:val="212529"/>
          <w:highlight w:val="white"/>
        </w:rPr>
        <w:t>the global spike in energy prices following Russia’s invasion of Ukraine and the economic recovery from the pandemic, fossil fuel subsidies have soared gl</w:t>
      </w:r>
      <w:r>
        <w:rPr>
          <w:color w:val="212529"/>
          <w:highlight w:val="white"/>
        </w:rPr>
        <w:t>obally, reaching a record $7 trillion in 2022.</w:t>
      </w:r>
      <w:r>
        <w:rPr>
          <w:color w:val="212529"/>
          <w:highlight w:val="white"/>
          <w:vertAlign w:val="superscript"/>
        </w:rPr>
        <w:footnoteReference w:id="16"/>
      </w:r>
      <w:r>
        <w:rPr>
          <w:color w:val="212529"/>
          <w:highlight w:val="white"/>
        </w:rPr>
        <w:t xml:space="preserve"> Furthermore, “fossil-fuel subsidies rose by $2 trillion over the past two years as explicit subsidies (undercharging for supply costs) more than doubled to $1.3 trillion.”</w:t>
      </w:r>
      <w:r>
        <w:rPr>
          <w:color w:val="212529"/>
          <w:highlight w:val="white"/>
          <w:vertAlign w:val="superscript"/>
        </w:rPr>
        <w:footnoteReference w:id="17"/>
      </w:r>
      <w:r>
        <w:rPr>
          <w:color w:val="212529"/>
          <w:highlight w:val="white"/>
        </w:rPr>
        <w:t xml:space="preserve"> According to a 2023 IMF study, U.S. fossil fuel subsidies now amount to 760 USD b</w:t>
      </w:r>
      <w:r>
        <w:rPr>
          <w:color w:val="212529"/>
          <w:highlight w:val="white"/>
        </w:rPr>
        <w:t>illion, making the U.S. the second top provider of subsidies, only after China.</w:t>
      </w:r>
      <w:r>
        <w:rPr>
          <w:color w:val="212529"/>
          <w:highlight w:val="white"/>
          <w:vertAlign w:val="superscript"/>
        </w:rPr>
        <w:footnoteReference w:id="18"/>
      </w:r>
      <w:r>
        <w:rPr>
          <w:color w:val="212529"/>
          <w:highlight w:val="white"/>
        </w:rPr>
        <w:t xml:space="preserve"> </w:t>
      </w:r>
    </w:p>
    <w:p w14:paraId="661A1900" w14:textId="77777777" w:rsidR="00DB5BB7" w:rsidRDefault="00DB5BB7" w:rsidP="00812141">
      <w:pPr>
        <w:ind w:left="-360" w:right="-360"/>
        <w:jc w:val="both"/>
      </w:pPr>
    </w:p>
    <w:p w14:paraId="123E0073" w14:textId="77777777" w:rsidR="00DB5BB7" w:rsidRDefault="00B4606C" w:rsidP="00812141">
      <w:pPr>
        <w:spacing w:after="200"/>
        <w:ind w:left="-360" w:right="-360"/>
        <w:jc w:val="both"/>
        <w:rPr>
          <w:i/>
        </w:rPr>
      </w:pPr>
      <w:r>
        <w:rPr>
          <w:i/>
        </w:rPr>
        <w:t>The United States’ new leasing for fossil fuel extraction on federal land</w:t>
      </w:r>
    </w:p>
    <w:p w14:paraId="6FA40162" w14:textId="77777777" w:rsidR="00DB5BB7" w:rsidRDefault="00B4606C" w:rsidP="00812141">
      <w:pPr>
        <w:ind w:left="-360" w:right="-360"/>
        <w:jc w:val="both"/>
      </w:pPr>
      <w:r>
        <w:t>Even though the Biden administration has consistently  promised to take more ambitious climate act</w:t>
      </w:r>
      <w:r>
        <w:t>ion, including pledging in 2023 to reduce emissions 50-52 percent by 2030</w:t>
      </w:r>
      <w:r>
        <w:rPr>
          <w:vertAlign w:val="superscript"/>
        </w:rPr>
        <w:footnoteReference w:id="19"/>
      </w:r>
      <w:r>
        <w:t xml:space="preserve"> in order to align with 1.5°C-compatible pathways, over the past three years, the government has continued to issue new oil and gas licenses and permits. For instance, while the Bid</w:t>
      </w:r>
      <w:r>
        <w:t>en Administration recently canceled oil and gas leases in the Alaska National Wildlife Refuge,</w:t>
      </w:r>
      <w:r>
        <w:rPr>
          <w:vertAlign w:val="superscript"/>
        </w:rPr>
        <w:footnoteReference w:id="20"/>
      </w:r>
      <w:r>
        <w:t xml:space="preserve"> that does not negate actions earlier in 2022 and 2023 when the administration opened federal lands for new oil drilling, including in fragile ecosystems in the</w:t>
      </w:r>
      <w:r>
        <w:t xml:space="preserve"> Alaska Arctic</w:t>
      </w:r>
      <w:r>
        <w:rPr>
          <w:vertAlign w:val="superscript"/>
        </w:rPr>
        <w:footnoteReference w:id="21"/>
      </w:r>
      <w:r>
        <w:t xml:space="preserve"> and put forward a plan for selling new leases in the Gulf of Mexico</w:t>
      </w:r>
      <w:r>
        <w:rPr>
          <w:vertAlign w:val="superscript"/>
        </w:rPr>
        <w:footnoteReference w:id="22"/>
      </w:r>
      <w:r>
        <w:t xml:space="preserve"> – despite significant public opposition.</w:t>
      </w:r>
      <w:r>
        <w:rPr>
          <w:vertAlign w:val="superscript"/>
        </w:rPr>
        <w:footnoteReference w:id="23"/>
      </w:r>
      <w:r>
        <w:t xml:space="preserve"> Earthjustice and Trustees for Alaska filed lawsuits against the Interior Department and its top officials, its Bureau of Land </w:t>
      </w:r>
      <w:r>
        <w:t xml:space="preserve">Management, and its US Fish and Wildlife Service as well as other federal </w:t>
      </w:r>
      <w:r>
        <w:lastRenderedPageBreak/>
        <w:t>agencies following the approval of the Alaska-based Willow project.</w:t>
      </w:r>
      <w:r>
        <w:rPr>
          <w:vertAlign w:val="superscript"/>
        </w:rPr>
        <w:footnoteReference w:id="24"/>
      </w:r>
      <w:r>
        <w:t xml:space="preserve"> While the current energy price crisis has been invoked as a reason for allowing new oil and gas leasing,</w:t>
      </w:r>
      <w:r>
        <w:rPr>
          <w:vertAlign w:val="superscript"/>
        </w:rPr>
        <w:footnoteReference w:id="25"/>
      </w:r>
      <w:r>
        <w:t xml:space="preserve"> new f</w:t>
      </w:r>
      <w:r>
        <w:t>ossil fuel projects will take years to come online and thus have no impact on current supply and high energy prices.</w:t>
      </w:r>
      <w:r>
        <w:rPr>
          <w:vertAlign w:val="superscript"/>
        </w:rPr>
        <w:footnoteReference w:id="26"/>
      </w:r>
      <w:r>
        <w:t xml:space="preserve"> On the other hand, the gas and oil drilling approved in Alaska will cause immediate harm to local communities and ecosystems.</w:t>
      </w:r>
      <w:r>
        <w:rPr>
          <w:vertAlign w:val="superscript"/>
        </w:rPr>
        <w:footnoteReference w:id="27"/>
      </w:r>
    </w:p>
    <w:p w14:paraId="01D602FE" w14:textId="77777777" w:rsidR="00DB5BB7" w:rsidRDefault="00DB5BB7" w:rsidP="00812141">
      <w:pPr>
        <w:ind w:left="-360" w:right="-360"/>
        <w:jc w:val="both"/>
      </w:pPr>
    </w:p>
    <w:p w14:paraId="0A3D7D74" w14:textId="77777777" w:rsidR="00DB5BB7" w:rsidRDefault="00B4606C" w:rsidP="00812141">
      <w:pPr>
        <w:ind w:left="-360" w:right="-360"/>
        <w:jc w:val="both"/>
        <w:rPr>
          <w:i/>
        </w:rPr>
      </w:pPr>
      <w:r>
        <w:rPr>
          <w:i/>
        </w:rPr>
        <w:t>The Unit</w:t>
      </w:r>
      <w:r>
        <w:rPr>
          <w:i/>
        </w:rPr>
        <w:t xml:space="preserve">ed States’ support for new fossil fuel and petrochemical infrastructure </w:t>
      </w:r>
    </w:p>
    <w:p w14:paraId="740280F0" w14:textId="77777777" w:rsidR="00DB5BB7" w:rsidRDefault="00DB5BB7" w:rsidP="00812141">
      <w:pPr>
        <w:ind w:left="-360" w:right="-360"/>
        <w:jc w:val="both"/>
      </w:pPr>
    </w:p>
    <w:p w14:paraId="1F19780F" w14:textId="77777777" w:rsidR="00DB5BB7" w:rsidRDefault="00B4606C" w:rsidP="00812141">
      <w:pPr>
        <w:ind w:left="-360" w:right="-360"/>
        <w:jc w:val="both"/>
      </w:pPr>
      <w:r>
        <w:t>Recent changes in environmental review requirements for major federal actions, including permitting of new fossil fuel projects and energy infrastructure, weaken measures critical to</w:t>
      </w:r>
      <w:r>
        <w:t xml:space="preserve"> protecting the right to life and other human rights. In May 2023, House Speaker McCarthy and President Biden reached an agreement to suspend the debt ceiling until January 2025, which also included changes to the National Environmental Policy Act (NEPA).</w:t>
      </w:r>
      <w:r>
        <w:rPr>
          <w:vertAlign w:val="superscript"/>
        </w:rPr>
        <w:footnoteReference w:id="28"/>
      </w:r>
      <w:r>
        <w:t xml:space="preserve"> On the premise of streamlining environmental review procedures, provisions in the Fiscal Responsibility Act of 2023 changed environmental impact assessment requirements under NEPA.</w:t>
      </w:r>
      <w:r>
        <w:rPr>
          <w:vertAlign w:val="superscript"/>
        </w:rPr>
        <w:footnoteReference w:id="29"/>
      </w:r>
      <w:r>
        <w:t xml:space="preserve"> Notably, new provisions codify time limits on reviews, and facilitate a</w:t>
      </w:r>
      <w:r>
        <w:t>nd potentially expand agency use of categorical or programmatic exclusions</w:t>
      </w:r>
      <w:r>
        <w:rPr>
          <w:vertAlign w:val="superscript"/>
        </w:rPr>
        <w:footnoteReference w:id="30"/>
      </w:r>
      <w:r>
        <w:t xml:space="preserve"> to exempt certain projects from NEPA requirements. Furthermore, they narrow down the review of impacts and alternatives limiting them to, respectively, “reasonably foreseeable env</w:t>
      </w:r>
      <w:r>
        <w:t>ironmental effects” and “technically and economically feasible” alternatives that “fit the purpose and need of the proposal.”</w:t>
      </w:r>
      <w:r>
        <w:rPr>
          <w:vertAlign w:val="superscript"/>
        </w:rPr>
        <w:footnoteReference w:id="31"/>
      </w:r>
      <w:r>
        <w:t xml:space="preserve"> These changes could limit opportunities for input from affected communities and undermine thorough consideration of impacts and </w:t>
      </w:r>
      <w:r>
        <w:t xml:space="preserve">alternatives. When applied to fossil fuel projects, this could mean that climate-related impacts get short </w:t>
      </w:r>
      <w:r>
        <w:lastRenderedPageBreak/>
        <w:t>shrift</w:t>
      </w:r>
      <w:r>
        <w:rPr>
          <w:vertAlign w:val="superscript"/>
        </w:rPr>
        <w:footnoteReference w:id="32"/>
      </w:r>
      <w:r>
        <w:t xml:space="preserve"> or that community supported, rights-compatible alternatives, including no-action alternatives, are ignored.</w:t>
      </w:r>
      <w:r>
        <w:rPr>
          <w:vertAlign w:val="superscript"/>
        </w:rPr>
        <w:footnoteReference w:id="33"/>
      </w:r>
      <w:r>
        <w:t xml:space="preserve"> </w:t>
      </w:r>
    </w:p>
    <w:p w14:paraId="2F1F8BFA" w14:textId="77777777" w:rsidR="00DB5BB7" w:rsidRDefault="00DB5BB7" w:rsidP="00812141">
      <w:pPr>
        <w:ind w:left="-360" w:right="-360"/>
        <w:jc w:val="both"/>
      </w:pPr>
    </w:p>
    <w:p w14:paraId="6849B5F5" w14:textId="77777777" w:rsidR="00DB5BB7" w:rsidRDefault="00B4606C" w:rsidP="00812141">
      <w:pPr>
        <w:ind w:left="-360" w:right="-360"/>
        <w:jc w:val="both"/>
      </w:pPr>
      <w:r>
        <w:t xml:space="preserve">Policies that </w:t>
      </w:r>
      <w:r>
        <w:t>support, subsidize, and facilitate fossil fuel production and use, likewise prop up and perpetuate the production and use of petrochemicals and the plastics, fertilizers, pesticides, and other products derived from oil and gas. Over 99% of plastics are mad</w:t>
      </w:r>
      <w:r>
        <w:t>e from fossil fuel-derived petrochemicals, and petrochemicals remain a key driver of growth in demand for oil and gas.</w:t>
      </w:r>
      <w:r>
        <w:rPr>
          <w:vertAlign w:val="superscript"/>
        </w:rPr>
        <w:footnoteReference w:id="34"/>
      </w:r>
      <w:r>
        <w:t xml:space="preserve"> Petrochemical and plastics production is expanding, with the build-out concentrated in already overburdened and marginalized communitie</w:t>
      </w:r>
      <w:r>
        <w:t>s, particularly environmental justice communities. Petrochemical production leads to pollution levels that are causing increasing cancer risk for an estimated quarter of a million Americans.</w:t>
      </w:r>
      <w:r>
        <w:rPr>
          <w:vertAlign w:val="superscript"/>
        </w:rPr>
        <w:footnoteReference w:id="35"/>
      </w:r>
      <w:r>
        <w:t xml:space="preserve"> Some areas are so heavily polluted that they are currently refe</w:t>
      </w:r>
      <w:r>
        <w:t>rred to as “sacrifice zones”, as the UN Special Rapporteurs on toxic and human rights and on the environment and human rights recently pointed out.</w:t>
      </w:r>
      <w:r>
        <w:rPr>
          <w:vertAlign w:val="superscript"/>
        </w:rPr>
        <w:footnoteReference w:id="36"/>
      </w:r>
      <w:r>
        <w:t xml:space="preserve"> one of these is a a 85-mile stretch of the Mississippi River in Louisiana filled with fossil fuel and petr</w:t>
      </w:r>
      <w:r>
        <w:t>ochemical operations. It is dubbed “Cancer Alley” due to the profound harms and risks to human health from toxic pollution generated by the industry, which disproportionately harms the area’s Black residents.</w:t>
      </w:r>
      <w:r>
        <w:rPr>
          <w:vertAlign w:val="superscript"/>
        </w:rPr>
        <w:footnoteReference w:id="37"/>
      </w:r>
      <w:r>
        <w:t xml:space="preserve"> Nearly every census tract in Cancer Alley ran</w:t>
      </w:r>
      <w:r>
        <w:t>ks in the top 5% nationally for cancer risk from toxic air pollution.</w:t>
      </w:r>
      <w:r>
        <w:rPr>
          <w:vertAlign w:val="superscript"/>
        </w:rPr>
        <w:footnoteReference w:id="38"/>
      </w:r>
      <w:r>
        <w:t xml:space="preserve"> In 2021, fourteen UN human rights experts raised their concerns about the ongoing rights violations in the Cancer Alley, stating that “[t]he construction of the new petrochemical compl</w:t>
      </w:r>
      <w:r>
        <w:t>exes will exacerbate the environmental pollution and the disproportionate adverse effect on the rights to life, to an adequate standard of living and the right to health of African American communities.”</w:t>
      </w:r>
      <w:r>
        <w:rPr>
          <w:vertAlign w:val="superscript"/>
        </w:rPr>
        <w:footnoteReference w:id="39"/>
      </w:r>
      <w:r>
        <w:t xml:space="preserve"> Beyond the dire direct harms of the pollution generated by fossil fuel and petrochemical operations on the air, land, and water of affected communities, and consequently on residents’ right to life and other fundamental rights, such petrochemical operatio</w:t>
      </w:r>
      <w:r>
        <w:t xml:space="preserve">ns are a key contributor to climate change, which further harms rights. As of 2020, the U.S. plastics industry was already responsible for at least 232 million tons of CO2e gas </w:t>
      </w:r>
      <w:r>
        <w:lastRenderedPageBreak/>
        <w:t>emissions per year, which is equivalent to the average emissions from 116 avera</w:t>
      </w:r>
      <w:r>
        <w:t>ge-sized coal-fired power plants.</w:t>
      </w:r>
      <w:r>
        <w:rPr>
          <w:vertAlign w:val="superscript"/>
        </w:rPr>
        <w:footnoteReference w:id="40"/>
      </w:r>
      <w:r>
        <w:t xml:space="preserve"> The extraction of fossil fuel feedstocks and the production process of each additional tonne of plastic in the upcoming years will emit between 1.89 tonnes and 2.3 tonnes of CO2e,</w:t>
      </w:r>
      <w:r>
        <w:rPr>
          <w:vertAlign w:val="superscript"/>
        </w:rPr>
        <w:footnoteReference w:id="41"/>
      </w:r>
      <w:r>
        <w:t xml:space="preserve"> intensifying the climate crisis even f</w:t>
      </w:r>
      <w:r>
        <w:t>urther. Evidence suggests that this would lead to cumulative CO2e emissions from the plastics sector reaching between 56 Gt</w:t>
      </w:r>
      <w:r>
        <w:rPr>
          <w:vertAlign w:val="superscript"/>
        </w:rPr>
        <w:footnoteReference w:id="42"/>
      </w:r>
      <w:r>
        <w:t xml:space="preserve"> and 129 Gt</w:t>
      </w:r>
      <w:r>
        <w:rPr>
          <w:vertAlign w:val="superscript"/>
        </w:rPr>
        <w:footnoteReference w:id="43"/>
      </w:r>
      <w:r>
        <w:t xml:space="preserve"> of CO2e from 2020 to 2050. This would represent between 10%</w:t>
      </w:r>
      <w:r>
        <w:rPr>
          <w:vertAlign w:val="superscript"/>
        </w:rPr>
        <w:footnoteReference w:id="44"/>
      </w:r>
      <w:r>
        <w:t xml:space="preserve"> and 32%,</w:t>
      </w:r>
      <w:r>
        <w:rPr>
          <w:vertAlign w:val="superscript"/>
        </w:rPr>
        <w:footnoteReference w:id="45"/>
      </w:r>
      <w:r>
        <w:t xml:space="preserve"> of the entire global carbon budget, respecti</w:t>
      </w:r>
      <w:r>
        <w:t>vely. Under these projections, plastics would further contribute to the worsening of the climate crisis, and will pose a significant challenge in keeping global temperature rise below 1.5°C.</w:t>
      </w:r>
    </w:p>
    <w:p w14:paraId="6ED6646C" w14:textId="77777777" w:rsidR="00DB5BB7" w:rsidRDefault="00DB5BB7" w:rsidP="00812141">
      <w:pPr>
        <w:ind w:left="-360" w:right="-360"/>
        <w:rPr>
          <w:b/>
        </w:rPr>
      </w:pPr>
    </w:p>
    <w:p w14:paraId="31D77D12" w14:textId="77777777" w:rsidR="00DB5BB7" w:rsidRDefault="00B4606C" w:rsidP="00812141">
      <w:pPr>
        <w:ind w:left="-360" w:right="-360"/>
        <w:rPr>
          <w:b/>
        </w:rPr>
      </w:pPr>
      <w:r>
        <w:rPr>
          <w:b/>
        </w:rPr>
        <w:t>The United States’ Obligations under the ICCPR in the context of</w:t>
      </w:r>
      <w:r>
        <w:rPr>
          <w:b/>
        </w:rPr>
        <w:t xml:space="preserve"> climate change </w:t>
      </w:r>
    </w:p>
    <w:p w14:paraId="32E5DC81" w14:textId="77777777" w:rsidR="00DB5BB7" w:rsidRDefault="00DB5BB7" w:rsidP="00812141">
      <w:pPr>
        <w:ind w:left="-360" w:right="-360"/>
        <w:jc w:val="both"/>
      </w:pPr>
    </w:p>
    <w:p w14:paraId="374906D9" w14:textId="77777777" w:rsidR="00DB5BB7" w:rsidRDefault="00B4606C" w:rsidP="00812141">
      <w:pPr>
        <w:ind w:left="-360" w:right="-360"/>
        <w:jc w:val="both"/>
        <w:rPr>
          <w:highlight w:val="yellow"/>
        </w:rPr>
      </w:pPr>
      <w:r>
        <w:t>Article 6 of the International Covenant on Civil and Political Rights (ICCPR) provides that “[e]very human being has the inherent right to life. This right shall be protected by law.”</w:t>
      </w:r>
      <w:r>
        <w:rPr>
          <w:vertAlign w:val="superscript"/>
        </w:rPr>
        <w:footnoteReference w:id="46"/>
      </w:r>
      <w:r>
        <w:t xml:space="preserve"> The Human Rights Committee has recognized that “[e]n</w:t>
      </w:r>
      <w:r>
        <w:t>vironmental degradation, climate change and non-sustainable development constitute some of the most pressing and serious threats to the ability of present and future generations to enjoy the right to Life.”</w:t>
      </w:r>
      <w:r>
        <w:rPr>
          <w:vertAlign w:val="superscript"/>
        </w:rPr>
        <w:footnoteReference w:id="47"/>
      </w:r>
      <w:r>
        <w:t xml:space="preserve"> The right to life implies States’ obligations t</w:t>
      </w:r>
      <w:r>
        <w:t xml:space="preserve">o take “appropriate measures to address the general conditions in society that may give rise to direct threats to life or prevent individuals from enjoying their right to life with dignity” and that “these general conditions may include ... degradation of </w:t>
      </w:r>
      <w:r>
        <w:t>the environment.”</w:t>
      </w:r>
      <w:r>
        <w:rPr>
          <w:vertAlign w:val="superscript"/>
        </w:rPr>
        <w:footnoteReference w:id="48"/>
      </w:r>
      <w:r>
        <w:t xml:space="preserve"> A State's obligation to protect life applies to all conduct, both public and private, within the State's jurisdiction and control that contributes to the threat to life, domestically or extraterritorially.</w:t>
      </w:r>
      <w:r>
        <w:rPr>
          <w:vertAlign w:val="superscript"/>
        </w:rPr>
        <w:footnoteReference w:id="49"/>
      </w:r>
      <w:r>
        <w:t xml:space="preserve"> As this Committee has specif</w:t>
      </w:r>
      <w:r>
        <w:t>ied “[t]he duty to protect the right to life by law also includes an obligation for States parties to take appropriate legal measures in order to protect life from all foreseeable threats, including from threats emanating from private persons and entities.</w:t>
      </w:r>
      <w:r>
        <w:t>”</w:t>
      </w:r>
      <w:r>
        <w:rPr>
          <w:vertAlign w:val="superscript"/>
        </w:rPr>
        <w:footnoteReference w:id="50"/>
      </w:r>
      <w:r>
        <w:t xml:space="preserve"> States must “take appropriate legislative and other measures to ensure that all activities taking place in whole or in part within their territory and in other places subject to their jurisdiction, but having a direct and reasonably foreseeable impact </w:t>
      </w:r>
      <w:r>
        <w:t>on the right to life of individuals outside their territory, including activities taken by corporate entities based in their territory or subject to their jurisdiction, are consistent with article 6.”</w:t>
      </w:r>
      <w:r>
        <w:rPr>
          <w:vertAlign w:val="superscript"/>
        </w:rPr>
        <w:footnoteReference w:id="51"/>
      </w:r>
    </w:p>
    <w:p w14:paraId="07987F56" w14:textId="77777777" w:rsidR="00DB5BB7" w:rsidRDefault="00DB5BB7" w:rsidP="00812141">
      <w:pPr>
        <w:ind w:left="-360" w:right="-360"/>
        <w:jc w:val="both"/>
      </w:pPr>
    </w:p>
    <w:p w14:paraId="0059CB2E" w14:textId="77777777" w:rsidR="00DB5BB7" w:rsidRDefault="00B4606C" w:rsidP="00812141">
      <w:pPr>
        <w:ind w:left="-360" w:right="-360"/>
        <w:jc w:val="both"/>
        <w:rPr>
          <w:highlight w:val="yellow"/>
        </w:rPr>
      </w:pPr>
      <w:r>
        <w:lastRenderedPageBreak/>
        <w:t>Environmental and human rights harms are intertwined</w:t>
      </w:r>
      <w:r>
        <w:t xml:space="preserve"> and States’ duties under international human rights law and international environmental law inform one another. In General Comment No. 36 concerning the Right to Life, the Committee noted that “[o]bligations of States parties under international environme</w:t>
      </w:r>
      <w:r>
        <w:t>ntal law should thus inform the contents of article 6 of the Covenant, and the obligation of States parties to respect and ensure the right to life must reinforce their relevant obligations under international environmental law.”</w:t>
      </w:r>
      <w:r>
        <w:rPr>
          <w:vertAlign w:val="superscript"/>
        </w:rPr>
        <w:footnoteReference w:id="52"/>
      </w:r>
      <w:r>
        <w:t xml:space="preserve"> Relevant obligations in the context of climate change include commitments under the United Nations Framework Convention on Climate Change (UNFCCC) and the Paris Agreement. Under the Paris Agreement, each State party— including the United States — has comm</w:t>
      </w:r>
      <w:r>
        <w:t>itted to undertake emission reductions in their national plans, the “nationally determined contributions,” reflecting a progression over time and the State’s “highest possible ambition.”</w:t>
      </w:r>
      <w:r>
        <w:rPr>
          <w:vertAlign w:val="superscript"/>
        </w:rPr>
        <w:footnoteReference w:id="53"/>
      </w:r>
      <w:r>
        <w:t xml:space="preserve"> Under both the UNFCCC and Paris Agreement, States have committed to</w:t>
      </w:r>
      <w:r>
        <w:t xml:space="preserve"> creating plans under a “common but differentiated responsibilities and respective capabilities”</w:t>
      </w:r>
      <w:r>
        <w:rPr>
          <w:vertAlign w:val="superscript"/>
        </w:rPr>
        <w:footnoteReference w:id="54"/>
      </w:r>
      <w:r>
        <w:t xml:space="preserve"> framework wherein “the developed country Parties should take the lead in combating climate change and the adverse effects thereof.”</w:t>
      </w:r>
      <w:r>
        <w:rPr>
          <w:vertAlign w:val="superscript"/>
        </w:rPr>
        <w:footnoteReference w:id="55"/>
      </w:r>
      <w:r>
        <w:t xml:space="preserve"> Moreover, the Paris Agr</w:t>
      </w:r>
      <w:r>
        <w:t>eement acknowledges that “when taking actions to address climate change,” States should “respect, promote and consider their respective obligations on human rights,”</w:t>
      </w:r>
      <w:r>
        <w:rPr>
          <w:vertAlign w:val="superscript"/>
        </w:rPr>
        <w:footnoteReference w:id="56"/>
      </w:r>
      <w:r>
        <w:t xml:space="preserve"> and directs Parties to “mak[e] finance flows consistent with a pathway towards low green</w:t>
      </w:r>
      <w:r>
        <w:t>house gas emissions and climate-resilient development.”</w:t>
      </w:r>
      <w:r>
        <w:rPr>
          <w:vertAlign w:val="superscript"/>
        </w:rPr>
        <w:footnoteReference w:id="57"/>
      </w:r>
    </w:p>
    <w:p w14:paraId="0FD45B63" w14:textId="77777777" w:rsidR="00DB5BB7" w:rsidRDefault="00DB5BB7" w:rsidP="00812141">
      <w:pPr>
        <w:ind w:left="-360" w:right="-360"/>
        <w:jc w:val="both"/>
      </w:pPr>
    </w:p>
    <w:p w14:paraId="60C296DE" w14:textId="77777777" w:rsidR="00DB5BB7" w:rsidRDefault="00B4606C" w:rsidP="00812141">
      <w:pPr>
        <w:ind w:left="-360" w:right="-360"/>
        <w:jc w:val="both"/>
      </w:pPr>
      <w:r>
        <w:t>Additional relevant and complementary environmental principles that should inform States’ obligations under Article 6 include the precautionary principle and the principle of prevention. The former</w:t>
      </w:r>
      <w:r>
        <w:t xml:space="preserve"> requires States to take precautionary measures to prevent threats even if there is a lack of scientific certainty.</w:t>
      </w:r>
      <w:r>
        <w:rPr>
          <w:vertAlign w:val="superscript"/>
        </w:rPr>
        <w:footnoteReference w:id="58"/>
      </w:r>
      <w:r>
        <w:t xml:space="preserve"> Under the longstanding no-transboundary harm principle, States must exercise due diligence to ensure that activities within their jurisdic</w:t>
      </w:r>
      <w:r>
        <w:t>tion or control do not cause environmental damage to other States.</w:t>
      </w:r>
      <w:r>
        <w:rPr>
          <w:vertAlign w:val="superscript"/>
        </w:rPr>
        <w:footnoteReference w:id="59"/>
      </w:r>
    </w:p>
    <w:p w14:paraId="2422A9CF" w14:textId="77777777" w:rsidR="00DB5BB7" w:rsidRDefault="00DB5BB7" w:rsidP="00812141">
      <w:pPr>
        <w:ind w:left="-360" w:right="-360"/>
        <w:jc w:val="both"/>
      </w:pPr>
    </w:p>
    <w:p w14:paraId="60D92A1D" w14:textId="77777777" w:rsidR="00DB5BB7" w:rsidRDefault="00B4606C" w:rsidP="00812141">
      <w:pPr>
        <w:ind w:left="-360" w:right="-360"/>
        <w:jc w:val="both"/>
      </w:pPr>
      <w:r>
        <w:t>Interpreting States’ human rights obligations to prevent climate change in line with international environmental law obligations is consistent with interpretations by other treaty bodies</w:t>
      </w:r>
      <w:r>
        <w:t>.</w:t>
      </w:r>
      <w:r>
        <w:rPr>
          <w:vertAlign w:val="superscript"/>
        </w:rPr>
        <w:footnoteReference w:id="60"/>
      </w:r>
      <w:r>
        <w:t xml:space="preserve"> In their 2019 joint </w:t>
      </w:r>
      <w:r>
        <w:lastRenderedPageBreak/>
        <w:t>statement, five human rights treaty bodies emphasized that a “[f]ailure to take measures to prevent foreseeable human rights harm caused by climate change, or to regulate activities contributing to such harm, could constitute a viol</w:t>
      </w:r>
      <w:r>
        <w:t>ation of States’ human rights obligations.”</w:t>
      </w:r>
      <w:r>
        <w:rPr>
          <w:vertAlign w:val="superscript"/>
        </w:rPr>
        <w:footnoteReference w:id="61"/>
      </w:r>
      <w:r>
        <w:t xml:space="preserve"> </w:t>
      </w:r>
    </w:p>
    <w:p w14:paraId="0631720E" w14:textId="77777777" w:rsidR="00DB5BB7" w:rsidRDefault="00DB5BB7" w:rsidP="00812141">
      <w:pPr>
        <w:ind w:left="-360" w:right="-360"/>
        <w:jc w:val="both"/>
      </w:pPr>
    </w:p>
    <w:p w14:paraId="31F13C8F" w14:textId="77777777" w:rsidR="00DB5BB7" w:rsidRDefault="00B4606C" w:rsidP="00812141">
      <w:pPr>
        <w:ind w:left="-360" w:right="-360"/>
        <w:jc w:val="both"/>
      </w:pPr>
      <w:r>
        <w:t>The Committee has already acknowledged that climate change hinders the right to life on numerous occasions</w:t>
      </w:r>
      <w:r>
        <w:rPr>
          <w:vertAlign w:val="superscript"/>
        </w:rPr>
        <w:footnoteReference w:id="62"/>
      </w:r>
      <w:r>
        <w:t>, including in its review of the United States. In its latest List of Issues prior to reporting, the</w:t>
      </w:r>
      <w:r>
        <w:t xml:space="preserve"> Committee asked the United States to “[c]larify the State party’s initiatives to address significant threats to the right to life posed by the effects of climate change, such as flash floods, coastal flooding, wildfires, infectious diseases, extreme heat </w:t>
      </w:r>
      <w:r>
        <w:t>and air pollution”.</w:t>
      </w:r>
      <w:r>
        <w:rPr>
          <w:vertAlign w:val="superscript"/>
        </w:rPr>
        <w:footnoteReference w:id="63"/>
      </w:r>
    </w:p>
    <w:p w14:paraId="0EACF9A4" w14:textId="77777777" w:rsidR="00DB5BB7" w:rsidRDefault="00DB5BB7" w:rsidP="00812141">
      <w:pPr>
        <w:ind w:left="-360" w:right="-360"/>
        <w:jc w:val="both"/>
        <w:rPr>
          <w:b/>
        </w:rPr>
      </w:pPr>
    </w:p>
    <w:p w14:paraId="1CF1CB31" w14:textId="77777777" w:rsidR="00DB5BB7" w:rsidRDefault="00B4606C" w:rsidP="00812141">
      <w:pPr>
        <w:ind w:left="-360" w:right="-360"/>
        <w:jc w:val="both"/>
        <w:rPr>
          <w:b/>
        </w:rPr>
      </w:pPr>
      <w:r>
        <w:rPr>
          <w:b/>
        </w:rPr>
        <w:t xml:space="preserve">Climate change and fossil fuels hinder Art.6 of the ICCPR  </w:t>
      </w:r>
    </w:p>
    <w:p w14:paraId="030CDCA3" w14:textId="77777777" w:rsidR="00DB5BB7" w:rsidRDefault="00DB5BB7" w:rsidP="00812141">
      <w:pPr>
        <w:ind w:left="-360" w:right="-360"/>
        <w:jc w:val="both"/>
      </w:pPr>
    </w:p>
    <w:p w14:paraId="1F7917C8" w14:textId="77777777" w:rsidR="00DB5BB7" w:rsidRDefault="00B4606C" w:rsidP="00812141">
      <w:pPr>
        <w:ind w:left="-360" w:right="-360"/>
        <w:jc w:val="both"/>
      </w:pPr>
      <w:r>
        <w:t>In the context of climate change, States’ obligations to respect and protect the right to life mean they have a duty to take all reasonable measures within their power, inc</w:t>
      </w:r>
      <w:r>
        <w:t>luding through regulation and other means necessary and sufficient to protect individuals against the adverse impacts of climate change. A precautionary approach means that States must adopt policies and regulations domestically that not only ensure adequa</w:t>
      </w:r>
      <w:r>
        <w:t xml:space="preserve">te protection from climate change impacts, but also ensure that the State party does not further contribute to climate change. Thus, in order to be compliant with the Covenant, State parties’ climate and energy policies must reflect their highest possible </w:t>
      </w:r>
      <w:r>
        <w:t>ambition to keep warming below 1.5°C, by taking measures including but not limited to immediately halting support for and expansion of, and urgently phasing out, all fossil fuels. They must also look beyond their borders to foreseeable impacts of their act</w:t>
      </w:r>
      <w:r>
        <w:t>ions or those of private entities in their jurisdiction or control, which exacerbate climate change and violate human rights by threatening the right to life–as does the expansion of fossil fuel and petrochemical production. This Committee has already addr</w:t>
      </w:r>
      <w:r>
        <w:t>essed States’ obligations to take measures to mitigate climate change consequences, making explicit reference to greenhouse gas emissions reduction and extraction of fossil fuels, as will be further explained below.</w:t>
      </w:r>
    </w:p>
    <w:p w14:paraId="039220D7" w14:textId="77777777" w:rsidR="00DB5BB7" w:rsidRDefault="00DB5BB7" w:rsidP="00812141">
      <w:pPr>
        <w:ind w:left="-360" w:right="-360"/>
        <w:jc w:val="both"/>
      </w:pPr>
    </w:p>
    <w:p w14:paraId="18027FAC" w14:textId="77777777" w:rsidR="00DB5BB7" w:rsidRDefault="00B4606C" w:rsidP="00812141">
      <w:pPr>
        <w:ind w:left="-360" w:right="-360"/>
        <w:jc w:val="both"/>
      </w:pPr>
      <w:r>
        <w:t xml:space="preserve">The Intergovernmental Panel on Climate </w:t>
      </w:r>
      <w:r>
        <w:t xml:space="preserve">Change (IPCC) has continually concluded that “risks and projected adverse impacts and related losses and damages from climate change will escalate with every </w:t>
      </w:r>
      <w:r>
        <w:lastRenderedPageBreak/>
        <w:t>increment of global warming”,</w:t>
      </w:r>
      <w:r>
        <w:rPr>
          <w:vertAlign w:val="superscript"/>
        </w:rPr>
        <w:footnoteReference w:id="64"/>
      </w:r>
      <w:r>
        <w:t xml:space="preserve"> and that these “are higher for global warming of 1.5°C than at pre</w:t>
      </w:r>
      <w:r>
        <w:t>sent, and even higher at 2°C”.</w:t>
      </w:r>
      <w:r>
        <w:rPr>
          <w:vertAlign w:val="superscript"/>
        </w:rPr>
        <w:footnoteReference w:id="65"/>
      </w:r>
      <w:r>
        <w:t xml:space="preserve"> The IPCC 2023 Summary for Policy Makers reiterates the risks associated with warming of 1.5°C or higher above pre-industrial levels,which would lead to regional changes in mean climate, more widespread and pronounced extrem</w:t>
      </w:r>
      <w:r>
        <w:t>e weather events.</w:t>
      </w:r>
      <w:r>
        <w:rPr>
          <w:vertAlign w:val="superscript"/>
        </w:rPr>
        <w:footnoteReference w:id="66"/>
      </w:r>
      <w:r>
        <w:t xml:space="preserve"> </w:t>
      </w:r>
    </w:p>
    <w:p w14:paraId="32E8995D" w14:textId="77777777" w:rsidR="00DB5BB7" w:rsidRDefault="00DB5BB7" w:rsidP="00812141">
      <w:pPr>
        <w:ind w:left="-360" w:right="-360"/>
        <w:jc w:val="both"/>
      </w:pPr>
    </w:p>
    <w:p w14:paraId="20506140" w14:textId="77777777" w:rsidR="00DB5BB7" w:rsidRDefault="00B4606C" w:rsidP="00812141">
      <w:pPr>
        <w:ind w:left="-360" w:right="-360"/>
        <w:jc w:val="both"/>
      </w:pPr>
      <w:r>
        <w:t>The 195 IPCC Member States, which includes the United States, endorsed the Report’s Summary for Policymakers.</w:t>
      </w:r>
      <w:r>
        <w:rPr>
          <w:vertAlign w:val="superscript"/>
        </w:rPr>
        <w:footnoteReference w:id="67"/>
      </w:r>
      <w:r>
        <w:t xml:space="preserve"> This report explicitly states that “warming of 1.5°C is not considered ‘safe’ for most nations, communities, ecosystems and sectors and poses significant risks to natural and human systems as compared to the current warming of 1°C (high confidence),” espe</w:t>
      </w:r>
      <w:r>
        <w:t>cially for “disadvantaged and vulnerable populations.”</w:t>
      </w:r>
      <w:r>
        <w:rPr>
          <w:vertAlign w:val="superscript"/>
        </w:rPr>
        <w:footnoteReference w:id="68"/>
      </w:r>
      <w:r>
        <w:t xml:space="preserve"> Already having reached 1°C warming at the time of its report, the IPCC warned that the world was experiencing sea-level rise induced flooding, as well as heatwaves, droughts, hurricanes and other for</w:t>
      </w:r>
      <w:r>
        <w:t>ms of extreme weather that claim lives and destroy property and homes.</w:t>
      </w:r>
      <w:r>
        <w:rPr>
          <w:vertAlign w:val="superscript"/>
        </w:rPr>
        <w:footnoteReference w:id="69"/>
      </w:r>
      <w:r>
        <w:t xml:space="preserve"> Warming above 1.5°C runs the risk of triggering irreversible, catastrophic impacts.</w:t>
      </w:r>
      <w:r>
        <w:rPr>
          <w:vertAlign w:val="superscript"/>
        </w:rPr>
        <w:footnoteReference w:id="70"/>
      </w:r>
      <w:r>
        <w:t xml:space="preserve"> To prevent warming above 1.5°C, the IPCC determined that global CO2 emissions must decrease by 45</w:t>
      </w:r>
      <w:r>
        <w:t>% (or nearly half) from 2010 levels by 2030 and reach net zero around 2050.</w:t>
      </w:r>
      <w:r>
        <w:rPr>
          <w:vertAlign w:val="superscript"/>
        </w:rPr>
        <w:footnoteReference w:id="71"/>
      </w:r>
      <w:r>
        <w:t xml:space="preserve"> The measures most likely to achieve these targets involve near-term, comprehensive, and reliable emissions reductions.</w:t>
      </w:r>
      <w:r>
        <w:rPr>
          <w:vertAlign w:val="superscript"/>
        </w:rPr>
        <w:footnoteReference w:id="72"/>
      </w:r>
      <w:r>
        <w:t xml:space="preserve"> Such impacts are already occurring in the United States. </w:t>
      </w:r>
      <w:r>
        <w:t>Based on data provided by the National Oceanic and Atmospheric Administration (NOAA), over the past five years, the US has experienced 90 extreme climate-induced weather events where overall damages and costs reached or exceeded $1 billion USD each in dama</w:t>
      </w:r>
      <w:r>
        <w:t>ge, resulting in 1,751 deaths. This stark data confirms the tremendous impacts that climate change has on the right to life.</w:t>
      </w:r>
      <w:r>
        <w:rPr>
          <w:vertAlign w:val="superscript"/>
        </w:rPr>
        <w:footnoteReference w:id="73"/>
      </w:r>
      <w:r>
        <w:t xml:space="preserve"> </w:t>
      </w:r>
    </w:p>
    <w:p w14:paraId="46AF8D45" w14:textId="77777777" w:rsidR="00DB5BB7" w:rsidRDefault="00DB5BB7" w:rsidP="00812141">
      <w:pPr>
        <w:ind w:left="-360" w:right="-360"/>
        <w:jc w:val="both"/>
      </w:pPr>
    </w:p>
    <w:p w14:paraId="57CB72AC" w14:textId="77777777" w:rsidR="00DB5BB7" w:rsidRDefault="00B4606C" w:rsidP="00812141">
      <w:pPr>
        <w:ind w:left="-360" w:right="-360"/>
        <w:jc w:val="both"/>
      </w:pPr>
      <w:r>
        <w:t xml:space="preserve">The scientific community has concluded that human activity – particularly the combustion of fossil fuels – is the main </w:t>
      </w:r>
      <w:r>
        <w:t>driver of anthropogenic climate change.</w:t>
      </w:r>
      <w:r>
        <w:rPr>
          <w:vertAlign w:val="superscript"/>
        </w:rPr>
        <w:footnoteReference w:id="74"/>
      </w:r>
      <w:r>
        <w:t xml:space="preserve"> Research reveals that there is already enough </w:t>
      </w:r>
      <w:r>
        <w:lastRenderedPageBreak/>
        <w:t>oil, gas and coal under production globally to exhaust the world’s remaining carbon budget,</w:t>
      </w:r>
      <w:r>
        <w:rPr>
          <w:vertAlign w:val="superscript"/>
        </w:rPr>
        <w:footnoteReference w:id="75"/>
      </w:r>
      <w:r>
        <w:t xml:space="preserve"> and that States around the world are planning to produce twice as much oil</w:t>
      </w:r>
      <w:r>
        <w:t xml:space="preserve"> and gas as is consistent with a 1.5°C limit.</w:t>
      </w:r>
      <w:r>
        <w:rPr>
          <w:vertAlign w:val="superscript"/>
        </w:rPr>
        <w:footnoteReference w:id="76"/>
      </w:r>
      <w:r>
        <w:t xml:space="preserve"> The International Energy Association declared that “there is no need for investment in new fossil fuel supply in [its] net zero pathway.”</w:t>
      </w:r>
      <w:r>
        <w:rPr>
          <w:vertAlign w:val="superscript"/>
        </w:rPr>
        <w:footnoteReference w:id="77"/>
      </w:r>
      <w:r>
        <w:t xml:space="preserve"> The IPCC strengthened this point, stating that “[i]f investments in </w:t>
      </w:r>
      <w:r>
        <w:t>coal and other fossil infrastructure continue, energy systems will be locked-in to higher emissions, making it harder to limit warming to 2°C or 1.5°C (high confidence)”,</w:t>
      </w:r>
      <w:r>
        <w:rPr>
          <w:vertAlign w:val="superscript"/>
        </w:rPr>
        <w:footnoteReference w:id="78"/>
      </w:r>
      <w:r>
        <w:t xml:space="preserve"> and that limiting temperature increase requires “shifting energy investments away f</w:t>
      </w:r>
      <w:r>
        <w:t>rom fossil-fuels and towards low carbon technologies.”</w:t>
      </w:r>
      <w:r>
        <w:rPr>
          <w:vertAlign w:val="superscript"/>
        </w:rPr>
        <w:footnoteReference w:id="79"/>
      </w:r>
      <w:r>
        <w:t xml:space="preserve"> The scientific panel also added that “[m]eeting the ambitions of the Paris Agreement will require phasing out fossil fuels from energy systems, which is technically possible and is estimated to be re</w:t>
      </w:r>
      <w:r>
        <w:t>latively low in cost.”</w:t>
      </w:r>
      <w:r>
        <w:rPr>
          <w:vertAlign w:val="superscript"/>
        </w:rPr>
        <w:footnoteReference w:id="80"/>
      </w:r>
    </w:p>
    <w:p w14:paraId="32FB0BD3" w14:textId="77777777" w:rsidR="00DB5BB7" w:rsidRDefault="00DB5BB7" w:rsidP="00812141">
      <w:pPr>
        <w:ind w:left="-360" w:right="-360"/>
        <w:jc w:val="both"/>
      </w:pPr>
    </w:p>
    <w:p w14:paraId="6401613C" w14:textId="77777777" w:rsidR="00DB5BB7" w:rsidRDefault="00B4606C" w:rsidP="00812141">
      <w:pPr>
        <w:ind w:left="-360" w:right="-360"/>
        <w:jc w:val="both"/>
      </w:pPr>
      <w:r>
        <w:t>Several UN independent experts appointed by the Human Rights Council</w:t>
      </w:r>
      <w:r>
        <w:rPr>
          <w:vertAlign w:val="superscript"/>
        </w:rPr>
        <w:footnoteReference w:id="81"/>
      </w:r>
      <w:r>
        <w:t xml:space="preserve"> and a number of U.N. Treaty Bodies</w:t>
      </w:r>
      <w:r>
        <w:rPr>
          <w:vertAlign w:val="superscript"/>
        </w:rPr>
        <w:footnoteReference w:id="82"/>
      </w:r>
      <w:r>
        <w:t xml:space="preserve"> have called on States to limit fossil fuel use and eliminate financial support for fossil fuel projects </w:t>
      </w:r>
      <w:r>
        <w:lastRenderedPageBreak/>
        <w:t>in order to mitiga</w:t>
      </w:r>
      <w:r>
        <w:t xml:space="preserve">te the negative human rights impacts of climate change. This Committee has already looked at the issue of emission reduction, including with regard to fossil fuel extraction. </w:t>
      </w:r>
    </w:p>
    <w:p w14:paraId="23FC34DB" w14:textId="77777777" w:rsidR="00DB5BB7" w:rsidRDefault="00DB5BB7" w:rsidP="00812141">
      <w:pPr>
        <w:ind w:left="-360" w:right="-360"/>
        <w:jc w:val="both"/>
      </w:pPr>
    </w:p>
    <w:p w14:paraId="1D848B47" w14:textId="77777777" w:rsidR="00DB5BB7" w:rsidRDefault="00B4606C" w:rsidP="00812141">
      <w:pPr>
        <w:ind w:left="-360" w:right="-360"/>
        <w:jc w:val="both"/>
      </w:pPr>
      <w:r>
        <w:t>This Committee has already acknowledged a direct link between oil and gas extra</w:t>
      </w:r>
      <w:r>
        <w:t>ction and climate change effects, which result in a violation of Article 6 under the Covenant,  addressing States’ obligations to take measures to mitigate climate change consequences, and making explicit reference to greenhouse gas emissions reduction and</w:t>
      </w:r>
      <w:r>
        <w:t xml:space="preserve"> extraction of fossil fuels. In its List of Issues to Brazil and Kenya, the Committee asked for information about the efforts made to reduce carbon emissions, including investment in sustainable energy sources”</w:t>
      </w:r>
      <w:r>
        <w:rPr>
          <w:vertAlign w:val="superscript"/>
        </w:rPr>
        <w:footnoteReference w:id="83"/>
      </w:r>
      <w:r>
        <w:t>, and later recommended that Brazil “strengt</w:t>
      </w:r>
      <w:r>
        <w:t>hen the legal framework to combat and alleviate the consequences of climate change and environmental degradation”.</w:t>
      </w:r>
      <w:r>
        <w:rPr>
          <w:vertAlign w:val="superscript"/>
        </w:rPr>
        <w:footnoteReference w:id="84"/>
      </w:r>
      <w:r>
        <w:t xml:space="preserve"> In its List of Issues to Guyana, it requested that the State party “respond to concerns that large-scale oil extraction significantly incre</w:t>
      </w:r>
      <w:r>
        <w:t>ases greenhouse gas emissions, causes ocean acidification and sea level rise, and adversely affects the most vulnerable groups in the State party” and to report on the development of “mechanisms and systems to ensure the sustainable use of natural resource</w:t>
      </w:r>
      <w:r>
        <w:t>s, including oil and gas”.</w:t>
      </w:r>
      <w:r>
        <w:rPr>
          <w:vertAlign w:val="superscript"/>
        </w:rPr>
        <w:footnoteReference w:id="85"/>
      </w:r>
      <w:r>
        <w:t xml:space="preserve"> In its List of Issues to Sao Tomé and Principe, it asked the State party to report on “efforts to protect persons in the State party, including the most vulnerable persons, from the negative impact of climate change and natural</w:t>
      </w:r>
      <w:r>
        <w:t xml:space="preserve"> disasters on the enjoyment of their rights, including in relation to managing the exploitation of oil resources”.</w:t>
      </w:r>
      <w:r>
        <w:rPr>
          <w:vertAlign w:val="superscript"/>
        </w:rPr>
        <w:footnoteReference w:id="86"/>
      </w:r>
      <w:r>
        <w:t xml:space="preserve"> Similar questions were included in the List of Issues to Tanzania</w:t>
      </w:r>
      <w:r>
        <w:rPr>
          <w:vertAlign w:val="superscript"/>
        </w:rPr>
        <w:footnoteReference w:id="87"/>
      </w:r>
      <w:r>
        <w:t>, where it also asked the State party to “respond to concerns about the negative local and global impacts of the construction of the East Africa Crude Oil Pipeline on the climate change as well as on the livelihood of the population residing in the affecte</w:t>
      </w:r>
      <w:r>
        <w:t xml:space="preserve">d areas”. </w:t>
      </w:r>
    </w:p>
    <w:p w14:paraId="00DFF4D8" w14:textId="77777777" w:rsidR="00DB5BB7" w:rsidRDefault="00DB5BB7" w:rsidP="00812141">
      <w:pPr>
        <w:ind w:left="-360" w:right="-360"/>
        <w:jc w:val="both"/>
      </w:pPr>
    </w:p>
    <w:p w14:paraId="2AC0B1FA" w14:textId="77777777" w:rsidR="00DB5BB7" w:rsidRDefault="00B4606C" w:rsidP="00812141">
      <w:pPr>
        <w:ind w:left="-360" w:right="-360"/>
        <w:jc w:val="both"/>
      </w:pPr>
      <w:r>
        <w:t>Other Committees have reiterated States’ obligations to prevent and mitigate climate-induced harms by phasing out fossil fuel extraction and export. For instance, the Committee on Economic, Social and Cultural Rights expressed concern about Arg</w:t>
      </w:r>
      <w:r>
        <w:t>entina’s large-scale exploitation of fossil fuels in the Neuquén region</w:t>
      </w:r>
      <w:r>
        <w:rPr>
          <w:vertAlign w:val="superscript"/>
        </w:rPr>
        <w:footnoteReference w:id="88"/>
      </w:r>
      <w:r>
        <w:t>; and recommended Ecuador to reconsider the increase of large-scale mining and oil exploitation, in the light of the commitments of the Paris Agreement</w:t>
      </w:r>
      <w:r>
        <w:rPr>
          <w:vertAlign w:val="superscript"/>
        </w:rPr>
        <w:footnoteReference w:id="89"/>
      </w:r>
      <w:r>
        <w:t>. It also expressed concern ab</w:t>
      </w:r>
      <w:r>
        <w:t>out the licenses issued by Norway for the exploration and exploitation of petroleum and natural gas in the Arctic and the Barents Sea,</w:t>
      </w:r>
      <w:r>
        <w:rPr>
          <w:vertAlign w:val="superscript"/>
        </w:rPr>
        <w:footnoteReference w:id="90"/>
      </w:r>
      <w:r>
        <w:t xml:space="preserve"> and asked Australia to indicate the “efforts made to reconcile its continuing support of coal mines and coal exports an</w:t>
      </w:r>
      <w:r>
        <w:t>d its obligations under the Covenant, both in the State party and extraterritorially”.</w:t>
      </w:r>
      <w:r>
        <w:rPr>
          <w:vertAlign w:val="superscript"/>
        </w:rPr>
        <w:footnoteReference w:id="91"/>
      </w:r>
      <w:r>
        <w:t xml:space="preserve"> The Committee on the Elimination of Discrimination against Women expressed concern about the continuing and expanding extraction of oil and gas in Guyana and the resul</w:t>
      </w:r>
      <w:r>
        <w:t xml:space="preserve">ting greenhouse gas emissions, and recommended reviewing “its climate change and energy policies, </w:t>
      </w:r>
      <w:r>
        <w:lastRenderedPageBreak/>
        <w:t>particularly those relating to the extraction of oil and gas”.</w:t>
      </w:r>
      <w:r>
        <w:rPr>
          <w:vertAlign w:val="superscript"/>
        </w:rPr>
        <w:footnoteReference w:id="92"/>
      </w:r>
      <w:r>
        <w:t xml:space="preserve"> The same Committee expressed concerns about Namibia’s extraction policies, especially with re</w:t>
      </w:r>
      <w:r>
        <w:t>gard to the lack of information on “(a)[t]he measures taken by the State party to ensure that climate change and energy policies, and specifically the policy on the extraction and export of oil and gas, take into account the differentiated and disproportio</w:t>
      </w:r>
      <w:r>
        <w:t>nate impact of climate change and environmental degradation on women, especially on rural and indigenous women”.</w:t>
      </w:r>
      <w:r>
        <w:rPr>
          <w:vertAlign w:val="superscript"/>
        </w:rPr>
        <w:footnoteReference w:id="93"/>
      </w:r>
      <w:r>
        <w:t xml:space="preserve"> The Committee on the Rights of the Child recommended that the Netherlands “ensure the legal accountability of business enterprises and their </w:t>
      </w:r>
      <w:r>
        <w:t>subsidiaries operating in or managed from the State party’s territory, including companies that deal with the extraction of oil… in relation to international and national human rights, labour, environmental and other standards”.</w:t>
      </w:r>
      <w:r>
        <w:rPr>
          <w:vertAlign w:val="superscript"/>
        </w:rPr>
        <w:footnoteReference w:id="94"/>
      </w:r>
      <w:r>
        <w:t xml:space="preserve"> </w:t>
      </w:r>
    </w:p>
    <w:p w14:paraId="3D787D71" w14:textId="77777777" w:rsidR="00DB5BB7" w:rsidRDefault="00DB5BB7" w:rsidP="00812141">
      <w:pPr>
        <w:ind w:left="-360" w:right="-360"/>
        <w:jc w:val="both"/>
      </w:pPr>
    </w:p>
    <w:p w14:paraId="5271312D" w14:textId="77777777" w:rsidR="00DB5BB7" w:rsidRDefault="00B4606C" w:rsidP="00812141">
      <w:pPr>
        <w:ind w:left="-360" w:right="-360"/>
        <w:jc w:val="both"/>
        <w:rPr>
          <w:b/>
        </w:rPr>
      </w:pPr>
      <w:r>
        <w:rPr>
          <w:b/>
        </w:rPr>
        <w:t xml:space="preserve">Conclusion </w:t>
      </w:r>
    </w:p>
    <w:p w14:paraId="5B787AB1" w14:textId="77777777" w:rsidR="00DB5BB7" w:rsidRDefault="00DB5BB7" w:rsidP="00812141">
      <w:pPr>
        <w:ind w:left="-360" w:right="-360"/>
        <w:jc w:val="both"/>
      </w:pPr>
    </w:p>
    <w:p w14:paraId="3807AEFE" w14:textId="77777777" w:rsidR="00DB5BB7" w:rsidRDefault="00B4606C" w:rsidP="00812141">
      <w:pPr>
        <w:ind w:left="-360" w:right="-360"/>
        <w:jc w:val="both"/>
      </w:pPr>
      <w:r>
        <w:t>The United</w:t>
      </w:r>
      <w:r>
        <w:t xml:space="preserve"> States government’s ongoing support for fossil fuels - opening up federal lands to new extraction projects, easing the issuance of new permits for energy infrastructure, heavily subsidizing the fossil fuel sector, and allowing further build-out of petroch</w:t>
      </w:r>
      <w:r>
        <w:t>emical facilities  - is not in line with its purported intention to reduce domestic emissions in line with best available science nor with its obligations under the ICCPR to take all reasonable action to prevent foreseeable threats to the right to life. Pe</w:t>
      </w:r>
      <w:r>
        <w:t xml:space="preserve">rversely, many of the new or planned sites of fossil fuel and petrochemical operations are in areas that are already highly vulnerable to climate change and will thus bear an extra burden due to increased impacts of climate change and ecological disasters </w:t>
      </w:r>
      <w:r>
        <w:t>- with inevitable impacts on the right to life - should spills or other accidents occur. The United States is thus knowingly pursuing policies that not only cause or contribute to toxic pollution in affected communities, but continue to exacerbate the clim</w:t>
      </w:r>
      <w:r>
        <w:t xml:space="preserve">ate crisis, in breach of its obligation to respect, protect and fulfill the right to life under Article 6 of the ICCPR.  </w:t>
      </w:r>
    </w:p>
    <w:p w14:paraId="19D1262F" w14:textId="77777777" w:rsidR="00DB5BB7" w:rsidRDefault="00DB5BB7" w:rsidP="00812141">
      <w:pPr>
        <w:ind w:left="-360" w:right="-360"/>
        <w:jc w:val="both"/>
      </w:pPr>
    </w:p>
    <w:p w14:paraId="07B29FBC" w14:textId="77777777" w:rsidR="00DB5BB7" w:rsidRDefault="00B4606C" w:rsidP="00812141">
      <w:pPr>
        <w:ind w:left="-360" w:right="-360"/>
        <w:jc w:val="both"/>
      </w:pPr>
      <w:r>
        <w:t xml:space="preserve">In light of the above, we respectfully call upon this Committee to issue the following recommendation to the United States: </w:t>
      </w:r>
    </w:p>
    <w:p w14:paraId="6AA6ADC9" w14:textId="77777777" w:rsidR="00DB5BB7" w:rsidRDefault="00DB5BB7" w:rsidP="00812141">
      <w:pPr>
        <w:ind w:left="-360" w:right="-360"/>
        <w:jc w:val="both"/>
      </w:pPr>
    </w:p>
    <w:p w14:paraId="1765E498" w14:textId="77777777" w:rsidR="00DB5BB7" w:rsidRDefault="00B4606C" w:rsidP="00812141">
      <w:pPr>
        <w:ind w:left="-360" w:right="-360"/>
        <w:jc w:val="both"/>
        <w:rPr>
          <w:b/>
        </w:rPr>
      </w:pPr>
      <w:r>
        <w:rPr>
          <w:b/>
        </w:rPr>
        <w:t>The Com</w:t>
      </w:r>
      <w:r>
        <w:rPr>
          <w:b/>
        </w:rPr>
        <w:t>mittee recommends that the State party, in line with its obligations under Article 6 of the Covenant, strengthen its legal framework on climate change, including by halting all new oil and gas operations, stopping the issuance of new fossil fuel and petroc</w:t>
      </w:r>
      <w:r>
        <w:rPr>
          <w:b/>
        </w:rPr>
        <w:t xml:space="preserve">hemical licenses, reversing the rollback of environmental review policies for energy infrastructure permits, and halting subsidies to the fossil fuel  industry. </w:t>
      </w:r>
    </w:p>
    <w:p w14:paraId="3AFF5643" w14:textId="77777777" w:rsidR="00DB5BB7" w:rsidRDefault="00DB5BB7"/>
    <w:sectPr w:rsidR="00DB5BB7">
      <w:footerReference w:type="default" r:id="rId6"/>
      <w:headerReference w:type="firs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C93C1" w14:textId="77777777" w:rsidR="00714BE6" w:rsidRDefault="00714BE6">
      <w:pPr>
        <w:spacing w:line="240" w:lineRule="auto"/>
      </w:pPr>
      <w:r>
        <w:separator/>
      </w:r>
    </w:p>
  </w:endnote>
  <w:endnote w:type="continuationSeparator" w:id="0">
    <w:p w14:paraId="49D80319" w14:textId="77777777" w:rsidR="00714BE6" w:rsidRDefault="00714B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B4F15" w14:textId="77777777" w:rsidR="00DB5BB7" w:rsidRDefault="00B4606C">
    <w:pPr>
      <w:jc w:val="right"/>
    </w:pPr>
    <w:r>
      <w:fldChar w:fldCharType="begin"/>
    </w:r>
    <w:r>
      <w:instrText>PAGE</w:instrText>
    </w:r>
    <w:r>
      <w:fldChar w:fldCharType="separate"/>
    </w:r>
    <w:r w:rsidR="0081214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9AA36" w14:textId="77777777" w:rsidR="00714BE6" w:rsidRDefault="00714BE6">
      <w:pPr>
        <w:spacing w:line="240" w:lineRule="auto"/>
      </w:pPr>
      <w:r>
        <w:separator/>
      </w:r>
    </w:p>
  </w:footnote>
  <w:footnote w:type="continuationSeparator" w:id="0">
    <w:p w14:paraId="7CCFE0D8" w14:textId="77777777" w:rsidR="00714BE6" w:rsidRDefault="00714BE6">
      <w:pPr>
        <w:spacing w:line="240" w:lineRule="auto"/>
      </w:pPr>
      <w:r>
        <w:continuationSeparator/>
      </w:r>
    </w:p>
  </w:footnote>
  <w:footnote w:id="1">
    <w:p w14:paraId="7AB8557E" w14:textId="77777777" w:rsidR="00DB5BB7" w:rsidRDefault="00B4606C">
      <w:pPr>
        <w:spacing w:line="240" w:lineRule="auto"/>
        <w:rPr>
          <w:sz w:val="20"/>
          <w:szCs w:val="20"/>
        </w:rPr>
      </w:pPr>
      <w:r>
        <w:rPr>
          <w:vertAlign w:val="superscript"/>
        </w:rPr>
        <w:footnoteRef/>
      </w:r>
      <w:r>
        <w:rPr>
          <w:sz w:val="20"/>
          <w:szCs w:val="20"/>
        </w:rPr>
        <w:t xml:space="preserve"> See US Energy Information Administration (EIA), What countries are the top producers and consumers of </w:t>
      </w:r>
      <w:proofErr w:type="gramStart"/>
      <w:r>
        <w:rPr>
          <w:sz w:val="20"/>
          <w:szCs w:val="20"/>
        </w:rPr>
        <w:t>oil?,</w:t>
      </w:r>
      <w:proofErr w:type="gramEnd"/>
      <w:r>
        <w:rPr>
          <w:sz w:val="20"/>
          <w:szCs w:val="20"/>
        </w:rPr>
        <w:t xml:space="preserve"> available at </w:t>
      </w:r>
      <w:hyperlink r:id="rId1">
        <w:r>
          <w:rPr>
            <w:color w:val="1155CC"/>
            <w:sz w:val="20"/>
            <w:szCs w:val="20"/>
            <w:u w:val="single"/>
          </w:rPr>
          <w:t>https://www.eia.gov/tools/faqs/faq.php?id=709&amp;t=6</w:t>
        </w:r>
      </w:hyperlink>
      <w:r>
        <w:rPr>
          <w:sz w:val="20"/>
          <w:szCs w:val="20"/>
        </w:rPr>
        <w:t xml:space="preserve">. See also Energy Institute Statistical Review of World Energy 2023 (2023), at pp. 15, 30, available at </w:t>
      </w:r>
      <w:hyperlink r:id="rId2">
        <w:r>
          <w:rPr>
            <w:color w:val="1155CC"/>
            <w:sz w:val="20"/>
            <w:szCs w:val="20"/>
            <w:u w:val="single"/>
          </w:rPr>
          <w:t>https://www.energyinst.org/statistical-review</w:t>
        </w:r>
      </w:hyperlink>
      <w:r>
        <w:rPr>
          <w:sz w:val="20"/>
          <w:szCs w:val="20"/>
        </w:rPr>
        <w:t xml:space="preserve">. The US was the leading supplier of oil and gas in 2022, producing 18.9% of global oil supply and 24.2% of global gas supply. </w:t>
      </w:r>
    </w:p>
  </w:footnote>
  <w:footnote w:id="2">
    <w:p w14:paraId="0CB4BDCF" w14:textId="77777777" w:rsidR="00DB5BB7" w:rsidRDefault="00B4606C">
      <w:pPr>
        <w:spacing w:line="240" w:lineRule="auto"/>
        <w:rPr>
          <w:sz w:val="20"/>
          <w:szCs w:val="20"/>
        </w:rPr>
      </w:pPr>
      <w:r>
        <w:rPr>
          <w:vertAlign w:val="superscript"/>
        </w:rPr>
        <w:footnoteRef/>
      </w:r>
      <w:r>
        <w:rPr>
          <w:sz w:val="20"/>
          <w:szCs w:val="20"/>
        </w:rPr>
        <w:t xml:space="preserve"> Reuters, US natural-gas output and demand to hit record highs in 2023 (12 September 2023), available at </w:t>
      </w:r>
      <w:hyperlink r:id="rId3">
        <w:r>
          <w:rPr>
            <w:color w:val="1155CC"/>
            <w:sz w:val="20"/>
            <w:szCs w:val="20"/>
            <w:u w:val="single"/>
          </w:rPr>
          <w:t>https://www.reuters.com/business/energy/us-natgas-output-demand-hit-record-highs-2023-2023-09-12/</w:t>
        </w:r>
      </w:hyperlink>
      <w:r>
        <w:rPr>
          <w:sz w:val="20"/>
          <w:szCs w:val="20"/>
        </w:rPr>
        <w:t>. See also Reuters, U</w:t>
      </w:r>
      <w:r>
        <w:rPr>
          <w:sz w:val="20"/>
          <w:szCs w:val="20"/>
        </w:rPr>
        <w:t xml:space="preserve">S crude output to rise to record 12.76 million bpd in 2023 - EIA (8 August 2023), available at </w:t>
      </w:r>
      <w:hyperlink r:id="rId4">
        <w:r>
          <w:rPr>
            <w:color w:val="1155CC"/>
            <w:sz w:val="20"/>
            <w:szCs w:val="20"/>
            <w:u w:val="single"/>
          </w:rPr>
          <w:t>https://www.reuters.com/business/energy/us</w:t>
        </w:r>
        <w:r>
          <w:rPr>
            <w:color w:val="1155CC"/>
            <w:sz w:val="20"/>
            <w:szCs w:val="20"/>
            <w:u w:val="single"/>
          </w:rPr>
          <w:t>-crude-output-rise-record-1276-mln-bpd-2023-eia-2023-08-08/</w:t>
        </w:r>
      </w:hyperlink>
      <w:r>
        <w:rPr>
          <w:sz w:val="20"/>
          <w:szCs w:val="20"/>
        </w:rPr>
        <w:t xml:space="preserve"> </w:t>
      </w:r>
    </w:p>
  </w:footnote>
  <w:footnote w:id="3">
    <w:p w14:paraId="0CE26B92"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See </w:t>
      </w:r>
      <w:r>
        <w:rPr>
          <w:sz w:val="20"/>
          <w:szCs w:val="20"/>
        </w:rPr>
        <w:t xml:space="preserve">Oil Change Int’l, Planet Wreckers: How 20 Countries’ Oil and Gas Extraction Plans Risk Locking in Climate Chaos (2023), available at </w:t>
      </w:r>
      <w:hyperlink r:id="rId5">
        <w:r>
          <w:rPr>
            <w:color w:val="1155CC"/>
            <w:sz w:val="20"/>
            <w:szCs w:val="20"/>
            <w:u w:val="single"/>
          </w:rPr>
          <w:t>https://priceofoil.org/content/uploads/2023/09/OCI-Planet-Wreckers-Report-Final.pdf</w:t>
        </w:r>
      </w:hyperlink>
      <w:r>
        <w:rPr>
          <w:sz w:val="20"/>
          <w:szCs w:val="20"/>
        </w:rPr>
        <w:t>; https://priceofoil.org/2023/09/12/new-research-exposes-</w:t>
      </w:r>
      <w:r>
        <w:rPr>
          <w:sz w:val="20"/>
          <w:szCs w:val="20"/>
        </w:rPr>
        <w:t xml:space="preserve">5-global-north-countries-responsible-for-51-of-planned-oil-and-gas-expansion-through-2050/ ; </w:t>
      </w:r>
      <w:r>
        <w:rPr>
          <w:i/>
          <w:sz w:val="20"/>
          <w:szCs w:val="20"/>
        </w:rPr>
        <w:t>see also</w:t>
      </w:r>
      <w:r>
        <w:rPr>
          <w:sz w:val="20"/>
          <w:szCs w:val="20"/>
        </w:rPr>
        <w:t xml:space="preserve"> Fiona Harvey, US behind more than a third of global oil and gas expansion plans, report finds, The Guardian (Sept. 12, 2023), </w:t>
      </w:r>
      <w:hyperlink r:id="rId6">
        <w:r>
          <w:rPr>
            <w:color w:val="1155CC"/>
            <w:sz w:val="20"/>
            <w:szCs w:val="20"/>
            <w:u w:val="single"/>
          </w:rPr>
          <w:t>https://www.theguardian.com/environment/2023/sep/12/us-behind-more-than-a-third-of-global-oil-and-gas-expansion-plans-report-finds</w:t>
        </w:r>
      </w:hyperlink>
      <w:r>
        <w:rPr>
          <w:sz w:val="20"/>
          <w:szCs w:val="20"/>
        </w:rPr>
        <w:t xml:space="preserve">. </w:t>
      </w:r>
    </w:p>
  </w:footnote>
  <w:footnote w:id="4">
    <w:p w14:paraId="65456A72" w14:textId="77777777" w:rsidR="00DB5BB7" w:rsidRDefault="00B4606C">
      <w:pPr>
        <w:spacing w:line="240" w:lineRule="auto"/>
        <w:rPr>
          <w:sz w:val="20"/>
          <w:szCs w:val="20"/>
        </w:rPr>
      </w:pPr>
      <w:r>
        <w:rPr>
          <w:vertAlign w:val="superscript"/>
        </w:rPr>
        <w:footnoteRef/>
      </w:r>
      <w:r>
        <w:rPr>
          <w:sz w:val="20"/>
          <w:szCs w:val="20"/>
        </w:rPr>
        <w:t xml:space="preserve"> </w:t>
      </w:r>
      <w:r>
        <w:t xml:space="preserve"> </w:t>
      </w:r>
      <w:r>
        <w:rPr>
          <w:sz w:val="20"/>
          <w:szCs w:val="20"/>
        </w:rPr>
        <w:t xml:space="preserve">Hydraulic fracturing involves pumping millions of gallons of “water, sand, and/or chemicals into a well to break up underground bedrock to free up oil or gas reserves.” USGS, Hydraulic Fracturing, Overview (2 March 2019) </w:t>
      </w:r>
      <w:r>
        <w:rPr>
          <w:sz w:val="20"/>
          <w:szCs w:val="20"/>
        </w:rPr>
        <w:t>available at: https://www.usgs.gov/mission-areas/water-resources/science/hydraulic-fracturing.</w:t>
      </w:r>
    </w:p>
  </w:footnote>
  <w:footnote w:id="5">
    <w:p w14:paraId="33119046" w14:textId="77777777" w:rsidR="00DB5BB7" w:rsidRDefault="00B4606C">
      <w:pPr>
        <w:spacing w:line="240" w:lineRule="auto"/>
        <w:rPr>
          <w:sz w:val="20"/>
          <w:szCs w:val="20"/>
        </w:rPr>
      </w:pPr>
      <w:r>
        <w:rPr>
          <w:vertAlign w:val="superscript"/>
        </w:rPr>
        <w:footnoteRef/>
      </w:r>
      <w:r>
        <w:rPr>
          <w:sz w:val="20"/>
          <w:szCs w:val="20"/>
        </w:rPr>
        <w:t xml:space="preserve"> According to projections in the Annual Energy Outlook 2023 (AEO2023), the majority of U.S. dry natural gas production through 2050 will be from shale and tight</w:t>
      </w:r>
      <w:r>
        <w:rPr>
          <w:sz w:val="20"/>
          <w:szCs w:val="20"/>
        </w:rPr>
        <w:t xml:space="preserve"> gas resources. See EIA, natural gas explained Where our natural gas comes from, available at   </w:t>
      </w:r>
      <w:hyperlink r:id="rId7">
        <w:r>
          <w:rPr>
            <w:color w:val="1155CC"/>
            <w:sz w:val="20"/>
            <w:szCs w:val="20"/>
            <w:u w:val="single"/>
          </w:rPr>
          <w:t>https://www.eia.gov/energyexplained/natural-gas/where-our-</w:t>
        </w:r>
        <w:r>
          <w:rPr>
            <w:color w:val="1155CC"/>
            <w:sz w:val="20"/>
            <w:szCs w:val="20"/>
            <w:u w:val="single"/>
          </w:rPr>
          <w:t>natural-gas-comes-from.php</w:t>
        </w:r>
      </w:hyperlink>
      <w:r>
        <w:rPr>
          <w:sz w:val="20"/>
          <w:szCs w:val="20"/>
        </w:rPr>
        <w:t xml:space="preserve">. </w:t>
      </w:r>
    </w:p>
  </w:footnote>
  <w:footnote w:id="6">
    <w:p w14:paraId="43D8A6BF" w14:textId="77777777" w:rsidR="00DB5BB7" w:rsidRDefault="00B4606C">
      <w:pPr>
        <w:spacing w:line="240" w:lineRule="auto"/>
        <w:rPr>
          <w:sz w:val="20"/>
          <w:szCs w:val="20"/>
        </w:rPr>
      </w:pPr>
      <w:r>
        <w:rPr>
          <w:vertAlign w:val="superscript"/>
        </w:rPr>
        <w:footnoteRef/>
      </w:r>
      <w:r>
        <w:rPr>
          <w:sz w:val="20"/>
          <w:szCs w:val="20"/>
        </w:rPr>
        <w:t xml:space="preserve"> See generally Concerned Health Professionals of New York et al., </w:t>
      </w:r>
      <w:r>
        <w:rPr>
          <w:i/>
          <w:sz w:val="20"/>
          <w:szCs w:val="20"/>
        </w:rPr>
        <w:t xml:space="preserve">Compendium of Scientific, Medical, and Media Findings Demonstrating Risks and Harms of Fracking and Associated Gas and Oil Infrastructure, 8th ed. </w:t>
      </w:r>
      <w:r>
        <w:rPr>
          <w:sz w:val="20"/>
          <w:szCs w:val="20"/>
        </w:rPr>
        <w:t>(2022) ,</w:t>
      </w:r>
      <w:hyperlink r:id="rId8">
        <w:r>
          <w:rPr>
            <w:color w:val="1155CC"/>
            <w:sz w:val="20"/>
            <w:szCs w:val="20"/>
            <w:u w:val="single"/>
          </w:rPr>
          <w:t>https://concernedhealthny.org/wp-content/uploads/2022/04/CHPNY-Compendium-8-FINAL.pdf</w:t>
        </w:r>
      </w:hyperlink>
      <w:r>
        <w:rPr>
          <w:sz w:val="20"/>
          <w:szCs w:val="20"/>
        </w:rPr>
        <w:t xml:space="preserve">; National Institute of Environmental Health Sciences, Hydraulic Fracturing &amp; Health, available at: </w:t>
      </w:r>
      <w:hyperlink r:id="rId9">
        <w:r>
          <w:rPr>
            <w:sz w:val="20"/>
            <w:szCs w:val="20"/>
          </w:rPr>
          <w:t>https://www.niehs.nih.gov/health/topics/agents/fracking/index.cfm</w:t>
        </w:r>
      </w:hyperlink>
      <w:r>
        <w:rPr>
          <w:sz w:val="20"/>
          <w:szCs w:val="20"/>
        </w:rPr>
        <w:t xml:space="preserve">; NRDC, Fracking Fumes: Air Pollution from Hydraulic Fracturing Threatens Public Health and Communities, </w:t>
      </w:r>
      <w:r>
        <w:rPr>
          <w:sz w:val="20"/>
          <w:szCs w:val="20"/>
        </w:rPr>
        <w:t xml:space="preserve">December 2014, available at </w:t>
      </w:r>
      <w:hyperlink r:id="rId10">
        <w:r>
          <w:rPr>
            <w:sz w:val="20"/>
            <w:szCs w:val="20"/>
          </w:rPr>
          <w:t>https://legacy-assets.eenews.net/open_files/assets/2014/12/16/document_cw_01.pdf</w:t>
        </w:r>
      </w:hyperlink>
      <w:r>
        <w:rPr>
          <w:sz w:val="20"/>
          <w:szCs w:val="20"/>
        </w:rPr>
        <w:t>; Physicians fo</w:t>
      </w:r>
      <w:r>
        <w:rPr>
          <w:sz w:val="20"/>
          <w:szCs w:val="20"/>
        </w:rPr>
        <w:t>r Social Responsibility (PSR), Fracking with “Forever Chemicals” in Texas, February 2023, available at: https://texaspsr.org/wp-content/uploads/2023/04/fracking-with-forever-chemicals-in-texas.pdf.</w:t>
      </w:r>
    </w:p>
  </w:footnote>
  <w:footnote w:id="7">
    <w:p w14:paraId="6981B4A4" w14:textId="77777777" w:rsidR="00DB5BB7" w:rsidRDefault="00B4606C">
      <w:pPr>
        <w:spacing w:line="240" w:lineRule="auto"/>
        <w:rPr>
          <w:sz w:val="20"/>
          <w:szCs w:val="20"/>
        </w:rPr>
      </w:pPr>
      <w:r>
        <w:rPr>
          <w:vertAlign w:val="superscript"/>
        </w:rPr>
        <w:footnoteRef/>
      </w:r>
      <w:r>
        <w:rPr>
          <w:sz w:val="20"/>
          <w:szCs w:val="20"/>
        </w:rPr>
        <w:t xml:space="preserve"> EIA (FAQ), What is U.S. electricity generation by energy</w:t>
      </w:r>
      <w:r>
        <w:rPr>
          <w:sz w:val="20"/>
          <w:szCs w:val="20"/>
        </w:rPr>
        <w:t xml:space="preserve"> </w:t>
      </w:r>
      <w:proofErr w:type="gramStart"/>
      <w:r>
        <w:rPr>
          <w:sz w:val="20"/>
          <w:szCs w:val="20"/>
        </w:rPr>
        <w:t>source?,</w:t>
      </w:r>
      <w:proofErr w:type="gramEnd"/>
      <w:r>
        <w:rPr>
          <w:sz w:val="20"/>
          <w:szCs w:val="20"/>
        </w:rPr>
        <w:t xml:space="preserve"> available at: </w:t>
      </w:r>
      <w:hyperlink r:id="rId11">
        <w:r>
          <w:rPr>
            <w:color w:val="1155CC"/>
            <w:sz w:val="20"/>
            <w:szCs w:val="20"/>
            <w:u w:val="single"/>
          </w:rPr>
          <w:t>https://www.eia.gov/tools/faqs/faq.php?id=427&amp;t=3</w:t>
        </w:r>
      </w:hyperlink>
      <w:r>
        <w:rPr>
          <w:sz w:val="20"/>
          <w:szCs w:val="20"/>
        </w:rPr>
        <w:t xml:space="preserve"> </w:t>
      </w:r>
    </w:p>
  </w:footnote>
  <w:footnote w:id="8">
    <w:p w14:paraId="2FFBEDD1" w14:textId="77777777" w:rsidR="00DB5BB7" w:rsidRDefault="00B4606C">
      <w:pPr>
        <w:spacing w:line="240" w:lineRule="auto"/>
        <w:rPr>
          <w:sz w:val="20"/>
          <w:szCs w:val="20"/>
        </w:rPr>
      </w:pPr>
      <w:r>
        <w:rPr>
          <w:vertAlign w:val="superscript"/>
        </w:rPr>
        <w:footnoteRef/>
      </w:r>
      <w:r>
        <w:rPr>
          <w:sz w:val="20"/>
          <w:szCs w:val="20"/>
        </w:rPr>
        <w:t xml:space="preserve"> EIA, Oil and petroleum products explained: oil imports and exports, available</w:t>
      </w:r>
      <w:r>
        <w:rPr>
          <w:sz w:val="20"/>
          <w:szCs w:val="20"/>
        </w:rPr>
        <w:t xml:space="preserve"> at: </w:t>
      </w:r>
      <w:hyperlink r:id="rId12">
        <w:r>
          <w:rPr>
            <w:color w:val="1155CC"/>
            <w:sz w:val="21"/>
            <w:szCs w:val="21"/>
            <w:highlight w:val="white"/>
            <w:u w:val="single"/>
          </w:rPr>
          <w:t>https://www.eia.gov/energyexplained/oil-and-petroleum-products/imports-and-exports.php</w:t>
        </w:r>
      </w:hyperlink>
      <w:r>
        <w:rPr>
          <w:color w:val="333333"/>
          <w:sz w:val="21"/>
          <w:szCs w:val="21"/>
          <w:highlight w:val="white"/>
        </w:rPr>
        <w:t xml:space="preserve">. </w:t>
      </w:r>
    </w:p>
  </w:footnote>
  <w:footnote w:id="9">
    <w:p w14:paraId="6EDF3687" w14:textId="77777777" w:rsidR="00DB5BB7" w:rsidRDefault="00B4606C">
      <w:pPr>
        <w:spacing w:line="240" w:lineRule="auto"/>
        <w:rPr>
          <w:i/>
          <w:sz w:val="20"/>
          <w:szCs w:val="20"/>
        </w:rPr>
      </w:pPr>
      <w:r>
        <w:rPr>
          <w:vertAlign w:val="superscript"/>
        </w:rPr>
        <w:footnoteRef/>
      </w:r>
      <w:r>
        <w:rPr>
          <w:sz w:val="20"/>
          <w:szCs w:val="20"/>
        </w:rPr>
        <w:t xml:space="preserve"> </w:t>
      </w:r>
      <w:r>
        <w:rPr>
          <w:i/>
          <w:sz w:val="20"/>
          <w:szCs w:val="20"/>
        </w:rPr>
        <w:t>Ibid.</w:t>
      </w:r>
    </w:p>
  </w:footnote>
  <w:footnote w:id="10">
    <w:p w14:paraId="043BBD73" w14:textId="77777777" w:rsidR="00DB5BB7" w:rsidRDefault="00B4606C">
      <w:pPr>
        <w:spacing w:line="240" w:lineRule="auto"/>
        <w:rPr>
          <w:sz w:val="20"/>
          <w:szCs w:val="20"/>
        </w:rPr>
      </w:pPr>
      <w:r>
        <w:rPr>
          <w:vertAlign w:val="superscript"/>
        </w:rPr>
        <w:footnoteRef/>
      </w:r>
      <w:r>
        <w:rPr>
          <w:sz w:val="20"/>
          <w:szCs w:val="20"/>
        </w:rPr>
        <w:t xml:space="preserve"> Following th</w:t>
      </w:r>
      <w:r>
        <w:rPr>
          <w:sz w:val="20"/>
          <w:szCs w:val="20"/>
        </w:rPr>
        <w:t>e agency report, LNG exports have continuously expanded each year between 2016 and 2022. In 2021 and 2022, LNG exports exceeded pipeline natural gas exports.  U.S. Energy Information Administration, Natural Gas Explained (Natural Gas Imports and Exports) (</w:t>
      </w:r>
      <w:r>
        <w:rPr>
          <w:sz w:val="20"/>
          <w:szCs w:val="20"/>
        </w:rPr>
        <w:t xml:space="preserve">30 June 2023), available at: </w:t>
      </w:r>
      <w:hyperlink r:id="rId13" w:anchor=":~:text=In%202022%2C%20total%20annual%20U.S">
        <w:r>
          <w:rPr>
            <w:color w:val="1155CC"/>
            <w:sz w:val="20"/>
            <w:szCs w:val="20"/>
            <w:u w:val="single"/>
          </w:rPr>
          <w:t>https://www.eia.gov/energyexplained/natural-gas/imports-and-exports.php</w:t>
        </w:r>
      </w:hyperlink>
      <w:r>
        <w:rPr>
          <w:sz w:val="20"/>
          <w:szCs w:val="20"/>
        </w:rPr>
        <w:t xml:space="preserve">. </w:t>
      </w:r>
    </w:p>
  </w:footnote>
  <w:footnote w:id="11">
    <w:p w14:paraId="02DFA78B" w14:textId="77777777" w:rsidR="00DB5BB7" w:rsidRDefault="00B4606C">
      <w:pPr>
        <w:spacing w:line="240" w:lineRule="auto"/>
        <w:rPr>
          <w:sz w:val="20"/>
          <w:szCs w:val="20"/>
        </w:rPr>
      </w:pPr>
      <w:r>
        <w:rPr>
          <w:vertAlign w:val="superscript"/>
        </w:rPr>
        <w:footnoteRef/>
      </w:r>
      <w:r>
        <w:rPr>
          <w:sz w:val="20"/>
          <w:szCs w:val="20"/>
        </w:rPr>
        <w:t xml:space="preserve"> Shraiman A., Gulf Coast Communities Fighting the Massive Buildout of Fracked Gas Exports, Sierra Club, 31 March 2022, available at: </w:t>
      </w:r>
      <w:hyperlink r:id="rId14">
        <w:r>
          <w:rPr>
            <w:color w:val="1155CC"/>
            <w:sz w:val="20"/>
            <w:szCs w:val="20"/>
            <w:u w:val="single"/>
          </w:rPr>
          <w:t>https://www.sierraclub.org/articles/2022/03/gulf-coast-communities-fighting-massive-buildout-fracked-gas-exports</w:t>
        </w:r>
      </w:hyperlink>
      <w:r>
        <w:rPr>
          <w:color w:val="003B4A"/>
          <w:sz w:val="20"/>
          <w:szCs w:val="20"/>
        </w:rPr>
        <w:t xml:space="preserve">. </w:t>
      </w:r>
    </w:p>
  </w:footnote>
  <w:footnote w:id="12">
    <w:p w14:paraId="592B2CE7" w14:textId="77777777" w:rsidR="00DB5BB7" w:rsidRDefault="00B4606C">
      <w:pPr>
        <w:spacing w:line="240" w:lineRule="auto"/>
        <w:rPr>
          <w:sz w:val="20"/>
          <w:szCs w:val="20"/>
        </w:rPr>
      </w:pPr>
      <w:r>
        <w:rPr>
          <w:vertAlign w:val="superscript"/>
        </w:rPr>
        <w:footnoteRef/>
      </w:r>
      <w:r>
        <w:rPr>
          <w:sz w:val="20"/>
          <w:szCs w:val="20"/>
        </w:rPr>
        <w:t xml:space="preserve"> Statista, Leading oil and gas companies in the United States based on market capitalization as o</w:t>
      </w:r>
      <w:r>
        <w:rPr>
          <w:sz w:val="20"/>
          <w:szCs w:val="20"/>
        </w:rPr>
        <w:t xml:space="preserve">f October 2022 (2022), available at </w:t>
      </w:r>
      <w:hyperlink r:id="rId15">
        <w:r>
          <w:rPr>
            <w:sz w:val="20"/>
            <w:szCs w:val="20"/>
          </w:rPr>
          <w:t>https://www.statista.com/statistics/241625/top-10-us-oil-and-gas-companies-based-on-market-value/</w:t>
        </w:r>
      </w:hyperlink>
      <w:r>
        <w:rPr>
          <w:sz w:val="20"/>
          <w:szCs w:val="20"/>
        </w:rPr>
        <w:t xml:space="preserve"> </w:t>
      </w:r>
    </w:p>
  </w:footnote>
  <w:footnote w:id="13">
    <w:p w14:paraId="6866769B" w14:textId="77777777" w:rsidR="00DB5BB7" w:rsidRDefault="00B4606C">
      <w:pPr>
        <w:spacing w:line="240" w:lineRule="auto"/>
        <w:rPr>
          <w:color w:val="121212"/>
          <w:sz w:val="20"/>
          <w:szCs w:val="20"/>
        </w:rPr>
      </w:pPr>
      <w:r>
        <w:rPr>
          <w:vertAlign w:val="superscript"/>
        </w:rPr>
        <w:footnoteRef/>
      </w:r>
      <w:r>
        <w:rPr>
          <w:sz w:val="20"/>
          <w:szCs w:val="20"/>
        </w:rPr>
        <w:t xml:space="preserve"> For instance, a group of 77 firms involved in the extraction of oil, gas and coal received $8.2bn. See:  The Guardian, </w:t>
      </w:r>
      <w:r>
        <w:rPr>
          <w:color w:val="121212"/>
          <w:sz w:val="20"/>
          <w:szCs w:val="20"/>
        </w:rPr>
        <w:t>US fossil-fuel companies took billions in tax breaks – and then laid off thousands (2 April 2021), availab</w:t>
      </w:r>
      <w:r>
        <w:rPr>
          <w:color w:val="121212"/>
          <w:sz w:val="20"/>
          <w:szCs w:val="20"/>
        </w:rPr>
        <w:t xml:space="preserve">le at: </w:t>
      </w:r>
    </w:p>
    <w:p w14:paraId="3DE0FD3D" w14:textId="77777777" w:rsidR="00DB5BB7" w:rsidRDefault="00B4606C">
      <w:pPr>
        <w:spacing w:line="240" w:lineRule="auto"/>
        <w:rPr>
          <w:sz w:val="20"/>
          <w:szCs w:val="20"/>
        </w:rPr>
      </w:pPr>
      <w:hyperlink r:id="rId16">
        <w:r>
          <w:rPr>
            <w:color w:val="1155CC"/>
            <w:sz w:val="20"/>
            <w:szCs w:val="20"/>
            <w:u w:val="single"/>
          </w:rPr>
          <w:t>https://www.theguardian.com/us-news/2021/apr/02/fossil-fuel-companies-billions-tax-breaks-workers</w:t>
        </w:r>
      </w:hyperlink>
      <w:r>
        <w:rPr>
          <w:sz w:val="20"/>
          <w:szCs w:val="20"/>
        </w:rPr>
        <w:t xml:space="preserve"> </w:t>
      </w:r>
    </w:p>
  </w:footnote>
  <w:footnote w:id="14">
    <w:p w14:paraId="7B5FDA55" w14:textId="77777777" w:rsidR="00DB5BB7" w:rsidRDefault="00B4606C">
      <w:pPr>
        <w:spacing w:line="240" w:lineRule="auto"/>
        <w:rPr>
          <w:sz w:val="20"/>
          <w:szCs w:val="20"/>
        </w:rPr>
      </w:pPr>
      <w:r>
        <w:rPr>
          <w:vertAlign w:val="superscript"/>
        </w:rPr>
        <w:footnoteRef/>
      </w:r>
      <w:r>
        <w:rPr>
          <w:sz w:val="20"/>
          <w:szCs w:val="20"/>
        </w:rPr>
        <w:t xml:space="preserve"> Reuters, Biden Budget to target U.S. fossil fuel subsidies (9 March 2023), available at: </w:t>
      </w:r>
      <w:hyperlink r:id="rId17">
        <w:r>
          <w:rPr>
            <w:sz w:val="20"/>
            <w:szCs w:val="20"/>
          </w:rPr>
          <w:t>https://www.reuters.com/business/energy/biden-budg</w:t>
        </w:r>
        <w:r>
          <w:rPr>
            <w:sz w:val="20"/>
            <w:szCs w:val="20"/>
          </w:rPr>
          <w:t>et-target-us-fossil-fuel-subsidies-2023-03-09/</w:t>
        </w:r>
      </w:hyperlink>
      <w:r>
        <w:rPr>
          <w:sz w:val="20"/>
          <w:szCs w:val="20"/>
        </w:rPr>
        <w:t xml:space="preserve">. </w:t>
      </w:r>
    </w:p>
  </w:footnote>
  <w:footnote w:id="15">
    <w:p w14:paraId="2747F288"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w:t>
      </w:r>
    </w:p>
  </w:footnote>
  <w:footnote w:id="16">
    <w:p w14:paraId="0E30046E" w14:textId="77777777" w:rsidR="00DB5BB7" w:rsidRDefault="00B4606C">
      <w:pPr>
        <w:spacing w:line="240" w:lineRule="auto"/>
        <w:rPr>
          <w:sz w:val="20"/>
          <w:szCs w:val="20"/>
        </w:rPr>
      </w:pPr>
      <w:r>
        <w:rPr>
          <w:vertAlign w:val="superscript"/>
        </w:rPr>
        <w:footnoteRef/>
      </w:r>
      <w:r>
        <w:rPr>
          <w:sz w:val="20"/>
          <w:szCs w:val="20"/>
        </w:rPr>
        <w:t xml:space="preserve"> IMF Blog, Fossil Fuel Subsidies Surged to Record $7 Trillion (24 August 2023), available at: </w:t>
      </w:r>
      <w:hyperlink r:id="rId18">
        <w:r>
          <w:rPr>
            <w:sz w:val="20"/>
            <w:szCs w:val="20"/>
          </w:rPr>
          <w:t>https://www.imf.org/en/Blogs/Articles/2023/08/24/fossil-fuel-subsidies-surged-to-record-7-trillion</w:t>
        </w:r>
      </w:hyperlink>
      <w:r>
        <w:rPr>
          <w:sz w:val="20"/>
          <w:szCs w:val="20"/>
        </w:rPr>
        <w:t xml:space="preserve">.  </w:t>
      </w:r>
    </w:p>
  </w:footnote>
  <w:footnote w:id="17">
    <w:p w14:paraId="6326AC34" w14:textId="77777777" w:rsidR="00DB5BB7" w:rsidRDefault="00B4606C">
      <w:pPr>
        <w:spacing w:line="240" w:lineRule="auto"/>
        <w:rPr>
          <w:sz w:val="20"/>
          <w:szCs w:val="20"/>
        </w:rPr>
      </w:pPr>
      <w:r>
        <w:rPr>
          <w:vertAlign w:val="superscript"/>
        </w:rPr>
        <w:footnoteRef/>
      </w:r>
      <w:r>
        <w:rPr>
          <w:sz w:val="20"/>
          <w:szCs w:val="20"/>
        </w:rPr>
        <w:t xml:space="preserve"> IMF Blog, Fossil Fuel Subsidies Surged to Record $7 Trillion (24 August 2023), available at: </w:t>
      </w:r>
      <w:hyperlink r:id="rId19">
        <w:r>
          <w:rPr>
            <w:color w:val="1155CC"/>
            <w:sz w:val="20"/>
            <w:szCs w:val="20"/>
            <w:u w:val="single"/>
          </w:rPr>
          <w:t>https://www.imf.org/en/Blogs/Articles/2023/08/</w:t>
        </w:r>
        <w:r>
          <w:rPr>
            <w:color w:val="1155CC"/>
            <w:sz w:val="20"/>
            <w:szCs w:val="20"/>
            <w:u w:val="single"/>
          </w:rPr>
          <w:t>24/fossil-fuel-subsidies-surged-to-record-7-trillion</w:t>
        </w:r>
      </w:hyperlink>
      <w:r>
        <w:rPr>
          <w:sz w:val="20"/>
          <w:szCs w:val="20"/>
        </w:rPr>
        <w:t xml:space="preserve">. </w:t>
      </w:r>
    </w:p>
  </w:footnote>
  <w:footnote w:id="18">
    <w:p w14:paraId="5DA9223A" w14:textId="77777777" w:rsidR="00DB5BB7" w:rsidRDefault="00B4606C">
      <w:pPr>
        <w:spacing w:line="240" w:lineRule="auto"/>
        <w:rPr>
          <w:sz w:val="20"/>
          <w:szCs w:val="20"/>
        </w:rPr>
      </w:pPr>
      <w:r>
        <w:rPr>
          <w:vertAlign w:val="superscript"/>
        </w:rPr>
        <w:footnoteRef/>
      </w:r>
      <w:r>
        <w:rPr>
          <w:sz w:val="20"/>
          <w:szCs w:val="20"/>
        </w:rPr>
        <w:t xml:space="preserve"> Simon Black, Antung Liu, Ian Parry, and Nate Vernon, 2023. “IMF Fossil Fuel Subsidies Data: 2023 Update.” Working paper,p. 18,  IMF, Washington, DC, available at: </w:t>
      </w:r>
      <w:hyperlink r:id="rId20">
        <w:r>
          <w:rPr>
            <w:color w:val="1155CC"/>
            <w:sz w:val="20"/>
            <w:szCs w:val="20"/>
            <w:u w:val="single"/>
          </w:rPr>
          <w:t>https://www.imf.org/en/Publications/WP/Issues/2023/08/22/IMF-Fossil-Fuel-Subsidies-Data-2023-Update-537281</w:t>
        </w:r>
      </w:hyperlink>
      <w:r>
        <w:rPr>
          <w:sz w:val="20"/>
          <w:szCs w:val="20"/>
        </w:rPr>
        <w:t xml:space="preserve">. </w:t>
      </w:r>
    </w:p>
  </w:footnote>
  <w:footnote w:id="19">
    <w:p w14:paraId="3C92F505" w14:textId="77777777" w:rsidR="00DB5BB7" w:rsidRDefault="00B4606C">
      <w:pPr>
        <w:spacing w:line="240" w:lineRule="auto"/>
        <w:rPr>
          <w:sz w:val="20"/>
          <w:szCs w:val="20"/>
        </w:rPr>
      </w:pPr>
      <w:r>
        <w:rPr>
          <w:vertAlign w:val="superscript"/>
        </w:rPr>
        <w:footnoteRef/>
      </w:r>
      <w:r>
        <w:rPr>
          <w:sz w:val="20"/>
          <w:szCs w:val="20"/>
        </w:rPr>
        <w:t xml:space="preserve"> The White House, FACT SHEET: President Biden to Catalyze Global Climate Action</w:t>
      </w:r>
      <w:r>
        <w:rPr>
          <w:sz w:val="20"/>
          <w:szCs w:val="20"/>
        </w:rPr>
        <w:t xml:space="preserve"> through the Major Economies Forum on Energy and Climate (20 April 2023), available at:</w:t>
      </w:r>
    </w:p>
    <w:p w14:paraId="6CCE9482" w14:textId="77777777" w:rsidR="00DB5BB7" w:rsidRDefault="00B4606C">
      <w:pPr>
        <w:spacing w:line="240" w:lineRule="auto"/>
        <w:rPr>
          <w:sz w:val="20"/>
          <w:szCs w:val="20"/>
        </w:rPr>
      </w:pPr>
      <w:hyperlink r:id="rId21" w:anchor=":~:text=President%20Biden%20has%20set%20an,by%20no%20later%20than%202050">
        <w:r>
          <w:rPr>
            <w:color w:val="1155CC"/>
            <w:sz w:val="20"/>
            <w:szCs w:val="20"/>
            <w:u w:val="single"/>
          </w:rPr>
          <w:t>https://www.whitehouse.gov/briefing-room/statements-releases/2023/04/20/fact-sheet-president-biden-to-catalyze-global-climate-action-throug</w:t>
        </w:r>
        <w:r>
          <w:rPr>
            <w:color w:val="1155CC"/>
            <w:sz w:val="20"/>
            <w:szCs w:val="20"/>
            <w:u w:val="single"/>
          </w:rPr>
          <w:t>h-the-major-economies-forum-on-energy-and-climate/</w:t>
        </w:r>
      </w:hyperlink>
      <w:r>
        <w:rPr>
          <w:sz w:val="20"/>
          <w:szCs w:val="20"/>
        </w:rPr>
        <w:t>.</w:t>
      </w:r>
    </w:p>
  </w:footnote>
  <w:footnote w:id="20">
    <w:p w14:paraId="4C243B4F" w14:textId="77777777" w:rsidR="00DB5BB7" w:rsidRDefault="00B4606C">
      <w:pPr>
        <w:spacing w:line="240" w:lineRule="auto"/>
        <w:rPr>
          <w:sz w:val="20"/>
          <w:szCs w:val="20"/>
        </w:rPr>
      </w:pPr>
      <w:r>
        <w:rPr>
          <w:vertAlign w:val="superscript"/>
        </w:rPr>
        <w:footnoteRef/>
      </w:r>
      <w:r>
        <w:rPr>
          <w:sz w:val="20"/>
          <w:szCs w:val="20"/>
        </w:rPr>
        <w:t xml:space="preserve"> The New York Times, Biden Administration to Bar Drilling on Millions of Acres in Alaska (6 September 2023), available at </w:t>
      </w:r>
      <w:hyperlink r:id="rId22">
        <w:r>
          <w:rPr>
            <w:color w:val="1155CC"/>
            <w:sz w:val="20"/>
            <w:szCs w:val="20"/>
            <w:u w:val="single"/>
          </w:rPr>
          <w:t>https://www.nytimes.com/2023/09/06/climate/biden-drilling-alaska-wildlife-refuge.html</w:t>
        </w:r>
      </w:hyperlink>
      <w:r>
        <w:rPr>
          <w:sz w:val="20"/>
          <w:szCs w:val="20"/>
        </w:rPr>
        <w:t xml:space="preserve"> </w:t>
      </w:r>
    </w:p>
  </w:footnote>
  <w:footnote w:id="21">
    <w:p w14:paraId="250417BF" w14:textId="77777777" w:rsidR="00DB5BB7" w:rsidRDefault="00B4606C">
      <w:pPr>
        <w:spacing w:line="240" w:lineRule="auto"/>
        <w:rPr>
          <w:sz w:val="20"/>
          <w:szCs w:val="20"/>
        </w:rPr>
      </w:pPr>
      <w:r>
        <w:rPr>
          <w:vertAlign w:val="superscript"/>
        </w:rPr>
        <w:footnoteRef/>
      </w:r>
      <w:r>
        <w:rPr>
          <w:sz w:val="20"/>
          <w:szCs w:val="20"/>
        </w:rPr>
        <w:t xml:space="preserve"> In March 2023, the administration approved a massive new oil drilling proje</w:t>
      </w:r>
      <w:r>
        <w:rPr>
          <w:sz w:val="20"/>
          <w:szCs w:val="20"/>
        </w:rPr>
        <w:t xml:space="preserve">ct, which is expected to produce 180,000 barrels of oil per day. See NPR, the Biden Administration approves the controversial Willow drilling project in Alaska (13 March 2023), available at: </w:t>
      </w:r>
      <w:hyperlink r:id="rId23">
        <w:r>
          <w:rPr>
            <w:color w:val="1155CC"/>
            <w:sz w:val="20"/>
            <w:szCs w:val="20"/>
            <w:u w:val="single"/>
          </w:rPr>
          <w:t>https://www.npr.org/2023/03/13/1163075377/willow-drilling-project-alaska-approved-biden</w:t>
        </w:r>
      </w:hyperlink>
      <w:r>
        <w:rPr>
          <w:sz w:val="20"/>
          <w:szCs w:val="20"/>
        </w:rPr>
        <w:t xml:space="preserve">. </w:t>
      </w:r>
    </w:p>
  </w:footnote>
  <w:footnote w:id="22">
    <w:p w14:paraId="290FD042" w14:textId="77777777" w:rsidR="00DB5BB7" w:rsidRDefault="00B4606C">
      <w:pPr>
        <w:spacing w:line="240" w:lineRule="auto"/>
        <w:rPr>
          <w:sz w:val="20"/>
          <w:szCs w:val="20"/>
        </w:rPr>
      </w:pPr>
      <w:r>
        <w:rPr>
          <w:vertAlign w:val="superscript"/>
        </w:rPr>
        <w:footnoteRef/>
      </w:r>
      <w:r>
        <w:rPr>
          <w:sz w:val="20"/>
          <w:szCs w:val="20"/>
        </w:rPr>
        <w:t xml:space="preserve"> BOEM, National OCS Oil and Gas Program 2023-2028, available at: </w:t>
      </w:r>
      <w:hyperlink r:id="rId24">
        <w:r>
          <w:rPr>
            <w:color w:val="1155CC"/>
            <w:sz w:val="20"/>
            <w:szCs w:val="20"/>
            <w:u w:val="single"/>
          </w:rPr>
          <w:t>https://www.boem.gov/oil-gas-energy/national-program/national-ocs-oil-and-gas-leasing-program-2023-2028</w:t>
        </w:r>
      </w:hyperlink>
      <w:r>
        <w:rPr>
          <w:sz w:val="20"/>
          <w:szCs w:val="20"/>
        </w:rPr>
        <w:t xml:space="preserve"> </w:t>
      </w:r>
    </w:p>
  </w:footnote>
  <w:footnote w:id="23">
    <w:p w14:paraId="5EB52D98" w14:textId="77777777" w:rsidR="00DB5BB7" w:rsidRDefault="00B4606C">
      <w:pPr>
        <w:spacing w:line="240" w:lineRule="auto"/>
        <w:rPr>
          <w:sz w:val="20"/>
          <w:szCs w:val="20"/>
        </w:rPr>
      </w:pPr>
      <w:r>
        <w:rPr>
          <w:vertAlign w:val="superscript"/>
        </w:rPr>
        <w:footnoteRef/>
      </w:r>
      <w:r>
        <w:rPr>
          <w:sz w:val="20"/>
          <w:szCs w:val="20"/>
        </w:rPr>
        <w:t xml:space="preserve"> Oliver Milman, Ni</w:t>
      </w:r>
      <w:r>
        <w:rPr>
          <w:sz w:val="20"/>
          <w:szCs w:val="20"/>
        </w:rPr>
        <w:t xml:space="preserve">na Lakhani &amp; Maanvi Singh, </w:t>
      </w:r>
      <w:r>
        <w:rPr>
          <w:i/>
          <w:sz w:val="20"/>
          <w:szCs w:val="20"/>
        </w:rPr>
        <w:t>The Guardian</w:t>
      </w:r>
      <w:r>
        <w:rPr>
          <w:sz w:val="20"/>
          <w:szCs w:val="20"/>
        </w:rPr>
        <w:t xml:space="preserve">, </w:t>
      </w:r>
      <w:r>
        <w:rPr>
          <w:color w:val="121212"/>
          <w:sz w:val="20"/>
          <w:szCs w:val="20"/>
        </w:rPr>
        <w:t xml:space="preserve">Biden approves controversial Willow oil drilling project in Alaska, 13 March 2023, available at: </w:t>
      </w:r>
      <w:hyperlink r:id="rId25">
        <w:r>
          <w:rPr>
            <w:color w:val="1155CC"/>
            <w:sz w:val="20"/>
            <w:szCs w:val="20"/>
            <w:u w:val="single"/>
          </w:rPr>
          <w:t>https://</w:t>
        </w:r>
        <w:r>
          <w:rPr>
            <w:color w:val="1155CC"/>
            <w:sz w:val="20"/>
            <w:szCs w:val="20"/>
            <w:u w:val="single"/>
          </w:rPr>
          <w:t>www.theguardian.com/us-news/2023/mar/13/alaska-willow-project-approved-oil-gas-biden</w:t>
        </w:r>
      </w:hyperlink>
      <w:r>
        <w:rPr>
          <w:color w:val="121212"/>
          <w:sz w:val="20"/>
          <w:szCs w:val="20"/>
        </w:rPr>
        <w:t xml:space="preserve">. </w:t>
      </w:r>
    </w:p>
  </w:footnote>
  <w:footnote w:id="24">
    <w:p w14:paraId="67A31435" w14:textId="77777777" w:rsidR="00DB5BB7" w:rsidRDefault="00B4606C">
      <w:pPr>
        <w:spacing w:line="240" w:lineRule="auto"/>
        <w:rPr>
          <w:sz w:val="20"/>
          <w:szCs w:val="20"/>
        </w:rPr>
      </w:pPr>
      <w:r>
        <w:rPr>
          <w:vertAlign w:val="superscript"/>
        </w:rPr>
        <w:footnoteRef/>
      </w:r>
      <w:r>
        <w:rPr>
          <w:sz w:val="20"/>
          <w:szCs w:val="20"/>
        </w:rPr>
        <w:t xml:space="preserve"> Ella Nilsen, </w:t>
      </w:r>
      <w:r>
        <w:rPr>
          <w:i/>
          <w:sz w:val="20"/>
          <w:szCs w:val="20"/>
        </w:rPr>
        <w:t>CNN</w:t>
      </w:r>
      <w:r>
        <w:rPr>
          <w:sz w:val="20"/>
          <w:szCs w:val="20"/>
        </w:rPr>
        <w:t xml:space="preserve">, Environmental groups file two lawsuits hoping to stop the Willow project, citing climate impacts (15 March 2023), available at: </w:t>
      </w:r>
      <w:hyperlink r:id="rId26">
        <w:r>
          <w:rPr>
            <w:color w:val="1155CC"/>
            <w:sz w:val="20"/>
            <w:szCs w:val="20"/>
            <w:u w:val="single"/>
          </w:rPr>
          <w:t>https://www.cnn.com</w:t>
        </w:r>
        <w:r>
          <w:rPr>
            <w:color w:val="1155CC"/>
            <w:sz w:val="20"/>
            <w:szCs w:val="20"/>
            <w:u w:val="single"/>
          </w:rPr>
          <w:t>/2023/03/15/politics/willow-project-alaska-lawsuits-climate/index.html</w:t>
        </w:r>
      </w:hyperlink>
      <w:r>
        <w:rPr>
          <w:sz w:val="20"/>
          <w:szCs w:val="20"/>
        </w:rPr>
        <w:t xml:space="preserve">.  </w:t>
      </w:r>
    </w:p>
  </w:footnote>
  <w:footnote w:id="25">
    <w:p w14:paraId="764B15FC" w14:textId="77777777" w:rsidR="00DB5BB7" w:rsidRDefault="00B4606C">
      <w:pPr>
        <w:spacing w:line="240" w:lineRule="auto"/>
        <w:rPr>
          <w:sz w:val="20"/>
          <w:szCs w:val="20"/>
        </w:rPr>
      </w:pPr>
      <w:r>
        <w:rPr>
          <w:vertAlign w:val="superscript"/>
        </w:rPr>
        <w:footnoteRef/>
      </w:r>
      <w:r>
        <w:rPr>
          <w:sz w:val="20"/>
          <w:szCs w:val="20"/>
        </w:rPr>
        <w:t xml:space="preserve"> Inside Climate News, Biden Administration Opens New Public Lands and Waters to Fossil Fuel Drilling, Disappointing Environmentalists (1 July 2022</w:t>
      </w:r>
      <w:r>
        <w:rPr>
          <w:sz w:val="20"/>
          <w:szCs w:val="20"/>
        </w:rPr>
        <w:t xml:space="preserve">), available at: </w:t>
      </w:r>
      <w:hyperlink r:id="rId27">
        <w:r>
          <w:rPr>
            <w:color w:val="1155CC"/>
            <w:sz w:val="20"/>
            <w:szCs w:val="20"/>
            <w:u w:val="single"/>
          </w:rPr>
          <w:t>https://insideclimatenews.org/news/01072022/public-lands-fossil-fuel-drilling-leases-biden/</w:t>
        </w:r>
      </w:hyperlink>
    </w:p>
  </w:footnote>
  <w:footnote w:id="26">
    <w:p w14:paraId="3997517E" w14:textId="77777777" w:rsidR="00DB5BB7" w:rsidRDefault="00B4606C">
      <w:pPr>
        <w:spacing w:line="240" w:lineRule="auto"/>
        <w:rPr>
          <w:i/>
          <w:sz w:val="20"/>
          <w:szCs w:val="20"/>
        </w:rPr>
      </w:pPr>
      <w:r>
        <w:rPr>
          <w:vertAlign w:val="superscript"/>
        </w:rPr>
        <w:footnoteRef/>
      </w:r>
      <w:r>
        <w:rPr>
          <w:sz w:val="20"/>
          <w:szCs w:val="20"/>
        </w:rPr>
        <w:t xml:space="preserve"> </w:t>
      </w:r>
      <w:r>
        <w:rPr>
          <w:i/>
          <w:sz w:val="20"/>
          <w:szCs w:val="20"/>
        </w:rPr>
        <w:t>Ibid.</w:t>
      </w:r>
    </w:p>
  </w:footnote>
  <w:footnote w:id="27">
    <w:p w14:paraId="7D1E2CCE" w14:textId="77777777" w:rsidR="00DB5BB7" w:rsidRDefault="00B4606C">
      <w:pPr>
        <w:spacing w:line="240" w:lineRule="auto"/>
        <w:rPr>
          <w:sz w:val="20"/>
          <w:szCs w:val="20"/>
        </w:rPr>
      </w:pPr>
      <w:r>
        <w:rPr>
          <w:vertAlign w:val="superscript"/>
        </w:rPr>
        <w:footnoteRef/>
      </w:r>
      <w:r>
        <w:rPr>
          <w:sz w:val="20"/>
          <w:szCs w:val="20"/>
        </w:rPr>
        <w:t xml:space="preserve"> Ella Nilsen, CNN, The Willow Project has been approved. Here’s what to know about the controversial oil-drilling venture (14 March 2023) available at:</w:t>
      </w:r>
    </w:p>
    <w:p w14:paraId="09A9D978" w14:textId="77777777" w:rsidR="00DB5BB7" w:rsidRDefault="00B4606C">
      <w:pPr>
        <w:spacing w:line="240" w:lineRule="auto"/>
        <w:rPr>
          <w:sz w:val="20"/>
          <w:szCs w:val="20"/>
        </w:rPr>
      </w:pPr>
      <w:hyperlink r:id="rId28">
        <w:r>
          <w:rPr>
            <w:sz w:val="20"/>
            <w:szCs w:val="20"/>
            <w:u w:val="single"/>
          </w:rPr>
          <w:t>https://edition.cnn.com/2023/03/14/politics/willow-project-oil-alaska-explained-climate/index.html</w:t>
        </w:r>
      </w:hyperlink>
      <w:r>
        <w:rPr>
          <w:sz w:val="20"/>
          <w:szCs w:val="20"/>
        </w:rPr>
        <w:t>. As found in a recent report, the findings on future harms still hold true, since President Biden’s de</w:t>
      </w:r>
      <w:r>
        <w:rPr>
          <w:sz w:val="20"/>
          <w:szCs w:val="20"/>
        </w:rPr>
        <w:t>cision in favor of oil and gas drilling restrictions in Alaska has left major and highly damaging projects untouched. Oil Change International, New Research Exposes 5 Global North Countries Responsible for 51% of Planned Oil and Gas Expansion Through 2050,</w:t>
      </w:r>
      <w:r>
        <w:rPr>
          <w:sz w:val="20"/>
          <w:szCs w:val="20"/>
        </w:rPr>
        <w:t xml:space="preserve"> 12 September 2023, available at: </w:t>
      </w:r>
      <w:proofErr w:type="gramStart"/>
      <w:r>
        <w:rPr>
          <w:sz w:val="20"/>
          <w:szCs w:val="20"/>
        </w:rPr>
        <w:t>https://priceofoil.org/2023/09/12/new-research-exposes-5-global-north-countries-responsible-for-51-of-planned-oil-and-gas-expansion-through-2050/</w:t>
      </w:r>
      <w:proofErr w:type="gramEnd"/>
    </w:p>
  </w:footnote>
  <w:footnote w:id="28">
    <w:p w14:paraId="5408832B" w14:textId="77777777" w:rsidR="00DB5BB7" w:rsidRDefault="00B4606C">
      <w:pPr>
        <w:spacing w:line="240" w:lineRule="auto"/>
        <w:rPr>
          <w:sz w:val="20"/>
          <w:szCs w:val="20"/>
        </w:rPr>
      </w:pPr>
      <w:r>
        <w:rPr>
          <w:vertAlign w:val="superscript"/>
        </w:rPr>
        <w:footnoteRef/>
      </w:r>
      <w:r>
        <w:rPr>
          <w:sz w:val="20"/>
          <w:szCs w:val="20"/>
        </w:rPr>
        <w:t xml:space="preserve"> BHFS, Debt-Ceiling Deal Proposes Adjustment to IRS Funding, Protects Green</w:t>
      </w:r>
      <w:r>
        <w:rPr>
          <w:sz w:val="20"/>
          <w:szCs w:val="20"/>
        </w:rPr>
        <w:t>-Energy Tax Incentives (30 March 2023) available at:</w:t>
      </w:r>
    </w:p>
    <w:p w14:paraId="659CF9C3" w14:textId="77777777" w:rsidR="00DB5BB7" w:rsidRDefault="00B4606C">
      <w:pPr>
        <w:spacing w:line="240" w:lineRule="auto"/>
        <w:rPr>
          <w:sz w:val="20"/>
          <w:szCs w:val="20"/>
        </w:rPr>
      </w:pPr>
      <w:hyperlink r:id="rId29">
        <w:r>
          <w:rPr>
            <w:sz w:val="20"/>
            <w:szCs w:val="20"/>
            <w:u w:val="single"/>
          </w:rPr>
          <w:t>https://www.bhfs.com/insights/alerts-articles</w:t>
        </w:r>
        <w:r>
          <w:rPr>
            <w:sz w:val="20"/>
            <w:szCs w:val="20"/>
            <w:u w:val="single"/>
          </w:rPr>
          <w:t>/2023/debt-ceiling-deal-proposes-adjustment-to-irs-funding-protects-green-energy-tax-incentives</w:t>
        </w:r>
      </w:hyperlink>
      <w:r>
        <w:rPr>
          <w:sz w:val="20"/>
          <w:szCs w:val="20"/>
        </w:rPr>
        <w:t xml:space="preserve"> </w:t>
      </w:r>
    </w:p>
  </w:footnote>
  <w:footnote w:id="29">
    <w:p w14:paraId="52269251" w14:textId="77777777" w:rsidR="00DB5BB7" w:rsidRDefault="00B4606C">
      <w:pPr>
        <w:spacing w:line="240" w:lineRule="auto"/>
        <w:rPr>
          <w:sz w:val="20"/>
          <w:szCs w:val="20"/>
        </w:rPr>
      </w:pPr>
      <w:r>
        <w:rPr>
          <w:vertAlign w:val="superscript"/>
        </w:rPr>
        <w:footnoteRef/>
      </w:r>
      <w:r>
        <w:rPr>
          <w:sz w:val="20"/>
          <w:szCs w:val="20"/>
        </w:rPr>
        <w:t xml:space="preserve"> Fiscal Responsibility Act, § 321(a)(3), 2 U.S.C. §900. See also National Environmental Policy Act, NEPA.gov, Amendments t</w:t>
      </w:r>
      <w:r>
        <w:rPr>
          <w:sz w:val="20"/>
          <w:szCs w:val="20"/>
        </w:rPr>
        <w:t xml:space="preserve">o NEPA from the Fiscal Responsibility Act of 2023 (last visited Sept 15, 2023), </w:t>
      </w:r>
      <w:hyperlink r:id="rId30">
        <w:r>
          <w:rPr>
            <w:sz w:val="20"/>
            <w:szCs w:val="20"/>
          </w:rPr>
          <w:t>https://ceq.doe.gov/laws-regulations/fra.html</w:t>
        </w:r>
      </w:hyperlink>
      <w:r>
        <w:rPr>
          <w:sz w:val="20"/>
          <w:szCs w:val="20"/>
        </w:rPr>
        <w:t>.</w:t>
      </w:r>
    </w:p>
  </w:footnote>
  <w:footnote w:id="30">
    <w:p w14:paraId="2CC81D85" w14:textId="77777777" w:rsidR="00DB5BB7" w:rsidRDefault="00B4606C">
      <w:pPr>
        <w:spacing w:line="240" w:lineRule="auto"/>
        <w:rPr>
          <w:sz w:val="20"/>
          <w:szCs w:val="20"/>
        </w:rPr>
      </w:pPr>
      <w:r>
        <w:rPr>
          <w:vertAlign w:val="superscript"/>
        </w:rPr>
        <w:footnoteRef/>
      </w:r>
      <w:r>
        <w:rPr>
          <w:sz w:val="20"/>
          <w:szCs w:val="20"/>
        </w:rPr>
        <w:t xml:space="preserve"> Earthworks, NEPA: essential c</w:t>
      </w:r>
      <w:r>
        <w:rPr>
          <w:sz w:val="20"/>
          <w:szCs w:val="20"/>
        </w:rPr>
        <w:t xml:space="preserve">heck on harmful development is under attack, 14 August 2023, available at: </w:t>
      </w:r>
      <w:proofErr w:type="gramStart"/>
      <w:r>
        <w:rPr>
          <w:sz w:val="20"/>
          <w:szCs w:val="20"/>
        </w:rPr>
        <w:t>https://earthworks.org/blog/nepa-essential-check-on-harmful-development-is-under-attack/</w:t>
      </w:r>
      <w:proofErr w:type="gramEnd"/>
    </w:p>
  </w:footnote>
  <w:footnote w:id="31">
    <w:p w14:paraId="142146F8" w14:textId="77777777" w:rsidR="00DB5BB7" w:rsidRDefault="00B4606C">
      <w:pPr>
        <w:spacing w:line="240" w:lineRule="auto"/>
        <w:rPr>
          <w:sz w:val="20"/>
          <w:szCs w:val="20"/>
        </w:rPr>
      </w:pPr>
      <w:r>
        <w:rPr>
          <w:vertAlign w:val="superscript"/>
        </w:rPr>
        <w:footnoteRef/>
      </w:r>
      <w:r>
        <w:rPr>
          <w:sz w:val="20"/>
          <w:szCs w:val="20"/>
        </w:rPr>
        <w:t xml:space="preserve"> Fiscal Responsibility Act,§ 321(a)(3)(B)(n 24). </w:t>
      </w:r>
    </w:p>
  </w:footnote>
  <w:footnote w:id="32">
    <w:p w14:paraId="5BAC4ECA" w14:textId="77777777" w:rsidR="00DB5BB7" w:rsidRDefault="00B4606C">
      <w:pPr>
        <w:spacing w:line="240" w:lineRule="auto"/>
        <w:rPr>
          <w:sz w:val="20"/>
          <w:szCs w:val="20"/>
        </w:rPr>
      </w:pPr>
      <w:r>
        <w:rPr>
          <w:vertAlign w:val="superscript"/>
        </w:rPr>
        <w:footnoteRef/>
      </w:r>
      <w:r>
        <w:rPr>
          <w:sz w:val="20"/>
          <w:szCs w:val="20"/>
        </w:rPr>
        <w:t xml:space="preserve"> See Winston &amp; Straw LLP, Top 10 Changes in the Debt Ceiling Deal’s NEPA Reforms (13 June 2023), available at </w:t>
      </w:r>
      <w:hyperlink r:id="rId31">
        <w:r>
          <w:rPr>
            <w:color w:val="1155CC"/>
            <w:sz w:val="20"/>
            <w:szCs w:val="20"/>
            <w:u w:val="single"/>
          </w:rPr>
          <w:t>https://</w:t>
        </w:r>
        <w:r>
          <w:rPr>
            <w:color w:val="1155CC"/>
            <w:sz w:val="20"/>
            <w:szCs w:val="20"/>
            <w:u w:val="single"/>
          </w:rPr>
          <w:t>www.winston.com/en/blogs-and-podcasts/winston-and-the-legal-environment/debt-ceiling-deal-ushers-in-nepa-reforms</w:t>
        </w:r>
      </w:hyperlink>
      <w:r>
        <w:rPr>
          <w:sz w:val="20"/>
          <w:szCs w:val="20"/>
        </w:rPr>
        <w:t xml:space="preserve"> </w:t>
      </w:r>
    </w:p>
  </w:footnote>
  <w:footnote w:id="33">
    <w:p w14:paraId="7C578C26" w14:textId="77777777" w:rsidR="00DB5BB7" w:rsidRDefault="00B4606C">
      <w:pPr>
        <w:spacing w:line="240" w:lineRule="auto"/>
        <w:rPr>
          <w:sz w:val="20"/>
          <w:szCs w:val="20"/>
        </w:rPr>
      </w:pPr>
      <w:r>
        <w:rPr>
          <w:vertAlign w:val="superscript"/>
        </w:rPr>
        <w:footnoteRef/>
      </w:r>
      <w:r>
        <w:rPr>
          <w:sz w:val="20"/>
          <w:szCs w:val="20"/>
        </w:rPr>
        <w:t>CNN, What is permitting reform? The critical energy provision buried in debt-ceiling negotiations (30 Marc</w:t>
      </w:r>
      <w:r>
        <w:rPr>
          <w:sz w:val="20"/>
          <w:szCs w:val="20"/>
        </w:rPr>
        <w:t>h 2023) available at</w:t>
      </w:r>
    </w:p>
    <w:p w14:paraId="45A875CE" w14:textId="77777777" w:rsidR="00DB5BB7" w:rsidRDefault="00B4606C">
      <w:pPr>
        <w:spacing w:line="240" w:lineRule="auto"/>
        <w:rPr>
          <w:sz w:val="20"/>
          <w:szCs w:val="20"/>
        </w:rPr>
      </w:pPr>
      <w:hyperlink r:id="rId32">
        <w:r>
          <w:rPr>
            <w:color w:val="1155CC"/>
            <w:sz w:val="20"/>
            <w:szCs w:val="20"/>
            <w:u w:val="single"/>
          </w:rPr>
          <w:t>https://edition.cnn.com/2023/05/24/politics/energy-permitting-debt-ceiling-climate/index.html</w:t>
        </w:r>
      </w:hyperlink>
    </w:p>
  </w:footnote>
  <w:footnote w:id="34">
    <w:p w14:paraId="6ABC3E2B" w14:textId="77777777" w:rsidR="00DB5BB7" w:rsidRDefault="00B4606C">
      <w:pPr>
        <w:spacing w:line="240" w:lineRule="auto"/>
        <w:rPr>
          <w:sz w:val="20"/>
          <w:szCs w:val="20"/>
        </w:rPr>
      </w:pPr>
      <w:r>
        <w:rPr>
          <w:vertAlign w:val="superscript"/>
        </w:rPr>
        <w:footnoteRef/>
      </w:r>
      <w:r>
        <w:rPr>
          <w:sz w:val="20"/>
          <w:szCs w:val="20"/>
        </w:rPr>
        <w:t xml:space="preserve"> International Energy Agency, Oil 2023: Analysis and Forecast to 2028, Executive Summary, </w:t>
      </w:r>
      <w:hyperlink r:id="rId33">
        <w:r>
          <w:rPr>
            <w:color w:val="1155CC"/>
            <w:sz w:val="20"/>
            <w:szCs w:val="20"/>
            <w:u w:val="single"/>
          </w:rPr>
          <w:t>https://www.iea.org/reports/oil-2023/executive-summary</w:t>
        </w:r>
      </w:hyperlink>
      <w:r>
        <w:rPr>
          <w:sz w:val="20"/>
          <w:szCs w:val="20"/>
        </w:rPr>
        <w:t xml:space="preserve"> (“The petrochemical sector will remain the key driver of global oil demand growth, with liquified petroleum gas (LPG), ethane and naphtha accounting for more than 50% of the rise between 2022 and 2028 and nearly 90% of the increase compared with pre-pa</w:t>
      </w:r>
      <w:r>
        <w:rPr>
          <w:sz w:val="20"/>
          <w:szCs w:val="20"/>
        </w:rPr>
        <w:t>ndemic levels.”).</w:t>
      </w:r>
    </w:p>
  </w:footnote>
  <w:footnote w:id="35">
    <w:p w14:paraId="52A9EBC2" w14:textId="77777777" w:rsidR="00DB5BB7" w:rsidRDefault="00B4606C">
      <w:pPr>
        <w:spacing w:line="240" w:lineRule="auto"/>
        <w:rPr>
          <w:sz w:val="20"/>
          <w:szCs w:val="20"/>
        </w:rPr>
      </w:pPr>
      <w:r>
        <w:rPr>
          <w:vertAlign w:val="superscript"/>
        </w:rPr>
        <w:footnoteRef/>
      </w:r>
      <w:r>
        <w:rPr>
          <w:sz w:val="20"/>
          <w:szCs w:val="20"/>
        </w:rPr>
        <w:t xml:space="preserve"> Probublica, Poison in the Air (2 November 2021), available at: </w:t>
      </w:r>
      <w:hyperlink r:id="rId34">
        <w:r>
          <w:rPr>
            <w:color w:val="1155CC"/>
            <w:sz w:val="20"/>
            <w:szCs w:val="20"/>
            <w:u w:val="single"/>
          </w:rPr>
          <w:t>https://www.propublica.org/article/toxmap-poison-in-the-air</w:t>
        </w:r>
      </w:hyperlink>
      <w:r>
        <w:rPr>
          <w:sz w:val="20"/>
          <w:szCs w:val="20"/>
        </w:rPr>
        <w:t xml:space="preserve"> </w:t>
      </w:r>
    </w:p>
  </w:footnote>
  <w:footnote w:id="36">
    <w:p w14:paraId="5BC66025" w14:textId="77777777" w:rsidR="00DB5BB7" w:rsidRDefault="00B4606C">
      <w:pPr>
        <w:spacing w:line="240" w:lineRule="auto"/>
        <w:rPr>
          <w:sz w:val="20"/>
          <w:szCs w:val="20"/>
          <w:highlight w:val="yellow"/>
        </w:rPr>
      </w:pPr>
      <w:r>
        <w:rPr>
          <w:vertAlign w:val="superscript"/>
        </w:rPr>
        <w:footnoteRef/>
      </w:r>
      <w:r>
        <w:rPr>
          <w:sz w:val="20"/>
          <w:szCs w:val="20"/>
        </w:rPr>
        <w:t xml:space="preserve"> The right to a clean, healthy and sustainable environment: non-toxic environment - Report of the Special Rapporteur on the issue of human rights obligations relating to the enjoyment of a safe, clean, healthy and sustainable environment, UN Doc. A/HRC/4</w:t>
      </w:r>
      <w:r>
        <w:rPr>
          <w:sz w:val="20"/>
          <w:szCs w:val="20"/>
        </w:rPr>
        <w:t>9/53</w:t>
      </w:r>
    </w:p>
  </w:footnote>
  <w:footnote w:id="37">
    <w:p w14:paraId="64635025" w14:textId="77777777" w:rsidR="00DB5BB7" w:rsidRDefault="00B4606C">
      <w:pPr>
        <w:spacing w:line="240" w:lineRule="auto"/>
        <w:rPr>
          <w:i/>
          <w:sz w:val="20"/>
          <w:szCs w:val="20"/>
        </w:rPr>
      </w:pPr>
      <w:r>
        <w:rPr>
          <w:vertAlign w:val="superscript"/>
        </w:rPr>
        <w:footnoteRef/>
      </w:r>
      <w:r>
        <w:rPr>
          <w:sz w:val="20"/>
          <w:szCs w:val="20"/>
        </w:rPr>
        <w:t xml:space="preserve"> </w:t>
      </w:r>
      <w:r>
        <w:rPr>
          <w:i/>
          <w:sz w:val="20"/>
          <w:szCs w:val="20"/>
        </w:rPr>
        <w:t>Ibid.</w:t>
      </w:r>
    </w:p>
  </w:footnote>
  <w:footnote w:id="38">
    <w:p w14:paraId="51067A13" w14:textId="77777777" w:rsidR="00DB5BB7" w:rsidRDefault="00B4606C">
      <w:pPr>
        <w:spacing w:line="240" w:lineRule="auto"/>
        <w:rPr>
          <w:sz w:val="20"/>
          <w:szCs w:val="20"/>
        </w:rPr>
      </w:pPr>
      <w:r>
        <w:rPr>
          <w:vertAlign w:val="superscript"/>
        </w:rPr>
        <w:footnoteRef/>
      </w:r>
      <w:r>
        <w:rPr>
          <w:sz w:val="20"/>
          <w:szCs w:val="20"/>
        </w:rPr>
        <w:t xml:space="preserve"> </w:t>
      </w:r>
      <w:r>
        <w:rPr>
          <w:sz w:val="20"/>
          <w:szCs w:val="20"/>
          <w:highlight w:val="white"/>
        </w:rPr>
        <w:t xml:space="preserve">Terrell, K. A., &amp; St Julien, G. (2022). Air pollution is linked to higher cancer rates among black or impoverished communities in Louisiana. </w:t>
      </w:r>
      <w:r>
        <w:rPr>
          <w:i/>
          <w:sz w:val="20"/>
          <w:szCs w:val="20"/>
          <w:highlight w:val="white"/>
        </w:rPr>
        <w:t>Environmental Research Letters</w:t>
      </w:r>
      <w:r>
        <w:rPr>
          <w:sz w:val="20"/>
          <w:szCs w:val="20"/>
          <w:highlight w:val="white"/>
        </w:rPr>
        <w:t xml:space="preserve">, </w:t>
      </w:r>
      <w:r>
        <w:rPr>
          <w:i/>
          <w:sz w:val="20"/>
          <w:szCs w:val="20"/>
          <w:highlight w:val="white"/>
        </w:rPr>
        <w:t>17</w:t>
      </w:r>
      <w:r>
        <w:rPr>
          <w:sz w:val="20"/>
          <w:szCs w:val="20"/>
          <w:highlight w:val="white"/>
        </w:rPr>
        <w:t>(1), p. 2; US EPA 2014 EJScreen (National Air Toxics Assessment) a</w:t>
      </w:r>
      <w:r>
        <w:rPr>
          <w:sz w:val="20"/>
          <w:szCs w:val="20"/>
          <w:highlight w:val="white"/>
        </w:rPr>
        <w:t xml:space="preserve">vailable at: https://ejscreen.epa.gov/mapper/(Accessed 1 July 2021). </w:t>
      </w:r>
    </w:p>
  </w:footnote>
  <w:footnote w:id="39">
    <w:p w14:paraId="0086148E" w14:textId="77777777" w:rsidR="00DB5BB7" w:rsidRDefault="00B4606C">
      <w:pPr>
        <w:spacing w:line="240" w:lineRule="auto"/>
        <w:rPr>
          <w:sz w:val="20"/>
          <w:szCs w:val="20"/>
        </w:rPr>
      </w:pPr>
      <w:r>
        <w:rPr>
          <w:vertAlign w:val="superscript"/>
        </w:rPr>
        <w:footnoteRef/>
      </w:r>
      <w:r>
        <w:rPr>
          <w:sz w:val="20"/>
          <w:szCs w:val="20"/>
        </w:rPr>
        <w:t xml:space="preserve"> OHCHR, USA: Environmental racism in “Cancer Alley” must end – experts (2 March 2021), available at </w:t>
      </w:r>
      <w:hyperlink r:id="rId35">
        <w:r>
          <w:rPr>
            <w:color w:val="1155CC"/>
            <w:sz w:val="20"/>
            <w:szCs w:val="20"/>
            <w:u w:val="single"/>
          </w:rPr>
          <w:t>https://www.ohchr.org/en/press-releases/2021/03/usa-environmental-racism-cancer-alley-must-end-experts?LangID=E&amp;NewsID=26824</w:t>
        </w:r>
      </w:hyperlink>
      <w:r>
        <w:rPr>
          <w:sz w:val="20"/>
          <w:szCs w:val="20"/>
        </w:rPr>
        <w:t xml:space="preserve"> </w:t>
      </w:r>
    </w:p>
  </w:footnote>
  <w:footnote w:id="40">
    <w:p w14:paraId="32CF4369" w14:textId="77777777" w:rsidR="00DB5BB7" w:rsidRDefault="00B4606C">
      <w:pPr>
        <w:spacing w:line="240" w:lineRule="auto"/>
        <w:rPr>
          <w:sz w:val="20"/>
          <w:szCs w:val="20"/>
        </w:rPr>
      </w:pPr>
      <w:r>
        <w:rPr>
          <w:vertAlign w:val="superscript"/>
        </w:rPr>
        <w:footnoteRef/>
      </w:r>
      <w:r>
        <w:rPr>
          <w:sz w:val="20"/>
          <w:szCs w:val="20"/>
        </w:rPr>
        <w:t xml:space="preserve"> Beyond Plastics, The New Coal: Plastics and Climate Change, available at: </w:t>
      </w:r>
      <w:hyperlink r:id="rId36">
        <w:r>
          <w:rPr>
            <w:color w:val="1155CC"/>
            <w:sz w:val="20"/>
            <w:szCs w:val="20"/>
            <w:u w:val="single"/>
          </w:rPr>
          <w:t>https://www.beyondplastics.org/plastics-and-climate</w:t>
        </w:r>
      </w:hyperlink>
      <w:r>
        <w:rPr>
          <w:sz w:val="20"/>
          <w:szCs w:val="20"/>
        </w:rPr>
        <w:t xml:space="preserve">. </w:t>
      </w:r>
    </w:p>
  </w:footnote>
  <w:footnote w:id="41">
    <w:p w14:paraId="5459D2FC" w14:textId="77777777" w:rsidR="00DB5BB7" w:rsidRDefault="00B4606C">
      <w:pPr>
        <w:spacing w:line="240" w:lineRule="auto"/>
        <w:rPr>
          <w:sz w:val="20"/>
          <w:szCs w:val="20"/>
        </w:rPr>
      </w:pPr>
      <w:r>
        <w:rPr>
          <w:vertAlign w:val="superscript"/>
        </w:rPr>
        <w:footnoteRef/>
      </w:r>
      <w:r>
        <w:rPr>
          <w:sz w:val="20"/>
          <w:szCs w:val="20"/>
        </w:rPr>
        <w:t xml:space="preserve"> Center for Internati</w:t>
      </w:r>
      <w:r>
        <w:rPr>
          <w:sz w:val="20"/>
          <w:szCs w:val="20"/>
        </w:rPr>
        <w:t xml:space="preserve">onal Environmental Law (CIEL), Plastic &amp; Climate: The Hidden Costs of a Plastic Planet (2019), at 16, available at </w:t>
      </w:r>
      <w:hyperlink r:id="rId37">
        <w:r>
          <w:rPr>
            <w:color w:val="1155CC"/>
            <w:sz w:val="20"/>
            <w:szCs w:val="20"/>
            <w:u w:val="single"/>
          </w:rPr>
          <w:t>https://www.ciel.org/wp-content/uploads/2</w:t>
        </w:r>
        <w:r>
          <w:rPr>
            <w:color w:val="1155CC"/>
            <w:sz w:val="20"/>
            <w:szCs w:val="20"/>
            <w:u w:val="single"/>
          </w:rPr>
          <w:t>019/05/Plastic-and-Climate-FINAL-2019.pdf</w:t>
        </w:r>
      </w:hyperlink>
      <w:r>
        <w:rPr>
          <w:sz w:val="20"/>
          <w:szCs w:val="20"/>
        </w:rPr>
        <w:t xml:space="preserve"> </w:t>
      </w:r>
    </w:p>
  </w:footnote>
  <w:footnote w:id="42">
    <w:p w14:paraId="14FFE999"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at 19</w:t>
      </w:r>
    </w:p>
  </w:footnote>
  <w:footnote w:id="43">
    <w:p w14:paraId="38B15EDC" w14:textId="77777777" w:rsidR="00DB5BB7" w:rsidRDefault="00B4606C">
      <w:pPr>
        <w:spacing w:line="240" w:lineRule="auto"/>
        <w:rPr>
          <w:sz w:val="20"/>
          <w:szCs w:val="20"/>
        </w:rPr>
      </w:pPr>
      <w:r>
        <w:rPr>
          <w:vertAlign w:val="superscript"/>
        </w:rPr>
        <w:footnoteRef/>
      </w:r>
      <w:r>
        <w:rPr>
          <w:sz w:val="20"/>
          <w:szCs w:val="20"/>
        </w:rPr>
        <w:t xml:space="preserve"> Eunomia Research &amp; Consulting Ltd, Is Net Zero Enough for the Material Production Sector?Analysing the decarbonisation pathways for key material sectors and their ability to meet global carbon budgets (November 2022), at 22</w:t>
      </w:r>
    </w:p>
  </w:footnote>
  <w:footnote w:id="44">
    <w:p w14:paraId="0790F451"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Supra </w:t>
      </w:r>
      <w:r>
        <w:rPr>
          <w:sz w:val="20"/>
          <w:szCs w:val="20"/>
        </w:rPr>
        <w:t>note 41</w:t>
      </w:r>
      <w:r>
        <w:rPr>
          <w:i/>
          <w:sz w:val="20"/>
          <w:szCs w:val="20"/>
        </w:rPr>
        <w:t xml:space="preserve">, </w:t>
      </w:r>
      <w:r>
        <w:rPr>
          <w:sz w:val="20"/>
          <w:szCs w:val="20"/>
        </w:rPr>
        <w:t>at 22</w:t>
      </w:r>
    </w:p>
  </w:footnote>
  <w:footnote w:id="45">
    <w:p w14:paraId="5EF98B76"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Supra </w:t>
      </w:r>
      <w:r>
        <w:rPr>
          <w:sz w:val="20"/>
          <w:szCs w:val="20"/>
        </w:rPr>
        <w:t>note 43, at 22</w:t>
      </w:r>
    </w:p>
  </w:footnote>
  <w:footnote w:id="46">
    <w:p w14:paraId="26680503" w14:textId="77777777" w:rsidR="00DB5BB7" w:rsidRDefault="00B4606C">
      <w:pPr>
        <w:spacing w:line="240" w:lineRule="auto"/>
        <w:rPr>
          <w:sz w:val="20"/>
          <w:szCs w:val="20"/>
        </w:rPr>
      </w:pPr>
      <w:r>
        <w:rPr>
          <w:vertAlign w:val="superscript"/>
        </w:rPr>
        <w:footnoteRef/>
      </w:r>
      <w:r>
        <w:rPr>
          <w:sz w:val="20"/>
          <w:szCs w:val="20"/>
        </w:rPr>
        <w:t xml:space="preserve"> International Covenant on Civil and Political Rights, art. 6</w:t>
      </w:r>
    </w:p>
  </w:footnote>
  <w:footnote w:id="47">
    <w:p w14:paraId="7F950114" w14:textId="77777777" w:rsidR="00DB5BB7" w:rsidRDefault="00B4606C">
      <w:pPr>
        <w:spacing w:line="240" w:lineRule="auto"/>
        <w:rPr>
          <w:sz w:val="20"/>
          <w:szCs w:val="20"/>
        </w:rPr>
      </w:pPr>
      <w:r>
        <w:rPr>
          <w:vertAlign w:val="superscript"/>
        </w:rPr>
        <w:footnoteRef/>
      </w:r>
      <w:r w:rsidRPr="00B4606C">
        <w:rPr>
          <w:sz w:val="20"/>
          <w:szCs w:val="20"/>
          <w:lang w:val="en-GB"/>
        </w:rPr>
        <w:t xml:space="preserve"> HRC, General Comment No. 36, para. </w:t>
      </w:r>
      <w:r>
        <w:rPr>
          <w:sz w:val="20"/>
          <w:szCs w:val="20"/>
        </w:rPr>
        <w:t>62; Ioane Teitiota v. New Zealand, HRC, Comm. No. 2728/2016, U.N. Doc. CCPR/C/127/D/2728/2016, para. 9.4 (Jan. 7, 2020).</w:t>
      </w:r>
    </w:p>
  </w:footnote>
  <w:footnote w:id="48">
    <w:p w14:paraId="125756ED" w14:textId="77777777" w:rsidR="00DB5BB7" w:rsidRDefault="00B4606C">
      <w:pPr>
        <w:spacing w:line="240" w:lineRule="auto"/>
        <w:rPr>
          <w:sz w:val="20"/>
          <w:szCs w:val="20"/>
        </w:rPr>
      </w:pPr>
      <w:r>
        <w:rPr>
          <w:vertAlign w:val="superscript"/>
        </w:rPr>
        <w:footnoteRef/>
      </w:r>
      <w:r>
        <w:rPr>
          <w:sz w:val="20"/>
          <w:szCs w:val="20"/>
        </w:rPr>
        <w:t xml:space="preserve"> HRC, General Comme</w:t>
      </w:r>
      <w:r>
        <w:rPr>
          <w:sz w:val="20"/>
          <w:szCs w:val="20"/>
        </w:rPr>
        <w:t>nt 36, at para. 26.</w:t>
      </w:r>
    </w:p>
  </w:footnote>
  <w:footnote w:id="49">
    <w:p w14:paraId="3BAE82E9" w14:textId="77777777" w:rsidR="00DB5BB7" w:rsidRDefault="00B4606C">
      <w:pPr>
        <w:spacing w:line="240" w:lineRule="auto"/>
        <w:rPr>
          <w:sz w:val="20"/>
          <w:szCs w:val="20"/>
        </w:rPr>
      </w:pPr>
      <w:r>
        <w:rPr>
          <w:vertAlign w:val="superscript"/>
        </w:rPr>
        <w:footnoteRef/>
      </w:r>
      <w:r>
        <w:rPr>
          <w:sz w:val="20"/>
          <w:szCs w:val="20"/>
        </w:rPr>
        <w:t xml:space="preserve"> HRC, General Comment 36 at para. 22. </w:t>
      </w:r>
    </w:p>
  </w:footnote>
  <w:footnote w:id="50">
    <w:p w14:paraId="30E1030E"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at para. 18.</w:t>
      </w:r>
    </w:p>
  </w:footnote>
  <w:footnote w:id="51">
    <w:p w14:paraId="433F04D4"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at para. 22</w:t>
      </w:r>
    </w:p>
  </w:footnote>
  <w:footnote w:id="52">
    <w:p w14:paraId="63A92390"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at para. 62</w:t>
      </w:r>
    </w:p>
  </w:footnote>
  <w:footnote w:id="53">
    <w:p w14:paraId="6AC63063" w14:textId="77777777" w:rsidR="00DB5BB7" w:rsidRDefault="00B4606C">
      <w:pPr>
        <w:spacing w:line="240" w:lineRule="auto"/>
        <w:rPr>
          <w:sz w:val="20"/>
          <w:szCs w:val="20"/>
        </w:rPr>
      </w:pPr>
      <w:r>
        <w:rPr>
          <w:vertAlign w:val="superscript"/>
        </w:rPr>
        <w:footnoteRef/>
      </w:r>
      <w:r>
        <w:rPr>
          <w:sz w:val="20"/>
          <w:szCs w:val="20"/>
        </w:rPr>
        <w:t xml:space="preserve"> Paris Agreement to the United Nations Framework Convention on Climate Change, arts. 3, 4.</w:t>
      </w:r>
    </w:p>
  </w:footnote>
  <w:footnote w:id="54">
    <w:p w14:paraId="503B4771" w14:textId="77777777" w:rsidR="00DB5BB7" w:rsidRDefault="00B4606C">
      <w:pPr>
        <w:spacing w:line="240" w:lineRule="auto"/>
        <w:rPr>
          <w:sz w:val="20"/>
          <w:szCs w:val="20"/>
        </w:rPr>
      </w:pPr>
      <w:r>
        <w:rPr>
          <w:vertAlign w:val="superscript"/>
        </w:rPr>
        <w:footnoteRef/>
      </w:r>
      <w:r>
        <w:rPr>
          <w:sz w:val="20"/>
          <w:szCs w:val="20"/>
        </w:rPr>
        <w:t xml:space="preserve"> United Nations Framework Convention on Climate Change (UNFCCC), art. 1; Paris Agreement, pmbl., arts. 2.2, 4.3.</w:t>
      </w:r>
    </w:p>
  </w:footnote>
  <w:footnote w:id="55">
    <w:p w14:paraId="0D308F19" w14:textId="77777777" w:rsidR="00DB5BB7" w:rsidRDefault="00B4606C">
      <w:pPr>
        <w:spacing w:line="240" w:lineRule="auto"/>
        <w:rPr>
          <w:sz w:val="20"/>
          <w:szCs w:val="20"/>
        </w:rPr>
      </w:pPr>
      <w:r>
        <w:rPr>
          <w:vertAlign w:val="superscript"/>
        </w:rPr>
        <w:footnoteRef/>
      </w:r>
      <w:r>
        <w:rPr>
          <w:sz w:val="20"/>
          <w:szCs w:val="20"/>
        </w:rPr>
        <w:t xml:space="preserve"> UNFCCC, art. 1; see also Paris Agreement, art. 4.4.  </w:t>
      </w:r>
    </w:p>
  </w:footnote>
  <w:footnote w:id="56">
    <w:p w14:paraId="1AEE6BC8" w14:textId="77777777" w:rsidR="00DB5BB7" w:rsidRDefault="00B4606C">
      <w:pPr>
        <w:spacing w:line="240" w:lineRule="auto"/>
        <w:rPr>
          <w:sz w:val="20"/>
          <w:szCs w:val="20"/>
        </w:rPr>
      </w:pPr>
      <w:r>
        <w:rPr>
          <w:vertAlign w:val="superscript"/>
        </w:rPr>
        <w:footnoteRef/>
      </w:r>
      <w:r>
        <w:rPr>
          <w:sz w:val="20"/>
          <w:szCs w:val="20"/>
        </w:rPr>
        <w:t xml:space="preserve"> Paris Agreement, at preamble.</w:t>
      </w:r>
    </w:p>
  </w:footnote>
  <w:footnote w:id="57">
    <w:p w14:paraId="47A985E3" w14:textId="77777777" w:rsidR="00DB5BB7" w:rsidRDefault="00B4606C">
      <w:pPr>
        <w:spacing w:line="240" w:lineRule="auto"/>
        <w:rPr>
          <w:sz w:val="20"/>
          <w:szCs w:val="20"/>
        </w:rPr>
      </w:pPr>
      <w:r>
        <w:rPr>
          <w:vertAlign w:val="superscript"/>
        </w:rPr>
        <w:footnoteRef/>
      </w:r>
      <w:r>
        <w:rPr>
          <w:sz w:val="20"/>
          <w:szCs w:val="20"/>
        </w:rPr>
        <w:t xml:space="preserve"> Paris Agreement, at art. 2.1(c). </w:t>
      </w:r>
    </w:p>
  </w:footnote>
  <w:footnote w:id="58">
    <w:p w14:paraId="4D823213" w14:textId="77777777" w:rsidR="00DB5BB7" w:rsidRDefault="00B4606C">
      <w:pPr>
        <w:spacing w:line="240" w:lineRule="auto"/>
        <w:rPr>
          <w:sz w:val="20"/>
          <w:szCs w:val="20"/>
        </w:rPr>
      </w:pPr>
      <w:r>
        <w:rPr>
          <w:vertAlign w:val="superscript"/>
        </w:rPr>
        <w:footnoteRef/>
      </w:r>
      <w:r>
        <w:rPr>
          <w:sz w:val="20"/>
          <w:szCs w:val="20"/>
        </w:rPr>
        <w:t xml:space="preserve"> UNFCCC, art. 3; </w:t>
      </w:r>
      <w:r>
        <w:rPr>
          <w:sz w:val="20"/>
          <w:szCs w:val="20"/>
          <w:highlight w:val="white"/>
        </w:rPr>
        <w:t>R</w:t>
      </w:r>
      <w:r>
        <w:rPr>
          <w:sz w:val="20"/>
          <w:szCs w:val="20"/>
          <w:highlight w:val="white"/>
        </w:rPr>
        <w:t>io Declaration on Environment and Development, UN Doc. A/CONF.151/26 (vol. I)</w:t>
      </w:r>
      <w:r>
        <w:rPr>
          <w:sz w:val="20"/>
          <w:szCs w:val="20"/>
        </w:rPr>
        <w:t xml:space="preserve"> principle 15. See also Advisory Opinion OC-23/18, Inter-Am. Ct. H.R. (ser. A) No. 23, paras. 175-80 175-80 (Nov. 15, 2017).</w:t>
      </w:r>
    </w:p>
  </w:footnote>
  <w:footnote w:id="59">
    <w:p w14:paraId="16C7F03A" w14:textId="77777777" w:rsidR="00DB5BB7" w:rsidRDefault="00B4606C">
      <w:pPr>
        <w:spacing w:line="240" w:lineRule="auto"/>
        <w:rPr>
          <w:sz w:val="20"/>
          <w:szCs w:val="20"/>
        </w:rPr>
      </w:pPr>
      <w:r>
        <w:rPr>
          <w:vertAlign w:val="superscript"/>
        </w:rPr>
        <w:footnoteRef/>
      </w:r>
      <w:r>
        <w:rPr>
          <w:sz w:val="20"/>
          <w:szCs w:val="20"/>
          <w:highlight w:val="white"/>
        </w:rPr>
        <w:t xml:space="preserve"> Pulp Mills on the River Uruguay, Argentina v Uruguay</w:t>
      </w:r>
      <w:r>
        <w:rPr>
          <w:sz w:val="20"/>
          <w:szCs w:val="20"/>
          <w:highlight w:val="white"/>
        </w:rPr>
        <w:t>, Order, Provisional Measures, ICJ GL No 135, [2006] ICJ Rep 113, (2006) 45 ILM 1025, ICGJ 2 (ICJ 2006), 13th July 2006</w:t>
      </w:r>
      <w:r>
        <w:rPr>
          <w:sz w:val="20"/>
          <w:szCs w:val="20"/>
        </w:rPr>
        <w:t>, United Nations [UN]; International Court of Justice [ICJ]. Par. 185, 204. The principle is also mentioned in transnational cases and in</w:t>
      </w:r>
      <w:r>
        <w:rPr>
          <w:sz w:val="20"/>
          <w:szCs w:val="20"/>
        </w:rPr>
        <w:t xml:space="preserve">ternational instruments, </w:t>
      </w:r>
      <w:proofErr w:type="gramStart"/>
      <w:r>
        <w:rPr>
          <w:sz w:val="20"/>
          <w:szCs w:val="20"/>
        </w:rPr>
        <w:t>see:</w:t>
      </w:r>
      <w:proofErr w:type="gramEnd"/>
      <w:r>
        <w:rPr>
          <w:sz w:val="20"/>
          <w:szCs w:val="20"/>
        </w:rPr>
        <w:t xml:space="preserve"> Trail Smelter Arbitration, (</w:t>
      </w:r>
      <w:r>
        <w:rPr>
          <w:i/>
          <w:sz w:val="20"/>
          <w:szCs w:val="20"/>
        </w:rPr>
        <w:t>United States v. Canada</w:t>
      </w:r>
      <w:r>
        <w:rPr>
          <w:sz w:val="20"/>
          <w:szCs w:val="20"/>
        </w:rPr>
        <w:t xml:space="preserve">) </w:t>
      </w:r>
      <w:r>
        <w:rPr>
          <w:i/>
          <w:sz w:val="20"/>
          <w:szCs w:val="20"/>
        </w:rPr>
        <w:t>(</w:t>
      </w:r>
      <w:r>
        <w:rPr>
          <w:sz w:val="20"/>
          <w:szCs w:val="20"/>
        </w:rPr>
        <w:t xml:space="preserve"> </w:t>
      </w:r>
      <w:r>
        <w:rPr>
          <w:i/>
          <w:sz w:val="20"/>
          <w:szCs w:val="20"/>
        </w:rPr>
        <w:t>1938</w:t>
      </w:r>
      <w:r>
        <w:rPr>
          <w:sz w:val="20"/>
          <w:szCs w:val="20"/>
        </w:rPr>
        <w:t xml:space="preserve"> and 1941 </w:t>
      </w:r>
      <w:r>
        <w:rPr>
          <w:i/>
          <w:sz w:val="20"/>
          <w:szCs w:val="20"/>
        </w:rPr>
        <w:t>) 3 R.I.A.A. 1905</w:t>
      </w:r>
      <w:r>
        <w:rPr>
          <w:sz w:val="20"/>
          <w:szCs w:val="20"/>
        </w:rPr>
        <w:t>; Stockholm Declaration on the Human Environment, in Report of the United Nations Conference on the Human Environment, UN Doc. A/CONF. 48/14</w:t>
      </w:r>
      <w:r>
        <w:rPr>
          <w:sz w:val="20"/>
          <w:szCs w:val="20"/>
        </w:rPr>
        <w:t xml:space="preserve">, at 2 and Corr. 1 (1972); Rio Declaration on Environment and Development, UN Doc. A/CONF.151/26 (vol. I), 31 ILM 874 (1992). </w:t>
      </w:r>
    </w:p>
  </w:footnote>
  <w:footnote w:id="60">
    <w:p w14:paraId="0F579513" w14:textId="77777777" w:rsidR="00DB5BB7" w:rsidRDefault="00B4606C">
      <w:pPr>
        <w:spacing w:line="240" w:lineRule="auto"/>
        <w:rPr>
          <w:sz w:val="20"/>
          <w:szCs w:val="20"/>
        </w:rPr>
      </w:pPr>
      <w:r>
        <w:rPr>
          <w:vertAlign w:val="superscript"/>
        </w:rPr>
        <w:footnoteRef/>
      </w:r>
      <w:r>
        <w:rPr>
          <w:sz w:val="20"/>
          <w:szCs w:val="20"/>
        </w:rPr>
        <w:t xml:space="preserve"> See, among others, UN Committee on the Rights of the Child, General comment No. 26 (2023) on children’s rights and the environm</w:t>
      </w:r>
      <w:r>
        <w:rPr>
          <w:sz w:val="20"/>
          <w:szCs w:val="20"/>
        </w:rPr>
        <w:t>ent, with a special focus on climate change, CRC/C/GC/26, para. 20, (“States should take positive measures to ensure that children are protected from foreseeable premature or unnatural death and threats to their lives that may be caused by acts and omissio</w:t>
      </w:r>
      <w:r>
        <w:rPr>
          <w:sz w:val="20"/>
          <w:szCs w:val="20"/>
        </w:rPr>
        <w:t>ns, as well as the activities of business actors, and enjoy their right to life with dignity. Such measures include the adoption and effective implementation of environmental standards, for example, those related to air and water quality, food safety, lead</w:t>
      </w:r>
      <w:r>
        <w:rPr>
          <w:sz w:val="20"/>
          <w:szCs w:val="20"/>
        </w:rPr>
        <w:t xml:space="preserve"> exposure and greenhouse gas emissions, and all other adequate and necessary environmental measures that are protective of children’s right to life."); Ibid. at para. 69 (“States have a due diligence obligation to take appropriate preventative measures to </w:t>
      </w:r>
      <w:r>
        <w:rPr>
          <w:sz w:val="20"/>
          <w:szCs w:val="20"/>
        </w:rPr>
        <w:t>protect children against reasonably foreseeable environmental harm and violations of their rights, paying due regard to the precautionary principle.”).</w:t>
      </w:r>
    </w:p>
  </w:footnote>
  <w:footnote w:id="61">
    <w:p w14:paraId="2DFEAFA1" w14:textId="77777777" w:rsidR="00DB5BB7" w:rsidRDefault="00B4606C">
      <w:pPr>
        <w:spacing w:line="240" w:lineRule="auto"/>
        <w:rPr>
          <w:sz w:val="20"/>
          <w:szCs w:val="20"/>
        </w:rPr>
      </w:pPr>
      <w:r>
        <w:rPr>
          <w:vertAlign w:val="superscript"/>
        </w:rPr>
        <w:footnoteRef/>
      </w:r>
      <w:r>
        <w:rPr>
          <w:sz w:val="20"/>
          <w:szCs w:val="20"/>
        </w:rPr>
        <w:t xml:space="preserve"> CEDAW, CESCR, CMW, CRC, CRPD, Joint Statement on "Human Rights and Climate Change" (2019), available a</w:t>
      </w:r>
      <w:r>
        <w:rPr>
          <w:sz w:val="20"/>
          <w:szCs w:val="20"/>
        </w:rPr>
        <w:t xml:space="preserve">t </w:t>
      </w:r>
      <w:hyperlink r:id="rId38" w:anchor=":~:text=This%20report%20confirms%20that%20climate,the%20International%20Convention%20on%20the">
        <w:r>
          <w:rPr>
            <w:color w:val="1155CC"/>
            <w:sz w:val="20"/>
            <w:szCs w:val="20"/>
            <w:u w:val="single"/>
          </w:rPr>
          <w:t>https://www.ohchr.or</w:t>
        </w:r>
        <w:r>
          <w:rPr>
            <w:color w:val="1155CC"/>
            <w:sz w:val="20"/>
            <w:szCs w:val="20"/>
            <w:u w:val="single"/>
          </w:rPr>
          <w:t>g/en/statements/2019/09/five-un-human-rights-treaty-bodies-issue-joint-statement-human-rights-and</w:t>
        </w:r>
      </w:hyperlink>
      <w:r>
        <w:rPr>
          <w:sz w:val="20"/>
          <w:szCs w:val="20"/>
        </w:rPr>
        <w:t xml:space="preserve">. </w:t>
      </w:r>
    </w:p>
  </w:footnote>
  <w:footnote w:id="62">
    <w:p w14:paraId="1EA47008" w14:textId="77777777" w:rsidR="00DB5BB7" w:rsidRDefault="00B4606C">
      <w:pPr>
        <w:spacing w:line="240" w:lineRule="auto"/>
        <w:rPr>
          <w:sz w:val="20"/>
          <w:szCs w:val="20"/>
        </w:rPr>
      </w:pPr>
      <w:r>
        <w:rPr>
          <w:vertAlign w:val="superscript"/>
        </w:rPr>
        <w:footnoteRef/>
      </w:r>
      <w:r>
        <w:rPr>
          <w:sz w:val="20"/>
          <w:szCs w:val="20"/>
        </w:rPr>
        <w:t xml:space="preserve"> See, for instance, List of Issues to Cabo Verde, UN Doc. </w:t>
      </w:r>
      <w:r w:rsidRPr="00812141">
        <w:rPr>
          <w:sz w:val="20"/>
          <w:szCs w:val="20"/>
          <w:lang w:val="es-ES"/>
        </w:rPr>
        <w:t>CCPR/C/CPV/Q/1/Add.1, para. 7; Concluding Observations to Cab</w:t>
      </w:r>
      <w:r w:rsidRPr="00812141">
        <w:rPr>
          <w:sz w:val="20"/>
          <w:szCs w:val="20"/>
          <w:lang w:val="es-ES"/>
        </w:rPr>
        <w:t xml:space="preserve">o Verde, UN Doc. CCPR/C/CPV/CP/1/Add.1, paras. </w:t>
      </w:r>
      <w:r w:rsidRPr="00B4606C">
        <w:rPr>
          <w:sz w:val="20"/>
          <w:szCs w:val="20"/>
          <w:lang w:val="en-GB"/>
        </w:rPr>
        <w:t xml:space="preserve">17-18; List of issues to Dominica, UN Doc CCPR/C/DMA/Q/1/Add.1, para. </w:t>
      </w:r>
      <w:r>
        <w:rPr>
          <w:sz w:val="20"/>
          <w:szCs w:val="20"/>
        </w:rPr>
        <w:t>11; Concluding Observations to Dominica, UN Doc. CCPR/C/DMA/COAR/1, paras. 24-25; List of Issues to the Philippines, UN Doc CCPR/C/PHL/Q/5,</w:t>
      </w:r>
      <w:r>
        <w:rPr>
          <w:sz w:val="20"/>
          <w:szCs w:val="20"/>
        </w:rPr>
        <w:t xml:space="preserve"> para. 12; List of issues Kenya, UN Doc CCPR/C/KEN/Q/4, para. 13; or Concluding Observations to Brazil, UN Doc. CCPR/C/BRA/CO/3, para 13.</w:t>
      </w:r>
    </w:p>
  </w:footnote>
  <w:footnote w:id="63">
    <w:p w14:paraId="256AB3C1" w14:textId="77777777" w:rsidR="00DB5BB7" w:rsidRDefault="00B4606C">
      <w:pPr>
        <w:spacing w:line="240" w:lineRule="auto"/>
        <w:rPr>
          <w:sz w:val="20"/>
          <w:szCs w:val="20"/>
        </w:rPr>
      </w:pPr>
      <w:r>
        <w:rPr>
          <w:vertAlign w:val="superscript"/>
        </w:rPr>
        <w:footnoteRef/>
      </w:r>
      <w:r>
        <w:rPr>
          <w:sz w:val="20"/>
          <w:szCs w:val="20"/>
        </w:rPr>
        <w:t xml:space="preserve"> List of Issues Prior to Reporting to the United States, UN Doc. CCPR/C/USA/QPR/5.</w:t>
      </w:r>
    </w:p>
  </w:footnote>
  <w:footnote w:id="64">
    <w:p w14:paraId="097ECC95" w14:textId="77777777" w:rsidR="00DB5BB7" w:rsidRDefault="00B4606C">
      <w:pPr>
        <w:spacing w:line="240" w:lineRule="auto"/>
        <w:rPr>
          <w:sz w:val="20"/>
          <w:szCs w:val="20"/>
        </w:rPr>
      </w:pPr>
      <w:r>
        <w:rPr>
          <w:vertAlign w:val="superscript"/>
        </w:rPr>
        <w:footnoteRef/>
      </w:r>
      <w:r>
        <w:rPr>
          <w:sz w:val="20"/>
          <w:szCs w:val="20"/>
        </w:rPr>
        <w:t xml:space="preserve"> IPCC, Climate Change 2023: Synth</w:t>
      </w:r>
      <w:r>
        <w:rPr>
          <w:sz w:val="20"/>
          <w:szCs w:val="20"/>
        </w:rPr>
        <w:t xml:space="preserve">esis Report. Contribution of Working Groups I, II and III to the Sixth Assessment Report of the Intergovernmental Panel on Climate Change, </w:t>
      </w:r>
      <w:proofErr w:type="gramStart"/>
      <w:r>
        <w:rPr>
          <w:sz w:val="20"/>
          <w:szCs w:val="20"/>
        </w:rPr>
        <w:t>para B.</w:t>
      </w:r>
      <w:proofErr w:type="gramEnd"/>
      <w:r>
        <w:rPr>
          <w:sz w:val="20"/>
          <w:szCs w:val="20"/>
        </w:rPr>
        <w:t xml:space="preserve">2.2, at 14. See also: “Every increment of global warming will intensify multiple and concurrent hazards (high </w:t>
      </w:r>
      <w:r>
        <w:rPr>
          <w:sz w:val="20"/>
          <w:szCs w:val="20"/>
        </w:rPr>
        <w:t xml:space="preserve">confidence)”, </w:t>
      </w:r>
      <w:proofErr w:type="gramStart"/>
      <w:r>
        <w:rPr>
          <w:sz w:val="20"/>
          <w:szCs w:val="20"/>
        </w:rPr>
        <w:t>para B.</w:t>
      </w:r>
      <w:proofErr w:type="gramEnd"/>
      <w:r>
        <w:rPr>
          <w:sz w:val="20"/>
          <w:szCs w:val="20"/>
        </w:rPr>
        <w:t xml:space="preserve">1, at 12. </w:t>
      </w:r>
    </w:p>
  </w:footnote>
  <w:footnote w:id="65">
    <w:p w14:paraId="607B1EF5"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See also IPCC, Global Warming of 1.5°C: An IPCC Special Report on the impacts of global warming of 1.5°C above pre-industrial levels and related global greenhouse gas emission pathways in the context of strengthening</w:t>
      </w:r>
      <w:r>
        <w:rPr>
          <w:sz w:val="20"/>
          <w:szCs w:val="20"/>
        </w:rPr>
        <w:t xml:space="preserve"> the global response to the threat of climate change, sustainable development, and efforts to eradicate poverty.</w:t>
      </w:r>
    </w:p>
  </w:footnote>
  <w:footnote w:id="66">
    <w:p w14:paraId="6E5F8AFF"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Supra </w:t>
      </w:r>
      <w:r>
        <w:rPr>
          <w:sz w:val="20"/>
          <w:szCs w:val="20"/>
        </w:rPr>
        <w:t>note 64, figure SPM.2, at 14.</w:t>
      </w:r>
    </w:p>
  </w:footnote>
  <w:footnote w:id="67">
    <w:p w14:paraId="62644B5A" w14:textId="77777777" w:rsidR="00DB5BB7" w:rsidRDefault="00B4606C">
      <w:pPr>
        <w:spacing w:line="240" w:lineRule="auto"/>
        <w:rPr>
          <w:sz w:val="20"/>
          <w:szCs w:val="20"/>
        </w:rPr>
      </w:pPr>
      <w:r>
        <w:rPr>
          <w:vertAlign w:val="superscript"/>
        </w:rPr>
        <w:footnoteRef/>
      </w:r>
      <w:r>
        <w:rPr>
          <w:sz w:val="20"/>
          <w:szCs w:val="20"/>
        </w:rPr>
        <w:t xml:space="preserve"> Press release, IPCC, Urgent climate action can secure a liveable future for all (20 March 2023)</w:t>
      </w:r>
    </w:p>
  </w:footnote>
  <w:footnote w:id="68">
    <w:p w14:paraId="3CAB9922" w14:textId="77777777" w:rsidR="00DB5BB7" w:rsidRDefault="00B4606C">
      <w:pPr>
        <w:spacing w:line="240" w:lineRule="auto"/>
        <w:rPr>
          <w:sz w:val="20"/>
          <w:szCs w:val="20"/>
        </w:rPr>
      </w:pPr>
      <w:r>
        <w:rPr>
          <w:vertAlign w:val="superscript"/>
        </w:rPr>
        <w:footnoteRef/>
      </w:r>
      <w:r>
        <w:rPr>
          <w:sz w:val="20"/>
          <w:szCs w:val="20"/>
        </w:rPr>
        <w:t xml:space="preserve"> IPCC,</w:t>
      </w:r>
      <w:r>
        <w:rPr>
          <w:sz w:val="20"/>
          <w:szCs w:val="20"/>
        </w:rPr>
        <w:t xml:space="preserve"> Global Warming of 1.5°C: An IPCC Special Report on the impacts of global warming of 1.5°C above pre-industrial levels and related global greenhouse gas emission pathways in the context of strengthening the global response to the threat of climate change, </w:t>
      </w:r>
      <w:r>
        <w:rPr>
          <w:sz w:val="20"/>
          <w:szCs w:val="20"/>
        </w:rPr>
        <w:t xml:space="preserve">sustainable development, and efforts to eradicate poverty, Technical Summary and Chapter 5, pp. 44. 447 (2018) [IPCC 1.5SR]; IPCC, Climate Change 2023: Synthesis Report, Summary for Policymakers, para. A.2 (2023) [IPCC AR6]. </w:t>
      </w:r>
    </w:p>
  </w:footnote>
  <w:footnote w:id="69">
    <w:p w14:paraId="1E1E743C" w14:textId="77777777" w:rsidR="00DB5BB7" w:rsidRDefault="00B4606C">
      <w:pPr>
        <w:spacing w:line="240" w:lineRule="auto"/>
        <w:rPr>
          <w:sz w:val="20"/>
          <w:szCs w:val="20"/>
        </w:rPr>
      </w:pPr>
      <w:r>
        <w:rPr>
          <w:vertAlign w:val="superscript"/>
        </w:rPr>
        <w:footnoteRef/>
      </w:r>
      <w:r>
        <w:rPr>
          <w:sz w:val="20"/>
          <w:szCs w:val="20"/>
        </w:rPr>
        <w:t xml:space="preserve"> See IPCC 1.5SR, Summary for </w:t>
      </w:r>
      <w:r>
        <w:rPr>
          <w:sz w:val="20"/>
          <w:szCs w:val="20"/>
        </w:rPr>
        <w:t xml:space="preserve">Policymakers, at pp. 4-6, sec. A. </w:t>
      </w:r>
    </w:p>
  </w:footnote>
  <w:footnote w:id="70">
    <w:p w14:paraId="115DF532"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at p. 257, para. 3.5.2.5; IPCC AR5, Technical Summary; see also IPCC, AR6, Summary for Policymakers, para. B.3.  </w:t>
      </w:r>
    </w:p>
  </w:footnote>
  <w:footnote w:id="71">
    <w:p w14:paraId="5C943902"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at p. 12, para. C.1</w:t>
      </w:r>
    </w:p>
  </w:footnote>
  <w:footnote w:id="72">
    <w:p w14:paraId="3D5BE442"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at pp. 7-11, sec. B</w:t>
      </w:r>
    </w:p>
  </w:footnote>
  <w:footnote w:id="73">
    <w:p w14:paraId="09508C59" w14:textId="77777777" w:rsidR="00DB5BB7" w:rsidRDefault="00B4606C">
      <w:pPr>
        <w:spacing w:line="240" w:lineRule="auto"/>
        <w:rPr>
          <w:sz w:val="20"/>
          <w:szCs w:val="20"/>
        </w:rPr>
      </w:pPr>
      <w:r>
        <w:rPr>
          <w:vertAlign w:val="superscript"/>
        </w:rPr>
        <w:footnoteRef/>
      </w:r>
      <w:r>
        <w:rPr>
          <w:sz w:val="20"/>
          <w:szCs w:val="20"/>
        </w:rPr>
        <w:t xml:space="preserve"> </w:t>
      </w:r>
      <w:hyperlink r:id="rId39">
        <w:r>
          <w:rPr>
            <w:color w:val="1155CC"/>
            <w:sz w:val="20"/>
            <w:szCs w:val="20"/>
            <w:u w:val="single"/>
          </w:rPr>
          <w:t>https://www.ncei.noaa.gov/access/billions/</w:t>
        </w:r>
      </w:hyperlink>
      <w:r>
        <w:rPr>
          <w:sz w:val="20"/>
          <w:szCs w:val="20"/>
        </w:rPr>
        <w:t xml:space="preserve"> </w:t>
      </w:r>
    </w:p>
  </w:footnote>
  <w:footnote w:id="74">
    <w:p w14:paraId="7224FA09"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Supra </w:t>
      </w:r>
      <w:r>
        <w:rPr>
          <w:sz w:val="20"/>
          <w:szCs w:val="20"/>
        </w:rPr>
        <w:t>note 58: “By 2019, the largest growth in gross emissions occurred in CO2 from fossil fuels and industry (CO2-FF</w:t>
      </w:r>
      <w:r>
        <w:rPr>
          <w:sz w:val="20"/>
          <w:szCs w:val="20"/>
        </w:rPr>
        <w:t>I) followed by CH4, whereas the highest relative growth occurred in fluorinated gases (F-gases), starting from low levels in 1990. (high confidence)” p.8; “Net zero CO2 energy systems entail: a substantial reduction in overall fossil fuel use”, p.70; “Limi</w:t>
      </w:r>
      <w:r>
        <w:rPr>
          <w:sz w:val="20"/>
          <w:szCs w:val="20"/>
        </w:rPr>
        <w:t>ting human-caused global warming requires net zero CO2 emissions. Cumulative carbon emissions until the time of reaching net zero CO2 emissions and the level of greenhouse gas emission reductions this decade largely determine whether warming can be limited</w:t>
      </w:r>
      <w:r>
        <w:rPr>
          <w:sz w:val="20"/>
          <w:szCs w:val="20"/>
        </w:rPr>
        <w:t xml:space="preserve"> to 1.5°C or 2°C (high confidence). Projected CO2 emissions from existing fossil fuel infrastructure without additional abatement would exceed the remaining carbon budget for 1.5°C (50%) (high confidence)”, p.24.  </w:t>
      </w:r>
    </w:p>
  </w:footnote>
  <w:footnote w:id="75">
    <w:p w14:paraId="0F9924F5" w14:textId="77777777" w:rsidR="00DB5BB7" w:rsidRDefault="00B4606C">
      <w:pPr>
        <w:spacing w:line="240" w:lineRule="auto"/>
        <w:jc w:val="both"/>
        <w:rPr>
          <w:sz w:val="20"/>
          <w:szCs w:val="20"/>
        </w:rPr>
      </w:pPr>
      <w:r>
        <w:rPr>
          <w:vertAlign w:val="superscript"/>
        </w:rPr>
        <w:footnoteRef/>
      </w:r>
      <w:r>
        <w:rPr>
          <w:sz w:val="20"/>
          <w:szCs w:val="20"/>
        </w:rPr>
        <w:t xml:space="preserve"> See Oil Change International, </w:t>
      </w:r>
      <w:r>
        <w:rPr>
          <w:color w:val="191919"/>
          <w:sz w:val="20"/>
          <w:szCs w:val="20"/>
        </w:rPr>
        <w:t>Sky’s Lim</w:t>
      </w:r>
      <w:r>
        <w:rPr>
          <w:color w:val="191919"/>
          <w:sz w:val="20"/>
          <w:szCs w:val="20"/>
        </w:rPr>
        <w:t xml:space="preserve">it Data Update: Shut Down 60% of Existing Fossil Fuel Extraction to Keep 1.5°C in Reach (2023), Trout et al., </w:t>
      </w:r>
      <w:r>
        <w:rPr>
          <w:rFonts w:ascii="Roboto" w:eastAsia="Roboto" w:hAnsi="Roboto" w:cs="Roboto"/>
          <w:color w:val="333333"/>
          <w:sz w:val="20"/>
          <w:szCs w:val="20"/>
        </w:rPr>
        <w:t>Existing fossil fuel extraction would warm the world beyond 1.5 °C, Environmental Research Letters (2022)</w:t>
      </w:r>
      <w:r>
        <w:rPr>
          <w:color w:val="191919"/>
          <w:sz w:val="20"/>
          <w:szCs w:val="20"/>
        </w:rPr>
        <w:t xml:space="preserve">, </w:t>
      </w:r>
      <w:r>
        <w:rPr>
          <w:sz w:val="20"/>
          <w:szCs w:val="20"/>
        </w:rPr>
        <w:t xml:space="preserve">Center for International Environmental </w:t>
      </w:r>
      <w:r>
        <w:rPr>
          <w:sz w:val="20"/>
          <w:szCs w:val="20"/>
        </w:rPr>
        <w:t>Law, Oil, Gas and the Climate: An Analysis of the Oil and Gas Plans for Expansion and Compatibility with Global Emission Limits (2019).</w:t>
      </w:r>
    </w:p>
  </w:footnote>
  <w:footnote w:id="76">
    <w:p w14:paraId="012B7DE2" w14:textId="77777777" w:rsidR="00DB5BB7" w:rsidRDefault="00B4606C">
      <w:pPr>
        <w:spacing w:line="240" w:lineRule="auto"/>
        <w:rPr>
          <w:sz w:val="20"/>
          <w:szCs w:val="20"/>
        </w:rPr>
      </w:pPr>
      <w:r>
        <w:rPr>
          <w:vertAlign w:val="superscript"/>
        </w:rPr>
        <w:footnoteRef/>
      </w:r>
      <w:r>
        <w:rPr>
          <w:sz w:val="20"/>
          <w:szCs w:val="20"/>
        </w:rPr>
        <w:t xml:space="preserve"> United Nations Environment Programme, 2021 Production Gap Report, p.1 (2021)</w:t>
      </w:r>
    </w:p>
  </w:footnote>
  <w:footnote w:id="77">
    <w:p w14:paraId="7C890763" w14:textId="77777777" w:rsidR="00DB5BB7" w:rsidRDefault="00B4606C">
      <w:pPr>
        <w:spacing w:line="240" w:lineRule="auto"/>
        <w:rPr>
          <w:sz w:val="20"/>
          <w:szCs w:val="20"/>
        </w:rPr>
      </w:pPr>
      <w:r>
        <w:rPr>
          <w:vertAlign w:val="superscript"/>
        </w:rPr>
        <w:footnoteRef/>
      </w:r>
      <w:r>
        <w:rPr>
          <w:sz w:val="20"/>
          <w:szCs w:val="20"/>
        </w:rPr>
        <w:t xml:space="preserve"> International Energy Association, Net Z</w:t>
      </w:r>
      <w:r>
        <w:rPr>
          <w:sz w:val="20"/>
          <w:szCs w:val="20"/>
        </w:rPr>
        <w:t>ero by 2050: A Roadmap for the Global Energy Sector, p. 21 (2021).</w:t>
      </w:r>
    </w:p>
  </w:footnote>
  <w:footnote w:id="78">
    <w:p w14:paraId="2FED5B53" w14:textId="77777777" w:rsidR="00DB5BB7" w:rsidRDefault="00B4606C">
      <w:pPr>
        <w:spacing w:line="240" w:lineRule="auto"/>
        <w:rPr>
          <w:sz w:val="20"/>
          <w:szCs w:val="20"/>
          <w:highlight w:val="yellow"/>
        </w:rPr>
      </w:pPr>
      <w:r>
        <w:rPr>
          <w:vertAlign w:val="superscript"/>
        </w:rPr>
        <w:footnoteRef/>
      </w:r>
      <w:r>
        <w:rPr>
          <w:sz w:val="20"/>
          <w:szCs w:val="20"/>
        </w:rPr>
        <w:t xml:space="preserve"> IPCC, Climate Change 2022: Mitigation of Climate Change, Technical Summary, p.89</w:t>
      </w:r>
      <w:r>
        <w:rPr>
          <w:rFonts w:ascii="Roboto" w:eastAsia="Roboto" w:hAnsi="Roboto" w:cs="Roboto"/>
          <w:color w:val="444746"/>
          <w:sz w:val="21"/>
          <w:szCs w:val="21"/>
          <w:highlight w:val="yellow"/>
        </w:rPr>
        <w:t xml:space="preserve"> </w:t>
      </w:r>
    </w:p>
  </w:footnote>
  <w:footnote w:id="79">
    <w:p w14:paraId="3FD555FF" w14:textId="77777777" w:rsidR="00DB5BB7" w:rsidRDefault="00B4606C">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w:t>
      </w:r>
      <w:r>
        <w:rPr>
          <w:i/>
          <w:sz w:val="20"/>
          <w:szCs w:val="20"/>
        </w:rPr>
        <w:t xml:space="preserve"> </w:t>
      </w:r>
      <w:r>
        <w:rPr>
          <w:sz w:val="20"/>
          <w:szCs w:val="20"/>
        </w:rPr>
        <w:t xml:space="preserve">85 </w:t>
      </w:r>
    </w:p>
  </w:footnote>
  <w:footnote w:id="80">
    <w:p w14:paraId="7650DF1E" w14:textId="77777777" w:rsidR="00DB5BB7" w:rsidRDefault="00B4606C">
      <w:pPr>
        <w:spacing w:line="240" w:lineRule="auto"/>
        <w:rPr>
          <w:sz w:val="20"/>
          <w:szCs w:val="20"/>
          <w:highlight w:val="yellow"/>
        </w:rPr>
      </w:pPr>
      <w:r>
        <w:rPr>
          <w:vertAlign w:val="superscript"/>
        </w:rPr>
        <w:footnoteRef/>
      </w:r>
      <w:r>
        <w:rPr>
          <w:sz w:val="20"/>
          <w:szCs w:val="20"/>
        </w:rPr>
        <w:t>The IPCC further states that “[t]he ‘committed’ emissions from existing fossil-fuel infr</w:t>
      </w:r>
      <w:r>
        <w:rPr>
          <w:sz w:val="20"/>
          <w:szCs w:val="20"/>
        </w:rPr>
        <w:t xml:space="preserve">astructure may consume all the remaining carbon budget in the 1.5°C scenario or two thirds of the carbon budget in the 2°C scenario.” IPCC, Climate Change 2022: Mitigation of Climate Change, Working Group III, p. 1771 </w:t>
      </w:r>
    </w:p>
  </w:footnote>
  <w:footnote w:id="81">
    <w:p w14:paraId="178C66AE" w14:textId="77777777" w:rsidR="00DB5BB7" w:rsidRDefault="00B4606C">
      <w:pPr>
        <w:spacing w:line="240" w:lineRule="auto"/>
        <w:rPr>
          <w:sz w:val="20"/>
          <w:szCs w:val="20"/>
        </w:rPr>
      </w:pPr>
      <w:r>
        <w:rPr>
          <w:vertAlign w:val="superscript"/>
        </w:rPr>
        <w:footnoteRef/>
      </w:r>
      <w:r>
        <w:rPr>
          <w:sz w:val="20"/>
          <w:szCs w:val="20"/>
        </w:rPr>
        <w:t xml:space="preserve"> See, for instance, Special Rapporte</w:t>
      </w:r>
      <w:r>
        <w:rPr>
          <w:sz w:val="20"/>
          <w:szCs w:val="20"/>
        </w:rPr>
        <w:t>ur on the promotion and protection of human rights in the context of climate change, Initial planning and vision for the mandate, UN Doc.A/HRC/50/39; Special Rapporteur on the issue of human rights obligations relating to the enjoyment of a safe, clean, he</w:t>
      </w:r>
      <w:r>
        <w:rPr>
          <w:sz w:val="20"/>
          <w:szCs w:val="20"/>
        </w:rPr>
        <w:t xml:space="preserve">althy and sustainable environment, </w:t>
      </w:r>
      <w:r>
        <w:rPr>
          <w:sz w:val="20"/>
          <w:szCs w:val="20"/>
          <w:highlight w:val="white"/>
        </w:rPr>
        <w:t xml:space="preserve">UN Doc. A/77/284,  and A/74/161; Special Rapporteur on the implications for human rights of the environmentally sound management and disposal of hazardous substances and wastesMission to Kazakhstan, </w:t>
      </w:r>
      <w:r>
        <w:rPr>
          <w:sz w:val="20"/>
          <w:szCs w:val="20"/>
        </w:rPr>
        <w:t xml:space="preserve">A/HRC/30/40/Add.1; </w:t>
      </w:r>
      <w:r>
        <w:rPr>
          <w:sz w:val="20"/>
          <w:szCs w:val="20"/>
          <w:highlight w:val="white"/>
        </w:rPr>
        <w:t>Spe</w:t>
      </w:r>
      <w:r>
        <w:rPr>
          <w:sz w:val="20"/>
          <w:szCs w:val="20"/>
          <w:highlight w:val="white"/>
        </w:rPr>
        <w:t>cial Rapporteur on adequate housing as a component of the right to an adequate standard of living, and on the right to nondiscrimination in this context, Towards a just transformation: climate crisis and the right to Housing, UN Doc. A/HRC/52/28; Special R</w:t>
      </w:r>
      <w:r>
        <w:rPr>
          <w:sz w:val="20"/>
          <w:szCs w:val="20"/>
          <w:highlight w:val="white"/>
        </w:rPr>
        <w:t>apporteur on extreme poverty and human rights, Extreme poverty and human rights, UN Doc. A/75/181/Rev.1.</w:t>
      </w:r>
    </w:p>
  </w:footnote>
  <w:footnote w:id="82">
    <w:p w14:paraId="004BE088" w14:textId="77777777" w:rsidR="00DB5BB7" w:rsidRDefault="00B4606C">
      <w:pPr>
        <w:spacing w:line="240" w:lineRule="auto"/>
        <w:rPr>
          <w:sz w:val="20"/>
          <w:szCs w:val="20"/>
        </w:rPr>
      </w:pPr>
      <w:r>
        <w:rPr>
          <w:vertAlign w:val="superscript"/>
        </w:rPr>
        <w:footnoteRef/>
      </w:r>
      <w:r>
        <w:rPr>
          <w:sz w:val="20"/>
          <w:szCs w:val="20"/>
        </w:rPr>
        <w:t xml:space="preserve"> Joint Statement by Comm. on the Elimination of Discrimination against Women (CEDAW), Comm. Eco. Soc. and Cultural Rights [CESCR], Comm. on the Protec</w:t>
      </w:r>
      <w:r>
        <w:rPr>
          <w:sz w:val="20"/>
          <w:szCs w:val="20"/>
        </w:rPr>
        <w:t>tion of the Rights of All Migrant Workers and Members of Their Families, Comm. on the Rights of the Child and Comm. on the Rights of Persons with Disabilities, Statement on Human Rights and Climate Change, U.N. Doc. HRI/2019/1, para. 3 (Sept. 16, 2019) [he</w:t>
      </w:r>
      <w:r>
        <w:rPr>
          <w:sz w:val="20"/>
          <w:szCs w:val="20"/>
        </w:rPr>
        <w:t>reinafter “Joint Statement on Human Rights and Climate Change”]; CEDAW, General Recommendation No. 37 on Gender-Related Dimensions of Disaster Risk Reduction in the Context of Climate Change, U.N. Doc. CEDAW/C/GC/37, at para. 14 (Feb. 7, 2018).</w:t>
      </w:r>
    </w:p>
  </w:footnote>
  <w:footnote w:id="83">
    <w:p w14:paraId="79F1612C" w14:textId="77777777" w:rsidR="00DB5BB7" w:rsidRDefault="00B4606C">
      <w:pPr>
        <w:spacing w:line="240" w:lineRule="auto"/>
        <w:rPr>
          <w:sz w:val="20"/>
          <w:szCs w:val="20"/>
        </w:rPr>
      </w:pPr>
      <w:r>
        <w:rPr>
          <w:vertAlign w:val="superscript"/>
        </w:rPr>
        <w:footnoteRef/>
      </w:r>
      <w:r>
        <w:rPr>
          <w:sz w:val="20"/>
          <w:szCs w:val="20"/>
        </w:rPr>
        <w:t xml:space="preserve"> List of issues to Brazil, UN Doc. CCPR/C/BRA/Q/3; List of Issues to Kenya, UN Doc. CCPR/C/KEN/Q/4</w:t>
      </w:r>
    </w:p>
  </w:footnote>
  <w:footnote w:id="84">
    <w:p w14:paraId="3C29D5CA" w14:textId="77777777" w:rsidR="00DB5BB7" w:rsidRDefault="00B4606C">
      <w:pPr>
        <w:spacing w:line="240" w:lineRule="auto"/>
        <w:rPr>
          <w:sz w:val="20"/>
          <w:szCs w:val="20"/>
        </w:rPr>
      </w:pPr>
      <w:r>
        <w:rPr>
          <w:vertAlign w:val="superscript"/>
        </w:rPr>
        <w:footnoteRef/>
      </w:r>
      <w:r>
        <w:rPr>
          <w:sz w:val="20"/>
          <w:szCs w:val="20"/>
        </w:rPr>
        <w:t xml:space="preserve"> Concluding Observations to Brazil, UN Doc. CCPR/C/BRA/CO/3</w:t>
      </w:r>
    </w:p>
  </w:footnote>
  <w:footnote w:id="85">
    <w:p w14:paraId="2BFB718A" w14:textId="77777777" w:rsidR="00DB5BB7" w:rsidRDefault="00B4606C">
      <w:pPr>
        <w:spacing w:line="240" w:lineRule="auto"/>
        <w:rPr>
          <w:sz w:val="20"/>
          <w:szCs w:val="20"/>
        </w:rPr>
      </w:pPr>
      <w:r>
        <w:rPr>
          <w:vertAlign w:val="superscript"/>
        </w:rPr>
        <w:footnoteRef/>
      </w:r>
      <w:r>
        <w:rPr>
          <w:sz w:val="20"/>
          <w:szCs w:val="20"/>
        </w:rPr>
        <w:t xml:space="preserve"> List of Issues to Guyana, UN Doc. CCPR/C/GUY/QPR/3</w:t>
      </w:r>
    </w:p>
  </w:footnote>
  <w:footnote w:id="86">
    <w:p w14:paraId="683F75BA" w14:textId="77777777" w:rsidR="00DB5BB7" w:rsidRDefault="00B4606C">
      <w:pPr>
        <w:spacing w:line="240" w:lineRule="auto"/>
        <w:rPr>
          <w:sz w:val="20"/>
          <w:szCs w:val="20"/>
        </w:rPr>
      </w:pPr>
      <w:r>
        <w:rPr>
          <w:vertAlign w:val="superscript"/>
        </w:rPr>
        <w:footnoteRef/>
      </w:r>
      <w:r>
        <w:rPr>
          <w:sz w:val="20"/>
          <w:szCs w:val="20"/>
        </w:rPr>
        <w:t xml:space="preserve"> List of Issues prior to reporting to Sao </w:t>
      </w:r>
      <w:r>
        <w:rPr>
          <w:sz w:val="20"/>
          <w:szCs w:val="20"/>
        </w:rPr>
        <w:t>Tomé and Principe, UN Doc. CCPR/C/STP/QPR/1</w:t>
      </w:r>
    </w:p>
  </w:footnote>
  <w:footnote w:id="87">
    <w:p w14:paraId="65943C0E" w14:textId="77777777" w:rsidR="00DB5BB7" w:rsidRDefault="00B4606C">
      <w:pPr>
        <w:spacing w:line="240" w:lineRule="auto"/>
        <w:rPr>
          <w:sz w:val="20"/>
          <w:szCs w:val="20"/>
        </w:rPr>
      </w:pPr>
      <w:r>
        <w:rPr>
          <w:vertAlign w:val="superscript"/>
        </w:rPr>
        <w:footnoteRef/>
      </w:r>
      <w:r>
        <w:rPr>
          <w:sz w:val="20"/>
          <w:szCs w:val="20"/>
        </w:rPr>
        <w:t xml:space="preserve"> The Committee asked for information on “the measures taken to prevent and mitigate the negative effects of climate change and environmental degradation, particularly in relation to the use of natural </w:t>
      </w:r>
      <w:proofErr w:type="gramStart"/>
      <w:r>
        <w:rPr>
          <w:sz w:val="20"/>
          <w:szCs w:val="20"/>
        </w:rPr>
        <w:t>resources</w:t>
      </w:r>
      <w:proofErr w:type="gramEnd"/>
      <w:r>
        <w:rPr>
          <w:sz w:val="20"/>
          <w:szCs w:val="20"/>
        </w:rPr>
        <w:t>”</w:t>
      </w:r>
    </w:p>
  </w:footnote>
  <w:footnote w:id="88">
    <w:p w14:paraId="02D0DCFA" w14:textId="77777777" w:rsidR="00DB5BB7" w:rsidRDefault="00B4606C">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w:t>
      </w:r>
      <w:r>
        <w:rPr>
          <w:sz w:val="20"/>
          <w:szCs w:val="20"/>
        </w:rPr>
        <w:t>CESCR, ‘Concluding Observations - Argentina’, UN Doc. E/C.12/ARG/CO/4</w:t>
      </w:r>
    </w:p>
  </w:footnote>
  <w:footnote w:id="89">
    <w:p w14:paraId="21BA07E9" w14:textId="77777777" w:rsidR="00DB5BB7" w:rsidRDefault="00B4606C">
      <w:pPr>
        <w:spacing w:line="240" w:lineRule="auto"/>
        <w:jc w:val="both"/>
        <w:rPr>
          <w:sz w:val="20"/>
          <w:szCs w:val="20"/>
        </w:rPr>
      </w:pPr>
      <w:r>
        <w:rPr>
          <w:vertAlign w:val="superscript"/>
        </w:rPr>
        <w:footnoteRef/>
      </w:r>
      <w:r>
        <w:rPr>
          <w:sz w:val="20"/>
          <w:szCs w:val="20"/>
        </w:rPr>
        <w:t xml:space="preserve"> CESCR, ‘Concluding Observations - Ecuador’, UN Doc. E/C.12/ECU/CO/4</w:t>
      </w:r>
    </w:p>
  </w:footnote>
  <w:footnote w:id="90">
    <w:p w14:paraId="78CE4C1C" w14:textId="77777777" w:rsidR="00DB5BB7" w:rsidRDefault="00B4606C">
      <w:pPr>
        <w:spacing w:line="240" w:lineRule="auto"/>
        <w:jc w:val="both"/>
        <w:rPr>
          <w:sz w:val="20"/>
          <w:szCs w:val="20"/>
        </w:rPr>
      </w:pPr>
      <w:r>
        <w:rPr>
          <w:vertAlign w:val="superscript"/>
        </w:rPr>
        <w:footnoteRef/>
      </w:r>
      <w:r>
        <w:rPr>
          <w:sz w:val="20"/>
          <w:szCs w:val="20"/>
        </w:rPr>
        <w:t xml:space="preserve"> CESCR, ‘Concluding Observations - Norway’, UN Doc. E/C.12/NOR/CO/6</w:t>
      </w:r>
    </w:p>
  </w:footnote>
  <w:footnote w:id="91">
    <w:p w14:paraId="1D4AD68B" w14:textId="77777777" w:rsidR="00DB5BB7" w:rsidRDefault="00B4606C">
      <w:pPr>
        <w:spacing w:line="240" w:lineRule="auto"/>
        <w:rPr>
          <w:sz w:val="20"/>
          <w:szCs w:val="20"/>
        </w:rPr>
      </w:pPr>
      <w:r>
        <w:rPr>
          <w:vertAlign w:val="superscript"/>
        </w:rPr>
        <w:footnoteRef/>
      </w:r>
      <w:r>
        <w:rPr>
          <w:sz w:val="20"/>
          <w:szCs w:val="20"/>
        </w:rPr>
        <w:t xml:space="preserve"> CESCR, 'List of issues prior to submission</w:t>
      </w:r>
      <w:r>
        <w:rPr>
          <w:sz w:val="20"/>
          <w:szCs w:val="20"/>
        </w:rPr>
        <w:t xml:space="preserve"> of the sixth periodic report of Australia', UN Doc. </w:t>
      </w:r>
    </w:p>
    <w:p w14:paraId="5B155C73" w14:textId="77777777" w:rsidR="00DB5BB7" w:rsidRDefault="00B4606C">
      <w:pPr>
        <w:spacing w:line="240" w:lineRule="auto"/>
        <w:rPr>
          <w:sz w:val="20"/>
          <w:szCs w:val="20"/>
        </w:rPr>
      </w:pPr>
      <w:r>
        <w:rPr>
          <w:sz w:val="20"/>
          <w:szCs w:val="20"/>
        </w:rPr>
        <w:t>E/C.12/AUS/QPR/6</w:t>
      </w:r>
    </w:p>
  </w:footnote>
  <w:footnote w:id="92">
    <w:p w14:paraId="5D888C54" w14:textId="77777777" w:rsidR="00DB5BB7" w:rsidRDefault="00B4606C">
      <w:pPr>
        <w:spacing w:line="240" w:lineRule="auto"/>
        <w:jc w:val="both"/>
        <w:rPr>
          <w:sz w:val="20"/>
          <w:szCs w:val="20"/>
        </w:rPr>
      </w:pPr>
      <w:r>
        <w:rPr>
          <w:vertAlign w:val="superscript"/>
        </w:rPr>
        <w:footnoteRef/>
      </w:r>
      <w:r>
        <w:rPr>
          <w:sz w:val="20"/>
          <w:szCs w:val="20"/>
        </w:rPr>
        <w:t xml:space="preserve"> CEDAW, ‘Concluding Observations - Guyana’, UN Doc. CEDAW/C/GUY/CO/9</w:t>
      </w:r>
    </w:p>
  </w:footnote>
  <w:footnote w:id="93">
    <w:p w14:paraId="5A7C6993" w14:textId="77777777" w:rsidR="00DB5BB7" w:rsidRDefault="00B4606C">
      <w:pPr>
        <w:spacing w:line="240" w:lineRule="auto"/>
        <w:rPr>
          <w:sz w:val="20"/>
          <w:szCs w:val="20"/>
        </w:rPr>
      </w:pPr>
      <w:r>
        <w:rPr>
          <w:vertAlign w:val="superscript"/>
        </w:rPr>
        <w:footnoteRef/>
      </w:r>
      <w:r>
        <w:rPr>
          <w:sz w:val="20"/>
          <w:szCs w:val="20"/>
        </w:rPr>
        <w:t xml:space="preserve"> CEDAW, Concluding Observations - Namibia, UN Doc. CEDAW/C/NAM/CO/6</w:t>
      </w:r>
    </w:p>
  </w:footnote>
  <w:footnote w:id="94">
    <w:p w14:paraId="71EB1E4A" w14:textId="77777777" w:rsidR="00DB5BB7" w:rsidRDefault="00B4606C">
      <w:pPr>
        <w:spacing w:line="240" w:lineRule="auto"/>
        <w:jc w:val="both"/>
        <w:rPr>
          <w:sz w:val="20"/>
          <w:szCs w:val="20"/>
        </w:rPr>
      </w:pPr>
      <w:r>
        <w:rPr>
          <w:vertAlign w:val="superscript"/>
        </w:rPr>
        <w:footnoteRef/>
      </w:r>
      <w:r>
        <w:rPr>
          <w:sz w:val="20"/>
          <w:szCs w:val="20"/>
        </w:rPr>
        <w:t xml:space="preserve"> CRC, ‘Concluding observations - the Netherla</w:t>
      </w:r>
      <w:r>
        <w:rPr>
          <w:sz w:val="20"/>
          <w:szCs w:val="20"/>
        </w:rPr>
        <w:t>nds’, UN Doc. CRC/C/NLD/CO/5-6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7F8A" w14:textId="1F3448C6" w:rsidR="00DB5BB7" w:rsidRDefault="009050B1">
    <w:r>
      <w:rPr>
        <w:noProof/>
      </w:rPr>
      <w:drawing>
        <wp:anchor distT="114300" distB="114300" distL="114300" distR="114300" simplePos="0" relativeHeight="251658240" behindDoc="0" locked="0" layoutInCell="1" hidden="0" allowOverlap="1" wp14:anchorId="6798EB18" wp14:editId="176C3FFC">
          <wp:simplePos x="0" y="0"/>
          <wp:positionH relativeFrom="column">
            <wp:posOffset>3219450</wp:posOffset>
          </wp:positionH>
          <wp:positionV relativeFrom="paragraph">
            <wp:posOffset>-224155</wp:posOffset>
          </wp:positionV>
          <wp:extent cx="948055" cy="624840"/>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948055" cy="62484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409FBEF" wp14:editId="395546E1">
          <wp:simplePos x="0" y="0"/>
          <wp:positionH relativeFrom="column">
            <wp:posOffset>1819275</wp:posOffset>
          </wp:positionH>
          <wp:positionV relativeFrom="paragraph">
            <wp:posOffset>-170815</wp:posOffset>
          </wp:positionV>
          <wp:extent cx="1090295" cy="57467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90295" cy="5746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BB7"/>
    <w:rsid w:val="00714BE6"/>
    <w:rsid w:val="00812141"/>
    <w:rsid w:val="009050B1"/>
    <w:rsid w:val="00B4606C"/>
    <w:rsid w:val="00DB5B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23BC5"/>
  <w15:docId w15:val="{797929AB-86D0-4DC0-AEAF-ACA86A4FD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050B1"/>
    <w:pPr>
      <w:tabs>
        <w:tab w:val="center" w:pos="4680"/>
        <w:tab w:val="right" w:pos="9360"/>
      </w:tabs>
      <w:spacing w:line="240" w:lineRule="auto"/>
    </w:pPr>
  </w:style>
  <w:style w:type="character" w:customStyle="1" w:styleId="HeaderChar">
    <w:name w:val="Header Char"/>
    <w:basedOn w:val="DefaultParagraphFont"/>
    <w:link w:val="Header"/>
    <w:uiPriority w:val="99"/>
    <w:rsid w:val="009050B1"/>
  </w:style>
  <w:style w:type="paragraph" w:styleId="Footer">
    <w:name w:val="footer"/>
    <w:basedOn w:val="Normal"/>
    <w:link w:val="FooterChar"/>
    <w:uiPriority w:val="99"/>
    <w:unhideWhenUsed/>
    <w:rsid w:val="009050B1"/>
    <w:pPr>
      <w:tabs>
        <w:tab w:val="center" w:pos="4680"/>
        <w:tab w:val="right" w:pos="9360"/>
      </w:tabs>
      <w:spacing w:line="240" w:lineRule="auto"/>
    </w:pPr>
  </w:style>
  <w:style w:type="character" w:customStyle="1" w:styleId="FooterChar">
    <w:name w:val="Footer Char"/>
    <w:basedOn w:val="DefaultParagraphFont"/>
    <w:link w:val="Footer"/>
    <w:uiPriority w:val="99"/>
    <w:rsid w:val="009050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eia.gov/energyexplained/natural-gas/imports-and-exports.php" TargetMode="External"/><Relationship Id="rId18" Type="http://schemas.openxmlformats.org/officeDocument/2006/relationships/hyperlink" Target="https://www.imf.org/en/Blogs/Articles/2023/08/24/fossil-fuel-subsidies-surged-to-record-7-trillion" TargetMode="External"/><Relationship Id="rId26" Type="http://schemas.openxmlformats.org/officeDocument/2006/relationships/hyperlink" Target="https://www.cnn.com/2023/03/15/politics/willow-project-alaska-lawsuits-climate/index.html" TargetMode="External"/><Relationship Id="rId39" Type="http://schemas.openxmlformats.org/officeDocument/2006/relationships/hyperlink" Target="https://www.ncei.noaa.gov/access/billions/" TargetMode="External"/><Relationship Id="rId21" Type="http://schemas.openxmlformats.org/officeDocument/2006/relationships/hyperlink" Target="https://www.whitehouse.gov/briefing-room/statements-releases/2023/04/20/fact-sheet-president-biden-to-catalyze-global-climate-action-through-the-major-economies-forum-on-energy-and-climate/" TargetMode="External"/><Relationship Id="rId34" Type="http://schemas.openxmlformats.org/officeDocument/2006/relationships/hyperlink" Target="https://www.propublica.org/article/toxmap-poison-in-the-air" TargetMode="External"/><Relationship Id="rId7" Type="http://schemas.openxmlformats.org/officeDocument/2006/relationships/hyperlink" Target="https://www.eia.gov/energyexplained/natural-gas/where-our-natural-gas-comes-from.php" TargetMode="External"/><Relationship Id="rId12" Type="http://schemas.openxmlformats.org/officeDocument/2006/relationships/hyperlink" Target="https://www.eia.gov/energyexplained/oil-and-petroleum-products/imports-and-exports.php" TargetMode="External"/><Relationship Id="rId17" Type="http://schemas.openxmlformats.org/officeDocument/2006/relationships/hyperlink" Target="https://www.reuters.com/business/energy/biden-budget-target-us-fossil-fuel-subsidies-2023-03-09/" TargetMode="External"/><Relationship Id="rId25" Type="http://schemas.openxmlformats.org/officeDocument/2006/relationships/hyperlink" Target="https://www.theguardian.com/us-news/2023/mar/13/alaska-willow-project-approved-oil-gas-biden" TargetMode="External"/><Relationship Id="rId33" Type="http://schemas.openxmlformats.org/officeDocument/2006/relationships/hyperlink" Target="https://www.iea.org/reports/oil-2023/executive-summary" TargetMode="External"/><Relationship Id="rId38" Type="http://schemas.openxmlformats.org/officeDocument/2006/relationships/hyperlink" Target="https://www.ohchr.org/en/statements/2019/09/five-un-human-rights-treaty-bodies-issue-joint-statement-human-rights-and" TargetMode="External"/><Relationship Id="rId2" Type="http://schemas.openxmlformats.org/officeDocument/2006/relationships/hyperlink" Target="https://www.energyinst.org/statistical-review" TargetMode="External"/><Relationship Id="rId16" Type="http://schemas.openxmlformats.org/officeDocument/2006/relationships/hyperlink" Target="https://www.theguardian.com/us-news/2021/apr/02/fossil-fuel-companies-billions-tax-breaks-workers" TargetMode="External"/><Relationship Id="rId20" Type="http://schemas.openxmlformats.org/officeDocument/2006/relationships/hyperlink" Target="https://www.imf.org/en/Publications/WP/Issues/2023/08/22/IMF-Fossil-Fuel-Subsidies-Data-2023-Update-537281" TargetMode="External"/><Relationship Id="rId29" Type="http://schemas.openxmlformats.org/officeDocument/2006/relationships/hyperlink" Target="https://www.bhfs.com/insights/alerts-articles/2023/debt-ceiling-deal-proposes-adjustment-to-irs-funding-protects-green-energy-tax-incentives" TargetMode="External"/><Relationship Id="rId1" Type="http://schemas.openxmlformats.org/officeDocument/2006/relationships/hyperlink" Target="https://www.eia.gov/tools/faqs/faq.php?id=709&amp;t=6" TargetMode="External"/><Relationship Id="rId6" Type="http://schemas.openxmlformats.org/officeDocument/2006/relationships/hyperlink" Target="https://www.theguardian.com/environment/2023/sep/12/us-behind-more-than-a-third-of-global-oil-and-gas-expansion-plans-report-finds" TargetMode="External"/><Relationship Id="rId11" Type="http://schemas.openxmlformats.org/officeDocument/2006/relationships/hyperlink" Target="https://www.eia.gov/tools/faqs/faq.php?id=427&amp;t=3" TargetMode="External"/><Relationship Id="rId24" Type="http://schemas.openxmlformats.org/officeDocument/2006/relationships/hyperlink" Target="https://www.boem.gov/oil-gas-energy/national-program/national-ocs-oil-and-gas-leasing-program-2023-2028" TargetMode="External"/><Relationship Id="rId32" Type="http://schemas.openxmlformats.org/officeDocument/2006/relationships/hyperlink" Target="https://edition.cnn.com/2023/05/24/politics/energy-permitting-debt-ceiling-climate/index.html" TargetMode="External"/><Relationship Id="rId37" Type="http://schemas.openxmlformats.org/officeDocument/2006/relationships/hyperlink" Target="https://www.ciel.org/wp-content/uploads/2019/05/Plastic-and-Climate-FINAL-2019.pdf" TargetMode="External"/><Relationship Id="rId5" Type="http://schemas.openxmlformats.org/officeDocument/2006/relationships/hyperlink" Target="https://priceofoil.org/content/uploads/2023/09/OCI-Planet-Wreckers-Report-Final.pdf" TargetMode="External"/><Relationship Id="rId15" Type="http://schemas.openxmlformats.org/officeDocument/2006/relationships/hyperlink" Target="https://www.statista.com/statistics/241625/top-10-us-oil-and-gas-companies-based-on-market-value/" TargetMode="External"/><Relationship Id="rId23" Type="http://schemas.openxmlformats.org/officeDocument/2006/relationships/hyperlink" Target="https://www.npr.org/2023/03/13/1163075377/willow-drilling-project-alaska-approved-biden" TargetMode="External"/><Relationship Id="rId28" Type="http://schemas.openxmlformats.org/officeDocument/2006/relationships/hyperlink" Target="https://edition.cnn.com/2023/03/14/politics/willow-project-oil-alaska-explained-climate/index.html" TargetMode="External"/><Relationship Id="rId36" Type="http://schemas.openxmlformats.org/officeDocument/2006/relationships/hyperlink" Target="https://www.beyondplastics.org/plastics-and-climate" TargetMode="External"/><Relationship Id="rId10" Type="http://schemas.openxmlformats.org/officeDocument/2006/relationships/hyperlink" Target="https://legacy-assets.eenews.net/open_files/assets/2014/12/16/document_cw_01.pdf" TargetMode="External"/><Relationship Id="rId19" Type="http://schemas.openxmlformats.org/officeDocument/2006/relationships/hyperlink" Target="https://www.imf.org/en/Blogs/Articles/2023/08/24/fossil-fuel-subsidies-surged-to-record-7-trillion" TargetMode="External"/><Relationship Id="rId31" Type="http://schemas.openxmlformats.org/officeDocument/2006/relationships/hyperlink" Target="https://www.winston.com/en/blogs-and-podcasts/winston-and-the-legal-environment/debt-ceiling-deal-ushers-in-nepa-reforms" TargetMode="External"/><Relationship Id="rId4" Type="http://schemas.openxmlformats.org/officeDocument/2006/relationships/hyperlink" Target="https://www.reuters.com/business/energy/us-crude-output-rise-record-1276-mln-bpd-2023-eia-2023-08-08/" TargetMode="External"/><Relationship Id="rId9" Type="http://schemas.openxmlformats.org/officeDocument/2006/relationships/hyperlink" Target="https://www.niehs.nih.gov/health/topics/agents/fracking/index.cfm" TargetMode="External"/><Relationship Id="rId14" Type="http://schemas.openxmlformats.org/officeDocument/2006/relationships/hyperlink" Target="https://www.sierraclub.org/articles/2022/03/gulf-coast-communities-fighting-massive-buildout-fracked-gas-exports" TargetMode="External"/><Relationship Id="rId22" Type="http://schemas.openxmlformats.org/officeDocument/2006/relationships/hyperlink" Target="https://www.nytimes.com/2023/09/06/climate/biden-drilling-alaska-wildlife-refuge.html" TargetMode="External"/><Relationship Id="rId27" Type="http://schemas.openxmlformats.org/officeDocument/2006/relationships/hyperlink" Target="https://insideclimatenews.org/news/01072022/public-lands-fossil-fuel-drilling-leases-biden/" TargetMode="External"/><Relationship Id="rId30" Type="http://schemas.openxmlformats.org/officeDocument/2006/relationships/hyperlink" Target="https://ceq.doe.gov/laws-regulations/fra.html" TargetMode="External"/><Relationship Id="rId35" Type="http://schemas.openxmlformats.org/officeDocument/2006/relationships/hyperlink" Target="https://www.ohchr.org/en/press-releases/2021/03/usa-environmental-racism-cancer-alley-must-end-experts?LangID=E&amp;NewsID=26824" TargetMode="External"/><Relationship Id="rId8" Type="http://schemas.openxmlformats.org/officeDocument/2006/relationships/hyperlink" Target="https://concernedhealthny.org/wp-content/uploads/2022/04/CHPNY-Compendium-8-FINAL.pdf" TargetMode="External"/><Relationship Id="rId3" Type="http://schemas.openxmlformats.org/officeDocument/2006/relationships/hyperlink" Target="https://www.reuters.com/business/energy/us-natgas-output-demand-hit-record-highs-2023-2023-09-1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4263</Words>
  <Characters>24302</Characters>
  <Application>Microsoft Office Word</Application>
  <DocSecurity>4</DocSecurity>
  <Lines>202</Lines>
  <Paragraphs>57</Paragraphs>
  <ScaleCrop>false</ScaleCrop>
  <Company/>
  <LinksUpToDate>false</LinksUpToDate>
  <CharactersWithSpaces>28508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HODGE Brianna</dc:creator>
  <cp:lastModifiedBy>Brianna Hodge</cp:lastModifiedBy>
  <cp:revision>2</cp:revision>
  <cp:lastPrinted>2023-09-22T07:27:00Z</cp:lastPrinted>
  <dcterms:created xsi:type="dcterms:W3CDTF">2023-09-27T12:19:00Z</dcterms:created>
  <dcterms:modified xsi:type="dcterms:W3CDTF">2023-09-27T12:19:00Z</dcterms:modified>
</cp:coreProperties>
</file>