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74C52" w14:textId="77777777" w:rsidR="00E87476" w:rsidRDefault="00E87476" w:rsidP="00E87476">
      <w:pPr>
        <w:rPr>
          <w:b/>
          <w:sz w:val="32"/>
          <w:szCs w:val="32"/>
        </w:rPr>
      </w:pPr>
    </w:p>
    <w:p w14:paraId="35779F7C" w14:textId="77777777" w:rsidR="00E87476" w:rsidRDefault="00E87476" w:rsidP="00E87476">
      <w:pPr>
        <w:jc w:val="center"/>
        <w:rPr>
          <w:b/>
          <w:sz w:val="32"/>
          <w:szCs w:val="32"/>
        </w:rPr>
      </w:pPr>
    </w:p>
    <w:p w14:paraId="492E2CA4" w14:textId="77777777" w:rsidR="00E87476" w:rsidRPr="005F2651" w:rsidRDefault="00E87476" w:rsidP="00E87476">
      <w:pPr>
        <w:jc w:val="center"/>
        <w:rPr>
          <w:rFonts w:ascii="Trebuchet MS" w:hAnsi="Trebuchet MS"/>
          <w:b/>
          <w:sz w:val="32"/>
          <w:szCs w:val="32"/>
        </w:rPr>
      </w:pPr>
      <w:r w:rsidRPr="005F2651">
        <w:rPr>
          <w:rFonts w:ascii="Trebuchet MS" w:hAnsi="Trebuchet MS"/>
          <w:b/>
          <w:sz w:val="32"/>
          <w:szCs w:val="32"/>
        </w:rPr>
        <w:t xml:space="preserve">THEMATIC REPORT ON FAMILY LAW AND </w:t>
      </w:r>
    </w:p>
    <w:p w14:paraId="0B736C31" w14:textId="77777777" w:rsidR="00E87476" w:rsidRPr="005F2651" w:rsidRDefault="00E87476" w:rsidP="00E87476">
      <w:pPr>
        <w:jc w:val="center"/>
        <w:rPr>
          <w:rFonts w:ascii="Trebuchet MS" w:hAnsi="Trebuchet MS"/>
          <w:b/>
          <w:sz w:val="32"/>
          <w:szCs w:val="32"/>
        </w:rPr>
      </w:pPr>
      <w:r w:rsidRPr="005F2651">
        <w:rPr>
          <w:rFonts w:ascii="Trebuchet MS" w:hAnsi="Trebuchet MS"/>
          <w:b/>
          <w:sz w:val="32"/>
          <w:szCs w:val="32"/>
        </w:rPr>
        <w:t xml:space="preserve">MUSLIM WOMEN’S RIGHTS IN </w:t>
      </w:r>
    </w:p>
    <w:p w14:paraId="660A5AC2" w14:textId="77777777" w:rsidR="00E87476" w:rsidRPr="005F2651" w:rsidRDefault="00E87476" w:rsidP="00E87476">
      <w:pPr>
        <w:jc w:val="center"/>
        <w:rPr>
          <w:rFonts w:ascii="Trebuchet MS" w:hAnsi="Trebuchet MS"/>
          <w:b/>
          <w:sz w:val="32"/>
          <w:szCs w:val="32"/>
        </w:rPr>
      </w:pPr>
    </w:p>
    <w:p w14:paraId="36489ED7" w14:textId="0A6B2A58" w:rsidR="00E87476" w:rsidRPr="005F2651" w:rsidRDefault="00E87476" w:rsidP="00E87476">
      <w:pPr>
        <w:jc w:val="center"/>
        <w:rPr>
          <w:rFonts w:ascii="Trebuchet MS" w:hAnsi="Trebuchet MS"/>
          <w:b/>
          <w:sz w:val="40"/>
          <w:szCs w:val="40"/>
        </w:rPr>
      </w:pPr>
      <w:r w:rsidRPr="005F2651">
        <w:rPr>
          <w:rFonts w:ascii="Trebuchet MS" w:hAnsi="Trebuchet MS"/>
          <w:b/>
          <w:sz w:val="40"/>
          <w:szCs w:val="40"/>
        </w:rPr>
        <w:t>THE GAMBIA</w:t>
      </w:r>
    </w:p>
    <w:p w14:paraId="1B027A32" w14:textId="77777777" w:rsidR="00E87476" w:rsidRPr="005F2651" w:rsidRDefault="00E87476" w:rsidP="00E87476">
      <w:pPr>
        <w:jc w:val="center"/>
        <w:rPr>
          <w:rFonts w:ascii="Trebuchet MS" w:hAnsi="Trebuchet MS"/>
          <w:b/>
          <w:sz w:val="32"/>
          <w:szCs w:val="32"/>
        </w:rPr>
      </w:pPr>
    </w:p>
    <w:p w14:paraId="49168CB5" w14:textId="77777777" w:rsidR="00E87476" w:rsidRPr="005F2651" w:rsidRDefault="00E87476" w:rsidP="00E87476">
      <w:pPr>
        <w:jc w:val="center"/>
        <w:rPr>
          <w:rFonts w:ascii="Trebuchet MS" w:hAnsi="Trebuchet MS"/>
          <w:b/>
          <w:sz w:val="32"/>
          <w:szCs w:val="32"/>
        </w:rPr>
      </w:pPr>
    </w:p>
    <w:p w14:paraId="0120CC9B" w14:textId="16823F93" w:rsidR="00E87476" w:rsidRPr="005F2651" w:rsidRDefault="00E87476" w:rsidP="00E87476">
      <w:pPr>
        <w:jc w:val="center"/>
        <w:rPr>
          <w:rFonts w:ascii="Trebuchet MS" w:hAnsi="Trebuchet MS"/>
          <w:b/>
          <w:sz w:val="32"/>
          <w:szCs w:val="32"/>
        </w:rPr>
      </w:pPr>
      <w:r w:rsidRPr="005F2651">
        <w:rPr>
          <w:rFonts w:ascii="Trebuchet MS" w:hAnsi="Trebuchet MS"/>
          <w:b/>
          <w:sz w:val="32"/>
          <w:szCs w:val="32"/>
        </w:rPr>
        <w:t>83</w:t>
      </w:r>
      <w:r w:rsidRPr="005F2651">
        <w:rPr>
          <w:rFonts w:ascii="Trebuchet MS" w:hAnsi="Trebuchet MS"/>
          <w:b/>
          <w:sz w:val="32"/>
          <w:szCs w:val="32"/>
          <w:vertAlign w:val="superscript"/>
        </w:rPr>
        <w:t xml:space="preserve">rd </w:t>
      </w:r>
      <w:r w:rsidRPr="005F2651">
        <w:rPr>
          <w:rFonts w:ascii="Trebuchet MS" w:hAnsi="Trebuchet MS"/>
          <w:b/>
          <w:sz w:val="32"/>
          <w:szCs w:val="32"/>
        </w:rPr>
        <w:t>CEDAW Session</w:t>
      </w:r>
    </w:p>
    <w:p w14:paraId="1DCD9F61" w14:textId="77777777" w:rsidR="00E87476" w:rsidRPr="005F2651" w:rsidRDefault="00E87476" w:rsidP="00E87476">
      <w:pPr>
        <w:jc w:val="center"/>
        <w:rPr>
          <w:rFonts w:ascii="Trebuchet MS" w:hAnsi="Trebuchet MS"/>
          <w:b/>
          <w:sz w:val="32"/>
          <w:szCs w:val="32"/>
        </w:rPr>
      </w:pPr>
    </w:p>
    <w:p w14:paraId="62560968" w14:textId="5526C69E" w:rsidR="00E87476" w:rsidRPr="005F2651" w:rsidRDefault="00E87476" w:rsidP="00E87476">
      <w:pPr>
        <w:jc w:val="center"/>
        <w:rPr>
          <w:rFonts w:ascii="Trebuchet MS" w:hAnsi="Trebuchet MS"/>
          <w:sz w:val="32"/>
          <w:szCs w:val="32"/>
        </w:rPr>
      </w:pPr>
      <w:r w:rsidRPr="005F2651">
        <w:rPr>
          <w:rFonts w:ascii="Trebuchet MS" w:hAnsi="Trebuchet MS"/>
          <w:sz w:val="32"/>
          <w:szCs w:val="32"/>
        </w:rPr>
        <w:t>October 2022</w:t>
      </w:r>
    </w:p>
    <w:p w14:paraId="19B3D658" w14:textId="77777777" w:rsidR="00E87476" w:rsidRPr="005F2651" w:rsidRDefault="00E87476" w:rsidP="00E87476">
      <w:pPr>
        <w:rPr>
          <w:rFonts w:ascii="Trebuchet MS" w:hAnsi="Trebuchet MS"/>
          <w:sz w:val="32"/>
          <w:szCs w:val="32"/>
        </w:rPr>
      </w:pPr>
    </w:p>
    <w:p w14:paraId="23329AB4" w14:textId="77777777" w:rsidR="00E87476" w:rsidRPr="005F2651" w:rsidRDefault="00E87476" w:rsidP="00E87476">
      <w:pPr>
        <w:rPr>
          <w:rFonts w:ascii="Trebuchet MS" w:hAnsi="Trebuchet MS"/>
          <w:sz w:val="32"/>
          <w:szCs w:val="32"/>
        </w:rPr>
      </w:pPr>
    </w:p>
    <w:p w14:paraId="6765AFB9" w14:textId="77777777" w:rsidR="00E87476" w:rsidRPr="005F2651" w:rsidRDefault="00E87476" w:rsidP="00E87476">
      <w:pPr>
        <w:rPr>
          <w:rFonts w:ascii="Trebuchet MS" w:hAnsi="Trebuchet MS"/>
          <w:sz w:val="32"/>
          <w:szCs w:val="32"/>
        </w:rPr>
      </w:pPr>
    </w:p>
    <w:p w14:paraId="43133F39" w14:textId="03B661AE" w:rsidR="00E87476" w:rsidRPr="005F2651" w:rsidRDefault="001543C3" w:rsidP="00E87476">
      <w:pPr>
        <w:jc w:val="center"/>
        <w:rPr>
          <w:rFonts w:ascii="Trebuchet MS" w:hAnsi="Trebuchet MS"/>
          <w:b/>
          <w:iCs/>
        </w:rPr>
      </w:pPr>
      <w:r w:rsidRPr="005F2651">
        <w:rPr>
          <w:rFonts w:ascii="Trebuchet MS" w:hAnsi="Trebuchet MS"/>
          <w:b/>
          <w:iCs/>
          <w:sz w:val="20"/>
          <w:szCs w:val="20"/>
        </w:rPr>
        <w:t>SUBMITTED BY:</w:t>
      </w:r>
    </w:p>
    <w:tbl>
      <w:tblPr>
        <w:tblW w:w="9360" w:type="dxa"/>
        <w:tblLayout w:type="fixed"/>
        <w:tblLook w:val="0600" w:firstRow="0" w:lastRow="0" w:firstColumn="0" w:lastColumn="0" w:noHBand="1" w:noVBand="1"/>
      </w:tblPr>
      <w:tblGrid>
        <w:gridCol w:w="4680"/>
        <w:gridCol w:w="4680"/>
      </w:tblGrid>
      <w:tr w:rsidR="00E87476" w14:paraId="4A8278F1" w14:textId="77777777" w:rsidTr="001D59BC">
        <w:tc>
          <w:tcPr>
            <w:tcW w:w="4680" w:type="dxa"/>
            <w:shd w:val="clear" w:color="auto" w:fill="auto"/>
            <w:tcMar>
              <w:top w:w="100" w:type="dxa"/>
              <w:left w:w="100" w:type="dxa"/>
              <w:bottom w:w="100" w:type="dxa"/>
              <w:right w:w="100" w:type="dxa"/>
            </w:tcMar>
          </w:tcPr>
          <w:p w14:paraId="546D4094" w14:textId="19D18113" w:rsidR="00E87476" w:rsidRDefault="00E87476" w:rsidP="001D59BC">
            <w:pPr>
              <w:jc w:val="center"/>
              <w:rPr>
                <w:b/>
                <w:sz w:val="20"/>
                <w:szCs w:val="20"/>
              </w:rPr>
            </w:pPr>
            <w:r>
              <w:rPr>
                <w:b/>
                <w:noProof/>
                <w:sz w:val="20"/>
                <w:szCs w:val="20"/>
              </w:rPr>
              <w:drawing>
                <wp:inline distT="0" distB="0" distL="0" distR="0" wp14:anchorId="4F15BB0C" wp14:editId="39E4F566">
                  <wp:extent cx="1477645" cy="8678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1497390" cy="879420"/>
                          </a:xfrm>
                          <a:prstGeom prst="rect">
                            <a:avLst/>
                          </a:prstGeom>
                        </pic:spPr>
                      </pic:pic>
                    </a:graphicData>
                  </a:graphic>
                </wp:inline>
              </w:drawing>
            </w:r>
          </w:p>
          <w:p w14:paraId="206E7DF7" w14:textId="77777777" w:rsidR="004A56E1" w:rsidRDefault="004A56E1" w:rsidP="00E87476">
            <w:pPr>
              <w:shd w:val="clear" w:color="auto" w:fill="FFFFFF"/>
              <w:jc w:val="center"/>
              <w:rPr>
                <w:rFonts w:ascii="Georgia" w:hAnsi="Georgia" w:cs="Arial"/>
                <w:b/>
                <w:bCs/>
                <w:color w:val="000000"/>
                <w:sz w:val="18"/>
                <w:szCs w:val="18"/>
                <w:lang w:val="en-CA"/>
              </w:rPr>
            </w:pPr>
          </w:p>
          <w:p w14:paraId="415553EB" w14:textId="4BD05BB2" w:rsidR="00E87476" w:rsidRDefault="00E87476" w:rsidP="00E87476">
            <w:pPr>
              <w:shd w:val="clear" w:color="auto" w:fill="FFFFFF"/>
              <w:jc w:val="center"/>
              <w:rPr>
                <w:rFonts w:asciiTheme="majorBidi" w:hAnsiTheme="majorBidi" w:cstheme="majorBidi"/>
                <w:b/>
                <w:bCs/>
                <w:color w:val="000000"/>
                <w:sz w:val="20"/>
                <w:szCs w:val="20"/>
                <w:lang w:val="en-CA"/>
              </w:rPr>
            </w:pPr>
            <w:r w:rsidRPr="00006434">
              <w:rPr>
                <w:rFonts w:asciiTheme="majorBidi" w:hAnsiTheme="majorBidi" w:cstheme="majorBidi"/>
                <w:b/>
                <w:bCs/>
                <w:color w:val="000000"/>
                <w:sz w:val="20"/>
                <w:szCs w:val="20"/>
                <w:lang w:val="en-CA"/>
              </w:rPr>
              <w:t>Women’s Association for Victims’ Empowerment</w:t>
            </w:r>
          </w:p>
          <w:p w14:paraId="135A8998" w14:textId="77777777" w:rsidR="004A56E1" w:rsidRPr="00006434" w:rsidRDefault="004A56E1" w:rsidP="00006434">
            <w:pPr>
              <w:shd w:val="clear" w:color="auto" w:fill="FFFFFF"/>
              <w:jc w:val="center"/>
              <w:rPr>
                <w:rFonts w:asciiTheme="majorBidi" w:hAnsiTheme="majorBidi" w:cstheme="majorBidi"/>
                <w:b/>
                <w:bCs/>
                <w:color w:val="222222"/>
                <w:sz w:val="28"/>
                <w:szCs w:val="28"/>
                <w:lang w:eastAsia="en-GB"/>
              </w:rPr>
            </w:pPr>
          </w:p>
          <w:p w14:paraId="018133F1" w14:textId="77777777" w:rsidR="00E87476" w:rsidRPr="00006434" w:rsidRDefault="00E87476" w:rsidP="00006434">
            <w:pPr>
              <w:shd w:val="clear" w:color="auto" w:fill="FFFFFF"/>
              <w:jc w:val="center"/>
              <w:rPr>
                <w:rFonts w:asciiTheme="majorBidi" w:hAnsiTheme="majorBidi" w:cstheme="majorBidi"/>
                <w:color w:val="222222"/>
                <w:sz w:val="28"/>
                <w:szCs w:val="28"/>
              </w:rPr>
            </w:pPr>
            <w:r w:rsidRPr="00006434">
              <w:rPr>
                <w:rFonts w:asciiTheme="majorBidi" w:hAnsiTheme="majorBidi" w:cstheme="majorBidi"/>
                <w:color w:val="000000"/>
                <w:sz w:val="20"/>
                <w:szCs w:val="20"/>
                <w:lang w:val="en-CA"/>
              </w:rPr>
              <w:t xml:space="preserve">4 </w:t>
            </w:r>
            <w:proofErr w:type="spellStart"/>
            <w:r w:rsidRPr="00006434">
              <w:rPr>
                <w:rFonts w:asciiTheme="majorBidi" w:hAnsiTheme="majorBidi" w:cstheme="majorBidi"/>
                <w:color w:val="000000"/>
                <w:sz w:val="20"/>
                <w:szCs w:val="20"/>
                <w:lang w:val="en-CA"/>
              </w:rPr>
              <w:t>Kembujeh</w:t>
            </w:r>
            <w:proofErr w:type="spellEnd"/>
            <w:r w:rsidRPr="00006434">
              <w:rPr>
                <w:rFonts w:asciiTheme="majorBidi" w:hAnsiTheme="majorBidi" w:cstheme="majorBidi"/>
                <w:color w:val="000000"/>
                <w:sz w:val="20"/>
                <w:szCs w:val="20"/>
                <w:lang w:val="en-CA"/>
              </w:rPr>
              <w:t xml:space="preserve"> Ville</w:t>
            </w:r>
          </w:p>
          <w:p w14:paraId="54B268A9" w14:textId="7D6E40D0" w:rsidR="00E87476" w:rsidRPr="00006434" w:rsidRDefault="00E87476" w:rsidP="00006434">
            <w:pPr>
              <w:shd w:val="clear" w:color="auto" w:fill="FFFFFF"/>
              <w:jc w:val="center"/>
              <w:rPr>
                <w:rFonts w:asciiTheme="majorBidi" w:hAnsiTheme="majorBidi" w:cstheme="majorBidi"/>
                <w:color w:val="222222"/>
                <w:sz w:val="28"/>
                <w:szCs w:val="28"/>
              </w:rPr>
            </w:pPr>
            <w:r w:rsidRPr="00006434">
              <w:rPr>
                <w:rFonts w:asciiTheme="majorBidi" w:hAnsiTheme="majorBidi" w:cstheme="majorBidi"/>
                <w:color w:val="000000"/>
                <w:sz w:val="20"/>
                <w:szCs w:val="20"/>
                <w:lang w:val="en-CA"/>
              </w:rPr>
              <w:t xml:space="preserve">Off </w:t>
            </w:r>
            <w:proofErr w:type="spellStart"/>
            <w:r w:rsidRPr="00006434">
              <w:rPr>
                <w:rFonts w:asciiTheme="majorBidi" w:hAnsiTheme="majorBidi" w:cstheme="majorBidi"/>
                <w:color w:val="000000"/>
                <w:sz w:val="20"/>
                <w:szCs w:val="20"/>
                <w:lang w:val="en-CA"/>
              </w:rPr>
              <w:t>Manjai</w:t>
            </w:r>
            <w:proofErr w:type="spellEnd"/>
            <w:r w:rsidRPr="00006434">
              <w:rPr>
                <w:rFonts w:asciiTheme="majorBidi" w:hAnsiTheme="majorBidi" w:cstheme="majorBidi"/>
                <w:color w:val="000000"/>
                <w:sz w:val="20"/>
                <w:szCs w:val="20"/>
                <w:lang w:val="en-CA"/>
              </w:rPr>
              <w:t xml:space="preserve"> Highway, near </w:t>
            </w:r>
            <w:proofErr w:type="spellStart"/>
            <w:r w:rsidRPr="00006434">
              <w:rPr>
                <w:rFonts w:asciiTheme="majorBidi" w:hAnsiTheme="majorBidi" w:cstheme="majorBidi"/>
                <w:color w:val="000000"/>
                <w:sz w:val="20"/>
                <w:szCs w:val="20"/>
                <w:lang w:val="en-CA"/>
              </w:rPr>
              <w:t>Manjai</w:t>
            </w:r>
            <w:proofErr w:type="spellEnd"/>
            <w:r w:rsidRPr="00006434">
              <w:rPr>
                <w:rFonts w:asciiTheme="majorBidi" w:hAnsiTheme="majorBidi" w:cstheme="majorBidi"/>
                <w:color w:val="000000"/>
                <w:sz w:val="20"/>
                <w:szCs w:val="20"/>
                <w:lang w:val="en-CA"/>
              </w:rPr>
              <w:t xml:space="preserve"> Police Station</w:t>
            </w:r>
          </w:p>
          <w:p w14:paraId="5B65F981" w14:textId="09B95A4F" w:rsidR="00E87476" w:rsidRPr="00006434" w:rsidRDefault="00E87476" w:rsidP="00006434">
            <w:pPr>
              <w:shd w:val="clear" w:color="auto" w:fill="FFFFFF"/>
              <w:jc w:val="center"/>
              <w:rPr>
                <w:rFonts w:asciiTheme="majorBidi" w:hAnsiTheme="majorBidi" w:cstheme="majorBidi"/>
                <w:color w:val="222222"/>
                <w:sz w:val="28"/>
                <w:szCs w:val="28"/>
              </w:rPr>
            </w:pPr>
            <w:proofErr w:type="spellStart"/>
            <w:r w:rsidRPr="00006434">
              <w:rPr>
                <w:rFonts w:asciiTheme="majorBidi" w:hAnsiTheme="majorBidi" w:cstheme="majorBidi"/>
                <w:color w:val="000000"/>
                <w:sz w:val="20"/>
                <w:szCs w:val="20"/>
                <w:lang w:val="en-CA"/>
              </w:rPr>
              <w:t>Kanifing</w:t>
            </w:r>
            <w:proofErr w:type="spellEnd"/>
            <w:r w:rsidRPr="00006434">
              <w:rPr>
                <w:rFonts w:asciiTheme="majorBidi" w:hAnsiTheme="majorBidi" w:cstheme="majorBidi"/>
                <w:color w:val="000000"/>
                <w:sz w:val="20"/>
                <w:szCs w:val="20"/>
                <w:lang w:val="en-CA"/>
              </w:rPr>
              <w:t xml:space="preserve"> Municipal Council</w:t>
            </w:r>
          </w:p>
          <w:p w14:paraId="1218C4F8" w14:textId="7DDAB0D5" w:rsidR="00E87476" w:rsidRPr="00006434" w:rsidRDefault="00E87476" w:rsidP="00006434">
            <w:pPr>
              <w:shd w:val="clear" w:color="auto" w:fill="FFFFFF"/>
              <w:jc w:val="center"/>
              <w:rPr>
                <w:rFonts w:asciiTheme="majorBidi" w:hAnsiTheme="majorBidi" w:cstheme="majorBidi"/>
                <w:color w:val="222222"/>
                <w:sz w:val="28"/>
                <w:szCs w:val="28"/>
              </w:rPr>
            </w:pPr>
            <w:r w:rsidRPr="00006434">
              <w:rPr>
                <w:rFonts w:asciiTheme="majorBidi" w:hAnsiTheme="majorBidi" w:cstheme="majorBidi"/>
                <w:color w:val="000000"/>
                <w:sz w:val="20"/>
                <w:szCs w:val="20"/>
                <w:lang w:val="en-CA"/>
              </w:rPr>
              <w:t>The Gambia</w:t>
            </w:r>
          </w:p>
          <w:p w14:paraId="1C2B6B9D" w14:textId="685A5C14" w:rsidR="00E87476" w:rsidRPr="00006434" w:rsidRDefault="00E87476" w:rsidP="00006434">
            <w:pPr>
              <w:shd w:val="clear" w:color="auto" w:fill="FFFFFF"/>
              <w:jc w:val="center"/>
              <w:rPr>
                <w:rFonts w:asciiTheme="majorBidi" w:hAnsiTheme="majorBidi" w:cstheme="majorBidi"/>
                <w:color w:val="222222"/>
                <w:sz w:val="28"/>
                <w:szCs w:val="28"/>
              </w:rPr>
            </w:pPr>
            <w:r w:rsidRPr="00006434">
              <w:rPr>
                <w:rFonts w:asciiTheme="majorBidi" w:hAnsiTheme="majorBidi" w:cstheme="majorBidi"/>
                <w:color w:val="000000"/>
                <w:sz w:val="20"/>
                <w:szCs w:val="20"/>
                <w:lang w:val="en-CA"/>
              </w:rPr>
              <w:t>Tel: (+220) 717 968</w:t>
            </w:r>
            <w:r w:rsidR="004A56E1">
              <w:rPr>
                <w:rFonts w:asciiTheme="majorBidi" w:hAnsiTheme="majorBidi" w:cstheme="majorBidi"/>
                <w:color w:val="000000"/>
                <w:sz w:val="20"/>
                <w:szCs w:val="20"/>
                <w:lang w:val="en-CA"/>
              </w:rPr>
              <w:t xml:space="preserve">4; </w:t>
            </w:r>
            <w:r w:rsidRPr="00006434">
              <w:rPr>
                <w:rFonts w:asciiTheme="majorBidi" w:hAnsiTheme="majorBidi" w:cstheme="majorBidi"/>
                <w:color w:val="000000"/>
                <w:sz w:val="20"/>
                <w:szCs w:val="20"/>
                <w:lang w:val="en-CA"/>
              </w:rPr>
              <w:t>(+220) 722 0497</w:t>
            </w:r>
          </w:p>
          <w:p w14:paraId="14BAE382" w14:textId="2CA2C9A5" w:rsidR="00E87476" w:rsidRDefault="00E87476" w:rsidP="004A56E1">
            <w:pPr>
              <w:shd w:val="clear" w:color="auto" w:fill="FFFFFF"/>
              <w:jc w:val="center"/>
              <w:rPr>
                <w:rFonts w:asciiTheme="majorBidi" w:hAnsiTheme="majorBidi" w:cstheme="majorBidi"/>
                <w:color w:val="000000"/>
                <w:sz w:val="20"/>
                <w:szCs w:val="20"/>
                <w:lang w:val="en-CA"/>
              </w:rPr>
            </w:pPr>
            <w:r w:rsidRPr="00006434">
              <w:rPr>
                <w:rFonts w:asciiTheme="majorBidi" w:hAnsiTheme="majorBidi" w:cstheme="majorBidi"/>
                <w:color w:val="000000"/>
                <w:sz w:val="20"/>
                <w:szCs w:val="20"/>
                <w:lang w:val="en-CA"/>
              </w:rPr>
              <w:t>Twitter/FB: @wave-gambia</w:t>
            </w:r>
          </w:p>
          <w:p w14:paraId="5C0A2900" w14:textId="77777777" w:rsidR="00B84EEB" w:rsidRPr="001D59BC" w:rsidRDefault="00B84EEB" w:rsidP="00B84EEB">
            <w:pPr>
              <w:shd w:val="clear" w:color="auto" w:fill="FFFFFF"/>
              <w:jc w:val="center"/>
              <w:rPr>
                <w:rFonts w:asciiTheme="majorBidi" w:hAnsiTheme="majorBidi" w:cstheme="majorBidi"/>
                <w:color w:val="222222"/>
                <w:sz w:val="28"/>
                <w:szCs w:val="28"/>
              </w:rPr>
            </w:pPr>
            <w:r w:rsidRPr="001D59BC">
              <w:rPr>
                <w:rFonts w:asciiTheme="majorBidi" w:hAnsiTheme="majorBidi" w:cstheme="majorBidi"/>
                <w:color w:val="000000"/>
                <w:sz w:val="20"/>
                <w:szCs w:val="20"/>
                <w:lang w:val="en-CA"/>
              </w:rPr>
              <w:t>Website: </w:t>
            </w:r>
            <w:hyperlink r:id="rId9" w:tgtFrame="_blank" w:tooltip="https://nam02.safelinks.protection.outlook.com/?url=http%3A%2F%2Fwww.wave-gambia.org%2F&amp;data=04%7C01%7Cafricaproposals%40ned.org%7C9ab60c8e88b840f4436208d92d28cba3%7C4e07708641b34a22b78e41daff10793d%7C1%7C0%7C637590475978331053%7CUnknown%7CTWFpbGZsb3d8eyJ" w:history="1">
              <w:r w:rsidRPr="00006434">
                <w:rPr>
                  <w:rStyle w:val="Hyperlink"/>
                  <w:rFonts w:asciiTheme="majorBidi" w:eastAsia="Arial" w:hAnsiTheme="majorBidi" w:cstheme="majorBidi"/>
                  <w:b/>
                  <w:bCs/>
                  <w:color w:val="0563C1"/>
                  <w:sz w:val="20"/>
                  <w:szCs w:val="20"/>
                  <w:lang w:val="en-CA"/>
                </w:rPr>
                <w:t>www.wave-gambia.org</w:t>
              </w:r>
            </w:hyperlink>
          </w:p>
          <w:p w14:paraId="7C1E8FA3" w14:textId="77777777" w:rsidR="00B84EEB" w:rsidRPr="00006434" w:rsidRDefault="00B84EEB" w:rsidP="004A56E1">
            <w:pPr>
              <w:shd w:val="clear" w:color="auto" w:fill="FFFFFF"/>
              <w:jc w:val="center"/>
              <w:rPr>
                <w:rFonts w:asciiTheme="majorBidi" w:hAnsiTheme="majorBidi" w:cstheme="majorBidi"/>
                <w:color w:val="222222"/>
                <w:sz w:val="28"/>
                <w:szCs w:val="28"/>
              </w:rPr>
            </w:pPr>
          </w:p>
          <w:p w14:paraId="6D4C4DE9" w14:textId="689E1C91" w:rsidR="004A56E1" w:rsidRPr="00006434" w:rsidRDefault="004A56E1" w:rsidP="00006434">
            <w:pPr>
              <w:shd w:val="clear" w:color="auto" w:fill="FFFFFF"/>
              <w:jc w:val="center"/>
              <w:rPr>
                <w:rFonts w:ascii="Arial" w:hAnsi="Arial" w:cs="Arial"/>
                <w:color w:val="222222"/>
              </w:rPr>
            </w:pPr>
          </w:p>
        </w:tc>
        <w:tc>
          <w:tcPr>
            <w:tcW w:w="4680" w:type="dxa"/>
            <w:shd w:val="clear" w:color="auto" w:fill="auto"/>
            <w:tcMar>
              <w:top w:w="100" w:type="dxa"/>
              <w:left w:w="100" w:type="dxa"/>
              <w:bottom w:w="100" w:type="dxa"/>
              <w:right w:w="100" w:type="dxa"/>
            </w:tcMar>
          </w:tcPr>
          <w:p w14:paraId="2355D22A" w14:textId="3EB5D490" w:rsidR="00E87476" w:rsidRDefault="00E87476" w:rsidP="001D59BC">
            <w:pPr>
              <w:jc w:val="center"/>
              <w:rPr>
                <w:sz w:val="20"/>
                <w:szCs w:val="20"/>
              </w:rPr>
            </w:pPr>
            <w:r>
              <w:rPr>
                <w:sz w:val="20"/>
                <w:szCs w:val="20"/>
              </w:rPr>
              <w:t>​​</w:t>
            </w:r>
            <w:r w:rsidR="004A56E1">
              <w:rPr>
                <w:noProof/>
                <w:sz w:val="20"/>
                <w:szCs w:val="20"/>
              </w:rPr>
              <w:drawing>
                <wp:inline distT="0" distB="0" distL="0" distR="0" wp14:anchorId="49CE4A85" wp14:editId="281E2127">
                  <wp:extent cx="1121499" cy="8674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0">
                            <a:extLst>
                              <a:ext uri="{28A0092B-C50C-407E-A947-70E740481C1C}">
                                <a14:useLocalDpi xmlns:a14="http://schemas.microsoft.com/office/drawing/2010/main" val="0"/>
                              </a:ext>
                            </a:extLst>
                          </a:blip>
                          <a:stretch>
                            <a:fillRect/>
                          </a:stretch>
                        </pic:blipFill>
                        <pic:spPr>
                          <a:xfrm>
                            <a:off x="0" y="0"/>
                            <a:ext cx="1156495" cy="894477"/>
                          </a:xfrm>
                          <a:prstGeom prst="rect">
                            <a:avLst/>
                          </a:prstGeom>
                        </pic:spPr>
                      </pic:pic>
                    </a:graphicData>
                  </a:graphic>
                </wp:inline>
              </w:drawing>
            </w:r>
          </w:p>
          <w:p w14:paraId="2E6C6C1A" w14:textId="77777777" w:rsidR="00E87476" w:rsidRDefault="00E87476" w:rsidP="001D59BC">
            <w:pPr>
              <w:jc w:val="center"/>
              <w:rPr>
                <w:sz w:val="20"/>
                <w:szCs w:val="20"/>
              </w:rPr>
            </w:pPr>
          </w:p>
          <w:p w14:paraId="44BE0AED" w14:textId="43C8C85C" w:rsidR="004A56E1" w:rsidRDefault="004A56E1" w:rsidP="004A56E1">
            <w:pPr>
              <w:shd w:val="clear" w:color="auto" w:fill="FFFFFF"/>
              <w:jc w:val="center"/>
              <w:rPr>
                <w:rFonts w:asciiTheme="majorBidi" w:hAnsiTheme="majorBidi" w:cstheme="majorBidi"/>
                <w:b/>
                <w:bCs/>
                <w:color w:val="000000"/>
                <w:sz w:val="20"/>
                <w:szCs w:val="20"/>
                <w:lang w:val="en-CA"/>
              </w:rPr>
            </w:pPr>
            <w:r w:rsidRPr="00006434">
              <w:rPr>
                <w:rFonts w:asciiTheme="majorBidi" w:hAnsiTheme="majorBidi" w:cstheme="majorBidi"/>
                <w:b/>
                <w:bCs/>
                <w:color w:val="000000"/>
                <w:sz w:val="20"/>
                <w:szCs w:val="20"/>
                <w:lang w:val="en-CA"/>
              </w:rPr>
              <w:t xml:space="preserve">Think Young Women </w:t>
            </w:r>
            <w:r>
              <w:rPr>
                <w:rFonts w:asciiTheme="majorBidi" w:hAnsiTheme="majorBidi" w:cstheme="majorBidi"/>
                <w:b/>
                <w:bCs/>
                <w:color w:val="000000"/>
                <w:sz w:val="20"/>
                <w:szCs w:val="20"/>
                <w:lang w:val="en-CA"/>
              </w:rPr>
              <w:t>–</w:t>
            </w:r>
            <w:r w:rsidRPr="00006434">
              <w:rPr>
                <w:rFonts w:asciiTheme="majorBidi" w:hAnsiTheme="majorBidi" w:cstheme="majorBidi"/>
                <w:b/>
                <w:bCs/>
                <w:color w:val="000000"/>
                <w:sz w:val="20"/>
                <w:szCs w:val="20"/>
                <w:lang w:val="en-CA"/>
              </w:rPr>
              <w:t xml:space="preserve"> Gambia (TYW)</w:t>
            </w:r>
          </w:p>
          <w:p w14:paraId="1C885BE5" w14:textId="77777777" w:rsidR="004A56E1" w:rsidRPr="00006434" w:rsidRDefault="004A56E1" w:rsidP="004A56E1">
            <w:pPr>
              <w:shd w:val="clear" w:color="auto" w:fill="FFFFFF"/>
              <w:jc w:val="center"/>
              <w:rPr>
                <w:rFonts w:asciiTheme="majorBidi" w:hAnsiTheme="majorBidi" w:cstheme="majorBidi"/>
                <w:b/>
                <w:bCs/>
                <w:color w:val="000000"/>
                <w:sz w:val="20"/>
                <w:szCs w:val="20"/>
                <w:lang w:val="en-CA"/>
              </w:rPr>
            </w:pPr>
          </w:p>
          <w:p w14:paraId="49B60256" w14:textId="51B8CD71" w:rsidR="004A56E1" w:rsidRPr="00006434" w:rsidRDefault="004A56E1" w:rsidP="004A56E1">
            <w:pPr>
              <w:shd w:val="clear" w:color="auto" w:fill="FFFFFF"/>
              <w:jc w:val="center"/>
              <w:rPr>
                <w:rFonts w:asciiTheme="majorBidi" w:hAnsiTheme="majorBidi" w:cstheme="majorBidi"/>
                <w:color w:val="000000" w:themeColor="text1"/>
                <w:sz w:val="20"/>
                <w:szCs w:val="20"/>
              </w:rPr>
            </w:pPr>
            <w:r w:rsidRPr="00006434">
              <w:rPr>
                <w:rFonts w:asciiTheme="majorBidi" w:hAnsiTheme="majorBidi" w:cstheme="majorBidi"/>
                <w:color w:val="000000" w:themeColor="text1"/>
                <w:sz w:val="20"/>
                <w:szCs w:val="20"/>
              </w:rPr>
              <w:t xml:space="preserve">56 </w:t>
            </w:r>
            <w:proofErr w:type="spellStart"/>
            <w:r w:rsidRPr="00006434">
              <w:rPr>
                <w:rFonts w:asciiTheme="majorBidi" w:hAnsiTheme="majorBidi" w:cstheme="majorBidi"/>
                <w:color w:val="000000" w:themeColor="text1"/>
                <w:sz w:val="20"/>
                <w:szCs w:val="20"/>
              </w:rPr>
              <w:t>Mamamdi</w:t>
            </w:r>
            <w:proofErr w:type="spellEnd"/>
            <w:r w:rsidRPr="00006434">
              <w:rPr>
                <w:rFonts w:asciiTheme="majorBidi" w:hAnsiTheme="majorBidi" w:cstheme="majorBidi"/>
                <w:color w:val="000000" w:themeColor="text1"/>
                <w:sz w:val="20"/>
                <w:szCs w:val="20"/>
              </w:rPr>
              <w:t xml:space="preserve"> </w:t>
            </w:r>
            <w:proofErr w:type="spellStart"/>
            <w:r w:rsidRPr="00006434">
              <w:rPr>
                <w:rFonts w:asciiTheme="majorBidi" w:hAnsiTheme="majorBidi" w:cstheme="majorBidi"/>
                <w:color w:val="000000" w:themeColor="text1"/>
                <w:sz w:val="20"/>
                <w:szCs w:val="20"/>
              </w:rPr>
              <w:t>Manjang</w:t>
            </w:r>
            <w:proofErr w:type="spellEnd"/>
            <w:r w:rsidRPr="00006434">
              <w:rPr>
                <w:rFonts w:asciiTheme="majorBidi" w:hAnsiTheme="majorBidi" w:cstheme="majorBidi"/>
                <w:color w:val="000000" w:themeColor="text1"/>
                <w:sz w:val="20"/>
                <w:szCs w:val="20"/>
              </w:rPr>
              <w:t xml:space="preserve"> Highway,</w:t>
            </w:r>
          </w:p>
          <w:p w14:paraId="750215E4" w14:textId="77777777" w:rsidR="00125749" w:rsidRDefault="004A56E1" w:rsidP="00125749">
            <w:pPr>
              <w:shd w:val="clear" w:color="auto" w:fill="FFFFFF"/>
              <w:jc w:val="center"/>
              <w:rPr>
                <w:rFonts w:asciiTheme="majorBidi" w:hAnsiTheme="majorBidi" w:cstheme="majorBidi"/>
                <w:color w:val="000000" w:themeColor="text1"/>
                <w:sz w:val="20"/>
                <w:szCs w:val="20"/>
              </w:rPr>
            </w:pPr>
            <w:r w:rsidRPr="00006434">
              <w:rPr>
                <w:rFonts w:asciiTheme="majorBidi" w:hAnsiTheme="majorBidi" w:cstheme="majorBidi"/>
                <w:color w:val="000000" w:themeColor="text1"/>
                <w:sz w:val="20"/>
                <w:szCs w:val="20"/>
              </w:rPr>
              <w:t xml:space="preserve">Second Floor, Red Cross House, </w:t>
            </w:r>
          </w:p>
          <w:p w14:paraId="1E57254B" w14:textId="6DDA9138" w:rsidR="004A56E1" w:rsidRDefault="004A56E1" w:rsidP="00125749">
            <w:pPr>
              <w:shd w:val="clear" w:color="auto" w:fill="FFFFFF"/>
              <w:jc w:val="center"/>
              <w:rPr>
                <w:rFonts w:asciiTheme="majorBidi" w:hAnsiTheme="majorBidi" w:cstheme="majorBidi"/>
                <w:color w:val="000000" w:themeColor="text1"/>
                <w:sz w:val="20"/>
                <w:szCs w:val="20"/>
              </w:rPr>
            </w:pPr>
            <w:r w:rsidRPr="00006434">
              <w:rPr>
                <w:rFonts w:asciiTheme="majorBidi" w:hAnsiTheme="majorBidi" w:cstheme="majorBidi"/>
                <w:color w:val="000000" w:themeColor="text1"/>
                <w:sz w:val="20"/>
                <w:szCs w:val="20"/>
              </w:rPr>
              <w:t>West Field</w:t>
            </w:r>
            <w:r>
              <w:rPr>
                <w:rFonts w:asciiTheme="majorBidi" w:hAnsiTheme="majorBidi" w:cstheme="majorBidi"/>
                <w:color w:val="000000" w:themeColor="text1"/>
                <w:sz w:val="20"/>
                <w:szCs w:val="20"/>
              </w:rPr>
              <w:t>,</w:t>
            </w:r>
          </w:p>
          <w:p w14:paraId="66847EB9" w14:textId="5567F45F" w:rsidR="004A56E1" w:rsidRPr="00006434" w:rsidRDefault="004A56E1" w:rsidP="004A56E1">
            <w:pPr>
              <w:shd w:val="clear" w:color="auto" w:fill="FFFFFF"/>
              <w:jc w:val="center"/>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The Gambia</w:t>
            </w:r>
          </w:p>
          <w:p w14:paraId="658914E8" w14:textId="77777777" w:rsidR="004A56E1" w:rsidRPr="00396AFB" w:rsidRDefault="004A56E1" w:rsidP="004A56E1">
            <w:pPr>
              <w:shd w:val="clear" w:color="auto" w:fill="FFFFFF"/>
              <w:jc w:val="center"/>
              <w:rPr>
                <w:rFonts w:asciiTheme="majorBidi" w:hAnsiTheme="majorBidi" w:cstheme="majorBidi"/>
                <w:color w:val="444444"/>
                <w:sz w:val="20"/>
                <w:szCs w:val="20"/>
              </w:rPr>
            </w:pPr>
            <w:r w:rsidRPr="00396AFB">
              <w:rPr>
                <w:rFonts w:asciiTheme="majorBidi" w:hAnsiTheme="majorBidi" w:cstheme="majorBidi"/>
                <w:color w:val="000000" w:themeColor="text1"/>
                <w:sz w:val="20"/>
                <w:szCs w:val="20"/>
              </w:rPr>
              <w:t>Tel No: </w:t>
            </w:r>
            <w:r w:rsidRPr="00006434">
              <w:rPr>
                <w:rFonts w:asciiTheme="majorBidi" w:hAnsiTheme="majorBidi" w:cstheme="majorBidi"/>
                <w:color w:val="000000" w:themeColor="text1"/>
                <w:sz w:val="20"/>
                <w:szCs w:val="20"/>
              </w:rPr>
              <w:t>(00220) 3934389, 2662128, 7900080</w:t>
            </w:r>
          </w:p>
          <w:p w14:paraId="5179BE36" w14:textId="0618FFD0" w:rsidR="004A56E1" w:rsidRDefault="004A56E1" w:rsidP="004A56E1">
            <w:pPr>
              <w:shd w:val="clear" w:color="auto" w:fill="FFFFFF"/>
              <w:jc w:val="center"/>
              <w:rPr>
                <w:rFonts w:asciiTheme="majorBidi" w:hAnsiTheme="majorBidi" w:cstheme="majorBidi"/>
                <w:color w:val="2672EC"/>
                <w:sz w:val="20"/>
                <w:szCs w:val="20"/>
                <w:u w:val="single"/>
              </w:rPr>
            </w:pPr>
            <w:r w:rsidRPr="00006434">
              <w:rPr>
                <w:rFonts w:asciiTheme="majorBidi" w:hAnsiTheme="majorBidi" w:cstheme="majorBidi"/>
                <w:color w:val="000000" w:themeColor="text1"/>
                <w:sz w:val="20"/>
                <w:szCs w:val="20"/>
              </w:rPr>
              <w:t>Email</w:t>
            </w:r>
            <w:r w:rsidRPr="00006434">
              <w:rPr>
                <w:rFonts w:asciiTheme="majorBidi" w:hAnsiTheme="majorBidi" w:cstheme="majorBidi"/>
                <w:color w:val="444444"/>
                <w:sz w:val="20"/>
                <w:szCs w:val="20"/>
              </w:rPr>
              <w:t>: </w:t>
            </w:r>
            <w:r w:rsidRPr="00006434">
              <w:rPr>
                <w:rFonts w:asciiTheme="majorBidi" w:hAnsiTheme="majorBidi" w:cstheme="majorBidi"/>
                <w:color w:val="2672EC"/>
                <w:sz w:val="20"/>
                <w:szCs w:val="20"/>
              </w:rPr>
              <w:t>t</w:t>
            </w:r>
            <w:hyperlink r:id="rId11" w:tgtFrame="_blank" w:history="1">
              <w:r w:rsidRPr="00006434">
                <w:rPr>
                  <w:rStyle w:val="Hyperlink"/>
                  <w:rFonts w:asciiTheme="majorBidi" w:eastAsia="Arial" w:hAnsiTheme="majorBidi" w:cstheme="majorBidi"/>
                  <w:color w:val="0068CF"/>
                  <w:sz w:val="20"/>
                  <w:szCs w:val="20"/>
                </w:rPr>
                <w:t>hinkyoungwomen@gmail.com</w:t>
              </w:r>
            </w:hyperlink>
          </w:p>
          <w:p w14:paraId="2EF88026" w14:textId="77777777" w:rsidR="00B84EEB" w:rsidRPr="001D59BC" w:rsidRDefault="00B84EEB" w:rsidP="00B84EEB">
            <w:pPr>
              <w:shd w:val="clear" w:color="auto" w:fill="FFFFFF"/>
              <w:jc w:val="center"/>
              <w:rPr>
                <w:rFonts w:asciiTheme="majorBidi" w:hAnsiTheme="majorBidi" w:cstheme="majorBidi"/>
                <w:color w:val="444444"/>
                <w:sz w:val="20"/>
                <w:szCs w:val="20"/>
              </w:rPr>
            </w:pPr>
            <w:r w:rsidRPr="001D59BC">
              <w:rPr>
                <w:rFonts w:asciiTheme="majorBidi" w:hAnsiTheme="majorBidi" w:cstheme="majorBidi"/>
                <w:color w:val="000000" w:themeColor="text1"/>
                <w:sz w:val="20"/>
                <w:szCs w:val="20"/>
              </w:rPr>
              <w:t>Website: </w:t>
            </w:r>
            <w:hyperlink r:id="rId12" w:tgtFrame="_blank" w:history="1">
              <w:r w:rsidRPr="00006434">
                <w:rPr>
                  <w:rStyle w:val="Hyperlink"/>
                  <w:rFonts w:asciiTheme="majorBidi" w:eastAsia="Arial" w:hAnsiTheme="majorBidi" w:cstheme="majorBidi"/>
                  <w:b/>
                  <w:bCs/>
                  <w:color w:val="0068CF"/>
                  <w:sz w:val="20"/>
                  <w:szCs w:val="20"/>
                </w:rPr>
                <w:t>www.thinkyoungwomen.org</w:t>
              </w:r>
            </w:hyperlink>
          </w:p>
          <w:p w14:paraId="081A75FB" w14:textId="77777777" w:rsidR="00B84EEB" w:rsidRPr="00006434" w:rsidRDefault="00B84EEB" w:rsidP="00006434">
            <w:pPr>
              <w:shd w:val="clear" w:color="auto" w:fill="FFFFFF"/>
              <w:jc w:val="center"/>
              <w:rPr>
                <w:rFonts w:asciiTheme="majorBidi" w:hAnsiTheme="majorBidi" w:cstheme="majorBidi"/>
                <w:color w:val="444444"/>
                <w:sz w:val="20"/>
                <w:szCs w:val="20"/>
              </w:rPr>
            </w:pPr>
          </w:p>
          <w:p w14:paraId="3CF15D2F" w14:textId="77777777" w:rsidR="004A56E1" w:rsidRPr="00006434" w:rsidRDefault="004A56E1" w:rsidP="001D59BC">
            <w:pPr>
              <w:jc w:val="center"/>
              <w:rPr>
                <w:sz w:val="20"/>
                <w:szCs w:val="20"/>
              </w:rPr>
            </w:pPr>
          </w:p>
          <w:p w14:paraId="1396CBB4" w14:textId="77777777" w:rsidR="004A56E1" w:rsidRDefault="004A56E1" w:rsidP="001D59BC">
            <w:pPr>
              <w:jc w:val="center"/>
              <w:rPr>
                <w:b/>
                <w:sz w:val="20"/>
                <w:szCs w:val="20"/>
              </w:rPr>
            </w:pPr>
          </w:p>
          <w:p w14:paraId="7626D33B" w14:textId="3E1375A8" w:rsidR="00E87476" w:rsidRDefault="00E87476" w:rsidP="001D59BC">
            <w:pPr>
              <w:jc w:val="center"/>
              <w:rPr>
                <w:b/>
                <w:sz w:val="20"/>
                <w:szCs w:val="20"/>
              </w:rPr>
            </w:pPr>
            <w:r>
              <w:rPr>
                <w:b/>
                <w:sz w:val="20"/>
                <w:szCs w:val="20"/>
              </w:rPr>
              <w:t xml:space="preserve"> </w:t>
            </w:r>
          </w:p>
        </w:tc>
      </w:tr>
      <w:tr w:rsidR="00E87476" w14:paraId="5042CD0C" w14:textId="77777777" w:rsidTr="001D59BC">
        <w:tc>
          <w:tcPr>
            <w:tcW w:w="4680" w:type="dxa"/>
            <w:shd w:val="clear" w:color="auto" w:fill="auto"/>
            <w:tcMar>
              <w:top w:w="100" w:type="dxa"/>
              <w:left w:w="100" w:type="dxa"/>
              <w:bottom w:w="100" w:type="dxa"/>
              <w:right w:w="100" w:type="dxa"/>
            </w:tcMar>
          </w:tcPr>
          <w:p w14:paraId="0A668ECB" w14:textId="36025973" w:rsidR="00E87476" w:rsidRDefault="00006434" w:rsidP="001D59BC">
            <w:pPr>
              <w:widowControl w:val="0"/>
              <w:jc w:val="center"/>
              <w:rPr>
                <w:sz w:val="20"/>
                <w:szCs w:val="20"/>
              </w:rPr>
            </w:pPr>
            <w:r>
              <w:rPr>
                <w:noProof/>
                <w:sz w:val="20"/>
                <w:szCs w:val="20"/>
              </w:rPr>
              <w:drawing>
                <wp:inline distT="0" distB="0" distL="0" distR="0" wp14:anchorId="132E69B8" wp14:editId="790AD265">
                  <wp:extent cx="1009816" cy="833499"/>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3910" cy="861640"/>
                          </a:xfrm>
                          <a:prstGeom prst="rect">
                            <a:avLst/>
                          </a:prstGeom>
                        </pic:spPr>
                      </pic:pic>
                    </a:graphicData>
                  </a:graphic>
                </wp:inline>
              </w:drawing>
            </w:r>
          </w:p>
          <w:p w14:paraId="55B4823F" w14:textId="77777777" w:rsidR="00006434" w:rsidRDefault="00006434" w:rsidP="001D59BC">
            <w:pPr>
              <w:jc w:val="center"/>
              <w:rPr>
                <w:b/>
                <w:sz w:val="20"/>
                <w:szCs w:val="20"/>
              </w:rPr>
            </w:pPr>
          </w:p>
          <w:p w14:paraId="1B80C20A" w14:textId="503DBEF2" w:rsidR="00E87476" w:rsidRDefault="00006434" w:rsidP="001D59BC">
            <w:pPr>
              <w:jc w:val="center"/>
              <w:rPr>
                <w:sz w:val="20"/>
                <w:szCs w:val="20"/>
              </w:rPr>
            </w:pPr>
            <w:r>
              <w:rPr>
                <w:b/>
                <w:sz w:val="20"/>
                <w:szCs w:val="20"/>
              </w:rPr>
              <w:t>Child Protection Alliance</w:t>
            </w:r>
            <w:r w:rsidR="00E87476">
              <w:rPr>
                <w:b/>
                <w:sz w:val="20"/>
                <w:szCs w:val="20"/>
              </w:rPr>
              <w:t xml:space="preserve"> </w:t>
            </w:r>
          </w:p>
          <w:p w14:paraId="35A0A744" w14:textId="77777777" w:rsidR="00E87476" w:rsidRDefault="00E87476" w:rsidP="001D59BC">
            <w:pPr>
              <w:rPr>
                <w:sz w:val="20"/>
                <w:szCs w:val="20"/>
              </w:rPr>
            </w:pPr>
          </w:p>
          <w:p w14:paraId="719C67E2" w14:textId="77777777" w:rsidR="00006434" w:rsidRPr="00006434" w:rsidRDefault="00006434" w:rsidP="00006434">
            <w:pPr>
              <w:jc w:val="center"/>
              <w:rPr>
                <w:sz w:val="20"/>
                <w:szCs w:val="20"/>
                <w:lang w:val="en-GB"/>
              </w:rPr>
            </w:pPr>
            <w:r w:rsidRPr="00006434">
              <w:rPr>
                <w:sz w:val="20"/>
                <w:szCs w:val="20"/>
                <w:lang w:val="en-GB"/>
              </w:rPr>
              <w:t>Former SOS National Coordination Office</w:t>
            </w:r>
            <w:r w:rsidRPr="00006434">
              <w:rPr>
                <w:sz w:val="20"/>
                <w:szCs w:val="20"/>
                <w:lang w:val="en-GB"/>
              </w:rPr>
              <w:tab/>
            </w:r>
          </w:p>
          <w:p w14:paraId="3F005AD4" w14:textId="0E7DA326" w:rsidR="00006434" w:rsidRPr="00006434" w:rsidRDefault="00006434" w:rsidP="00125749">
            <w:pPr>
              <w:jc w:val="center"/>
              <w:rPr>
                <w:sz w:val="20"/>
                <w:szCs w:val="20"/>
                <w:lang w:val="en-GB"/>
              </w:rPr>
            </w:pPr>
            <w:proofErr w:type="spellStart"/>
            <w:r w:rsidRPr="00006434">
              <w:rPr>
                <w:sz w:val="20"/>
                <w:szCs w:val="20"/>
                <w:lang w:val="en-GB"/>
              </w:rPr>
              <w:t>Bakoteh</w:t>
            </w:r>
            <w:proofErr w:type="spellEnd"/>
            <w:r w:rsidRPr="00006434">
              <w:rPr>
                <w:sz w:val="20"/>
                <w:szCs w:val="20"/>
                <w:lang w:val="en-GB"/>
              </w:rPr>
              <w:tab/>
            </w:r>
            <w:r>
              <w:rPr>
                <w:sz w:val="20"/>
                <w:szCs w:val="20"/>
                <w:lang w:val="en-GB"/>
              </w:rPr>
              <w:t xml:space="preserve">, </w:t>
            </w:r>
            <w:proofErr w:type="spellStart"/>
            <w:r w:rsidRPr="00006434">
              <w:rPr>
                <w:sz w:val="20"/>
                <w:szCs w:val="20"/>
                <w:lang w:val="en-GB"/>
              </w:rPr>
              <w:t>Kanifing</w:t>
            </w:r>
            <w:proofErr w:type="spellEnd"/>
            <w:r w:rsidRPr="00006434">
              <w:rPr>
                <w:sz w:val="20"/>
                <w:szCs w:val="20"/>
                <w:lang w:val="en-GB"/>
              </w:rPr>
              <w:t xml:space="preserve"> Municipality</w:t>
            </w:r>
            <w:r w:rsidR="00125749">
              <w:rPr>
                <w:sz w:val="20"/>
                <w:szCs w:val="20"/>
                <w:lang w:val="en-GB"/>
              </w:rPr>
              <w:t xml:space="preserve">, </w:t>
            </w:r>
            <w:r w:rsidRPr="00006434">
              <w:rPr>
                <w:sz w:val="20"/>
                <w:szCs w:val="20"/>
                <w:lang w:val="en-GB"/>
              </w:rPr>
              <w:t>P.O. Box 4672</w:t>
            </w:r>
            <w:r w:rsidRPr="00006434">
              <w:rPr>
                <w:sz w:val="20"/>
                <w:szCs w:val="20"/>
                <w:lang w:val="en-GB"/>
              </w:rPr>
              <w:tab/>
            </w:r>
          </w:p>
          <w:p w14:paraId="0BA95B59" w14:textId="77777777" w:rsidR="00006434" w:rsidRPr="00006434" w:rsidRDefault="00006434" w:rsidP="00006434">
            <w:pPr>
              <w:jc w:val="center"/>
              <w:rPr>
                <w:sz w:val="20"/>
                <w:szCs w:val="20"/>
                <w:lang w:val="en-GB"/>
              </w:rPr>
            </w:pPr>
            <w:r w:rsidRPr="00006434">
              <w:rPr>
                <w:sz w:val="20"/>
                <w:szCs w:val="20"/>
                <w:lang w:val="en-GB"/>
              </w:rPr>
              <w:t>The Gambia</w:t>
            </w:r>
          </w:p>
          <w:p w14:paraId="0DE3C458" w14:textId="77777777" w:rsidR="00006434" w:rsidRPr="00006434" w:rsidRDefault="00006434" w:rsidP="00006434">
            <w:pPr>
              <w:jc w:val="center"/>
              <w:rPr>
                <w:sz w:val="20"/>
                <w:szCs w:val="20"/>
                <w:lang w:val="en-GB"/>
              </w:rPr>
            </w:pPr>
            <w:r w:rsidRPr="00006434">
              <w:rPr>
                <w:sz w:val="20"/>
                <w:szCs w:val="20"/>
                <w:lang w:val="en-GB"/>
              </w:rPr>
              <w:t xml:space="preserve">Email: </w:t>
            </w:r>
            <w:hyperlink r:id="rId14" w:history="1">
              <w:r w:rsidRPr="00006434">
                <w:rPr>
                  <w:rStyle w:val="Hyperlink"/>
                  <w:sz w:val="20"/>
                  <w:szCs w:val="20"/>
                  <w:lang w:val="en-GB"/>
                </w:rPr>
                <w:t>cpagambia@yahoo.com</w:t>
              </w:r>
            </w:hyperlink>
          </w:p>
          <w:p w14:paraId="75F01605" w14:textId="77777777" w:rsidR="00006434" w:rsidRPr="00006434" w:rsidRDefault="00006434" w:rsidP="00006434">
            <w:pPr>
              <w:jc w:val="center"/>
              <w:rPr>
                <w:sz w:val="20"/>
                <w:szCs w:val="20"/>
                <w:lang w:val="en-GB"/>
              </w:rPr>
            </w:pPr>
            <w:r w:rsidRPr="00006434">
              <w:rPr>
                <w:sz w:val="20"/>
                <w:szCs w:val="20"/>
                <w:lang w:val="en-GB"/>
              </w:rPr>
              <w:t xml:space="preserve">Website: </w:t>
            </w:r>
            <w:hyperlink r:id="rId15" w:history="1">
              <w:r w:rsidRPr="00006434">
                <w:rPr>
                  <w:rStyle w:val="Hyperlink"/>
                  <w:b/>
                  <w:bCs/>
                  <w:sz w:val="20"/>
                  <w:szCs w:val="20"/>
                  <w:lang w:val="en-GB"/>
                </w:rPr>
                <w:t>www.cpagambia.gm</w:t>
              </w:r>
            </w:hyperlink>
            <w:r w:rsidRPr="00006434">
              <w:rPr>
                <w:b/>
                <w:bCs/>
                <w:sz w:val="20"/>
                <w:szCs w:val="20"/>
                <w:lang w:val="en-GB"/>
              </w:rPr>
              <w:t xml:space="preserve"> </w:t>
            </w:r>
          </w:p>
          <w:p w14:paraId="5AA927A5" w14:textId="51A208F0" w:rsidR="00E87476" w:rsidRDefault="00E87476" w:rsidP="00006434">
            <w:pPr>
              <w:rPr>
                <w:b/>
                <w:sz w:val="20"/>
                <w:szCs w:val="20"/>
              </w:rPr>
            </w:pPr>
            <w:r>
              <w:rPr>
                <w:b/>
                <w:sz w:val="20"/>
                <w:szCs w:val="20"/>
              </w:rPr>
              <w:t xml:space="preserve"> </w:t>
            </w:r>
          </w:p>
        </w:tc>
        <w:tc>
          <w:tcPr>
            <w:tcW w:w="4680" w:type="dxa"/>
            <w:shd w:val="clear" w:color="auto" w:fill="auto"/>
            <w:tcMar>
              <w:top w:w="100" w:type="dxa"/>
              <w:left w:w="100" w:type="dxa"/>
              <w:bottom w:w="100" w:type="dxa"/>
              <w:right w:w="100" w:type="dxa"/>
            </w:tcMar>
          </w:tcPr>
          <w:p w14:paraId="2662CF1E" w14:textId="3B5F45E2" w:rsidR="00E87476" w:rsidRDefault="00E87476" w:rsidP="001D59BC">
            <w:pPr>
              <w:jc w:val="center"/>
              <w:rPr>
                <w:sz w:val="20"/>
                <w:szCs w:val="20"/>
              </w:rPr>
            </w:pPr>
            <w:r>
              <w:rPr>
                <w:noProof/>
                <w:sz w:val="20"/>
                <w:szCs w:val="20"/>
              </w:rPr>
              <w:drawing>
                <wp:inline distT="114300" distB="114300" distL="114300" distR="114300" wp14:anchorId="0502A772" wp14:editId="7AADEC3C">
                  <wp:extent cx="2130425" cy="833120"/>
                  <wp:effectExtent l="0" t="0" r="3175" b="508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6"/>
                          <a:srcRect b="13385"/>
                          <a:stretch/>
                        </pic:blipFill>
                        <pic:spPr bwMode="auto">
                          <a:xfrm>
                            <a:off x="0" y="0"/>
                            <a:ext cx="2130425" cy="833120"/>
                          </a:xfrm>
                          <a:prstGeom prst="rect">
                            <a:avLst/>
                          </a:prstGeom>
                          <a:ln>
                            <a:noFill/>
                          </a:ln>
                          <a:extLst>
                            <a:ext uri="{53640926-AAD7-44D8-BBD7-CCE9431645EC}">
                              <a14:shadowObscured xmlns:a14="http://schemas.microsoft.com/office/drawing/2010/main"/>
                            </a:ext>
                          </a:extLst>
                        </pic:spPr>
                      </pic:pic>
                    </a:graphicData>
                  </a:graphic>
                </wp:inline>
              </w:drawing>
            </w:r>
          </w:p>
          <w:p w14:paraId="140487C9" w14:textId="77777777" w:rsidR="005F2651" w:rsidRDefault="005F2651" w:rsidP="001D59BC">
            <w:pPr>
              <w:jc w:val="center"/>
              <w:rPr>
                <w:b/>
                <w:sz w:val="20"/>
                <w:szCs w:val="20"/>
              </w:rPr>
            </w:pPr>
          </w:p>
          <w:p w14:paraId="37B07423" w14:textId="2C1746D1" w:rsidR="00E87476" w:rsidRDefault="00E87476" w:rsidP="001D59BC">
            <w:pPr>
              <w:jc w:val="center"/>
              <w:rPr>
                <w:b/>
                <w:sz w:val="20"/>
                <w:szCs w:val="20"/>
              </w:rPr>
            </w:pPr>
            <w:r>
              <w:rPr>
                <w:b/>
                <w:sz w:val="20"/>
                <w:szCs w:val="20"/>
              </w:rPr>
              <w:t>Musawah</w:t>
            </w:r>
          </w:p>
          <w:p w14:paraId="07642C13" w14:textId="77777777" w:rsidR="00E87476" w:rsidRDefault="00E87476" w:rsidP="001D59BC">
            <w:pPr>
              <w:jc w:val="center"/>
              <w:rPr>
                <w:sz w:val="20"/>
                <w:szCs w:val="20"/>
              </w:rPr>
            </w:pPr>
          </w:p>
          <w:p w14:paraId="28FB81B6" w14:textId="77777777" w:rsidR="00E87476" w:rsidRDefault="00E87476" w:rsidP="001D59BC">
            <w:pPr>
              <w:jc w:val="center"/>
              <w:rPr>
                <w:sz w:val="20"/>
                <w:szCs w:val="20"/>
              </w:rPr>
            </w:pPr>
            <w:r>
              <w:rPr>
                <w:sz w:val="20"/>
                <w:szCs w:val="20"/>
              </w:rPr>
              <w:t xml:space="preserve">15, Jalan </w:t>
            </w:r>
            <w:proofErr w:type="spellStart"/>
            <w:r>
              <w:rPr>
                <w:sz w:val="20"/>
                <w:szCs w:val="20"/>
              </w:rPr>
              <w:t>Limau</w:t>
            </w:r>
            <w:proofErr w:type="spellEnd"/>
            <w:r>
              <w:rPr>
                <w:sz w:val="20"/>
                <w:szCs w:val="20"/>
              </w:rPr>
              <w:t xml:space="preserve"> </w:t>
            </w:r>
            <w:proofErr w:type="spellStart"/>
            <w:r>
              <w:rPr>
                <w:sz w:val="20"/>
                <w:szCs w:val="20"/>
              </w:rPr>
              <w:t>Purut</w:t>
            </w:r>
            <w:proofErr w:type="spellEnd"/>
            <w:r>
              <w:rPr>
                <w:sz w:val="20"/>
                <w:szCs w:val="20"/>
              </w:rPr>
              <w:t xml:space="preserve">, Bangsar Park, 59000 Kuala Lumpur, Malaysia </w:t>
            </w:r>
          </w:p>
          <w:p w14:paraId="53ABEE6B" w14:textId="77777777" w:rsidR="00E87476" w:rsidRDefault="00E87476" w:rsidP="001D59BC">
            <w:pPr>
              <w:jc w:val="center"/>
              <w:rPr>
                <w:sz w:val="20"/>
                <w:szCs w:val="20"/>
              </w:rPr>
            </w:pPr>
            <w:r>
              <w:rPr>
                <w:sz w:val="20"/>
                <w:szCs w:val="20"/>
              </w:rPr>
              <w:t xml:space="preserve">Tel: +603 2083 0202 Fax: +603 2202 0303 </w:t>
            </w:r>
          </w:p>
          <w:p w14:paraId="05E66DC5" w14:textId="77777777" w:rsidR="00E87476" w:rsidRDefault="00E87476" w:rsidP="001D59BC">
            <w:pPr>
              <w:jc w:val="center"/>
              <w:rPr>
                <w:sz w:val="20"/>
                <w:szCs w:val="20"/>
              </w:rPr>
            </w:pPr>
            <w:r>
              <w:rPr>
                <w:sz w:val="20"/>
                <w:szCs w:val="20"/>
              </w:rPr>
              <w:t xml:space="preserve">Email: </w:t>
            </w:r>
            <w:hyperlink r:id="rId17">
              <w:r>
                <w:rPr>
                  <w:color w:val="1155CC"/>
                  <w:sz w:val="20"/>
                  <w:szCs w:val="20"/>
                  <w:u w:val="single"/>
                </w:rPr>
                <w:t>musawah@</w:t>
              </w:r>
              <w:r>
                <w:rPr>
                  <w:color w:val="1155CC"/>
                  <w:sz w:val="20"/>
                  <w:szCs w:val="20"/>
                  <w:u w:val="single"/>
                </w:rPr>
                <w:t>m</w:t>
              </w:r>
              <w:r>
                <w:rPr>
                  <w:color w:val="1155CC"/>
                  <w:sz w:val="20"/>
                  <w:szCs w:val="20"/>
                  <w:u w:val="single"/>
                </w:rPr>
                <w:t>usawah.org</w:t>
              </w:r>
            </w:hyperlink>
          </w:p>
          <w:p w14:paraId="740DCB72" w14:textId="77777777" w:rsidR="00E87476" w:rsidRDefault="00E87476" w:rsidP="001D59BC">
            <w:pPr>
              <w:widowControl w:val="0"/>
              <w:jc w:val="center"/>
              <w:rPr>
                <w:sz w:val="20"/>
                <w:szCs w:val="20"/>
              </w:rPr>
            </w:pPr>
            <w:r>
              <w:rPr>
                <w:sz w:val="20"/>
                <w:szCs w:val="20"/>
              </w:rPr>
              <w:t xml:space="preserve">Web: </w:t>
            </w:r>
            <w:hyperlink r:id="rId18">
              <w:r>
                <w:rPr>
                  <w:b/>
                  <w:color w:val="1155CC"/>
                  <w:sz w:val="20"/>
                  <w:szCs w:val="20"/>
                  <w:u w:val="single"/>
                </w:rPr>
                <w:t>www.musawah.org</w:t>
              </w:r>
            </w:hyperlink>
            <w:r>
              <w:rPr>
                <w:b/>
                <w:sz w:val="20"/>
                <w:szCs w:val="20"/>
              </w:rPr>
              <w:t xml:space="preserve"> </w:t>
            </w:r>
          </w:p>
        </w:tc>
      </w:tr>
    </w:tbl>
    <w:p w14:paraId="434F61A8" w14:textId="7CEA21D4" w:rsidR="00E26F24" w:rsidRPr="007D41ED" w:rsidRDefault="00E87476" w:rsidP="00125749">
      <w:pPr>
        <w:rPr>
          <w:rFonts w:asciiTheme="minorBidi" w:eastAsia="Arial" w:hAnsiTheme="minorBidi" w:cstheme="minorBidi"/>
        </w:rPr>
        <w:sectPr w:rsidR="00E26F24" w:rsidRPr="007D41ED">
          <w:footerReference w:type="even" r:id="rId19"/>
          <w:footerReference w:type="default" r:id="rId20"/>
          <w:type w:val="continuous"/>
          <w:pgSz w:w="11900" w:h="16820"/>
          <w:pgMar w:top="1267" w:right="1454" w:bottom="990" w:left="1526" w:header="360" w:footer="360" w:gutter="0"/>
          <w:cols w:space="720"/>
        </w:sectPr>
      </w:pPr>
      <w:r>
        <w:rPr>
          <w:rFonts w:asciiTheme="minorBidi" w:eastAsia="Arial" w:hAnsiTheme="minorBidi" w:cstheme="minorBidi"/>
          <w:b/>
        </w:rPr>
        <w:br w:type="page"/>
      </w:r>
    </w:p>
    <w:p w14:paraId="102FEA83" w14:textId="77777777" w:rsidR="00892FA5" w:rsidRPr="00F0236D" w:rsidRDefault="00892FA5" w:rsidP="00892FA5">
      <w:pPr>
        <w:pStyle w:val="Normal1"/>
        <w:shd w:val="clear" w:color="auto" w:fill="BD0014"/>
        <w:tabs>
          <w:tab w:val="left" w:pos="270"/>
          <w:tab w:val="left" w:pos="630"/>
        </w:tabs>
        <w:spacing w:before="40" w:after="40" w:line="240" w:lineRule="auto"/>
        <w:ind w:left="547" w:hanging="547"/>
        <w:rPr>
          <w:rFonts w:ascii="Arial" w:eastAsia="Arial" w:hAnsi="Arial" w:cs="Arial"/>
          <w:b/>
          <w:smallCaps/>
          <w:noProof/>
          <w:color w:val="FFFFFF"/>
          <w:sz w:val="30"/>
          <w:szCs w:val="30"/>
          <w:lang w:val="en-GB"/>
        </w:rPr>
      </w:pPr>
      <w:bookmarkStart w:id="0" w:name="_30j0zll" w:colFirst="0" w:colLast="0"/>
      <w:bookmarkStart w:id="1" w:name="_Toc526513931"/>
      <w:bookmarkStart w:id="2" w:name="_Toc103472502"/>
      <w:bookmarkEnd w:id="0"/>
      <w:r w:rsidRPr="00F0236D">
        <w:rPr>
          <w:rFonts w:ascii="Arial" w:eastAsia="Arial" w:hAnsi="Arial" w:cs="Arial"/>
          <w:b/>
          <w:smallCaps/>
          <w:noProof/>
          <w:color w:val="FFFFFF"/>
          <w:sz w:val="30"/>
          <w:szCs w:val="30"/>
          <w:lang w:val="en-GB"/>
        </w:rPr>
        <w:lastRenderedPageBreak/>
        <w:t>Table of Contents</w:t>
      </w:r>
    </w:p>
    <w:p w14:paraId="3AD66821" w14:textId="194460BC" w:rsidR="00892FA5" w:rsidRDefault="00892FA5">
      <w:pPr>
        <w:rPr>
          <w:rFonts w:asciiTheme="minorBidi" w:eastAsia="Arial" w:hAnsiTheme="minorBidi" w:cstheme="minorBidi"/>
          <w:color w:val="FFFFFF"/>
          <w:sz w:val="28"/>
          <w:szCs w:val="28"/>
        </w:rPr>
      </w:pPr>
    </w:p>
    <w:sdt>
      <w:sdtPr>
        <w:id w:val="713158483"/>
        <w:docPartObj>
          <w:docPartGallery w:val="Table of Contents"/>
          <w:docPartUnique/>
        </w:docPartObj>
      </w:sdtPr>
      <w:sdtEndPr>
        <w:rPr>
          <w:rFonts w:ascii="Times New Roman" w:hAnsi="Times New Roman" w:cs="Times New Roman"/>
          <w:i w:val="0"/>
          <w:iCs w:val="0"/>
          <w:noProof/>
          <w:szCs w:val="24"/>
        </w:rPr>
      </w:sdtEndPr>
      <w:sdtContent>
        <w:p w14:paraId="78EBB2C2" w14:textId="0CB244C6" w:rsidR="00D96007" w:rsidRDefault="00892FA5">
          <w:pPr>
            <w:pStyle w:val="TOC1"/>
            <w:tabs>
              <w:tab w:val="right" w:leader="dot" w:pos="8910"/>
            </w:tabs>
            <w:rPr>
              <w:rFonts w:eastAsiaTheme="minorEastAsia" w:cstheme="minorBidi"/>
              <w:b w:val="0"/>
              <w:bCs w:val="0"/>
              <w:i w:val="0"/>
              <w:iCs w:val="0"/>
              <w:noProof/>
              <w:szCs w:val="24"/>
              <w:lang w:val="en-PK" w:eastAsia="en-GB"/>
            </w:rPr>
          </w:pPr>
          <w:r>
            <w:fldChar w:fldCharType="begin"/>
          </w:r>
          <w:r>
            <w:instrText xml:space="preserve"> TOC \o "1-3" \h \z \u </w:instrText>
          </w:r>
          <w:r>
            <w:fldChar w:fldCharType="separate"/>
          </w:r>
          <w:hyperlink w:anchor="_Toc113905648" w:history="1">
            <w:r w:rsidR="00D96007" w:rsidRPr="000024CB">
              <w:rPr>
                <w:rStyle w:val="Hyperlink"/>
                <w:noProof/>
              </w:rPr>
              <w:t>A. INTRODUCTION</w:t>
            </w:r>
            <w:r w:rsidR="00D96007">
              <w:rPr>
                <w:noProof/>
                <w:webHidden/>
              </w:rPr>
              <w:tab/>
            </w:r>
            <w:r w:rsidR="00D96007">
              <w:rPr>
                <w:noProof/>
                <w:webHidden/>
              </w:rPr>
              <w:fldChar w:fldCharType="begin"/>
            </w:r>
            <w:r w:rsidR="00D96007">
              <w:rPr>
                <w:noProof/>
                <w:webHidden/>
              </w:rPr>
              <w:instrText xml:space="preserve"> PAGEREF _Toc113905648 \h </w:instrText>
            </w:r>
            <w:r w:rsidR="00D96007">
              <w:rPr>
                <w:noProof/>
                <w:webHidden/>
              </w:rPr>
            </w:r>
            <w:r w:rsidR="00D96007">
              <w:rPr>
                <w:noProof/>
                <w:webHidden/>
              </w:rPr>
              <w:fldChar w:fldCharType="separate"/>
            </w:r>
            <w:r w:rsidR="00C267F7">
              <w:rPr>
                <w:noProof/>
                <w:webHidden/>
              </w:rPr>
              <w:t>3</w:t>
            </w:r>
            <w:r w:rsidR="00D96007">
              <w:rPr>
                <w:noProof/>
                <w:webHidden/>
              </w:rPr>
              <w:fldChar w:fldCharType="end"/>
            </w:r>
          </w:hyperlink>
        </w:p>
        <w:p w14:paraId="0535BAF6" w14:textId="14AC441C" w:rsidR="00D96007" w:rsidRDefault="00D96007">
          <w:pPr>
            <w:pStyle w:val="TOC1"/>
            <w:tabs>
              <w:tab w:val="right" w:leader="dot" w:pos="8910"/>
            </w:tabs>
            <w:rPr>
              <w:rFonts w:eastAsiaTheme="minorEastAsia" w:cstheme="minorBidi"/>
              <w:b w:val="0"/>
              <w:bCs w:val="0"/>
              <w:i w:val="0"/>
              <w:iCs w:val="0"/>
              <w:noProof/>
              <w:szCs w:val="24"/>
              <w:lang w:val="en-PK" w:eastAsia="en-GB"/>
            </w:rPr>
          </w:pPr>
          <w:hyperlink w:anchor="_Toc113905649" w:history="1">
            <w:r w:rsidRPr="000024CB">
              <w:rPr>
                <w:rStyle w:val="Hyperlink"/>
                <w:noProof/>
              </w:rPr>
              <w:t>B. BACKGROU</w:t>
            </w:r>
            <w:r w:rsidRPr="000024CB">
              <w:rPr>
                <w:rStyle w:val="Hyperlink"/>
                <w:noProof/>
              </w:rPr>
              <w:t>N</w:t>
            </w:r>
            <w:r w:rsidRPr="000024CB">
              <w:rPr>
                <w:rStyle w:val="Hyperlink"/>
                <w:noProof/>
              </w:rPr>
              <w:t>D AND LEGAL FRAMEWORK</w:t>
            </w:r>
            <w:r>
              <w:rPr>
                <w:noProof/>
                <w:webHidden/>
              </w:rPr>
              <w:tab/>
            </w:r>
            <w:r>
              <w:rPr>
                <w:noProof/>
                <w:webHidden/>
              </w:rPr>
              <w:fldChar w:fldCharType="begin"/>
            </w:r>
            <w:r>
              <w:rPr>
                <w:noProof/>
                <w:webHidden/>
              </w:rPr>
              <w:instrText xml:space="preserve"> PAGEREF _Toc113905649 \h </w:instrText>
            </w:r>
            <w:r>
              <w:rPr>
                <w:noProof/>
                <w:webHidden/>
              </w:rPr>
            </w:r>
            <w:r>
              <w:rPr>
                <w:noProof/>
                <w:webHidden/>
              </w:rPr>
              <w:fldChar w:fldCharType="separate"/>
            </w:r>
            <w:r w:rsidR="00C267F7">
              <w:rPr>
                <w:noProof/>
                <w:webHidden/>
              </w:rPr>
              <w:t>3</w:t>
            </w:r>
            <w:r>
              <w:rPr>
                <w:noProof/>
                <w:webHidden/>
              </w:rPr>
              <w:fldChar w:fldCharType="end"/>
            </w:r>
          </w:hyperlink>
        </w:p>
        <w:p w14:paraId="795213DB" w14:textId="1A00ECDB" w:rsidR="00D96007" w:rsidRDefault="00D96007">
          <w:pPr>
            <w:pStyle w:val="TOC1"/>
            <w:tabs>
              <w:tab w:val="right" w:leader="dot" w:pos="8910"/>
            </w:tabs>
            <w:rPr>
              <w:rFonts w:eastAsiaTheme="minorEastAsia" w:cstheme="minorBidi"/>
              <w:b w:val="0"/>
              <w:bCs w:val="0"/>
              <w:i w:val="0"/>
              <w:iCs w:val="0"/>
              <w:noProof/>
              <w:szCs w:val="24"/>
              <w:lang w:val="en-PK" w:eastAsia="en-GB"/>
            </w:rPr>
          </w:pPr>
          <w:hyperlink w:anchor="_Toc113905650" w:history="1">
            <w:r w:rsidRPr="000024CB">
              <w:rPr>
                <w:rStyle w:val="Hyperlink"/>
                <w:noProof/>
              </w:rPr>
              <w:t>C. KEY ISSUES AND RECOMMENDATIONS</w:t>
            </w:r>
            <w:r>
              <w:rPr>
                <w:noProof/>
                <w:webHidden/>
              </w:rPr>
              <w:tab/>
            </w:r>
            <w:r>
              <w:rPr>
                <w:noProof/>
                <w:webHidden/>
              </w:rPr>
              <w:fldChar w:fldCharType="begin"/>
            </w:r>
            <w:r>
              <w:rPr>
                <w:noProof/>
                <w:webHidden/>
              </w:rPr>
              <w:instrText xml:space="preserve"> PAGEREF _Toc113905650 \h </w:instrText>
            </w:r>
            <w:r>
              <w:rPr>
                <w:noProof/>
                <w:webHidden/>
              </w:rPr>
            </w:r>
            <w:r>
              <w:rPr>
                <w:noProof/>
                <w:webHidden/>
              </w:rPr>
              <w:fldChar w:fldCharType="separate"/>
            </w:r>
            <w:r w:rsidR="00C267F7">
              <w:rPr>
                <w:noProof/>
                <w:webHidden/>
              </w:rPr>
              <w:t>4</w:t>
            </w:r>
            <w:r>
              <w:rPr>
                <w:noProof/>
                <w:webHidden/>
              </w:rPr>
              <w:fldChar w:fldCharType="end"/>
            </w:r>
          </w:hyperlink>
        </w:p>
        <w:p w14:paraId="5CD0A401" w14:textId="6AF434CD" w:rsidR="00D96007" w:rsidRDefault="00D96007">
          <w:pPr>
            <w:pStyle w:val="TOC2"/>
            <w:tabs>
              <w:tab w:val="left" w:pos="720"/>
              <w:tab w:val="right" w:leader="dot" w:pos="8910"/>
            </w:tabs>
            <w:rPr>
              <w:rFonts w:eastAsiaTheme="minorEastAsia" w:cstheme="minorBidi"/>
              <w:b w:val="0"/>
              <w:bCs w:val="0"/>
              <w:noProof/>
              <w:sz w:val="24"/>
              <w:szCs w:val="24"/>
              <w:lang w:val="en-PK" w:eastAsia="en-GB"/>
            </w:rPr>
          </w:pPr>
          <w:hyperlink w:anchor="_Toc113905651" w:history="1">
            <w:r w:rsidRPr="000024CB">
              <w:rPr>
                <w:rStyle w:val="Hyperlink"/>
                <w:noProof/>
              </w:rPr>
              <w:t>1.</w:t>
            </w:r>
            <w:r>
              <w:rPr>
                <w:rFonts w:eastAsiaTheme="minorEastAsia" w:cstheme="minorBidi"/>
                <w:b w:val="0"/>
                <w:bCs w:val="0"/>
                <w:noProof/>
                <w:sz w:val="24"/>
                <w:szCs w:val="24"/>
                <w:lang w:val="en-PK" w:eastAsia="en-GB"/>
              </w:rPr>
              <w:tab/>
            </w:r>
            <w:r w:rsidRPr="000024CB">
              <w:rPr>
                <w:rStyle w:val="Hyperlink"/>
                <w:noProof/>
              </w:rPr>
              <w:t xml:space="preserve">Spousal Equality in the </w:t>
            </w:r>
            <w:r>
              <w:rPr>
                <w:rStyle w:val="Hyperlink"/>
                <w:noProof/>
              </w:rPr>
              <w:t xml:space="preserve">Law, </w:t>
            </w:r>
            <w:r w:rsidRPr="000024CB">
              <w:rPr>
                <w:rStyle w:val="Hyperlink"/>
                <w:noProof/>
              </w:rPr>
              <w:t>Article</w:t>
            </w:r>
            <w:r w:rsidR="00852829">
              <w:rPr>
                <w:rStyle w:val="Hyperlink"/>
                <w:noProof/>
              </w:rPr>
              <w:t>s 2,</w:t>
            </w:r>
            <w:r w:rsidRPr="000024CB">
              <w:rPr>
                <w:rStyle w:val="Hyperlink"/>
                <w:noProof/>
              </w:rPr>
              <w:t xml:space="preserve"> 16</w:t>
            </w:r>
            <w:r>
              <w:rPr>
                <w:noProof/>
                <w:webHidden/>
              </w:rPr>
              <w:tab/>
            </w:r>
            <w:r>
              <w:rPr>
                <w:noProof/>
                <w:webHidden/>
              </w:rPr>
              <w:fldChar w:fldCharType="begin"/>
            </w:r>
            <w:r>
              <w:rPr>
                <w:noProof/>
                <w:webHidden/>
              </w:rPr>
              <w:instrText xml:space="preserve"> PAGEREF _Toc113905651 \h </w:instrText>
            </w:r>
            <w:r>
              <w:rPr>
                <w:noProof/>
                <w:webHidden/>
              </w:rPr>
            </w:r>
            <w:r>
              <w:rPr>
                <w:noProof/>
                <w:webHidden/>
              </w:rPr>
              <w:fldChar w:fldCharType="separate"/>
            </w:r>
            <w:r w:rsidR="00C267F7">
              <w:rPr>
                <w:noProof/>
                <w:webHidden/>
              </w:rPr>
              <w:t>4</w:t>
            </w:r>
            <w:r>
              <w:rPr>
                <w:noProof/>
                <w:webHidden/>
              </w:rPr>
              <w:fldChar w:fldCharType="end"/>
            </w:r>
          </w:hyperlink>
        </w:p>
        <w:p w14:paraId="4B30A67C" w14:textId="023DE6DD" w:rsidR="00D96007" w:rsidRDefault="00D96007">
          <w:pPr>
            <w:pStyle w:val="TOC2"/>
            <w:tabs>
              <w:tab w:val="left" w:pos="720"/>
              <w:tab w:val="right" w:leader="dot" w:pos="8910"/>
            </w:tabs>
            <w:rPr>
              <w:rFonts w:eastAsiaTheme="minorEastAsia" w:cstheme="minorBidi"/>
              <w:b w:val="0"/>
              <w:bCs w:val="0"/>
              <w:noProof/>
              <w:sz w:val="24"/>
              <w:szCs w:val="24"/>
              <w:lang w:val="en-PK" w:eastAsia="en-GB"/>
            </w:rPr>
          </w:pPr>
          <w:hyperlink w:anchor="_Toc113905652" w:history="1">
            <w:r w:rsidRPr="000024CB">
              <w:rPr>
                <w:rStyle w:val="Hyperlink"/>
                <w:noProof/>
              </w:rPr>
              <w:t>2.</w:t>
            </w:r>
            <w:r>
              <w:rPr>
                <w:rFonts w:eastAsiaTheme="minorEastAsia" w:cstheme="minorBidi"/>
                <w:b w:val="0"/>
                <w:bCs w:val="0"/>
                <w:noProof/>
                <w:sz w:val="24"/>
                <w:szCs w:val="24"/>
                <w:lang w:val="en-PK" w:eastAsia="en-GB"/>
              </w:rPr>
              <w:tab/>
            </w:r>
            <w:r w:rsidRPr="000024CB">
              <w:rPr>
                <w:rStyle w:val="Hyperlink"/>
                <w:noProof/>
              </w:rPr>
              <w:t xml:space="preserve">Child </w:t>
            </w:r>
            <w:r>
              <w:rPr>
                <w:rStyle w:val="Hyperlink"/>
                <w:noProof/>
              </w:rPr>
              <w:t xml:space="preserve">Marriage, </w:t>
            </w:r>
            <w:r w:rsidRPr="000024CB">
              <w:rPr>
                <w:rStyle w:val="Hyperlink"/>
                <w:noProof/>
              </w:rPr>
              <w:t>Article 16</w:t>
            </w:r>
            <w:r>
              <w:rPr>
                <w:noProof/>
                <w:webHidden/>
              </w:rPr>
              <w:tab/>
            </w:r>
            <w:r>
              <w:rPr>
                <w:noProof/>
                <w:webHidden/>
              </w:rPr>
              <w:fldChar w:fldCharType="begin"/>
            </w:r>
            <w:r>
              <w:rPr>
                <w:noProof/>
                <w:webHidden/>
              </w:rPr>
              <w:instrText xml:space="preserve"> PAGEREF _Toc113905652 \h </w:instrText>
            </w:r>
            <w:r>
              <w:rPr>
                <w:noProof/>
                <w:webHidden/>
              </w:rPr>
            </w:r>
            <w:r>
              <w:rPr>
                <w:noProof/>
                <w:webHidden/>
              </w:rPr>
              <w:fldChar w:fldCharType="separate"/>
            </w:r>
            <w:r w:rsidR="00C267F7">
              <w:rPr>
                <w:noProof/>
                <w:webHidden/>
              </w:rPr>
              <w:t>5</w:t>
            </w:r>
            <w:r>
              <w:rPr>
                <w:noProof/>
                <w:webHidden/>
              </w:rPr>
              <w:fldChar w:fldCharType="end"/>
            </w:r>
          </w:hyperlink>
        </w:p>
        <w:p w14:paraId="246FC102" w14:textId="588CDE62" w:rsidR="00D96007" w:rsidRDefault="00D96007">
          <w:pPr>
            <w:pStyle w:val="TOC2"/>
            <w:tabs>
              <w:tab w:val="left" w:pos="720"/>
              <w:tab w:val="right" w:leader="dot" w:pos="8910"/>
            </w:tabs>
            <w:rPr>
              <w:rFonts w:eastAsiaTheme="minorEastAsia" w:cstheme="minorBidi"/>
              <w:b w:val="0"/>
              <w:bCs w:val="0"/>
              <w:noProof/>
              <w:sz w:val="24"/>
              <w:szCs w:val="24"/>
              <w:lang w:val="en-PK" w:eastAsia="en-GB"/>
            </w:rPr>
          </w:pPr>
          <w:hyperlink w:anchor="_Toc113905653" w:history="1">
            <w:r w:rsidRPr="000024CB">
              <w:rPr>
                <w:rStyle w:val="Hyperlink"/>
                <w:noProof/>
              </w:rPr>
              <w:t>3.</w:t>
            </w:r>
            <w:r>
              <w:rPr>
                <w:rFonts w:eastAsiaTheme="minorEastAsia" w:cstheme="minorBidi"/>
                <w:b w:val="0"/>
                <w:bCs w:val="0"/>
                <w:noProof/>
                <w:sz w:val="24"/>
                <w:szCs w:val="24"/>
                <w:lang w:val="en-PK" w:eastAsia="en-GB"/>
              </w:rPr>
              <w:tab/>
            </w:r>
            <w:r w:rsidRPr="000024CB">
              <w:rPr>
                <w:rStyle w:val="Hyperlink"/>
                <w:noProof/>
              </w:rPr>
              <w:t xml:space="preserve">Violence Against </w:t>
            </w:r>
            <w:r>
              <w:rPr>
                <w:rStyle w:val="Hyperlink"/>
                <w:noProof/>
              </w:rPr>
              <w:t xml:space="preserve">Women, </w:t>
            </w:r>
            <w:r w:rsidRPr="000024CB">
              <w:rPr>
                <w:rStyle w:val="Hyperlink"/>
                <w:noProof/>
              </w:rPr>
              <w:t>Articles 11-5, 16 &amp; 19, &amp; GR35</w:t>
            </w:r>
            <w:r>
              <w:rPr>
                <w:noProof/>
                <w:webHidden/>
              </w:rPr>
              <w:tab/>
            </w:r>
            <w:r>
              <w:rPr>
                <w:noProof/>
                <w:webHidden/>
              </w:rPr>
              <w:fldChar w:fldCharType="begin"/>
            </w:r>
            <w:r>
              <w:rPr>
                <w:noProof/>
                <w:webHidden/>
              </w:rPr>
              <w:instrText xml:space="preserve"> PAGEREF _Toc113905653 \h </w:instrText>
            </w:r>
            <w:r>
              <w:rPr>
                <w:noProof/>
                <w:webHidden/>
              </w:rPr>
            </w:r>
            <w:r>
              <w:rPr>
                <w:noProof/>
                <w:webHidden/>
              </w:rPr>
              <w:fldChar w:fldCharType="separate"/>
            </w:r>
            <w:r w:rsidR="00C267F7">
              <w:rPr>
                <w:noProof/>
                <w:webHidden/>
              </w:rPr>
              <w:t>6</w:t>
            </w:r>
            <w:r>
              <w:rPr>
                <w:noProof/>
                <w:webHidden/>
              </w:rPr>
              <w:fldChar w:fldCharType="end"/>
            </w:r>
          </w:hyperlink>
        </w:p>
        <w:p w14:paraId="6E4C3B05" w14:textId="3311926E" w:rsidR="00D96007" w:rsidRDefault="00D96007">
          <w:pPr>
            <w:pStyle w:val="TOC2"/>
            <w:tabs>
              <w:tab w:val="left" w:pos="720"/>
              <w:tab w:val="right" w:leader="dot" w:pos="8910"/>
            </w:tabs>
            <w:rPr>
              <w:rFonts w:eastAsiaTheme="minorEastAsia" w:cstheme="minorBidi"/>
              <w:b w:val="0"/>
              <w:bCs w:val="0"/>
              <w:noProof/>
              <w:sz w:val="24"/>
              <w:szCs w:val="24"/>
              <w:lang w:val="en-PK" w:eastAsia="en-GB"/>
            </w:rPr>
          </w:pPr>
          <w:hyperlink w:anchor="_Toc113905654" w:history="1">
            <w:r w:rsidRPr="000024CB">
              <w:rPr>
                <w:rStyle w:val="Hyperlink"/>
                <w:iCs/>
                <w:noProof/>
              </w:rPr>
              <w:t>4.</w:t>
            </w:r>
            <w:r>
              <w:rPr>
                <w:rFonts w:eastAsiaTheme="minorEastAsia" w:cstheme="minorBidi"/>
                <w:b w:val="0"/>
                <w:bCs w:val="0"/>
                <w:noProof/>
                <w:sz w:val="24"/>
                <w:szCs w:val="24"/>
                <w:lang w:val="en-PK" w:eastAsia="en-GB"/>
              </w:rPr>
              <w:tab/>
            </w:r>
            <w:r>
              <w:rPr>
                <w:rStyle w:val="Hyperlink"/>
                <w:noProof/>
              </w:rPr>
              <w:t xml:space="preserve">Polygamy, </w:t>
            </w:r>
            <w:r w:rsidRPr="000024CB">
              <w:rPr>
                <w:rStyle w:val="Hyperlink"/>
                <w:noProof/>
              </w:rPr>
              <w:t>Article 16</w:t>
            </w:r>
            <w:r>
              <w:rPr>
                <w:noProof/>
                <w:webHidden/>
              </w:rPr>
              <w:tab/>
            </w:r>
            <w:r>
              <w:rPr>
                <w:noProof/>
                <w:webHidden/>
              </w:rPr>
              <w:fldChar w:fldCharType="begin"/>
            </w:r>
            <w:r>
              <w:rPr>
                <w:noProof/>
                <w:webHidden/>
              </w:rPr>
              <w:instrText xml:space="preserve"> PAGEREF _Toc113905654 \h </w:instrText>
            </w:r>
            <w:r>
              <w:rPr>
                <w:noProof/>
                <w:webHidden/>
              </w:rPr>
            </w:r>
            <w:r>
              <w:rPr>
                <w:noProof/>
                <w:webHidden/>
              </w:rPr>
              <w:fldChar w:fldCharType="separate"/>
            </w:r>
            <w:r w:rsidR="00C267F7">
              <w:rPr>
                <w:noProof/>
                <w:webHidden/>
              </w:rPr>
              <w:t>8</w:t>
            </w:r>
            <w:r>
              <w:rPr>
                <w:noProof/>
                <w:webHidden/>
              </w:rPr>
              <w:fldChar w:fldCharType="end"/>
            </w:r>
          </w:hyperlink>
        </w:p>
        <w:p w14:paraId="7D813216" w14:textId="4E8892D6" w:rsidR="00D96007" w:rsidRDefault="00D96007">
          <w:pPr>
            <w:pStyle w:val="TOC2"/>
            <w:tabs>
              <w:tab w:val="left" w:pos="720"/>
              <w:tab w:val="right" w:leader="dot" w:pos="8910"/>
            </w:tabs>
            <w:rPr>
              <w:rFonts w:eastAsiaTheme="minorEastAsia" w:cstheme="minorBidi"/>
              <w:b w:val="0"/>
              <w:bCs w:val="0"/>
              <w:noProof/>
              <w:sz w:val="24"/>
              <w:szCs w:val="24"/>
              <w:lang w:val="en-PK" w:eastAsia="en-GB"/>
            </w:rPr>
          </w:pPr>
          <w:hyperlink w:anchor="_Toc113905655" w:history="1">
            <w:r w:rsidRPr="000024CB">
              <w:rPr>
                <w:rStyle w:val="Hyperlink"/>
                <w:iCs/>
                <w:noProof/>
              </w:rPr>
              <w:t>5.</w:t>
            </w:r>
            <w:r>
              <w:rPr>
                <w:rFonts w:eastAsiaTheme="minorEastAsia" w:cstheme="minorBidi"/>
                <w:b w:val="0"/>
                <w:bCs w:val="0"/>
                <w:noProof/>
                <w:sz w:val="24"/>
                <w:szCs w:val="24"/>
                <w:lang w:val="en-PK" w:eastAsia="en-GB"/>
              </w:rPr>
              <w:tab/>
            </w:r>
            <w:r>
              <w:rPr>
                <w:rStyle w:val="Hyperlink"/>
                <w:noProof/>
              </w:rPr>
              <w:t>Inheritance,</w:t>
            </w:r>
            <w:r w:rsidRPr="000024CB">
              <w:rPr>
                <w:rStyle w:val="Hyperlink"/>
                <w:noProof/>
              </w:rPr>
              <w:t xml:space="preserve"> Article 16</w:t>
            </w:r>
            <w:r>
              <w:rPr>
                <w:noProof/>
                <w:webHidden/>
              </w:rPr>
              <w:tab/>
            </w:r>
            <w:r>
              <w:rPr>
                <w:noProof/>
                <w:webHidden/>
              </w:rPr>
              <w:fldChar w:fldCharType="begin"/>
            </w:r>
            <w:r>
              <w:rPr>
                <w:noProof/>
                <w:webHidden/>
              </w:rPr>
              <w:instrText xml:space="preserve"> PAGEREF _Toc113905655 \h </w:instrText>
            </w:r>
            <w:r>
              <w:rPr>
                <w:noProof/>
                <w:webHidden/>
              </w:rPr>
            </w:r>
            <w:r>
              <w:rPr>
                <w:noProof/>
                <w:webHidden/>
              </w:rPr>
              <w:fldChar w:fldCharType="separate"/>
            </w:r>
            <w:r w:rsidR="00C267F7">
              <w:rPr>
                <w:noProof/>
                <w:webHidden/>
              </w:rPr>
              <w:t>10</w:t>
            </w:r>
            <w:r>
              <w:rPr>
                <w:noProof/>
                <w:webHidden/>
              </w:rPr>
              <w:fldChar w:fldCharType="end"/>
            </w:r>
          </w:hyperlink>
        </w:p>
        <w:p w14:paraId="478F1365" w14:textId="606B7F2F" w:rsidR="00892FA5" w:rsidRDefault="00892FA5">
          <w:r>
            <w:rPr>
              <w:b/>
              <w:bCs/>
              <w:noProof/>
            </w:rPr>
            <w:fldChar w:fldCharType="end"/>
          </w:r>
        </w:p>
      </w:sdtContent>
    </w:sdt>
    <w:p w14:paraId="6F3FC829" w14:textId="19D980FF" w:rsidR="00892FA5" w:rsidRDefault="00892FA5">
      <w:pPr>
        <w:rPr>
          <w:rFonts w:asciiTheme="minorBidi" w:eastAsia="Arial" w:hAnsiTheme="minorBidi" w:cstheme="minorBidi"/>
          <w:color w:val="FFFFFF"/>
          <w:sz w:val="28"/>
          <w:szCs w:val="28"/>
        </w:rPr>
      </w:pPr>
    </w:p>
    <w:p w14:paraId="48367667" w14:textId="6C6916FF" w:rsidR="00892FA5" w:rsidRDefault="00892FA5">
      <w:pPr>
        <w:rPr>
          <w:rFonts w:asciiTheme="minorBidi" w:eastAsia="Arial" w:hAnsiTheme="minorBidi" w:cstheme="minorBidi"/>
          <w:color w:val="FFFFFF"/>
          <w:sz w:val="28"/>
          <w:szCs w:val="28"/>
        </w:rPr>
      </w:pPr>
    </w:p>
    <w:p w14:paraId="16A41CB7" w14:textId="30EE577F" w:rsidR="00892FA5" w:rsidRDefault="00892FA5">
      <w:pPr>
        <w:rPr>
          <w:rFonts w:asciiTheme="minorBidi" w:eastAsia="Arial" w:hAnsiTheme="minorBidi" w:cstheme="minorBidi"/>
          <w:color w:val="FFFFFF"/>
          <w:sz w:val="28"/>
          <w:szCs w:val="28"/>
        </w:rPr>
      </w:pPr>
    </w:p>
    <w:p w14:paraId="429F73C2" w14:textId="7A28C465" w:rsidR="00892FA5" w:rsidRDefault="00892FA5">
      <w:pPr>
        <w:rPr>
          <w:rFonts w:asciiTheme="minorBidi" w:eastAsia="Arial" w:hAnsiTheme="minorBidi" w:cstheme="minorBidi"/>
          <w:color w:val="FFFFFF"/>
          <w:sz w:val="28"/>
          <w:szCs w:val="28"/>
        </w:rPr>
      </w:pPr>
    </w:p>
    <w:p w14:paraId="09035E9D" w14:textId="615173B1" w:rsidR="00892FA5" w:rsidRDefault="00892FA5">
      <w:pPr>
        <w:rPr>
          <w:rFonts w:asciiTheme="minorBidi" w:eastAsia="Arial" w:hAnsiTheme="minorBidi" w:cstheme="minorBidi"/>
          <w:color w:val="FFFFFF"/>
          <w:sz w:val="28"/>
          <w:szCs w:val="28"/>
        </w:rPr>
      </w:pPr>
    </w:p>
    <w:p w14:paraId="0CD03228" w14:textId="2A20EEBE" w:rsidR="00892FA5" w:rsidRDefault="00892FA5">
      <w:pPr>
        <w:rPr>
          <w:rFonts w:asciiTheme="minorBidi" w:eastAsia="Arial" w:hAnsiTheme="minorBidi" w:cstheme="minorBidi"/>
          <w:color w:val="FFFFFF"/>
          <w:sz w:val="28"/>
          <w:szCs w:val="28"/>
        </w:rPr>
      </w:pPr>
    </w:p>
    <w:p w14:paraId="4C73AA11" w14:textId="0C502D1D" w:rsidR="00892FA5" w:rsidRDefault="00892FA5">
      <w:pPr>
        <w:rPr>
          <w:rFonts w:asciiTheme="minorBidi" w:eastAsia="Arial" w:hAnsiTheme="minorBidi" w:cstheme="minorBidi"/>
          <w:color w:val="FFFFFF"/>
          <w:sz w:val="28"/>
          <w:szCs w:val="28"/>
        </w:rPr>
      </w:pPr>
    </w:p>
    <w:p w14:paraId="7ADF6A54" w14:textId="77777777" w:rsidR="00892FA5" w:rsidRDefault="00892FA5">
      <w:pPr>
        <w:rPr>
          <w:rFonts w:asciiTheme="minorBidi" w:eastAsia="Arial" w:hAnsiTheme="minorBidi" w:cstheme="minorBidi"/>
          <w:color w:val="FFFFFF"/>
          <w:sz w:val="28"/>
          <w:szCs w:val="28"/>
        </w:rPr>
      </w:pPr>
    </w:p>
    <w:p w14:paraId="283B90D4" w14:textId="77777777" w:rsidR="00892FA5" w:rsidRDefault="00892FA5">
      <w:pPr>
        <w:rPr>
          <w:rFonts w:asciiTheme="minorBidi" w:eastAsia="Arial" w:hAnsiTheme="minorBidi" w:cstheme="minorBidi"/>
          <w:color w:val="FFFFFF"/>
          <w:sz w:val="28"/>
          <w:szCs w:val="28"/>
        </w:rPr>
      </w:pPr>
    </w:p>
    <w:p w14:paraId="278EA620" w14:textId="4E6588BD" w:rsidR="00892FA5" w:rsidRDefault="00892FA5">
      <w:pPr>
        <w:rPr>
          <w:rFonts w:asciiTheme="minorBidi" w:eastAsia="Arial" w:hAnsiTheme="minorBidi" w:cstheme="minorBidi"/>
          <w:b/>
          <w:smallCaps/>
          <w:color w:val="FFFFFF"/>
          <w:sz w:val="28"/>
          <w:szCs w:val="28"/>
          <w:lang w:eastAsia="en-US"/>
        </w:rPr>
      </w:pPr>
      <w:r>
        <w:rPr>
          <w:rFonts w:asciiTheme="minorBidi" w:eastAsia="Arial" w:hAnsiTheme="minorBidi" w:cstheme="minorBidi"/>
          <w:color w:val="FFFFFF"/>
          <w:sz w:val="28"/>
          <w:szCs w:val="28"/>
        </w:rPr>
        <w:br w:type="page"/>
      </w:r>
    </w:p>
    <w:p w14:paraId="57624285" w14:textId="77777777" w:rsidR="00E26F24" w:rsidRPr="00892FA5" w:rsidRDefault="00E26F24" w:rsidP="00892FA5">
      <w:pPr>
        <w:pStyle w:val="Heading1"/>
      </w:pPr>
      <w:bookmarkStart w:id="3" w:name="_Toc113905648"/>
      <w:r w:rsidRPr="00892FA5">
        <w:lastRenderedPageBreak/>
        <w:t>A. INTRODUCTION</w:t>
      </w:r>
      <w:bookmarkEnd w:id="1"/>
      <w:bookmarkEnd w:id="2"/>
      <w:bookmarkEnd w:id="3"/>
      <w:r w:rsidRPr="00892FA5">
        <w:tab/>
      </w:r>
    </w:p>
    <w:p w14:paraId="3B8507EF" w14:textId="1F42783D" w:rsidR="00E26F24" w:rsidRPr="00AE2D53" w:rsidRDefault="00E26F24" w:rsidP="000C6DA6">
      <w:pPr>
        <w:pStyle w:val="Normal1"/>
        <w:spacing w:line="240" w:lineRule="auto"/>
        <w:jc w:val="both"/>
        <w:rPr>
          <w:rFonts w:ascii="Arial" w:eastAsia="Arial" w:hAnsi="Arial" w:cs="Arial"/>
          <w:sz w:val="20"/>
          <w:szCs w:val="20"/>
        </w:rPr>
      </w:pPr>
      <w:r w:rsidRPr="00AE2D53">
        <w:rPr>
          <w:rFonts w:ascii="Arial" w:eastAsia="Arial" w:hAnsi="Arial" w:cs="Arial"/>
          <w:b/>
          <w:bCs/>
          <w:sz w:val="20"/>
          <w:szCs w:val="20"/>
        </w:rPr>
        <w:t>Musawah</w:t>
      </w:r>
      <w:r w:rsidR="00C77BFC" w:rsidRPr="00C77BFC">
        <w:rPr>
          <w:rFonts w:ascii="Arial" w:eastAsia="Arial" w:hAnsi="Arial" w:cs="Arial"/>
          <w:b/>
          <w:bCs/>
          <w:sz w:val="20"/>
          <w:szCs w:val="20"/>
        </w:rPr>
        <w:t xml:space="preserve">, </w:t>
      </w:r>
      <w:r w:rsidR="00C77BFC">
        <w:rPr>
          <w:rFonts w:ascii="Arial" w:eastAsia="Arial" w:hAnsi="Arial" w:cs="Arial"/>
          <w:sz w:val="20"/>
          <w:szCs w:val="20"/>
        </w:rPr>
        <w:t xml:space="preserve">the global movement for equality and justice in the Muslim family, </w:t>
      </w:r>
      <w:r w:rsidR="00C77BFC" w:rsidRPr="00C77BFC">
        <w:rPr>
          <w:rFonts w:ascii="Arial" w:eastAsia="Arial" w:hAnsi="Arial" w:cs="Arial"/>
          <w:b/>
          <w:bCs/>
          <w:sz w:val="20"/>
          <w:szCs w:val="20"/>
        </w:rPr>
        <w:t>Child Protection Alliance Gambia, Women’s Association for Victims’ Empowerment, and Think Young Women Gambia</w:t>
      </w:r>
      <w:r w:rsidRPr="00AE2D53">
        <w:rPr>
          <w:rFonts w:ascii="Arial" w:eastAsia="Arial" w:hAnsi="Arial" w:cs="Arial"/>
          <w:sz w:val="20"/>
          <w:szCs w:val="20"/>
        </w:rPr>
        <w:t xml:space="preserve"> </w:t>
      </w:r>
      <w:r w:rsidR="00C77BFC">
        <w:rPr>
          <w:rFonts w:ascii="Arial" w:eastAsia="Arial" w:hAnsi="Arial" w:cs="Arial"/>
          <w:sz w:val="20"/>
          <w:szCs w:val="20"/>
        </w:rPr>
        <w:t xml:space="preserve">jointly </w:t>
      </w:r>
      <w:r w:rsidRPr="00AE2D53">
        <w:rPr>
          <w:rFonts w:ascii="Arial" w:eastAsia="Arial" w:hAnsi="Arial" w:cs="Arial"/>
          <w:sz w:val="20"/>
          <w:szCs w:val="20"/>
        </w:rPr>
        <w:t xml:space="preserve">submit this Thematic Report on concerns related to Muslim women’s legal equality in personal status matters, violence against women, and nationality rights for consideration by the CEDAW Committee in its review of the Government of the </w:t>
      </w:r>
      <w:r w:rsidR="004B10C3" w:rsidRPr="00AE2D53">
        <w:rPr>
          <w:rFonts w:ascii="Arial" w:eastAsia="Arial" w:hAnsi="Arial" w:cs="Arial"/>
          <w:sz w:val="20"/>
          <w:szCs w:val="20"/>
        </w:rPr>
        <w:t xml:space="preserve">Gambia, </w:t>
      </w:r>
      <w:r w:rsidRPr="00AE2D53">
        <w:rPr>
          <w:rFonts w:ascii="Arial" w:eastAsia="Arial" w:hAnsi="Arial" w:cs="Arial"/>
          <w:sz w:val="20"/>
          <w:szCs w:val="20"/>
        </w:rPr>
        <w:t>reporting before the 8</w:t>
      </w:r>
      <w:r w:rsidR="004B10C3" w:rsidRPr="00AE2D53">
        <w:rPr>
          <w:rFonts w:ascii="Arial" w:eastAsia="Arial" w:hAnsi="Arial" w:cs="Arial"/>
          <w:sz w:val="20"/>
          <w:szCs w:val="20"/>
        </w:rPr>
        <w:t>3</w:t>
      </w:r>
      <w:r w:rsidR="004B10C3" w:rsidRPr="00AE2D53">
        <w:rPr>
          <w:rFonts w:ascii="Arial" w:eastAsia="Arial" w:hAnsi="Arial" w:cs="Arial"/>
          <w:sz w:val="20"/>
          <w:szCs w:val="20"/>
          <w:vertAlign w:val="superscript"/>
        </w:rPr>
        <w:t>rd</w:t>
      </w:r>
      <w:r w:rsidR="004B10C3" w:rsidRPr="00AE2D53">
        <w:rPr>
          <w:rFonts w:ascii="Arial" w:eastAsia="Arial" w:hAnsi="Arial" w:cs="Arial"/>
          <w:sz w:val="20"/>
          <w:szCs w:val="20"/>
        </w:rPr>
        <w:t xml:space="preserve"> </w:t>
      </w:r>
      <w:r w:rsidRPr="00AE2D53">
        <w:rPr>
          <w:rFonts w:ascii="Arial" w:eastAsia="Arial" w:hAnsi="Arial" w:cs="Arial"/>
          <w:sz w:val="20"/>
          <w:szCs w:val="20"/>
        </w:rPr>
        <w:t xml:space="preserve">Session of the CEDAW Committee in </w:t>
      </w:r>
      <w:r w:rsidR="004B10C3" w:rsidRPr="00AE2D53">
        <w:rPr>
          <w:rFonts w:ascii="Arial" w:eastAsia="Arial" w:hAnsi="Arial" w:cs="Arial"/>
          <w:sz w:val="20"/>
          <w:szCs w:val="20"/>
        </w:rPr>
        <w:t>October</w:t>
      </w:r>
      <w:r w:rsidRPr="00AE2D53">
        <w:rPr>
          <w:rFonts w:ascii="Arial" w:eastAsia="Arial" w:hAnsi="Arial" w:cs="Arial"/>
          <w:sz w:val="20"/>
          <w:szCs w:val="20"/>
        </w:rPr>
        <w:t xml:space="preserve"> 2022. </w:t>
      </w:r>
      <w:r w:rsidRPr="00AE2D53">
        <w:rPr>
          <w:rFonts w:ascii="Arial" w:hAnsi="Arial" w:cs="Arial"/>
          <w:sz w:val="20"/>
          <w:szCs w:val="20"/>
        </w:rPr>
        <w:t xml:space="preserve">This is the CEDAW Committee’s </w:t>
      </w:r>
      <w:r w:rsidR="00AE2D53" w:rsidRPr="00AE2D53">
        <w:rPr>
          <w:rFonts w:ascii="Arial" w:hAnsi="Arial" w:cs="Arial"/>
          <w:sz w:val="20"/>
          <w:szCs w:val="20"/>
        </w:rPr>
        <w:t>sixth</w:t>
      </w:r>
      <w:r w:rsidRPr="00AE2D53">
        <w:rPr>
          <w:rFonts w:ascii="Arial" w:hAnsi="Arial" w:cs="Arial"/>
          <w:sz w:val="20"/>
          <w:szCs w:val="20"/>
        </w:rPr>
        <w:t xml:space="preserve"> periodic engagement with the </w:t>
      </w:r>
      <w:r w:rsidR="00AE2D53" w:rsidRPr="00AE2D53">
        <w:rPr>
          <w:rFonts w:ascii="Arial" w:hAnsi="Arial" w:cs="Arial"/>
          <w:sz w:val="20"/>
          <w:szCs w:val="20"/>
        </w:rPr>
        <w:t>Gambia</w:t>
      </w:r>
      <w:r w:rsidR="00E00C6F" w:rsidRPr="00AE2D53">
        <w:rPr>
          <w:rFonts w:ascii="Arial" w:hAnsi="Arial" w:cs="Arial"/>
          <w:sz w:val="20"/>
          <w:szCs w:val="20"/>
        </w:rPr>
        <w:t xml:space="preserve">. Its last full review was in 2015. The </w:t>
      </w:r>
      <w:r w:rsidR="00AE2D53" w:rsidRPr="00AE2D53">
        <w:rPr>
          <w:rFonts w:ascii="Arial" w:hAnsi="Arial" w:cs="Arial"/>
          <w:sz w:val="20"/>
          <w:szCs w:val="20"/>
        </w:rPr>
        <w:t>Gambia</w:t>
      </w:r>
      <w:r w:rsidR="00E00C6F" w:rsidRPr="00AE2D53">
        <w:rPr>
          <w:rFonts w:ascii="Arial" w:hAnsi="Arial" w:cs="Arial"/>
          <w:sz w:val="20"/>
          <w:szCs w:val="20"/>
        </w:rPr>
        <w:t xml:space="preserve"> </w:t>
      </w:r>
      <w:r w:rsidRPr="00AE2D53">
        <w:rPr>
          <w:rFonts w:ascii="Arial" w:hAnsi="Arial" w:cs="Arial"/>
          <w:sz w:val="20"/>
          <w:szCs w:val="20"/>
        </w:rPr>
        <w:t>acceded to CEDAW</w:t>
      </w:r>
      <w:r w:rsidR="00AE2D53" w:rsidRPr="00AE2D53">
        <w:rPr>
          <w:rFonts w:ascii="Arial" w:hAnsi="Arial" w:cs="Arial"/>
          <w:sz w:val="20"/>
          <w:szCs w:val="20"/>
        </w:rPr>
        <w:t xml:space="preserve"> in April 1993 without any reservations</w:t>
      </w:r>
      <w:r w:rsidR="000E0833" w:rsidRPr="00AE2D53">
        <w:rPr>
          <w:rFonts w:ascii="Arial" w:hAnsi="Arial" w:cs="Arial"/>
          <w:sz w:val="20"/>
          <w:szCs w:val="20"/>
        </w:rPr>
        <w:t>.</w:t>
      </w:r>
    </w:p>
    <w:p w14:paraId="5F5A1ACA" w14:textId="0223750E" w:rsidR="00471C44" w:rsidRDefault="00E26F24" w:rsidP="009C36BC">
      <w:pPr>
        <w:pStyle w:val="paragraph"/>
        <w:jc w:val="both"/>
        <w:textAlignment w:val="baseline"/>
        <w:rPr>
          <w:rFonts w:asciiTheme="minorBidi" w:hAnsiTheme="minorBidi" w:cstheme="minorBidi"/>
          <w:sz w:val="20"/>
          <w:szCs w:val="20"/>
        </w:rPr>
      </w:pPr>
      <w:r w:rsidRPr="00AE2D53">
        <w:rPr>
          <w:rFonts w:asciiTheme="minorBidi" w:hAnsiTheme="minorBidi" w:cstheme="minorBidi"/>
          <w:sz w:val="20"/>
          <w:szCs w:val="20"/>
        </w:rPr>
        <w:t xml:space="preserve">This report highlights key legal inequalities that Muslim women face in the </w:t>
      </w:r>
      <w:r w:rsidR="004B10C3" w:rsidRPr="00AE2D53">
        <w:rPr>
          <w:rFonts w:asciiTheme="minorBidi" w:hAnsiTheme="minorBidi" w:cstheme="minorBidi"/>
          <w:sz w:val="20"/>
          <w:szCs w:val="20"/>
        </w:rPr>
        <w:t>Gambia</w:t>
      </w:r>
      <w:r w:rsidRPr="00AE2D53">
        <w:rPr>
          <w:rFonts w:asciiTheme="minorBidi" w:hAnsiTheme="minorBidi" w:cstheme="minorBidi"/>
          <w:sz w:val="20"/>
          <w:szCs w:val="20"/>
        </w:rPr>
        <w:t xml:space="preserve"> in the personal status sphere and their resulting negative impact on women and girls</w:t>
      </w:r>
      <w:r w:rsidR="009C36BC" w:rsidRPr="00AE2D53">
        <w:rPr>
          <w:rFonts w:asciiTheme="minorBidi" w:hAnsiTheme="minorBidi" w:cstheme="minorBidi"/>
          <w:sz w:val="20"/>
          <w:szCs w:val="20"/>
        </w:rPr>
        <w:t>, along with recommendations to address gaps</w:t>
      </w:r>
      <w:r w:rsidRPr="00AE2D53">
        <w:rPr>
          <w:rFonts w:asciiTheme="minorBidi" w:hAnsiTheme="minorBidi" w:cstheme="minorBidi"/>
          <w:sz w:val="20"/>
          <w:szCs w:val="20"/>
        </w:rPr>
        <w:t xml:space="preserve">. We encourage the </w:t>
      </w:r>
      <w:r w:rsidR="00AE2D53">
        <w:rPr>
          <w:rFonts w:asciiTheme="minorBidi" w:hAnsiTheme="minorBidi" w:cstheme="minorBidi"/>
          <w:sz w:val="20"/>
          <w:szCs w:val="20"/>
        </w:rPr>
        <w:t>Gambian</w:t>
      </w:r>
      <w:r w:rsidRPr="00AE2D53">
        <w:rPr>
          <w:rFonts w:asciiTheme="minorBidi" w:hAnsiTheme="minorBidi" w:cstheme="minorBidi"/>
          <w:sz w:val="20"/>
          <w:szCs w:val="20"/>
        </w:rPr>
        <w:t xml:space="preserve"> government to </w:t>
      </w:r>
      <w:r w:rsidR="00AE2D53">
        <w:rPr>
          <w:rFonts w:asciiTheme="minorBidi" w:hAnsiTheme="minorBidi" w:cstheme="minorBidi"/>
          <w:sz w:val="20"/>
          <w:szCs w:val="20"/>
        </w:rPr>
        <w:t xml:space="preserve">continue its efforts in eliminating discrimination against women, particularly in the </w:t>
      </w:r>
      <w:r w:rsidR="00603348">
        <w:rPr>
          <w:rFonts w:asciiTheme="minorBidi" w:hAnsiTheme="minorBidi" w:cstheme="minorBidi"/>
          <w:sz w:val="20"/>
          <w:szCs w:val="20"/>
        </w:rPr>
        <w:t xml:space="preserve">following </w:t>
      </w:r>
      <w:r w:rsidR="00AE2D53">
        <w:rPr>
          <w:rFonts w:asciiTheme="minorBidi" w:hAnsiTheme="minorBidi" w:cstheme="minorBidi"/>
          <w:sz w:val="20"/>
          <w:szCs w:val="20"/>
        </w:rPr>
        <w:t>area</w:t>
      </w:r>
      <w:r w:rsidR="00603348">
        <w:rPr>
          <w:rFonts w:asciiTheme="minorBidi" w:hAnsiTheme="minorBidi" w:cstheme="minorBidi"/>
          <w:sz w:val="20"/>
          <w:szCs w:val="20"/>
        </w:rPr>
        <w:t>s</w:t>
      </w:r>
      <w:r w:rsidR="004368B9">
        <w:rPr>
          <w:rFonts w:asciiTheme="minorBidi" w:hAnsiTheme="minorBidi" w:cstheme="minorBidi"/>
          <w:sz w:val="20"/>
          <w:szCs w:val="20"/>
        </w:rPr>
        <w:t xml:space="preserve">, </w:t>
      </w:r>
      <w:r w:rsidR="00603348">
        <w:rPr>
          <w:rFonts w:asciiTheme="minorBidi" w:hAnsiTheme="minorBidi" w:cstheme="minorBidi"/>
          <w:sz w:val="20"/>
          <w:szCs w:val="20"/>
        </w:rPr>
        <w:t>discussed in detail subsequently:</w:t>
      </w:r>
    </w:p>
    <w:p w14:paraId="45186F8C" w14:textId="54CAFC9E" w:rsidR="00603348" w:rsidRPr="00603348" w:rsidRDefault="00603348" w:rsidP="00603348">
      <w:pPr>
        <w:pStyle w:val="paragraph"/>
        <w:numPr>
          <w:ilvl w:val="0"/>
          <w:numId w:val="27"/>
        </w:numPr>
        <w:jc w:val="both"/>
        <w:textAlignment w:val="baseline"/>
        <w:rPr>
          <w:rFonts w:asciiTheme="minorBidi" w:hAnsiTheme="minorBidi" w:cstheme="minorBidi"/>
          <w:b/>
          <w:bCs/>
          <w:sz w:val="20"/>
          <w:szCs w:val="20"/>
        </w:rPr>
      </w:pPr>
      <w:r w:rsidRPr="00603348">
        <w:rPr>
          <w:rFonts w:asciiTheme="minorBidi" w:hAnsiTheme="minorBidi" w:cstheme="minorBidi"/>
          <w:b/>
          <w:bCs/>
          <w:sz w:val="20"/>
          <w:szCs w:val="20"/>
        </w:rPr>
        <w:t>Spousal Equality in the Law</w:t>
      </w:r>
    </w:p>
    <w:p w14:paraId="0A4A24D9" w14:textId="4AC1C926" w:rsidR="00603348" w:rsidRPr="00603348" w:rsidRDefault="00603348" w:rsidP="00603348">
      <w:pPr>
        <w:pStyle w:val="paragraph"/>
        <w:numPr>
          <w:ilvl w:val="0"/>
          <w:numId w:val="27"/>
        </w:numPr>
        <w:jc w:val="both"/>
        <w:textAlignment w:val="baseline"/>
        <w:rPr>
          <w:rFonts w:asciiTheme="minorBidi" w:hAnsiTheme="minorBidi" w:cstheme="minorBidi"/>
          <w:b/>
          <w:bCs/>
          <w:sz w:val="20"/>
          <w:szCs w:val="20"/>
        </w:rPr>
      </w:pPr>
      <w:r w:rsidRPr="00603348">
        <w:rPr>
          <w:rFonts w:asciiTheme="minorBidi" w:hAnsiTheme="minorBidi" w:cstheme="minorBidi"/>
          <w:b/>
          <w:bCs/>
          <w:sz w:val="20"/>
          <w:szCs w:val="20"/>
        </w:rPr>
        <w:t>Child Marriage</w:t>
      </w:r>
    </w:p>
    <w:p w14:paraId="074E9FDC" w14:textId="4C5AC7CF" w:rsidR="00603348" w:rsidRPr="00603348" w:rsidRDefault="00603348" w:rsidP="00603348">
      <w:pPr>
        <w:pStyle w:val="paragraph"/>
        <w:numPr>
          <w:ilvl w:val="0"/>
          <w:numId w:val="27"/>
        </w:numPr>
        <w:jc w:val="both"/>
        <w:textAlignment w:val="baseline"/>
        <w:rPr>
          <w:rFonts w:asciiTheme="minorBidi" w:hAnsiTheme="minorBidi" w:cstheme="minorBidi"/>
          <w:b/>
          <w:bCs/>
          <w:sz w:val="20"/>
          <w:szCs w:val="20"/>
        </w:rPr>
      </w:pPr>
      <w:r w:rsidRPr="00603348">
        <w:rPr>
          <w:rFonts w:asciiTheme="minorBidi" w:hAnsiTheme="minorBidi" w:cstheme="minorBidi"/>
          <w:b/>
          <w:bCs/>
          <w:sz w:val="20"/>
          <w:szCs w:val="20"/>
        </w:rPr>
        <w:t>Violence Against Women (FGM, Marital Rape, VAW in Covid-19)</w:t>
      </w:r>
    </w:p>
    <w:p w14:paraId="22CD588B" w14:textId="2469BBF9" w:rsidR="00603348" w:rsidRPr="00603348" w:rsidRDefault="00603348" w:rsidP="00603348">
      <w:pPr>
        <w:pStyle w:val="paragraph"/>
        <w:numPr>
          <w:ilvl w:val="0"/>
          <w:numId w:val="27"/>
        </w:numPr>
        <w:jc w:val="both"/>
        <w:textAlignment w:val="baseline"/>
        <w:rPr>
          <w:rFonts w:asciiTheme="minorBidi" w:hAnsiTheme="minorBidi" w:cstheme="minorBidi"/>
          <w:b/>
          <w:bCs/>
          <w:sz w:val="20"/>
          <w:szCs w:val="20"/>
        </w:rPr>
      </w:pPr>
      <w:r w:rsidRPr="00603348">
        <w:rPr>
          <w:rFonts w:asciiTheme="minorBidi" w:hAnsiTheme="minorBidi" w:cstheme="minorBidi"/>
          <w:b/>
          <w:bCs/>
          <w:sz w:val="20"/>
          <w:szCs w:val="20"/>
        </w:rPr>
        <w:t>Polygamy</w:t>
      </w:r>
    </w:p>
    <w:p w14:paraId="075D0691" w14:textId="381D048D" w:rsidR="00603348" w:rsidRPr="00603348" w:rsidRDefault="00603348" w:rsidP="00603348">
      <w:pPr>
        <w:pStyle w:val="paragraph"/>
        <w:numPr>
          <w:ilvl w:val="0"/>
          <w:numId w:val="27"/>
        </w:numPr>
        <w:jc w:val="both"/>
        <w:textAlignment w:val="baseline"/>
        <w:rPr>
          <w:rFonts w:asciiTheme="minorBidi" w:hAnsiTheme="minorBidi" w:cstheme="minorBidi"/>
          <w:b/>
          <w:bCs/>
          <w:sz w:val="20"/>
          <w:szCs w:val="20"/>
        </w:rPr>
      </w:pPr>
      <w:r w:rsidRPr="00603348">
        <w:rPr>
          <w:rFonts w:asciiTheme="minorBidi" w:hAnsiTheme="minorBidi" w:cstheme="minorBidi"/>
          <w:b/>
          <w:bCs/>
          <w:sz w:val="20"/>
          <w:szCs w:val="20"/>
        </w:rPr>
        <w:t>Inheritance</w:t>
      </w:r>
    </w:p>
    <w:p w14:paraId="5CF02BFC" w14:textId="5B444FCE" w:rsidR="00E26F24" w:rsidRPr="009C36BC" w:rsidRDefault="00E26F24" w:rsidP="009C36BC">
      <w:pPr>
        <w:pStyle w:val="paragraph"/>
        <w:jc w:val="both"/>
        <w:textAlignment w:val="baseline"/>
        <w:rPr>
          <w:rFonts w:asciiTheme="minorBidi" w:hAnsiTheme="minorBidi" w:cstheme="minorBidi"/>
          <w:sz w:val="20"/>
          <w:szCs w:val="20"/>
        </w:rPr>
      </w:pPr>
      <w:r w:rsidRPr="000C6DA6">
        <w:rPr>
          <w:rFonts w:ascii="Arial" w:eastAsia="Arial" w:hAnsi="Arial" w:cs="Arial"/>
          <w:sz w:val="20"/>
          <w:szCs w:val="20"/>
        </w:rPr>
        <w:t>We hope that the CEDAW Committee will utilize this report as a key resource during its constructive engagement with the State Party</w:t>
      </w:r>
      <w:r w:rsidR="00C57A20" w:rsidRPr="000C6DA6">
        <w:rPr>
          <w:rFonts w:ascii="Arial" w:eastAsia="Arial" w:hAnsi="Arial" w:cs="Arial"/>
          <w:sz w:val="20"/>
          <w:szCs w:val="20"/>
        </w:rPr>
        <w:t xml:space="preserve"> and</w:t>
      </w:r>
      <w:r w:rsidRPr="000C6DA6">
        <w:rPr>
          <w:rFonts w:ascii="Arial" w:eastAsia="Arial" w:hAnsi="Arial" w:cs="Arial"/>
          <w:sz w:val="20"/>
          <w:szCs w:val="20"/>
        </w:rPr>
        <w:t xml:space="preserve"> use the recommendations to identify follow-up issues in its Concluding Observations. </w:t>
      </w:r>
    </w:p>
    <w:p w14:paraId="04D4442F" w14:textId="77777777" w:rsidR="00E26F24" w:rsidRPr="00BB744F" w:rsidRDefault="00E26F24" w:rsidP="00E26F24">
      <w:pPr>
        <w:pStyle w:val="NormalWeb"/>
        <w:rPr>
          <w:rFonts w:ascii="Arial" w:hAnsi="Arial" w:cs="Arial"/>
          <w:sz w:val="20"/>
          <w:szCs w:val="20"/>
        </w:rPr>
      </w:pPr>
    </w:p>
    <w:p w14:paraId="5E48662F" w14:textId="77777777" w:rsidR="00E26F24" w:rsidRPr="00742EE1" w:rsidRDefault="00E26F24" w:rsidP="00892FA5">
      <w:pPr>
        <w:pStyle w:val="Heading1"/>
        <w:rPr>
          <w:rStyle w:val="normaltextrun"/>
          <w:sz w:val="26"/>
          <w:szCs w:val="26"/>
        </w:rPr>
      </w:pPr>
      <w:bookmarkStart w:id="4" w:name="_Toc526513932"/>
      <w:bookmarkStart w:id="5" w:name="_Toc103472503"/>
      <w:bookmarkStart w:id="6" w:name="_Toc113905649"/>
      <w:r w:rsidRPr="00742EE1">
        <w:t>B. BACKGROUND</w:t>
      </w:r>
      <w:bookmarkEnd w:id="4"/>
      <w:r>
        <w:t xml:space="preserve"> AND LEGAL FRAMEWORK</w:t>
      </w:r>
      <w:bookmarkEnd w:id="5"/>
      <w:bookmarkEnd w:id="6"/>
      <w:r w:rsidRPr="00742EE1">
        <w:t xml:space="preserve"> </w:t>
      </w:r>
    </w:p>
    <w:p w14:paraId="31E30B1E" w14:textId="1EDBA391" w:rsidR="00E26F24" w:rsidRDefault="00E26F24" w:rsidP="00E26F24">
      <w:pPr>
        <w:rPr>
          <w:rFonts w:ascii="Arial" w:eastAsia="Arial" w:hAnsi="Arial" w:cs="Arial"/>
          <w:sz w:val="20"/>
          <w:szCs w:val="20"/>
        </w:rPr>
      </w:pPr>
    </w:p>
    <w:p w14:paraId="332CA04C" w14:textId="0B1E85BD" w:rsidR="006A5535" w:rsidRPr="006D2BCB" w:rsidRDefault="006A5535" w:rsidP="006D2BCB">
      <w:pPr>
        <w:jc w:val="both"/>
        <w:rPr>
          <w:rFonts w:ascii="Arial" w:eastAsia="Arial" w:hAnsi="Arial" w:cs="Arial"/>
          <w:b/>
          <w:bCs/>
          <w:sz w:val="20"/>
          <w:szCs w:val="20"/>
        </w:rPr>
      </w:pPr>
      <w:r w:rsidRPr="006D2BCB">
        <w:rPr>
          <w:rFonts w:ascii="Arial" w:eastAsia="Arial" w:hAnsi="Arial" w:cs="Arial"/>
          <w:sz w:val="20"/>
          <w:szCs w:val="20"/>
        </w:rPr>
        <w:t xml:space="preserve">The Republic of the Gambia, situated in West Africa, has a total population of 2.2 million, of which approximately 95.7 percent is </w:t>
      </w:r>
      <w:r w:rsidRPr="00B90FF8">
        <w:rPr>
          <w:rFonts w:ascii="Arial" w:eastAsia="Arial" w:hAnsi="Arial" w:cs="Arial"/>
          <w:sz w:val="20"/>
          <w:szCs w:val="20"/>
        </w:rPr>
        <w:t>Muslim.</w:t>
      </w:r>
      <w:r w:rsidR="006D2BCB" w:rsidRPr="00B90FF8">
        <w:rPr>
          <w:rStyle w:val="FootnoteReference"/>
          <w:rFonts w:ascii="Arial" w:eastAsia="Arial" w:hAnsi="Arial" w:cs="Arial"/>
          <w:sz w:val="20"/>
          <w:szCs w:val="20"/>
        </w:rPr>
        <w:footnoteReference w:id="1"/>
      </w:r>
      <w:r w:rsidRPr="00B90FF8">
        <w:rPr>
          <w:rFonts w:ascii="Arial" w:eastAsia="Arial" w:hAnsi="Arial" w:cs="Arial"/>
          <w:sz w:val="20"/>
          <w:szCs w:val="20"/>
        </w:rPr>
        <w:t xml:space="preserve"> Most of </w:t>
      </w:r>
      <w:r w:rsidR="006D2BCB" w:rsidRPr="00B90FF8">
        <w:rPr>
          <w:rFonts w:ascii="Arial" w:eastAsia="Arial" w:hAnsi="Arial" w:cs="Arial"/>
          <w:sz w:val="20"/>
          <w:szCs w:val="20"/>
        </w:rPr>
        <w:t>the Muslims</w:t>
      </w:r>
      <w:r w:rsidRPr="00B90FF8">
        <w:rPr>
          <w:rFonts w:ascii="Arial" w:eastAsia="Arial" w:hAnsi="Arial" w:cs="Arial"/>
          <w:sz w:val="20"/>
          <w:szCs w:val="20"/>
        </w:rPr>
        <w:t xml:space="preserve"> are Sunni, with a small Ahmadi Muslim population.</w:t>
      </w:r>
    </w:p>
    <w:p w14:paraId="0A692A5E" w14:textId="77777777" w:rsidR="006A5535" w:rsidRDefault="006A5535" w:rsidP="006D2BCB">
      <w:pPr>
        <w:jc w:val="both"/>
        <w:rPr>
          <w:rFonts w:ascii="Arial" w:eastAsia="Arial" w:hAnsi="Arial" w:cs="Arial"/>
          <w:sz w:val="20"/>
          <w:szCs w:val="20"/>
        </w:rPr>
      </w:pPr>
    </w:p>
    <w:p w14:paraId="33BB0BE0" w14:textId="642ED029" w:rsidR="002F0A52" w:rsidRPr="004B0CF1" w:rsidRDefault="002F0A52" w:rsidP="0012209F">
      <w:pPr>
        <w:jc w:val="both"/>
        <w:rPr>
          <w:rFonts w:ascii="Arial" w:eastAsia="Arial" w:hAnsi="Arial" w:cs="Arial"/>
          <w:sz w:val="20"/>
          <w:szCs w:val="20"/>
        </w:rPr>
      </w:pPr>
      <w:r w:rsidRPr="002F0A52">
        <w:rPr>
          <w:rFonts w:ascii="Arial" w:eastAsia="Arial" w:hAnsi="Arial" w:cs="Arial"/>
          <w:sz w:val="20"/>
          <w:szCs w:val="20"/>
        </w:rPr>
        <w:t xml:space="preserve">The Constitution of </w:t>
      </w:r>
      <w:r w:rsidR="00636E60">
        <w:rPr>
          <w:rFonts w:ascii="Arial" w:eastAsia="Arial" w:hAnsi="Arial" w:cs="Arial"/>
          <w:sz w:val="20"/>
          <w:szCs w:val="20"/>
        </w:rPr>
        <w:t>t</w:t>
      </w:r>
      <w:r w:rsidRPr="002F0A52">
        <w:rPr>
          <w:rFonts w:ascii="Arial" w:eastAsia="Arial" w:hAnsi="Arial" w:cs="Arial"/>
          <w:sz w:val="20"/>
          <w:szCs w:val="20"/>
        </w:rPr>
        <w:t>he Gambia, 1997 is the basic law of</w:t>
      </w:r>
      <w:r>
        <w:rPr>
          <w:rFonts w:ascii="Arial" w:eastAsia="Arial" w:hAnsi="Arial" w:cs="Arial"/>
          <w:sz w:val="20"/>
          <w:szCs w:val="20"/>
        </w:rPr>
        <w:t xml:space="preserve"> </w:t>
      </w:r>
      <w:r w:rsidRPr="002F0A52">
        <w:rPr>
          <w:rFonts w:ascii="Arial" w:eastAsia="Arial" w:hAnsi="Arial" w:cs="Arial"/>
          <w:sz w:val="20"/>
          <w:szCs w:val="20"/>
        </w:rPr>
        <w:t>the land</w:t>
      </w:r>
      <w:r>
        <w:rPr>
          <w:rFonts w:ascii="Arial" w:eastAsia="Arial" w:hAnsi="Arial" w:cs="Arial"/>
          <w:sz w:val="20"/>
          <w:szCs w:val="20"/>
        </w:rPr>
        <w:t xml:space="preserve">, the </w:t>
      </w:r>
      <w:r w:rsidRPr="002F0A52">
        <w:rPr>
          <w:rFonts w:ascii="Arial" w:eastAsia="Arial" w:hAnsi="Arial" w:cs="Arial"/>
          <w:sz w:val="20"/>
          <w:szCs w:val="20"/>
        </w:rPr>
        <w:t xml:space="preserve">Preamble </w:t>
      </w:r>
      <w:r>
        <w:rPr>
          <w:rFonts w:ascii="Arial" w:eastAsia="Arial" w:hAnsi="Arial" w:cs="Arial"/>
          <w:sz w:val="20"/>
          <w:szCs w:val="20"/>
        </w:rPr>
        <w:t xml:space="preserve">of which highlights </w:t>
      </w:r>
      <w:r w:rsidRPr="002F0A52">
        <w:rPr>
          <w:rFonts w:ascii="Arial" w:eastAsia="Arial" w:hAnsi="Arial" w:cs="Arial"/>
          <w:sz w:val="20"/>
          <w:szCs w:val="20"/>
        </w:rPr>
        <w:t>that “the fundamental</w:t>
      </w:r>
      <w:r>
        <w:rPr>
          <w:rFonts w:ascii="Arial" w:eastAsia="Arial" w:hAnsi="Arial" w:cs="Arial"/>
          <w:sz w:val="20"/>
          <w:szCs w:val="20"/>
        </w:rPr>
        <w:t xml:space="preserve"> </w:t>
      </w:r>
      <w:r w:rsidRPr="002F0A52">
        <w:rPr>
          <w:rFonts w:ascii="Arial" w:eastAsia="Arial" w:hAnsi="Arial" w:cs="Arial"/>
          <w:sz w:val="20"/>
          <w:szCs w:val="20"/>
        </w:rPr>
        <w:t>rights and freedoms enshrined in the Constitution will</w:t>
      </w:r>
      <w:r>
        <w:rPr>
          <w:rFonts w:ascii="Arial" w:eastAsia="Arial" w:hAnsi="Arial" w:cs="Arial"/>
          <w:sz w:val="20"/>
          <w:szCs w:val="20"/>
        </w:rPr>
        <w:t xml:space="preserve"> </w:t>
      </w:r>
      <w:r w:rsidRPr="002F0A52">
        <w:rPr>
          <w:rFonts w:ascii="Arial" w:eastAsia="Arial" w:hAnsi="Arial" w:cs="Arial"/>
          <w:sz w:val="20"/>
          <w:szCs w:val="20"/>
        </w:rPr>
        <w:t>ensure full respect for and</w:t>
      </w:r>
      <w:r>
        <w:rPr>
          <w:rFonts w:ascii="Arial" w:eastAsia="Arial" w:hAnsi="Arial" w:cs="Arial"/>
          <w:sz w:val="20"/>
          <w:szCs w:val="20"/>
        </w:rPr>
        <w:t xml:space="preserve"> </w:t>
      </w:r>
      <w:r w:rsidRPr="002F0A52">
        <w:rPr>
          <w:rFonts w:ascii="Arial" w:eastAsia="Arial" w:hAnsi="Arial" w:cs="Arial"/>
          <w:sz w:val="20"/>
          <w:szCs w:val="20"/>
        </w:rPr>
        <w:t>observance of human rights</w:t>
      </w:r>
      <w:r>
        <w:rPr>
          <w:rFonts w:ascii="Arial" w:eastAsia="Arial" w:hAnsi="Arial" w:cs="Arial"/>
          <w:sz w:val="20"/>
          <w:szCs w:val="20"/>
        </w:rPr>
        <w:t xml:space="preserve"> </w:t>
      </w:r>
      <w:r w:rsidRPr="002F0A52">
        <w:rPr>
          <w:rFonts w:ascii="Arial" w:eastAsia="Arial" w:hAnsi="Arial" w:cs="Arial"/>
          <w:sz w:val="20"/>
          <w:szCs w:val="20"/>
        </w:rPr>
        <w:t>of the people at all times without discrimination base</w:t>
      </w:r>
      <w:r>
        <w:rPr>
          <w:rFonts w:ascii="Arial" w:eastAsia="Arial" w:hAnsi="Arial" w:cs="Arial"/>
          <w:sz w:val="20"/>
          <w:szCs w:val="20"/>
        </w:rPr>
        <w:t>d on…</w:t>
      </w:r>
      <w:r w:rsidRPr="002F0A52">
        <w:rPr>
          <w:rFonts w:ascii="Arial" w:eastAsia="Arial" w:hAnsi="Arial" w:cs="Arial"/>
          <w:sz w:val="20"/>
          <w:szCs w:val="20"/>
        </w:rPr>
        <w:t>gender</w:t>
      </w:r>
      <w:r>
        <w:rPr>
          <w:rFonts w:ascii="Arial" w:eastAsia="Arial" w:hAnsi="Arial" w:cs="Arial"/>
          <w:sz w:val="20"/>
          <w:szCs w:val="20"/>
        </w:rPr>
        <w:t>…</w:t>
      </w:r>
      <w:r w:rsidRPr="002F0A52">
        <w:rPr>
          <w:rFonts w:ascii="Arial" w:eastAsia="Arial" w:hAnsi="Arial" w:cs="Arial"/>
          <w:sz w:val="20"/>
          <w:szCs w:val="20"/>
        </w:rPr>
        <w:t>”</w:t>
      </w:r>
      <w:r>
        <w:rPr>
          <w:rStyle w:val="FootnoteReference"/>
          <w:rFonts w:ascii="Arial" w:eastAsia="Arial" w:hAnsi="Arial" w:cs="Arial"/>
          <w:sz w:val="20"/>
          <w:szCs w:val="20"/>
        </w:rPr>
        <w:footnoteReference w:id="2"/>
      </w:r>
      <w:r w:rsidR="003A0AC6">
        <w:rPr>
          <w:rFonts w:ascii="Arial" w:eastAsia="Arial" w:hAnsi="Arial" w:cs="Arial"/>
          <w:sz w:val="20"/>
          <w:szCs w:val="20"/>
        </w:rPr>
        <w:t xml:space="preserve"> </w:t>
      </w:r>
      <w:r w:rsidR="00507C6E" w:rsidRPr="004B0CF1">
        <w:rPr>
          <w:rFonts w:ascii="Arial" w:eastAsia="Arial" w:hAnsi="Arial" w:cs="Arial"/>
          <w:sz w:val="20"/>
          <w:szCs w:val="20"/>
        </w:rPr>
        <w:t>Chapter IV of the Constitution contains provisions</w:t>
      </w:r>
      <w:r w:rsidR="004B0CF1">
        <w:rPr>
          <w:rFonts w:ascii="Arial" w:eastAsia="Arial" w:hAnsi="Arial" w:cs="Arial"/>
          <w:sz w:val="20"/>
          <w:szCs w:val="20"/>
        </w:rPr>
        <w:t xml:space="preserve"> </w:t>
      </w:r>
      <w:r w:rsidR="00507C6E" w:rsidRPr="004B0CF1">
        <w:rPr>
          <w:rFonts w:ascii="Arial" w:eastAsia="Arial" w:hAnsi="Arial" w:cs="Arial"/>
          <w:sz w:val="20"/>
          <w:szCs w:val="20"/>
        </w:rPr>
        <w:t>which safeguard the fundamental rights of persons. Under this chapter, Section 28 stipulates that women</w:t>
      </w:r>
      <w:r w:rsidR="004B0CF1">
        <w:rPr>
          <w:rFonts w:ascii="Arial" w:eastAsia="Arial" w:hAnsi="Arial" w:cs="Arial"/>
          <w:sz w:val="20"/>
          <w:szCs w:val="20"/>
        </w:rPr>
        <w:t xml:space="preserve"> s</w:t>
      </w:r>
      <w:r w:rsidR="00507C6E" w:rsidRPr="004B0CF1">
        <w:rPr>
          <w:rFonts w:ascii="Arial" w:eastAsia="Arial" w:hAnsi="Arial" w:cs="Arial"/>
          <w:sz w:val="20"/>
          <w:szCs w:val="20"/>
        </w:rPr>
        <w:t>hall be accorded “full and equal dignity of the person</w:t>
      </w:r>
      <w:r w:rsidR="004B0CF1">
        <w:rPr>
          <w:rFonts w:ascii="Arial" w:eastAsia="Arial" w:hAnsi="Arial" w:cs="Arial"/>
          <w:sz w:val="20"/>
          <w:szCs w:val="20"/>
        </w:rPr>
        <w:t xml:space="preserve"> </w:t>
      </w:r>
      <w:r w:rsidR="00507C6E" w:rsidRPr="004B0CF1">
        <w:rPr>
          <w:rFonts w:ascii="Arial" w:eastAsia="Arial" w:hAnsi="Arial" w:cs="Arial"/>
          <w:sz w:val="20"/>
          <w:szCs w:val="20"/>
        </w:rPr>
        <w:t>with men”, as well as “the right to equal treatment</w:t>
      </w:r>
      <w:r w:rsidR="004B0CF1">
        <w:rPr>
          <w:rFonts w:ascii="Arial" w:eastAsia="Arial" w:hAnsi="Arial" w:cs="Arial"/>
          <w:sz w:val="20"/>
          <w:szCs w:val="20"/>
        </w:rPr>
        <w:t xml:space="preserve"> </w:t>
      </w:r>
      <w:r w:rsidR="00507C6E" w:rsidRPr="004B0CF1">
        <w:rPr>
          <w:rFonts w:ascii="Arial" w:eastAsia="Arial" w:hAnsi="Arial" w:cs="Arial"/>
          <w:sz w:val="20"/>
          <w:szCs w:val="20"/>
        </w:rPr>
        <w:t>with men, including equal opportunities in political,</w:t>
      </w:r>
      <w:r w:rsidR="004B0CF1">
        <w:rPr>
          <w:rFonts w:ascii="Arial" w:eastAsia="Arial" w:hAnsi="Arial" w:cs="Arial"/>
          <w:sz w:val="20"/>
          <w:szCs w:val="20"/>
        </w:rPr>
        <w:t xml:space="preserve"> e</w:t>
      </w:r>
      <w:r w:rsidR="00507C6E" w:rsidRPr="004B0CF1">
        <w:rPr>
          <w:rFonts w:ascii="Arial" w:eastAsia="Arial" w:hAnsi="Arial" w:cs="Arial"/>
          <w:sz w:val="20"/>
          <w:szCs w:val="20"/>
        </w:rPr>
        <w:t>conomic and social activities.”</w:t>
      </w:r>
    </w:p>
    <w:p w14:paraId="0EB4C87B" w14:textId="487BD4B9" w:rsidR="00507C6E" w:rsidRPr="004B0CF1" w:rsidRDefault="00507C6E" w:rsidP="006D2BCB">
      <w:pPr>
        <w:jc w:val="both"/>
        <w:rPr>
          <w:rFonts w:ascii="Arial" w:eastAsia="Arial" w:hAnsi="Arial" w:cs="Arial"/>
          <w:sz w:val="20"/>
          <w:szCs w:val="20"/>
        </w:rPr>
      </w:pPr>
    </w:p>
    <w:p w14:paraId="7EFBF13A" w14:textId="546C7A7D" w:rsidR="003A0AC6" w:rsidRDefault="003A0AC6" w:rsidP="003A0AC6">
      <w:pPr>
        <w:jc w:val="both"/>
        <w:rPr>
          <w:rFonts w:ascii="Arial" w:eastAsia="Arial" w:hAnsi="Arial" w:cs="Arial"/>
          <w:sz w:val="20"/>
          <w:szCs w:val="20"/>
        </w:rPr>
      </w:pPr>
      <w:r w:rsidRPr="002C5AF5">
        <w:rPr>
          <w:rFonts w:asciiTheme="minorBidi" w:hAnsiTheme="minorBidi" w:cstheme="minorBidi"/>
          <w:sz w:val="20"/>
          <w:szCs w:val="20"/>
        </w:rPr>
        <w:t xml:space="preserve">Section 7 of the Constitution provides that the laws of the Gambia consist of, among others, </w:t>
      </w:r>
      <w:r w:rsidR="00636E60">
        <w:rPr>
          <w:rFonts w:asciiTheme="minorBidi" w:hAnsiTheme="minorBidi" w:cstheme="minorBidi"/>
          <w:sz w:val="20"/>
          <w:szCs w:val="20"/>
        </w:rPr>
        <w:t>c</w:t>
      </w:r>
      <w:r w:rsidRPr="002C5AF5">
        <w:rPr>
          <w:rFonts w:asciiTheme="minorBidi" w:hAnsiTheme="minorBidi" w:cstheme="minorBidi"/>
          <w:sz w:val="20"/>
          <w:szCs w:val="20"/>
        </w:rPr>
        <w:t xml:space="preserve">ustomary </w:t>
      </w:r>
      <w:r w:rsidR="00636E60">
        <w:rPr>
          <w:rFonts w:asciiTheme="minorBidi" w:hAnsiTheme="minorBidi" w:cstheme="minorBidi"/>
          <w:sz w:val="20"/>
          <w:szCs w:val="20"/>
        </w:rPr>
        <w:t>l</w:t>
      </w:r>
      <w:r w:rsidRPr="002C5AF5">
        <w:rPr>
          <w:rFonts w:asciiTheme="minorBidi" w:hAnsiTheme="minorBidi" w:cstheme="minorBidi"/>
          <w:sz w:val="20"/>
          <w:szCs w:val="20"/>
        </w:rPr>
        <w:t>aw, so far as it concerns members of the communities to which it applies. The same provision provides for the application of Sharia law as regards matters of marriage, divorce and inheritance among Muslims.</w:t>
      </w:r>
    </w:p>
    <w:p w14:paraId="70027141" w14:textId="77777777" w:rsidR="003A0AC6" w:rsidRDefault="003A0AC6" w:rsidP="006D2BCB">
      <w:pPr>
        <w:jc w:val="both"/>
        <w:rPr>
          <w:rFonts w:ascii="Arial" w:eastAsia="Arial" w:hAnsi="Arial" w:cs="Arial"/>
          <w:sz w:val="20"/>
          <w:szCs w:val="20"/>
        </w:rPr>
      </w:pPr>
    </w:p>
    <w:p w14:paraId="519CA655" w14:textId="237672F8" w:rsidR="00507C6E" w:rsidRDefault="003A0AC6" w:rsidP="003A0AC6">
      <w:pPr>
        <w:jc w:val="both"/>
        <w:rPr>
          <w:rFonts w:ascii="Arial" w:eastAsia="Arial" w:hAnsi="Arial" w:cs="Arial"/>
          <w:sz w:val="20"/>
          <w:szCs w:val="20"/>
        </w:rPr>
      </w:pPr>
      <w:r>
        <w:rPr>
          <w:rFonts w:ascii="Arial" w:eastAsia="Arial" w:hAnsi="Arial" w:cs="Arial"/>
          <w:sz w:val="20"/>
          <w:szCs w:val="20"/>
        </w:rPr>
        <w:t>S</w:t>
      </w:r>
      <w:r w:rsidR="00507C6E" w:rsidRPr="004B0CF1">
        <w:rPr>
          <w:rFonts w:ascii="Arial" w:eastAsia="Arial" w:hAnsi="Arial" w:cs="Arial"/>
          <w:sz w:val="20"/>
          <w:szCs w:val="20"/>
        </w:rPr>
        <w:t>afeguards against the discrimination of women</w:t>
      </w:r>
      <w:r>
        <w:rPr>
          <w:rFonts w:ascii="Arial" w:eastAsia="Arial" w:hAnsi="Arial" w:cs="Arial"/>
          <w:sz w:val="20"/>
          <w:szCs w:val="20"/>
        </w:rPr>
        <w:t xml:space="preserve"> are also provided for in </w:t>
      </w:r>
      <w:r w:rsidRPr="004B0CF1">
        <w:rPr>
          <w:rFonts w:ascii="Arial" w:eastAsia="Arial" w:hAnsi="Arial" w:cs="Arial"/>
          <w:sz w:val="20"/>
          <w:szCs w:val="20"/>
        </w:rPr>
        <w:t>Section 33(2) of the Constitution</w:t>
      </w:r>
      <w:r>
        <w:rPr>
          <w:rFonts w:ascii="Arial" w:eastAsia="Arial" w:hAnsi="Arial" w:cs="Arial"/>
          <w:sz w:val="20"/>
          <w:szCs w:val="20"/>
        </w:rPr>
        <w:t>, which states</w:t>
      </w:r>
      <w:r w:rsidR="006A5535">
        <w:rPr>
          <w:rFonts w:ascii="Arial" w:eastAsia="Arial" w:hAnsi="Arial" w:cs="Arial"/>
          <w:sz w:val="20"/>
          <w:szCs w:val="20"/>
        </w:rPr>
        <w:t xml:space="preserve"> that “no law shall make any provision which is discriminatory either of itself or in effect.</w:t>
      </w:r>
      <w:r>
        <w:rPr>
          <w:rFonts w:ascii="Arial" w:eastAsia="Arial" w:hAnsi="Arial" w:cs="Arial"/>
          <w:sz w:val="20"/>
          <w:szCs w:val="20"/>
        </w:rPr>
        <w:t>”</w:t>
      </w:r>
      <w:r w:rsidR="006A5535">
        <w:rPr>
          <w:rFonts w:ascii="Arial" w:eastAsia="Arial" w:hAnsi="Arial" w:cs="Arial"/>
          <w:sz w:val="20"/>
          <w:szCs w:val="20"/>
        </w:rPr>
        <w:t xml:space="preserve"> However, these safeguards</w:t>
      </w:r>
      <w:r w:rsidR="00540BB6">
        <w:rPr>
          <w:rFonts w:ascii="Arial" w:eastAsia="Arial" w:hAnsi="Arial" w:cs="Arial"/>
          <w:sz w:val="20"/>
          <w:szCs w:val="20"/>
        </w:rPr>
        <w:t xml:space="preserve"> </w:t>
      </w:r>
      <w:r>
        <w:rPr>
          <w:rFonts w:ascii="Arial" w:eastAsia="Arial" w:hAnsi="Arial" w:cs="Arial"/>
          <w:sz w:val="20"/>
          <w:szCs w:val="20"/>
        </w:rPr>
        <w:t xml:space="preserve">against discrimination </w:t>
      </w:r>
      <w:r w:rsidR="00540BB6">
        <w:rPr>
          <w:rFonts w:ascii="Arial" w:eastAsia="Arial" w:hAnsi="Arial" w:cs="Arial"/>
          <w:sz w:val="20"/>
          <w:szCs w:val="20"/>
        </w:rPr>
        <w:t>are</w:t>
      </w:r>
      <w:r w:rsidR="00067E21" w:rsidRPr="004B0CF1">
        <w:rPr>
          <w:rFonts w:ascii="Arial" w:eastAsia="Arial" w:hAnsi="Arial" w:cs="Arial"/>
          <w:sz w:val="20"/>
          <w:szCs w:val="20"/>
        </w:rPr>
        <w:t xml:space="preserve"> not applicable to Section 33(5)</w:t>
      </w:r>
      <w:r w:rsidR="004B0CF1">
        <w:rPr>
          <w:rFonts w:ascii="Arial" w:eastAsia="Arial" w:hAnsi="Arial" w:cs="Arial"/>
          <w:sz w:val="20"/>
          <w:szCs w:val="20"/>
        </w:rPr>
        <w:t xml:space="preserve">, according to which matters of marriage, divorce, </w:t>
      </w:r>
      <w:r w:rsidR="00540BB6">
        <w:rPr>
          <w:rFonts w:ascii="Arial" w:eastAsia="Arial" w:hAnsi="Arial" w:cs="Arial"/>
          <w:sz w:val="20"/>
          <w:szCs w:val="20"/>
        </w:rPr>
        <w:t>and inheritance</w:t>
      </w:r>
      <w:r w:rsidR="004B0CF1">
        <w:rPr>
          <w:rFonts w:ascii="Arial" w:eastAsia="Arial" w:hAnsi="Arial" w:cs="Arial"/>
          <w:sz w:val="20"/>
          <w:szCs w:val="20"/>
        </w:rPr>
        <w:t xml:space="preserve"> are usually decided in accordance with Sharia and </w:t>
      </w:r>
      <w:r w:rsidR="00636E60">
        <w:rPr>
          <w:rFonts w:ascii="Arial" w:eastAsia="Arial" w:hAnsi="Arial" w:cs="Arial"/>
          <w:sz w:val="20"/>
          <w:szCs w:val="20"/>
        </w:rPr>
        <w:t>c</w:t>
      </w:r>
      <w:r w:rsidR="004B0CF1">
        <w:rPr>
          <w:rFonts w:ascii="Arial" w:eastAsia="Arial" w:hAnsi="Arial" w:cs="Arial"/>
          <w:sz w:val="20"/>
          <w:szCs w:val="20"/>
        </w:rPr>
        <w:t xml:space="preserve">ustomary </w:t>
      </w:r>
      <w:r w:rsidR="00636E60">
        <w:rPr>
          <w:rFonts w:ascii="Arial" w:eastAsia="Arial" w:hAnsi="Arial" w:cs="Arial"/>
          <w:sz w:val="20"/>
          <w:szCs w:val="20"/>
        </w:rPr>
        <w:t>la</w:t>
      </w:r>
      <w:r w:rsidR="004B0CF1">
        <w:rPr>
          <w:rFonts w:ascii="Arial" w:eastAsia="Arial" w:hAnsi="Arial" w:cs="Arial"/>
          <w:sz w:val="20"/>
          <w:szCs w:val="20"/>
        </w:rPr>
        <w:t>ws</w:t>
      </w:r>
      <w:r w:rsidR="001B454B">
        <w:rPr>
          <w:rFonts w:ascii="Arial" w:eastAsia="Arial" w:hAnsi="Arial" w:cs="Arial"/>
          <w:sz w:val="20"/>
          <w:szCs w:val="20"/>
        </w:rPr>
        <w:t xml:space="preserve"> </w:t>
      </w:r>
      <w:r w:rsidR="004B0CF1">
        <w:rPr>
          <w:rFonts w:ascii="Arial" w:eastAsia="Arial" w:hAnsi="Arial" w:cs="Arial"/>
          <w:sz w:val="20"/>
          <w:szCs w:val="20"/>
        </w:rPr>
        <w:t>through their respective court systems</w:t>
      </w:r>
      <w:r w:rsidR="001B454B">
        <w:rPr>
          <w:rFonts w:ascii="Arial" w:eastAsia="Arial" w:hAnsi="Arial" w:cs="Arial"/>
          <w:sz w:val="20"/>
          <w:szCs w:val="20"/>
        </w:rPr>
        <w:t>, regardless of any discrimination in such laws</w:t>
      </w:r>
      <w:r w:rsidR="004B0CF1">
        <w:rPr>
          <w:rFonts w:ascii="Arial" w:eastAsia="Arial" w:hAnsi="Arial" w:cs="Arial"/>
          <w:sz w:val="20"/>
          <w:szCs w:val="20"/>
        </w:rPr>
        <w:t xml:space="preserve">. </w:t>
      </w:r>
      <w:r w:rsidR="004B0CF1" w:rsidRPr="004B0CF1">
        <w:rPr>
          <w:rFonts w:ascii="Arial" w:eastAsia="Arial" w:hAnsi="Arial" w:cs="Arial"/>
          <w:sz w:val="20"/>
          <w:szCs w:val="20"/>
        </w:rPr>
        <w:t>Sharia</w:t>
      </w:r>
      <w:r w:rsidR="004B0CF1">
        <w:rPr>
          <w:rFonts w:ascii="Arial" w:eastAsia="Arial" w:hAnsi="Arial" w:cs="Arial"/>
          <w:sz w:val="20"/>
          <w:szCs w:val="20"/>
        </w:rPr>
        <w:t xml:space="preserve"> </w:t>
      </w:r>
      <w:r w:rsidR="004B0CF1" w:rsidRPr="004B0CF1">
        <w:rPr>
          <w:rFonts w:ascii="Arial" w:eastAsia="Arial" w:hAnsi="Arial" w:cs="Arial"/>
          <w:sz w:val="20"/>
          <w:szCs w:val="20"/>
        </w:rPr>
        <w:t>and customary courts determine an estimated 90 percent of such cases</w:t>
      </w:r>
      <w:r w:rsidR="006A5535">
        <w:rPr>
          <w:rFonts w:ascii="Arial" w:eastAsia="Arial" w:hAnsi="Arial" w:cs="Arial"/>
          <w:sz w:val="20"/>
          <w:szCs w:val="20"/>
        </w:rPr>
        <w:t>,</w:t>
      </w:r>
      <w:r w:rsidR="004B0CF1">
        <w:rPr>
          <w:rStyle w:val="FootnoteReference"/>
          <w:rFonts w:ascii="Arial" w:eastAsia="Arial" w:hAnsi="Arial" w:cs="Arial"/>
          <w:sz w:val="20"/>
          <w:szCs w:val="20"/>
        </w:rPr>
        <w:footnoteReference w:id="3"/>
      </w:r>
      <w:r w:rsidR="004B0CF1">
        <w:rPr>
          <w:rFonts w:ascii="Arial" w:eastAsia="Arial" w:hAnsi="Arial" w:cs="Arial"/>
          <w:sz w:val="20"/>
          <w:szCs w:val="20"/>
        </w:rPr>
        <w:t xml:space="preserve"> </w:t>
      </w:r>
      <w:r w:rsidR="006A5535">
        <w:rPr>
          <w:rFonts w:ascii="Arial" w:eastAsia="Arial" w:hAnsi="Arial" w:cs="Arial"/>
          <w:sz w:val="20"/>
          <w:szCs w:val="20"/>
        </w:rPr>
        <w:t xml:space="preserve">hence impacting the majority of women in </w:t>
      </w:r>
      <w:r w:rsidR="00636E60">
        <w:rPr>
          <w:rFonts w:ascii="Arial" w:eastAsia="Arial" w:hAnsi="Arial" w:cs="Arial"/>
          <w:sz w:val="20"/>
          <w:szCs w:val="20"/>
        </w:rPr>
        <w:t>t</w:t>
      </w:r>
      <w:r w:rsidR="006A5535">
        <w:rPr>
          <w:rFonts w:ascii="Arial" w:eastAsia="Arial" w:hAnsi="Arial" w:cs="Arial"/>
          <w:sz w:val="20"/>
          <w:szCs w:val="20"/>
        </w:rPr>
        <w:t xml:space="preserve">he Gambia. Even where women seek recourse to </w:t>
      </w:r>
      <w:r w:rsidR="006A5535">
        <w:rPr>
          <w:rFonts w:ascii="Arial" w:eastAsia="Arial" w:hAnsi="Arial" w:cs="Arial"/>
          <w:sz w:val="20"/>
          <w:szCs w:val="20"/>
        </w:rPr>
        <w:lastRenderedPageBreak/>
        <w:t>regular courts, the relevant discriminatory provisions of customary law still apply as a constitutionally guaranteed source of law under Section 7.</w:t>
      </w:r>
      <w:r w:rsidR="006A5535">
        <w:rPr>
          <w:rStyle w:val="FootnoteReference"/>
          <w:rFonts w:ascii="Arial" w:eastAsia="Arial" w:hAnsi="Arial" w:cs="Arial"/>
          <w:sz w:val="20"/>
          <w:szCs w:val="20"/>
        </w:rPr>
        <w:footnoteReference w:id="4"/>
      </w:r>
      <w:r w:rsidR="006A5535">
        <w:rPr>
          <w:rFonts w:ascii="Arial" w:eastAsia="Arial" w:hAnsi="Arial" w:cs="Arial"/>
          <w:sz w:val="20"/>
          <w:szCs w:val="20"/>
        </w:rPr>
        <w:t xml:space="preserve"> </w:t>
      </w:r>
    </w:p>
    <w:p w14:paraId="14400A3E" w14:textId="77D59FFF" w:rsidR="000E7C84" w:rsidRDefault="000E7C84" w:rsidP="006D2BCB">
      <w:pPr>
        <w:jc w:val="both"/>
        <w:rPr>
          <w:rFonts w:ascii="Arial" w:eastAsia="Arial" w:hAnsi="Arial" w:cs="Arial"/>
          <w:sz w:val="20"/>
          <w:szCs w:val="20"/>
        </w:rPr>
      </w:pPr>
    </w:p>
    <w:p w14:paraId="5967F1AC" w14:textId="00B6B69E" w:rsidR="000E7C84" w:rsidRPr="00F574C1" w:rsidRDefault="000E7C84" w:rsidP="00F574C1">
      <w:pPr>
        <w:jc w:val="both"/>
        <w:rPr>
          <w:lang w:eastAsia="en-GB"/>
        </w:rPr>
      </w:pPr>
      <w:r w:rsidRPr="000E7C84">
        <w:rPr>
          <w:rFonts w:ascii="Arial" w:eastAsia="Arial" w:hAnsi="Arial" w:cs="Arial"/>
          <w:sz w:val="20"/>
          <w:szCs w:val="20"/>
        </w:rPr>
        <w:t xml:space="preserve">The Constitution specifies the Cadi Court </w:t>
      </w:r>
      <w:r w:rsidR="00715E11">
        <w:rPr>
          <w:rFonts w:ascii="Arial" w:eastAsia="Arial" w:hAnsi="Arial" w:cs="Arial"/>
          <w:sz w:val="20"/>
          <w:szCs w:val="20"/>
        </w:rPr>
        <w:t>as having</w:t>
      </w:r>
      <w:r w:rsidRPr="000E7C84">
        <w:rPr>
          <w:rFonts w:ascii="Arial" w:eastAsia="Arial" w:hAnsi="Arial" w:cs="Arial"/>
          <w:sz w:val="20"/>
          <w:szCs w:val="20"/>
        </w:rPr>
        <w:t xml:space="preserve"> jurisdiction to apply the Sharia in matters of marriage, divorce and inheritance where the parties or other persons interested are Muslim</w:t>
      </w:r>
      <w:r>
        <w:rPr>
          <w:rFonts w:ascii="Arial" w:eastAsia="Arial" w:hAnsi="Arial" w:cs="Arial"/>
          <w:sz w:val="20"/>
          <w:szCs w:val="20"/>
        </w:rPr>
        <w:t>s.</w:t>
      </w:r>
      <w:r>
        <w:rPr>
          <w:rStyle w:val="FootnoteReference"/>
          <w:rFonts w:ascii="Arial" w:eastAsia="Arial" w:hAnsi="Arial" w:cs="Arial"/>
          <w:sz w:val="20"/>
          <w:szCs w:val="20"/>
        </w:rPr>
        <w:footnoteReference w:id="5"/>
      </w:r>
      <w:r w:rsidR="00F574C1">
        <w:rPr>
          <w:lang w:eastAsia="en-GB"/>
        </w:rPr>
        <w:t xml:space="preserve"> </w:t>
      </w:r>
      <w:r w:rsidRPr="000E7C84">
        <w:rPr>
          <w:rFonts w:ascii="Arial" w:eastAsia="Arial" w:hAnsi="Arial" w:cs="Arial"/>
          <w:sz w:val="20"/>
          <w:szCs w:val="20"/>
        </w:rPr>
        <w:t>Practices and procedures before the sharia</w:t>
      </w:r>
      <w:r>
        <w:rPr>
          <w:rFonts w:ascii="Arial" w:eastAsia="Arial" w:hAnsi="Arial" w:cs="Arial"/>
          <w:sz w:val="20"/>
          <w:szCs w:val="20"/>
        </w:rPr>
        <w:t xml:space="preserve"> </w:t>
      </w:r>
      <w:r w:rsidRPr="000E7C84">
        <w:rPr>
          <w:rFonts w:ascii="Arial" w:eastAsia="Arial" w:hAnsi="Arial" w:cs="Arial"/>
          <w:sz w:val="20"/>
          <w:szCs w:val="20"/>
        </w:rPr>
        <w:t>courts and district tribunals are regulated by the Cadi</w:t>
      </w:r>
      <w:r>
        <w:rPr>
          <w:rFonts w:ascii="Arial" w:eastAsia="Arial" w:hAnsi="Arial" w:cs="Arial"/>
          <w:sz w:val="20"/>
          <w:szCs w:val="20"/>
        </w:rPr>
        <w:t xml:space="preserve"> </w:t>
      </w:r>
      <w:r w:rsidRPr="000E7C84">
        <w:rPr>
          <w:rFonts w:ascii="Arial" w:eastAsia="Arial" w:hAnsi="Arial" w:cs="Arial"/>
          <w:sz w:val="20"/>
          <w:szCs w:val="20"/>
        </w:rPr>
        <w:t>Court (Civil Procedure) Rules 2010 and The Cadi Appeals</w:t>
      </w:r>
      <w:r>
        <w:rPr>
          <w:rFonts w:ascii="Arial" w:eastAsia="Arial" w:hAnsi="Arial" w:cs="Arial"/>
          <w:sz w:val="20"/>
          <w:szCs w:val="20"/>
        </w:rPr>
        <w:t xml:space="preserve"> </w:t>
      </w:r>
      <w:r w:rsidRPr="000E7C84">
        <w:rPr>
          <w:rFonts w:ascii="Arial" w:eastAsia="Arial" w:hAnsi="Arial" w:cs="Arial"/>
          <w:sz w:val="20"/>
          <w:szCs w:val="20"/>
        </w:rPr>
        <w:t>Panel Rules 2009, respectively. This leaves room for an</w:t>
      </w:r>
      <w:r>
        <w:rPr>
          <w:rFonts w:ascii="Arial" w:eastAsia="Arial" w:hAnsi="Arial" w:cs="Arial"/>
          <w:sz w:val="20"/>
          <w:szCs w:val="20"/>
        </w:rPr>
        <w:t xml:space="preserve"> </w:t>
      </w:r>
      <w:r w:rsidRPr="000E7C84">
        <w:rPr>
          <w:rFonts w:ascii="Arial" w:eastAsia="Arial" w:hAnsi="Arial" w:cs="Arial"/>
          <w:sz w:val="20"/>
          <w:szCs w:val="20"/>
        </w:rPr>
        <w:t>arbitrary and discriminatory application of customary</w:t>
      </w:r>
      <w:r>
        <w:rPr>
          <w:rFonts w:ascii="Arial" w:eastAsia="Arial" w:hAnsi="Arial" w:cs="Arial"/>
          <w:sz w:val="20"/>
          <w:szCs w:val="20"/>
        </w:rPr>
        <w:t xml:space="preserve"> </w:t>
      </w:r>
      <w:r w:rsidRPr="000E7C84">
        <w:rPr>
          <w:rFonts w:ascii="Arial" w:eastAsia="Arial" w:hAnsi="Arial" w:cs="Arial"/>
          <w:sz w:val="20"/>
          <w:szCs w:val="20"/>
        </w:rPr>
        <w:t>law and sharia law, particularly as it relates to matters</w:t>
      </w:r>
      <w:r>
        <w:rPr>
          <w:rFonts w:ascii="Arial" w:eastAsia="Arial" w:hAnsi="Arial" w:cs="Arial"/>
          <w:sz w:val="20"/>
          <w:szCs w:val="20"/>
        </w:rPr>
        <w:t xml:space="preserve"> </w:t>
      </w:r>
      <w:r w:rsidRPr="000E7C84">
        <w:rPr>
          <w:rFonts w:ascii="Arial" w:eastAsia="Arial" w:hAnsi="Arial" w:cs="Arial"/>
          <w:sz w:val="20"/>
          <w:szCs w:val="20"/>
        </w:rPr>
        <w:t>of procedure, evidence and substance.</w:t>
      </w:r>
      <w:r>
        <w:rPr>
          <w:rStyle w:val="FootnoteReference"/>
          <w:rFonts w:ascii="Arial" w:eastAsia="Arial" w:hAnsi="Arial" w:cs="Arial"/>
          <w:sz w:val="20"/>
          <w:szCs w:val="20"/>
        </w:rPr>
        <w:footnoteReference w:id="6"/>
      </w:r>
      <w:r>
        <w:rPr>
          <w:rFonts w:ascii="Arial" w:eastAsia="Arial" w:hAnsi="Arial" w:cs="Arial"/>
          <w:sz w:val="20"/>
          <w:szCs w:val="20"/>
        </w:rPr>
        <w:t xml:space="preserve"> </w:t>
      </w:r>
    </w:p>
    <w:p w14:paraId="08619841" w14:textId="77777777" w:rsidR="006A5535" w:rsidRDefault="006A5535" w:rsidP="006D2BCB">
      <w:pPr>
        <w:jc w:val="both"/>
        <w:rPr>
          <w:rFonts w:ascii="Arial" w:eastAsia="Arial" w:hAnsi="Arial" w:cs="Arial"/>
          <w:sz w:val="20"/>
          <w:szCs w:val="20"/>
        </w:rPr>
      </w:pPr>
    </w:p>
    <w:p w14:paraId="33403382" w14:textId="77777777" w:rsidR="00233AE3" w:rsidRPr="002F7D20" w:rsidRDefault="00233AE3" w:rsidP="00E26F24">
      <w:pPr>
        <w:rPr>
          <w:rFonts w:ascii="Arial" w:eastAsia="Arial" w:hAnsi="Arial" w:cs="Arial"/>
          <w:sz w:val="20"/>
          <w:szCs w:val="20"/>
        </w:rPr>
      </w:pPr>
    </w:p>
    <w:p w14:paraId="6E2E447A" w14:textId="77777777" w:rsidR="00E26F24" w:rsidRPr="00742EE1" w:rsidRDefault="00E26F24" w:rsidP="00892FA5">
      <w:pPr>
        <w:pStyle w:val="Heading1"/>
      </w:pPr>
      <w:bookmarkStart w:id="7" w:name="_Toc526513933"/>
      <w:bookmarkStart w:id="8" w:name="_Toc103472504"/>
      <w:bookmarkStart w:id="9" w:name="_Toc113905650"/>
      <w:r w:rsidRPr="00742EE1">
        <w:t xml:space="preserve">C. </w:t>
      </w:r>
      <w:bookmarkEnd w:id="7"/>
      <w:r>
        <w:t>KEY ISSUES AND RECOMMENDATIONS</w:t>
      </w:r>
      <w:bookmarkEnd w:id="8"/>
      <w:bookmarkEnd w:id="9"/>
      <w:r w:rsidRPr="00742EE1">
        <w:t xml:space="preserve"> </w:t>
      </w:r>
    </w:p>
    <w:p w14:paraId="00060093" w14:textId="77777777" w:rsidR="00E26F24" w:rsidRPr="00C70995" w:rsidRDefault="00E26F24" w:rsidP="00E26F24">
      <w:bookmarkStart w:id="10" w:name="_2et92p0" w:colFirst="0" w:colLast="0"/>
      <w:bookmarkStart w:id="11" w:name="_Toc526513939"/>
      <w:bookmarkEnd w:id="10"/>
    </w:p>
    <w:p w14:paraId="0ECDF60E" w14:textId="59C08FC5" w:rsidR="00E26F24" w:rsidRPr="00191FBF" w:rsidRDefault="00F24D9C" w:rsidP="00B44210">
      <w:pPr>
        <w:pStyle w:val="Heading2"/>
        <w:rPr>
          <w:i/>
          <w:iCs/>
        </w:rPr>
      </w:pPr>
      <w:bookmarkStart w:id="12" w:name="_Toc103472505"/>
      <w:bookmarkStart w:id="13" w:name="_Toc113905651"/>
      <w:r w:rsidRPr="00191FBF">
        <w:t xml:space="preserve">Spousal </w:t>
      </w:r>
      <w:r w:rsidR="006D2BCB" w:rsidRPr="00191FBF">
        <w:t>Equality in the Law</w:t>
      </w:r>
      <w:r w:rsidR="00E45B1D" w:rsidRPr="00191FBF">
        <w:tab/>
      </w:r>
      <w:r w:rsidR="00E45B1D" w:rsidRPr="00191FBF">
        <w:tab/>
      </w:r>
      <w:r w:rsidR="00F266AC" w:rsidRPr="00191FBF">
        <w:tab/>
      </w:r>
      <w:r w:rsidR="00F266AC" w:rsidRPr="00191FBF">
        <w:tab/>
      </w:r>
      <w:r w:rsidR="00F266AC" w:rsidRPr="00191FBF">
        <w:tab/>
      </w:r>
      <w:r w:rsidR="00F266AC" w:rsidRPr="00191FBF">
        <w:tab/>
        <w:t xml:space="preserve">   Article</w:t>
      </w:r>
      <w:r w:rsidR="00191FBF">
        <w:t>s 2,</w:t>
      </w:r>
      <w:r w:rsidR="00F266AC" w:rsidRPr="00191FBF">
        <w:t xml:space="preserve"> 16</w:t>
      </w:r>
      <w:bookmarkEnd w:id="12"/>
      <w:bookmarkEnd w:id="13"/>
    </w:p>
    <w:p w14:paraId="15DCE2BD" w14:textId="77777777" w:rsidR="00191FBF" w:rsidRDefault="00191FBF" w:rsidP="0012209F">
      <w:pPr>
        <w:autoSpaceDE w:val="0"/>
        <w:autoSpaceDN w:val="0"/>
        <w:adjustRightInd w:val="0"/>
        <w:jc w:val="both"/>
        <w:rPr>
          <w:rFonts w:asciiTheme="minorBidi" w:hAnsiTheme="minorBidi" w:cstheme="minorBidi"/>
          <w:sz w:val="20"/>
          <w:szCs w:val="20"/>
        </w:rPr>
      </w:pPr>
    </w:p>
    <w:p w14:paraId="6F44088A" w14:textId="5F146244" w:rsidR="00B65891" w:rsidRPr="002C5AF5" w:rsidRDefault="003A0AC6" w:rsidP="0012209F">
      <w:pPr>
        <w:autoSpaceDE w:val="0"/>
        <w:autoSpaceDN w:val="0"/>
        <w:adjustRightInd w:val="0"/>
        <w:jc w:val="both"/>
        <w:rPr>
          <w:rFonts w:asciiTheme="minorBidi" w:hAnsiTheme="minorBidi" w:cstheme="minorBidi"/>
          <w:sz w:val="20"/>
          <w:szCs w:val="20"/>
        </w:rPr>
      </w:pPr>
      <w:r>
        <w:rPr>
          <w:rFonts w:asciiTheme="minorBidi" w:hAnsiTheme="minorBidi" w:cstheme="minorBidi"/>
          <w:sz w:val="20"/>
          <w:szCs w:val="20"/>
        </w:rPr>
        <w:t xml:space="preserve">As discussed before, </w:t>
      </w:r>
      <w:r w:rsidR="004F604B">
        <w:rPr>
          <w:rFonts w:asciiTheme="minorBidi" w:hAnsiTheme="minorBidi" w:cstheme="minorBidi"/>
          <w:sz w:val="20"/>
          <w:szCs w:val="20"/>
        </w:rPr>
        <w:t>Section</w:t>
      </w:r>
      <w:r w:rsidR="001B454B" w:rsidRPr="0012209F">
        <w:rPr>
          <w:rFonts w:asciiTheme="minorBidi" w:hAnsiTheme="minorBidi" w:cstheme="minorBidi"/>
          <w:sz w:val="20"/>
          <w:szCs w:val="20"/>
        </w:rPr>
        <w:t xml:space="preserve"> 33(5)</w:t>
      </w:r>
      <w:r w:rsidR="001B454B">
        <w:rPr>
          <w:rFonts w:asciiTheme="minorBidi" w:hAnsiTheme="minorBidi" w:cstheme="minorBidi"/>
          <w:sz w:val="20"/>
          <w:szCs w:val="20"/>
        </w:rPr>
        <w:t xml:space="preserve"> </w:t>
      </w:r>
      <w:r w:rsidR="001B454B" w:rsidRPr="0012209F">
        <w:rPr>
          <w:rFonts w:asciiTheme="minorBidi" w:hAnsiTheme="minorBidi" w:cstheme="minorBidi"/>
          <w:sz w:val="20"/>
          <w:szCs w:val="20"/>
        </w:rPr>
        <w:t>of the Constitution</w:t>
      </w:r>
      <w:r w:rsidR="004F604B">
        <w:rPr>
          <w:rFonts w:asciiTheme="minorBidi" w:hAnsiTheme="minorBidi" w:cstheme="minorBidi"/>
          <w:sz w:val="20"/>
          <w:szCs w:val="20"/>
        </w:rPr>
        <w:t xml:space="preserve"> </w:t>
      </w:r>
      <w:r w:rsidR="001B454B" w:rsidRPr="0012209F">
        <w:rPr>
          <w:rFonts w:asciiTheme="minorBidi" w:hAnsiTheme="minorBidi" w:cstheme="minorBidi"/>
          <w:sz w:val="20"/>
          <w:szCs w:val="20"/>
        </w:rPr>
        <w:t>provides that the prohibition of discrimination does not apply in respect of adoption, marriage, divorce, burial and devolution of property upon death</w:t>
      </w:r>
      <w:r w:rsidR="004F604B">
        <w:rPr>
          <w:rFonts w:asciiTheme="minorBidi" w:hAnsiTheme="minorBidi" w:cstheme="minorBidi"/>
          <w:sz w:val="20"/>
          <w:szCs w:val="20"/>
        </w:rPr>
        <w:t xml:space="preserve">, since these matters are to be decided in accordance with Sharia and customary laws. </w:t>
      </w:r>
      <w:r w:rsidR="00363DFE">
        <w:rPr>
          <w:rFonts w:asciiTheme="minorBidi" w:hAnsiTheme="minorBidi" w:cstheme="minorBidi"/>
          <w:sz w:val="20"/>
          <w:szCs w:val="20"/>
        </w:rPr>
        <w:t>These issues are regulated by personal law, which contains discriminatory provisions, some of which are re-enacted</w:t>
      </w:r>
      <w:r w:rsidR="009B03E0">
        <w:rPr>
          <w:rFonts w:asciiTheme="minorBidi" w:hAnsiTheme="minorBidi" w:cstheme="minorBidi"/>
          <w:sz w:val="20"/>
          <w:szCs w:val="20"/>
        </w:rPr>
        <w:t xml:space="preserve"> in the Women’s Act 2010.</w:t>
      </w:r>
      <w:r w:rsidR="009B03E0">
        <w:rPr>
          <w:rStyle w:val="FootnoteReference"/>
          <w:rFonts w:asciiTheme="minorBidi" w:hAnsiTheme="minorBidi" w:cstheme="minorBidi"/>
          <w:sz w:val="20"/>
          <w:szCs w:val="20"/>
        </w:rPr>
        <w:footnoteReference w:id="7"/>
      </w:r>
      <w:r w:rsidR="009B03E0">
        <w:rPr>
          <w:rFonts w:asciiTheme="minorBidi" w:hAnsiTheme="minorBidi" w:cstheme="minorBidi"/>
          <w:sz w:val="20"/>
          <w:szCs w:val="20"/>
        </w:rPr>
        <w:t xml:space="preserve"> These issues are</w:t>
      </w:r>
      <w:r w:rsidR="00F24D9C" w:rsidRPr="002C5AF5">
        <w:rPr>
          <w:rFonts w:asciiTheme="minorBidi" w:hAnsiTheme="minorBidi" w:cstheme="minorBidi"/>
          <w:sz w:val="20"/>
          <w:szCs w:val="20"/>
        </w:rPr>
        <w:t xml:space="preserve"> </w:t>
      </w:r>
      <w:r w:rsidR="004F604B">
        <w:rPr>
          <w:rFonts w:asciiTheme="minorBidi" w:hAnsiTheme="minorBidi" w:cstheme="minorBidi"/>
          <w:sz w:val="20"/>
          <w:szCs w:val="20"/>
        </w:rPr>
        <w:t xml:space="preserve">also </w:t>
      </w:r>
      <w:r w:rsidR="00F24D9C" w:rsidRPr="002C5AF5">
        <w:rPr>
          <w:rFonts w:asciiTheme="minorBidi" w:hAnsiTheme="minorBidi" w:cstheme="minorBidi"/>
          <w:sz w:val="20"/>
          <w:szCs w:val="20"/>
        </w:rPr>
        <w:t xml:space="preserve">subject to </w:t>
      </w:r>
      <w:r w:rsidR="004F604B">
        <w:rPr>
          <w:rFonts w:asciiTheme="minorBidi" w:hAnsiTheme="minorBidi" w:cstheme="minorBidi"/>
          <w:sz w:val="20"/>
          <w:szCs w:val="20"/>
        </w:rPr>
        <w:t>the Cadi courts’ interpretation of Sharia law, which is often discriminatory in nature towards women</w:t>
      </w:r>
      <w:r w:rsidR="00F24D9C" w:rsidRPr="002C5AF5">
        <w:rPr>
          <w:rFonts w:asciiTheme="minorBidi" w:hAnsiTheme="minorBidi" w:cstheme="minorBidi"/>
          <w:sz w:val="20"/>
          <w:szCs w:val="20"/>
        </w:rPr>
        <w:t>.</w:t>
      </w:r>
      <w:r w:rsidR="00B65891" w:rsidRPr="002C5AF5">
        <w:rPr>
          <w:rFonts w:asciiTheme="minorBidi" w:hAnsiTheme="minorBidi" w:cstheme="minorBidi"/>
          <w:sz w:val="20"/>
          <w:szCs w:val="20"/>
        </w:rPr>
        <w:t xml:space="preserve"> </w:t>
      </w:r>
      <w:r w:rsidR="00D63C74">
        <w:rPr>
          <w:rFonts w:asciiTheme="minorBidi" w:hAnsiTheme="minorBidi" w:cstheme="minorBidi"/>
          <w:sz w:val="20"/>
          <w:szCs w:val="20"/>
        </w:rPr>
        <w:t xml:space="preserve">It was only in 2022 that the Gambian judiciary appointed </w:t>
      </w:r>
      <w:r w:rsidR="00636E60">
        <w:rPr>
          <w:rFonts w:asciiTheme="minorBidi" w:hAnsiTheme="minorBidi" w:cstheme="minorBidi"/>
          <w:sz w:val="20"/>
          <w:szCs w:val="20"/>
        </w:rPr>
        <w:t xml:space="preserve">the first ever </w:t>
      </w:r>
      <w:r w:rsidR="00D63C74">
        <w:rPr>
          <w:rFonts w:asciiTheme="minorBidi" w:hAnsiTheme="minorBidi" w:cstheme="minorBidi"/>
          <w:sz w:val="20"/>
          <w:szCs w:val="20"/>
        </w:rPr>
        <w:t>two female Cadis for the Sharia court,</w:t>
      </w:r>
      <w:r w:rsidR="00D63C74">
        <w:rPr>
          <w:rStyle w:val="FootnoteReference"/>
          <w:rFonts w:asciiTheme="minorBidi" w:hAnsiTheme="minorBidi" w:cstheme="minorBidi"/>
          <w:sz w:val="20"/>
          <w:szCs w:val="20"/>
        </w:rPr>
        <w:footnoteReference w:id="8"/>
      </w:r>
      <w:r w:rsidR="00D63C74">
        <w:rPr>
          <w:rFonts w:asciiTheme="minorBidi" w:hAnsiTheme="minorBidi" w:cstheme="minorBidi"/>
          <w:sz w:val="20"/>
          <w:szCs w:val="20"/>
        </w:rPr>
        <w:t xml:space="preserve"> before which all appointed Cadis were men. </w:t>
      </w:r>
      <w:r w:rsidR="00546880" w:rsidRPr="002C5AF5">
        <w:rPr>
          <w:rFonts w:asciiTheme="minorBidi" w:hAnsiTheme="minorBidi" w:cstheme="minorBidi"/>
          <w:sz w:val="20"/>
          <w:szCs w:val="20"/>
        </w:rPr>
        <w:t>Hence, Section 33(5)</w:t>
      </w:r>
      <w:r w:rsidR="00B65891" w:rsidRPr="002C5AF5">
        <w:rPr>
          <w:rFonts w:asciiTheme="minorBidi" w:hAnsiTheme="minorBidi" w:cstheme="minorBidi"/>
          <w:sz w:val="20"/>
          <w:szCs w:val="20"/>
        </w:rPr>
        <w:t xml:space="preserve"> </w:t>
      </w:r>
      <w:r w:rsidR="00546880" w:rsidRPr="002C5AF5">
        <w:rPr>
          <w:rFonts w:asciiTheme="minorBidi" w:hAnsiTheme="minorBidi" w:cstheme="minorBidi"/>
          <w:sz w:val="20"/>
          <w:szCs w:val="20"/>
        </w:rPr>
        <w:t xml:space="preserve">is </w:t>
      </w:r>
      <w:r w:rsidR="00F24D9C" w:rsidRPr="002C5AF5">
        <w:rPr>
          <w:rFonts w:asciiTheme="minorBidi" w:hAnsiTheme="minorBidi" w:cstheme="minorBidi"/>
          <w:sz w:val="20"/>
          <w:szCs w:val="20"/>
        </w:rPr>
        <w:t>inconsistent with international standards on women’s equal right to marriage, inheritance and divorce for Muslim women</w:t>
      </w:r>
      <w:r w:rsidR="00B65891" w:rsidRPr="002C5AF5">
        <w:rPr>
          <w:rFonts w:asciiTheme="minorBidi" w:hAnsiTheme="minorBidi" w:cstheme="minorBidi"/>
          <w:sz w:val="20"/>
          <w:szCs w:val="20"/>
        </w:rPr>
        <w:t>, and must be repealed</w:t>
      </w:r>
      <w:r w:rsidR="00F24D9C" w:rsidRPr="002C5AF5">
        <w:rPr>
          <w:rFonts w:asciiTheme="minorBidi" w:hAnsiTheme="minorBidi" w:cstheme="minorBidi"/>
          <w:sz w:val="20"/>
          <w:szCs w:val="20"/>
        </w:rPr>
        <w:t xml:space="preserve">. </w:t>
      </w:r>
    </w:p>
    <w:p w14:paraId="08A3B0C2" w14:textId="77777777" w:rsidR="00B65891" w:rsidRPr="002C5AF5" w:rsidRDefault="00B65891" w:rsidP="00B65891">
      <w:pPr>
        <w:jc w:val="both"/>
        <w:rPr>
          <w:rFonts w:asciiTheme="minorBidi" w:hAnsiTheme="minorBidi" w:cstheme="minorBidi"/>
          <w:sz w:val="20"/>
          <w:szCs w:val="20"/>
        </w:rPr>
      </w:pPr>
    </w:p>
    <w:p w14:paraId="5AFC8F60" w14:textId="0DC65D16" w:rsidR="00B65891" w:rsidRDefault="00B65891" w:rsidP="00B65891">
      <w:pPr>
        <w:jc w:val="both"/>
        <w:rPr>
          <w:rFonts w:asciiTheme="minorBidi" w:hAnsiTheme="minorBidi" w:cstheme="minorBidi"/>
          <w:sz w:val="20"/>
          <w:szCs w:val="20"/>
        </w:rPr>
      </w:pPr>
      <w:r w:rsidRPr="002C5AF5">
        <w:rPr>
          <w:rFonts w:asciiTheme="minorBidi" w:hAnsiTheme="minorBidi" w:cstheme="minorBidi"/>
          <w:sz w:val="20"/>
          <w:szCs w:val="20"/>
        </w:rPr>
        <w:t>Moreover, Section 27 of the Constitution states that “men and women of full age and capacity shall have the right to marry and found a family”</w:t>
      </w:r>
      <w:r w:rsidR="00943641">
        <w:rPr>
          <w:rFonts w:asciiTheme="minorBidi" w:hAnsiTheme="minorBidi" w:cstheme="minorBidi"/>
          <w:sz w:val="20"/>
          <w:szCs w:val="20"/>
        </w:rPr>
        <w:t xml:space="preserve">, and </w:t>
      </w:r>
      <w:r w:rsidRPr="002C5AF5">
        <w:rPr>
          <w:rFonts w:asciiTheme="minorBidi" w:hAnsiTheme="minorBidi" w:cstheme="minorBidi"/>
          <w:sz w:val="20"/>
          <w:szCs w:val="20"/>
        </w:rPr>
        <w:t xml:space="preserve">provides that “marriage shall be based on the free and full consent of the intended parties”. The Section, however, does not protect a woman’s right to equality with the man in the marriage or at its dissolution, or any other rights protected under the Maputo Protocol or CEDAW, due to which it should be </w:t>
      </w:r>
      <w:r w:rsidR="008D1C3B" w:rsidRPr="002C5AF5">
        <w:rPr>
          <w:rFonts w:asciiTheme="minorBidi" w:hAnsiTheme="minorBidi" w:cstheme="minorBidi"/>
          <w:sz w:val="20"/>
          <w:szCs w:val="20"/>
        </w:rPr>
        <w:t xml:space="preserve">also be </w:t>
      </w:r>
      <w:r w:rsidRPr="002C5AF5">
        <w:rPr>
          <w:rFonts w:asciiTheme="minorBidi" w:hAnsiTheme="minorBidi" w:cstheme="minorBidi"/>
          <w:sz w:val="20"/>
          <w:szCs w:val="20"/>
        </w:rPr>
        <w:t>amended to include a provision on matrimonial equality.</w:t>
      </w:r>
      <w:r w:rsidRPr="002C5AF5">
        <w:rPr>
          <w:rFonts w:asciiTheme="minorBidi" w:hAnsiTheme="minorBidi" w:cstheme="minorBidi"/>
          <w:i/>
          <w:iCs/>
          <w:color w:val="FF0000"/>
          <w:sz w:val="20"/>
          <w:szCs w:val="20"/>
        </w:rPr>
        <w:t xml:space="preserve"> </w:t>
      </w:r>
      <w:r w:rsidRPr="002C5AF5">
        <w:rPr>
          <w:rFonts w:asciiTheme="minorBidi" w:hAnsiTheme="minorBidi" w:cstheme="minorBidi"/>
          <w:sz w:val="20"/>
          <w:szCs w:val="20"/>
        </w:rPr>
        <w:t>This would serve as a resource for women whose rights to matrimonial equality are violated through reliance on personal law.</w:t>
      </w:r>
      <w:r w:rsidRPr="002C5AF5">
        <w:rPr>
          <w:rStyle w:val="FootnoteReference"/>
          <w:rFonts w:asciiTheme="minorBidi" w:hAnsiTheme="minorBidi" w:cstheme="minorBidi"/>
          <w:sz w:val="20"/>
          <w:szCs w:val="20"/>
        </w:rPr>
        <w:footnoteReference w:id="9"/>
      </w:r>
    </w:p>
    <w:p w14:paraId="4BBB7108" w14:textId="0200E58C" w:rsidR="00F574C1" w:rsidRDefault="00F574C1" w:rsidP="00B65891">
      <w:pPr>
        <w:jc w:val="both"/>
        <w:rPr>
          <w:rFonts w:asciiTheme="minorBidi" w:hAnsiTheme="minorBidi" w:cstheme="minorBidi"/>
          <w:sz w:val="20"/>
          <w:szCs w:val="20"/>
        </w:rPr>
      </w:pPr>
    </w:p>
    <w:p w14:paraId="7772E121" w14:textId="1D60B30D" w:rsidR="004F604B" w:rsidRPr="00363DFE" w:rsidRDefault="004F604B" w:rsidP="0012209F">
      <w:pPr>
        <w:autoSpaceDE w:val="0"/>
        <w:autoSpaceDN w:val="0"/>
        <w:adjustRightInd w:val="0"/>
        <w:jc w:val="both"/>
        <w:rPr>
          <w:rFonts w:asciiTheme="minorBidi" w:hAnsiTheme="minorBidi" w:cstheme="minorBidi"/>
          <w:sz w:val="20"/>
          <w:szCs w:val="20"/>
        </w:rPr>
      </w:pPr>
      <w:r>
        <w:rPr>
          <w:rFonts w:asciiTheme="minorBidi" w:hAnsiTheme="minorBidi" w:cstheme="minorBidi"/>
          <w:sz w:val="20"/>
          <w:szCs w:val="20"/>
        </w:rPr>
        <w:t xml:space="preserve">Muslim women </w:t>
      </w:r>
      <w:r w:rsidRPr="0012209F">
        <w:rPr>
          <w:rFonts w:asciiTheme="minorBidi" w:hAnsiTheme="minorBidi" w:cstheme="minorBidi"/>
          <w:sz w:val="20"/>
          <w:szCs w:val="20"/>
        </w:rPr>
        <w:t>are also often denied equal rights in matters of marriage, divorce and inheritance, even where these rights are protected by law.</w:t>
      </w:r>
      <w:r w:rsidR="00363DFE">
        <w:rPr>
          <w:rStyle w:val="FootnoteReference"/>
          <w:rFonts w:asciiTheme="minorBidi" w:hAnsiTheme="minorBidi" w:cstheme="minorBidi"/>
          <w:sz w:val="20"/>
          <w:szCs w:val="20"/>
        </w:rPr>
        <w:footnoteReference w:id="10"/>
      </w:r>
      <w:r w:rsidR="00363DFE">
        <w:rPr>
          <w:rFonts w:asciiTheme="minorBidi" w:hAnsiTheme="minorBidi" w:cstheme="minorBidi"/>
          <w:sz w:val="20"/>
          <w:szCs w:val="20"/>
        </w:rPr>
        <w:t xml:space="preserve"> </w:t>
      </w:r>
      <w:r w:rsidR="00363DFE" w:rsidRPr="0012209F">
        <w:rPr>
          <w:rFonts w:asciiTheme="minorBidi" w:hAnsiTheme="minorBidi" w:cstheme="minorBidi"/>
          <w:sz w:val="20"/>
          <w:szCs w:val="20"/>
        </w:rPr>
        <w:t>Added to this, women generally do not have adequate knowledge of their rights or of institutions created to protect and promote these rights.</w:t>
      </w:r>
      <w:r w:rsidR="00363DFE">
        <w:rPr>
          <w:rFonts w:asciiTheme="minorBidi" w:hAnsiTheme="minorBidi" w:cstheme="minorBidi"/>
          <w:sz w:val="20"/>
          <w:szCs w:val="20"/>
        </w:rPr>
        <w:t xml:space="preserve"> </w:t>
      </w:r>
      <w:r w:rsidR="00363DFE" w:rsidRPr="0012209F">
        <w:rPr>
          <w:rFonts w:asciiTheme="minorBidi" w:hAnsiTheme="minorBidi" w:cstheme="minorBidi"/>
          <w:sz w:val="20"/>
          <w:szCs w:val="20"/>
        </w:rPr>
        <w:t>Other limitations include</w:t>
      </w:r>
      <w:r w:rsidR="00363DFE">
        <w:rPr>
          <w:rFonts w:asciiTheme="minorBidi" w:hAnsiTheme="minorBidi" w:cstheme="minorBidi"/>
          <w:sz w:val="20"/>
          <w:szCs w:val="20"/>
        </w:rPr>
        <w:t xml:space="preserve"> </w:t>
      </w:r>
      <w:r w:rsidR="00363DFE" w:rsidRPr="0012209F">
        <w:rPr>
          <w:rFonts w:asciiTheme="minorBidi" w:hAnsiTheme="minorBidi" w:cstheme="minorBidi"/>
          <w:sz w:val="20"/>
          <w:szCs w:val="20"/>
        </w:rPr>
        <w:t>lack of institutional capacity, inadequate monitoring, budgetary constraints and widespread illiteracy among women.</w:t>
      </w:r>
      <w:r w:rsidR="00363DFE">
        <w:rPr>
          <w:rStyle w:val="FootnoteReference"/>
          <w:rFonts w:asciiTheme="minorBidi" w:hAnsiTheme="minorBidi" w:cstheme="minorBidi"/>
          <w:sz w:val="20"/>
          <w:szCs w:val="20"/>
        </w:rPr>
        <w:footnoteReference w:id="11"/>
      </w:r>
    </w:p>
    <w:p w14:paraId="13AC69DB" w14:textId="77777777" w:rsidR="004F604B" w:rsidRDefault="004F604B" w:rsidP="00B65891">
      <w:pPr>
        <w:jc w:val="both"/>
        <w:rPr>
          <w:rFonts w:asciiTheme="minorBidi" w:hAnsiTheme="minorBidi" w:cstheme="minorBidi"/>
          <w:sz w:val="20"/>
          <w:szCs w:val="20"/>
        </w:rPr>
      </w:pPr>
    </w:p>
    <w:p w14:paraId="31FED6BB" w14:textId="18223368" w:rsidR="00F24D9C" w:rsidRDefault="00D46770" w:rsidP="0012209F">
      <w:pPr>
        <w:widowControl w:val="0"/>
        <w:jc w:val="center"/>
        <w:rPr>
          <w:rFonts w:asciiTheme="minorBidi" w:hAnsiTheme="minorBidi" w:cstheme="minorBidi"/>
          <w:sz w:val="20"/>
          <w:szCs w:val="20"/>
        </w:rPr>
      </w:pPr>
      <w:r>
        <w:rPr>
          <w:rFonts w:ascii="Arial" w:hAnsi="Arial" w:cs="Arial"/>
          <w:noProof/>
          <w:color w:val="000000" w:themeColor="text1"/>
          <w:sz w:val="20"/>
          <w:szCs w:val="20"/>
          <w:lang w:eastAsia="en-US"/>
        </w:rPr>
        <w:lastRenderedPageBreak/>
        <w:drawing>
          <wp:inline distT="0" distB="0" distL="0" distR="0" wp14:anchorId="731AE024" wp14:editId="4BF9AF31">
            <wp:extent cx="4666161" cy="4075043"/>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70835" cy="4166457"/>
                    </a:xfrm>
                    <a:prstGeom prst="rect">
                      <a:avLst/>
                    </a:prstGeom>
                  </pic:spPr>
                </pic:pic>
              </a:graphicData>
            </a:graphic>
          </wp:inline>
        </w:drawing>
      </w:r>
    </w:p>
    <w:p w14:paraId="78A15399" w14:textId="77777777" w:rsidR="00D46770" w:rsidRPr="002C5AF5" w:rsidRDefault="00D46770" w:rsidP="00F24D9C">
      <w:pPr>
        <w:widowControl w:val="0"/>
        <w:rPr>
          <w:rFonts w:asciiTheme="minorBidi" w:hAnsiTheme="minorBidi" w:cstheme="minorBidi"/>
          <w:sz w:val="20"/>
          <w:szCs w:val="20"/>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F24D9C" w:rsidRPr="002C5AF5" w14:paraId="66B3E4ED" w14:textId="77777777" w:rsidTr="000E1F1E">
        <w:trPr>
          <w:trHeight w:val="1723"/>
        </w:trPr>
        <w:tc>
          <w:tcPr>
            <w:tcW w:w="8903" w:type="dxa"/>
            <w:shd w:val="clear" w:color="auto" w:fill="D9D9D9" w:themeFill="background1" w:themeFillShade="D9"/>
            <w:tcMar>
              <w:top w:w="100" w:type="dxa"/>
              <w:left w:w="100" w:type="dxa"/>
              <w:bottom w:w="100" w:type="dxa"/>
              <w:right w:w="100" w:type="dxa"/>
            </w:tcMar>
          </w:tcPr>
          <w:p w14:paraId="18809F6C" w14:textId="77777777" w:rsidR="00F24D9C" w:rsidRPr="002C5AF5" w:rsidRDefault="00F24D9C" w:rsidP="000E1F1E">
            <w:pPr>
              <w:widowControl w:val="0"/>
              <w:spacing w:before="240" w:after="240"/>
              <w:rPr>
                <w:rFonts w:asciiTheme="minorBidi" w:hAnsiTheme="minorBidi" w:cstheme="minorBidi"/>
                <w:b/>
                <w:sz w:val="20"/>
                <w:szCs w:val="20"/>
                <w:u w:val="single"/>
              </w:rPr>
            </w:pPr>
            <w:r w:rsidRPr="002C5AF5">
              <w:rPr>
                <w:rFonts w:asciiTheme="minorBidi" w:hAnsiTheme="minorBidi" w:cstheme="minorBidi"/>
                <w:b/>
                <w:sz w:val="20"/>
                <w:szCs w:val="20"/>
                <w:u w:val="single"/>
              </w:rPr>
              <w:t>RECOMMENDATIONS</w:t>
            </w:r>
          </w:p>
          <w:p w14:paraId="1970C3C2" w14:textId="77777777" w:rsidR="00F24D9C" w:rsidRPr="002C5AF5" w:rsidRDefault="00F24D9C" w:rsidP="000E1F1E">
            <w:pPr>
              <w:rPr>
                <w:rFonts w:asciiTheme="minorBidi" w:hAnsiTheme="minorBidi" w:cstheme="minorBidi"/>
                <w:sz w:val="20"/>
                <w:szCs w:val="20"/>
              </w:rPr>
            </w:pPr>
            <w:r w:rsidRPr="002C5AF5">
              <w:rPr>
                <w:rFonts w:asciiTheme="minorBidi" w:hAnsiTheme="minorBidi" w:cstheme="minorBidi"/>
                <w:b/>
                <w:bCs/>
                <w:sz w:val="20"/>
                <w:szCs w:val="20"/>
              </w:rPr>
              <w:t>We recommend the CEDAW Committee urge the State party to:</w:t>
            </w:r>
          </w:p>
          <w:p w14:paraId="17E546CD" w14:textId="2972E697" w:rsidR="00E533AA" w:rsidRPr="00C66F37" w:rsidRDefault="009B03E0" w:rsidP="00C66F37">
            <w:pPr>
              <w:pStyle w:val="ListParagraph"/>
              <w:widowControl w:val="0"/>
              <w:numPr>
                <w:ilvl w:val="0"/>
                <w:numId w:val="15"/>
              </w:numPr>
              <w:spacing w:before="240" w:after="240"/>
              <w:jc w:val="both"/>
              <w:rPr>
                <w:rFonts w:asciiTheme="minorBidi" w:hAnsiTheme="minorBidi" w:cstheme="minorBidi"/>
                <w:sz w:val="20"/>
                <w:szCs w:val="20"/>
              </w:rPr>
            </w:pPr>
            <w:r>
              <w:rPr>
                <w:rFonts w:asciiTheme="minorBidi" w:hAnsiTheme="minorBidi" w:cstheme="minorBidi"/>
                <w:sz w:val="20"/>
                <w:szCs w:val="20"/>
              </w:rPr>
              <w:t>Urgently repeal</w:t>
            </w:r>
            <w:r w:rsidRPr="002C5AF5">
              <w:rPr>
                <w:rFonts w:asciiTheme="minorBidi" w:hAnsiTheme="minorBidi" w:cstheme="minorBidi"/>
                <w:sz w:val="20"/>
                <w:szCs w:val="20"/>
              </w:rPr>
              <w:t xml:space="preserve"> </w:t>
            </w:r>
            <w:r w:rsidR="00E533AA" w:rsidRPr="002C5AF5">
              <w:rPr>
                <w:rFonts w:asciiTheme="minorBidi" w:hAnsiTheme="minorBidi" w:cstheme="minorBidi"/>
                <w:sz w:val="20"/>
                <w:szCs w:val="20"/>
              </w:rPr>
              <w:t>Section 33(5)(c),(d) of the Constitution to ensure consistency and harmonization with progressive parts of the Constitution to pave the way for de jure equality between men and women in the area of personal law</w:t>
            </w:r>
            <w:r>
              <w:rPr>
                <w:rFonts w:asciiTheme="minorBidi" w:hAnsiTheme="minorBidi" w:cstheme="minorBidi"/>
                <w:sz w:val="20"/>
                <w:szCs w:val="20"/>
              </w:rPr>
              <w:t xml:space="preserve">; </w:t>
            </w:r>
            <w:r w:rsidR="00C66F37">
              <w:rPr>
                <w:rFonts w:asciiTheme="minorBidi" w:hAnsiTheme="minorBidi" w:cstheme="minorBidi"/>
                <w:sz w:val="20"/>
                <w:szCs w:val="20"/>
              </w:rPr>
              <w:t xml:space="preserve">make </w:t>
            </w:r>
            <w:r w:rsidR="00C66F37" w:rsidRPr="00C66F37">
              <w:rPr>
                <w:rFonts w:asciiTheme="minorBidi" w:hAnsiTheme="minorBidi" w:cstheme="minorBidi"/>
                <w:sz w:val="20"/>
                <w:szCs w:val="20"/>
              </w:rPr>
              <w:t>the application of customary law</w:t>
            </w:r>
            <w:r w:rsidR="00C66F37">
              <w:rPr>
                <w:rFonts w:asciiTheme="minorBidi" w:hAnsiTheme="minorBidi" w:cstheme="minorBidi"/>
                <w:sz w:val="20"/>
                <w:szCs w:val="20"/>
              </w:rPr>
              <w:t xml:space="preserve"> </w:t>
            </w:r>
            <w:r w:rsidR="00C66F37" w:rsidRPr="0012209F">
              <w:rPr>
                <w:rFonts w:asciiTheme="minorBidi" w:hAnsiTheme="minorBidi" w:cstheme="minorBidi"/>
                <w:sz w:val="20"/>
                <w:szCs w:val="20"/>
              </w:rPr>
              <w:t>and sharia in The Gambia subject to</w:t>
            </w:r>
            <w:r w:rsidR="00C66F37">
              <w:rPr>
                <w:rFonts w:asciiTheme="minorBidi" w:hAnsiTheme="minorBidi" w:cstheme="minorBidi"/>
                <w:sz w:val="20"/>
                <w:szCs w:val="20"/>
              </w:rPr>
              <w:t xml:space="preserve"> </w:t>
            </w:r>
            <w:r w:rsidR="00C66F37" w:rsidRPr="0012209F">
              <w:rPr>
                <w:rFonts w:asciiTheme="minorBidi" w:hAnsiTheme="minorBidi" w:cstheme="minorBidi"/>
                <w:sz w:val="20"/>
                <w:szCs w:val="20"/>
              </w:rPr>
              <w:t>the principle of non-discrimination as enshrined</w:t>
            </w:r>
            <w:r w:rsidR="00C66F37">
              <w:rPr>
                <w:rFonts w:asciiTheme="minorBidi" w:hAnsiTheme="minorBidi" w:cstheme="minorBidi"/>
                <w:sz w:val="20"/>
                <w:szCs w:val="20"/>
              </w:rPr>
              <w:t xml:space="preserve"> </w:t>
            </w:r>
            <w:r w:rsidR="00C66F37" w:rsidRPr="0012209F">
              <w:rPr>
                <w:rFonts w:asciiTheme="minorBidi" w:hAnsiTheme="minorBidi" w:cstheme="minorBidi"/>
                <w:sz w:val="20"/>
                <w:szCs w:val="20"/>
              </w:rPr>
              <w:t>Section 33</w:t>
            </w:r>
            <w:r w:rsidR="00C66F37">
              <w:rPr>
                <w:rFonts w:asciiTheme="minorBidi" w:hAnsiTheme="minorBidi" w:cstheme="minorBidi"/>
                <w:sz w:val="20"/>
                <w:szCs w:val="20"/>
              </w:rPr>
              <w:t>(2),(4)</w:t>
            </w:r>
            <w:r w:rsidR="00B80DEE">
              <w:rPr>
                <w:rFonts w:asciiTheme="minorBidi" w:hAnsiTheme="minorBidi" w:cstheme="minorBidi"/>
                <w:sz w:val="20"/>
                <w:szCs w:val="20"/>
              </w:rPr>
              <w:t xml:space="preserve"> </w:t>
            </w:r>
            <w:r w:rsidR="00C66F37" w:rsidRPr="0012209F">
              <w:rPr>
                <w:rFonts w:asciiTheme="minorBidi" w:hAnsiTheme="minorBidi" w:cstheme="minorBidi"/>
                <w:sz w:val="20"/>
                <w:szCs w:val="20"/>
              </w:rPr>
              <w:t>of the</w:t>
            </w:r>
            <w:r w:rsidR="00C66F37">
              <w:rPr>
                <w:rFonts w:asciiTheme="minorBidi" w:hAnsiTheme="minorBidi" w:cstheme="minorBidi"/>
                <w:sz w:val="20"/>
                <w:szCs w:val="20"/>
              </w:rPr>
              <w:t xml:space="preserve"> </w:t>
            </w:r>
            <w:r w:rsidR="00C66F37" w:rsidRPr="0012209F">
              <w:rPr>
                <w:rFonts w:asciiTheme="minorBidi" w:hAnsiTheme="minorBidi" w:cstheme="minorBidi"/>
                <w:sz w:val="20"/>
                <w:szCs w:val="20"/>
              </w:rPr>
              <w:t>Constitution</w:t>
            </w:r>
            <w:r w:rsidR="00C66F37">
              <w:rPr>
                <w:rFonts w:asciiTheme="minorBidi" w:hAnsiTheme="minorBidi" w:cstheme="minorBidi"/>
                <w:sz w:val="20"/>
                <w:szCs w:val="20"/>
              </w:rPr>
              <w:t>; and a</w:t>
            </w:r>
            <w:r w:rsidR="00C66F37" w:rsidRPr="002C5AF5">
              <w:rPr>
                <w:rFonts w:asciiTheme="minorBidi" w:hAnsiTheme="minorBidi" w:cstheme="minorBidi"/>
                <w:sz w:val="20"/>
                <w:szCs w:val="20"/>
              </w:rPr>
              <w:t>mend Section 27 of the Constitution to include a provision on matrimonial equality and equality between spouses</w:t>
            </w:r>
            <w:r w:rsidR="00C66F37">
              <w:rPr>
                <w:rFonts w:asciiTheme="minorBidi" w:hAnsiTheme="minorBidi" w:cstheme="minorBidi"/>
                <w:sz w:val="20"/>
                <w:szCs w:val="20"/>
              </w:rPr>
              <w:t>; and</w:t>
            </w:r>
          </w:p>
          <w:p w14:paraId="74A6C65B" w14:textId="77777777" w:rsidR="009B03E0" w:rsidRPr="0012209F" w:rsidRDefault="009B03E0" w:rsidP="0012209F">
            <w:pPr>
              <w:pStyle w:val="ListParagraph"/>
              <w:widowControl w:val="0"/>
              <w:spacing w:before="240" w:after="240"/>
              <w:jc w:val="both"/>
              <w:rPr>
                <w:rFonts w:asciiTheme="minorBidi" w:hAnsiTheme="minorBidi" w:cstheme="minorBidi"/>
                <w:b/>
                <w:sz w:val="20"/>
                <w:szCs w:val="20"/>
              </w:rPr>
            </w:pPr>
          </w:p>
          <w:p w14:paraId="6CA52E12" w14:textId="07F5B1C4" w:rsidR="00E533AA" w:rsidRPr="0012209F" w:rsidRDefault="009B03E0" w:rsidP="0012209F">
            <w:pPr>
              <w:pStyle w:val="ListParagraph"/>
              <w:widowControl w:val="0"/>
              <w:numPr>
                <w:ilvl w:val="0"/>
                <w:numId w:val="15"/>
              </w:numPr>
              <w:spacing w:before="240" w:after="240"/>
              <w:jc w:val="both"/>
              <w:rPr>
                <w:rFonts w:asciiTheme="minorBidi" w:hAnsiTheme="minorBidi" w:cstheme="minorBidi"/>
                <w:bCs/>
                <w:sz w:val="20"/>
                <w:szCs w:val="20"/>
              </w:rPr>
            </w:pPr>
            <w:r w:rsidRPr="0012209F">
              <w:rPr>
                <w:rFonts w:asciiTheme="minorBidi" w:hAnsiTheme="minorBidi" w:cstheme="minorBidi"/>
                <w:bCs/>
                <w:sz w:val="20"/>
                <w:szCs w:val="20"/>
              </w:rPr>
              <w:t>Harmonize national legislation</w:t>
            </w:r>
            <w:r w:rsidR="00C66F37">
              <w:rPr>
                <w:rFonts w:asciiTheme="minorBidi" w:hAnsiTheme="minorBidi" w:cstheme="minorBidi"/>
                <w:bCs/>
                <w:sz w:val="20"/>
                <w:szCs w:val="20"/>
              </w:rPr>
              <w:t xml:space="preserve">, </w:t>
            </w:r>
            <w:r w:rsidRPr="0012209F">
              <w:rPr>
                <w:rFonts w:asciiTheme="minorBidi" w:hAnsiTheme="minorBidi" w:cstheme="minorBidi"/>
                <w:bCs/>
                <w:sz w:val="20"/>
                <w:szCs w:val="20"/>
              </w:rPr>
              <w:t xml:space="preserve">the Women’s Act </w:t>
            </w:r>
            <w:r w:rsidR="00C66F37">
              <w:rPr>
                <w:rFonts w:asciiTheme="minorBidi" w:hAnsiTheme="minorBidi" w:cstheme="minorBidi"/>
                <w:bCs/>
                <w:sz w:val="20"/>
                <w:szCs w:val="20"/>
              </w:rPr>
              <w:t xml:space="preserve">2010 </w:t>
            </w:r>
            <w:r w:rsidRPr="0012209F">
              <w:rPr>
                <w:rFonts w:asciiTheme="minorBidi" w:hAnsiTheme="minorBidi" w:cstheme="minorBidi"/>
                <w:bCs/>
                <w:sz w:val="20"/>
                <w:szCs w:val="20"/>
              </w:rPr>
              <w:t>and personal laws</w:t>
            </w:r>
            <w:r>
              <w:rPr>
                <w:rFonts w:asciiTheme="minorBidi" w:hAnsiTheme="minorBidi" w:cstheme="minorBidi"/>
                <w:bCs/>
                <w:sz w:val="20"/>
                <w:szCs w:val="20"/>
              </w:rPr>
              <w:t xml:space="preserve"> </w:t>
            </w:r>
            <w:r w:rsidRPr="0012209F">
              <w:rPr>
                <w:rFonts w:asciiTheme="minorBidi" w:hAnsiTheme="minorBidi" w:cstheme="minorBidi"/>
                <w:bCs/>
                <w:sz w:val="20"/>
                <w:szCs w:val="20"/>
              </w:rPr>
              <w:t>(</w:t>
            </w:r>
            <w:r>
              <w:rPr>
                <w:rFonts w:asciiTheme="minorBidi" w:hAnsiTheme="minorBidi" w:cstheme="minorBidi"/>
                <w:bCs/>
                <w:sz w:val="20"/>
                <w:szCs w:val="20"/>
              </w:rPr>
              <w:t>S</w:t>
            </w:r>
            <w:r w:rsidRPr="0012209F">
              <w:rPr>
                <w:rFonts w:asciiTheme="minorBidi" w:hAnsiTheme="minorBidi" w:cstheme="minorBidi"/>
                <w:bCs/>
                <w:sz w:val="20"/>
                <w:szCs w:val="20"/>
              </w:rPr>
              <w:t>haria and customary law), by repealing all discriminatory</w:t>
            </w:r>
            <w:r>
              <w:rPr>
                <w:rFonts w:asciiTheme="minorBidi" w:hAnsiTheme="minorBidi" w:cstheme="minorBidi"/>
                <w:bCs/>
                <w:sz w:val="20"/>
                <w:szCs w:val="20"/>
              </w:rPr>
              <w:t xml:space="preserve"> </w:t>
            </w:r>
            <w:r w:rsidRPr="0012209F">
              <w:rPr>
                <w:rFonts w:asciiTheme="minorBidi" w:hAnsiTheme="minorBidi" w:cstheme="minorBidi"/>
                <w:bCs/>
                <w:sz w:val="20"/>
                <w:szCs w:val="20"/>
              </w:rPr>
              <w:t>provisions</w:t>
            </w:r>
            <w:r w:rsidR="00B80DEE">
              <w:rPr>
                <w:rFonts w:asciiTheme="minorBidi" w:hAnsiTheme="minorBidi" w:cstheme="minorBidi"/>
                <w:bCs/>
                <w:sz w:val="20"/>
                <w:szCs w:val="20"/>
              </w:rPr>
              <w:t xml:space="preserve"> and codifying all laws under Sharia</w:t>
            </w:r>
            <w:r w:rsidRPr="0012209F">
              <w:rPr>
                <w:rFonts w:asciiTheme="minorBidi" w:hAnsiTheme="minorBidi" w:cstheme="minorBidi"/>
                <w:bCs/>
                <w:sz w:val="20"/>
                <w:szCs w:val="20"/>
              </w:rPr>
              <w:t xml:space="preserve"> to ensure that </w:t>
            </w:r>
            <w:r>
              <w:rPr>
                <w:rFonts w:asciiTheme="minorBidi" w:hAnsiTheme="minorBidi" w:cstheme="minorBidi"/>
                <w:bCs/>
                <w:sz w:val="20"/>
                <w:szCs w:val="20"/>
              </w:rPr>
              <w:t xml:space="preserve">Muslim </w:t>
            </w:r>
            <w:r w:rsidRPr="0012209F">
              <w:rPr>
                <w:rFonts w:asciiTheme="minorBidi" w:hAnsiTheme="minorBidi" w:cstheme="minorBidi"/>
                <w:bCs/>
                <w:sz w:val="20"/>
                <w:szCs w:val="20"/>
              </w:rPr>
              <w:t>women and</w:t>
            </w:r>
            <w:r>
              <w:rPr>
                <w:rFonts w:asciiTheme="minorBidi" w:hAnsiTheme="minorBidi" w:cstheme="minorBidi"/>
                <w:bCs/>
                <w:sz w:val="20"/>
                <w:szCs w:val="20"/>
              </w:rPr>
              <w:t xml:space="preserve"> </w:t>
            </w:r>
            <w:r w:rsidRPr="0012209F">
              <w:rPr>
                <w:rFonts w:asciiTheme="minorBidi" w:hAnsiTheme="minorBidi" w:cstheme="minorBidi"/>
                <w:bCs/>
                <w:sz w:val="20"/>
                <w:szCs w:val="20"/>
              </w:rPr>
              <w:t xml:space="preserve">girls enjoy the same rights as men in all </w:t>
            </w:r>
            <w:r>
              <w:rPr>
                <w:rFonts w:asciiTheme="minorBidi" w:hAnsiTheme="minorBidi" w:cstheme="minorBidi"/>
                <w:bCs/>
                <w:sz w:val="20"/>
                <w:szCs w:val="20"/>
              </w:rPr>
              <w:t xml:space="preserve">aspects of family </w:t>
            </w:r>
            <w:r w:rsidRPr="0012209F">
              <w:rPr>
                <w:rFonts w:asciiTheme="minorBidi" w:hAnsiTheme="minorBidi" w:cstheme="minorBidi"/>
                <w:bCs/>
                <w:sz w:val="20"/>
                <w:szCs w:val="20"/>
              </w:rPr>
              <w:t>life;</w:t>
            </w:r>
          </w:p>
          <w:p w14:paraId="349C2092" w14:textId="77777777" w:rsidR="004940AF" w:rsidRPr="002C5AF5" w:rsidRDefault="004940AF" w:rsidP="004940AF">
            <w:pPr>
              <w:pStyle w:val="ListParagraph"/>
              <w:rPr>
                <w:rFonts w:asciiTheme="minorBidi" w:hAnsiTheme="minorBidi" w:cstheme="minorBidi"/>
                <w:b/>
                <w:sz w:val="20"/>
                <w:szCs w:val="20"/>
              </w:rPr>
            </w:pPr>
          </w:p>
          <w:p w14:paraId="3516B7C2" w14:textId="27250899" w:rsidR="004940AF" w:rsidRPr="002C5AF5" w:rsidRDefault="004940AF" w:rsidP="004940AF">
            <w:pPr>
              <w:pStyle w:val="ListParagraph"/>
              <w:widowControl w:val="0"/>
              <w:numPr>
                <w:ilvl w:val="0"/>
                <w:numId w:val="15"/>
              </w:numPr>
              <w:spacing w:before="240" w:after="240"/>
              <w:jc w:val="both"/>
              <w:rPr>
                <w:rFonts w:asciiTheme="minorBidi" w:hAnsiTheme="minorBidi" w:cstheme="minorBidi"/>
                <w:sz w:val="20"/>
                <w:szCs w:val="20"/>
              </w:rPr>
            </w:pPr>
            <w:r w:rsidRPr="002C5AF5">
              <w:rPr>
                <w:rFonts w:asciiTheme="minorBidi" w:hAnsiTheme="minorBidi" w:cstheme="minorBidi"/>
                <w:sz w:val="20"/>
                <w:szCs w:val="20"/>
              </w:rPr>
              <w:t>Encourage and promote</w:t>
            </w:r>
            <w:r w:rsidR="00546880" w:rsidRPr="002C5AF5">
              <w:rPr>
                <w:rFonts w:asciiTheme="minorBidi" w:hAnsiTheme="minorBidi" w:cstheme="minorBidi"/>
                <w:sz w:val="20"/>
                <w:szCs w:val="20"/>
              </w:rPr>
              <w:t xml:space="preserve"> the appointment of women judges at all levels of the judiciary, including the Cadi Courts and District Tribunal</w:t>
            </w:r>
            <w:r w:rsidRPr="002C5AF5">
              <w:rPr>
                <w:rFonts w:asciiTheme="minorBidi" w:hAnsiTheme="minorBidi" w:cstheme="minorBidi"/>
                <w:sz w:val="20"/>
                <w:szCs w:val="20"/>
              </w:rPr>
              <w:t>s</w:t>
            </w:r>
            <w:r w:rsidR="00B80DEE">
              <w:rPr>
                <w:rFonts w:asciiTheme="minorBidi" w:hAnsiTheme="minorBidi" w:cstheme="minorBidi"/>
                <w:sz w:val="20"/>
                <w:szCs w:val="20"/>
              </w:rPr>
              <w:t>, and build the capacity of Cadis to respond to personal status laws of women efficiently and without discrimination</w:t>
            </w:r>
            <w:r w:rsidRPr="002C5AF5">
              <w:rPr>
                <w:rFonts w:asciiTheme="minorBidi" w:hAnsiTheme="minorBidi" w:cstheme="minorBidi"/>
                <w:sz w:val="20"/>
                <w:szCs w:val="20"/>
              </w:rPr>
              <w:t>.</w:t>
            </w:r>
          </w:p>
          <w:p w14:paraId="43945961" w14:textId="77777777" w:rsidR="004940AF" w:rsidRPr="002C5AF5" w:rsidRDefault="004940AF" w:rsidP="004940AF">
            <w:pPr>
              <w:pStyle w:val="ListParagraph"/>
              <w:rPr>
                <w:rFonts w:asciiTheme="minorBidi" w:hAnsiTheme="minorBidi" w:cstheme="minorBidi"/>
                <w:sz w:val="20"/>
                <w:szCs w:val="20"/>
              </w:rPr>
            </w:pPr>
          </w:p>
          <w:p w14:paraId="2E9E2B9E" w14:textId="099BE836" w:rsidR="0037506C" w:rsidRPr="0037506C" w:rsidRDefault="00546880" w:rsidP="0037506C">
            <w:pPr>
              <w:pStyle w:val="ListParagraph"/>
              <w:widowControl w:val="0"/>
              <w:numPr>
                <w:ilvl w:val="0"/>
                <w:numId w:val="15"/>
              </w:numPr>
              <w:spacing w:before="240" w:after="240"/>
              <w:jc w:val="both"/>
              <w:rPr>
                <w:rFonts w:asciiTheme="minorBidi" w:hAnsiTheme="minorBidi" w:cstheme="minorBidi"/>
                <w:b/>
                <w:sz w:val="20"/>
                <w:szCs w:val="20"/>
              </w:rPr>
            </w:pPr>
            <w:r w:rsidRPr="002C5AF5">
              <w:rPr>
                <w:rFonts w:asciiTheme="minorBidi" w:hAnsiTheme="minorBidi" w:cstheme="minorBidi"/>
                <w:sz w:val="20"/>
                <w:szCs w:val="20"/>
              </w:rPr>
              <w:t>Strengthen efforts to provide training on</w:t>
            </w:r>
            <w:r w:rsidR="00B80DEE">
              <w:rPr>
                <w:rFonts w:asciiTheme="minorBidi" w:hAnsiTheme="minorBidi" w:cstheme="minorBidi"/>
                <w:sz w:val="20"/>
                <w:szCs w:val="20"/>
              </w:rPr>
              <w:t xml:space="preserve"> women’s rights,</w:t>
            </w:r>
            <w:r w:rsidRPr="002C5AF5">
              <w:rPr>
                <w:rFonts w:asciiTheme="minorBidi" w:hAnsiTheme="minorBidi" w:cstheme="minorBidi"/>
                <w:sz w:val="20"/>
                <w:szCs w:val="20"/>
              </w:rPr>
              <w:t xml:space="preserve"> </w:t>
            </w:r>
            <w:r w:rsidR="00B80DEE">
              <w:rPr>
                <w:rFonts w:asciiTheme="minorBidi" w:hAnsiTheme="minorBidi" w:cstheme="minorBidi"/>
                <w:sz w:val="20"/>
                <w:szCs w:val="20"/>
              </w:rPr>
              <w:t>analytical tools for gender justice,</w:t>
            </w:r>
            <w:r w:rsidRPr="002C5AF5">
              <w:rPr>
                <w:rFonts w:asciiTheme="minorBidi" w:hAnsiTheme="minorBidi" w:cstheme="minorBidi"/>
                <w:sz w:val="20"/>
                <w:szCs w:val="20"/>
              </w:rPr>
              <w:t xml:space="preserve"> and violence against women to judges, Cadis, Prosecutors, Police Officers and</w:t>
            </w:r>
            <w:r w:rsidR="004940AF" w:rsidRPr="002C5AF5">
              <w:rPr>
                <w:rFonts w:asciiTheme="minorBidi" w:hAnsiTheme="minorBidi" w:cstheme="minorBidi"/>
                <w:sz w:val="20"/>
                <w:szCs w:val="20"/>
              </w:rPr>
              <w:t xml:space="preserve"> legal professionals.</w:t>
            </w:r>
          </w:p>
          <w:p w14:paraId="452C547F" w14:textId="77777777" w:rsidR="0037506C" w:rsidRPr="0037506C" w:rsidRDefault="0037506C" w:rsidP="0037506C">
            <w:pPr>
              <w:pStyle w:val="ListParagraph"/>
              <w:rPr>
                <w:rFonts w:asciiTheme="minorBidi" w:hAnsiTheme="minorBidi" w:cstheme="minorBidi"/>
                <w:b/>
                <w:sz w:val="20"/>
                <w:szCs w:val="20"/>
              </w:rPr>
            </w:pPr>
          </w:p>
          <w:p w14:paraId="1612B4EF" w14:textId="4E26E983" w:rsidR="00B80DEE" w:rsidRPr="0037506C" w:rsidRDefault="0037506C" w:rsidP="0037506C">
            <w:pPr>
              <w:pStyle w:val="ListParagraph"/>
              <w:widowControl w:val="0"/>
              <w:numPr>
                <w:ilvl w:val="0"/>
                <w:numId w:val="15"/>
              </w:numPr>
              <w:spacing w:before="240" w:after="240"/>
              <w:jc w:val="both"/>
              <w:rPr>
                <w:rFonts w:asciiTheme="minorBidi" w:hAnsiTheme="minorBidi" w:cstheme="minorBidi"/>
                <w:b/>
                <w:sz w:val="20"/>
                <w:szCs w:val="20"/>
              </w:rPr>
            </w:pPr>
            <w:r>
              <w:rPr>
                <w:rFonts w:asciiTheme="minorBidi" w:hAnsiTheme="minorBidi" w:cstheme="minorBidi"/>
                <w:bCs/>
                <w:sz w:val="20"/>
                <w:szCs w:val="20"/>
              </w:rPr>
              <w:t>Engage religious scholars, chiefs and traditional leaders to recognize and distinguish discriminatory tradition from Islam in decisions regarding personal status laws for women.</w:t>
            </w:r>
          </w:p>
        </w:tc>
      </w:tr>
    </w:tbl>
    <w:p w14:paraId="4AEC02FD" w14:textId="77777777" w:rsidR="008415EB" w:rsidRDefault="008415EB" w:rsidP="00E26F24"/>
    <w:p w14:paraId="36C9DD20" w14:textId="2BB742B6" w:rsidR="00E26F24" w:rsidRPr="00892FA5" w:rsidRDefault="00B3395C" w:rsidP="00892FA5">
      <w:pPr>
        <w:pStyle w:val="Heading2"/>
      </w:pPr>
      <w:bookmarkStart w:id="14" w:name="_Toc103472506"/>
      <w:bookmarkStart w:id="15" w:name="_Toc113905652"/>
      <w:r w:rsidRPr="00892FA5">
        <w:t>Child Marriage</w:t>
      </w:r>
      <w:r w:rsidRPr="00892FA5">
        <w:tab/>
      </w:r>
      <w:r w:rsidRPr="00892FA5">
        <w:tab/>
      </w:r>
      <w:r w:rsidR="00E26F24" w:rsidRPr="00892FA5">
        <w:tab/>
      </w:r>
      <w:r w:rsidR="00F266AC" w:rsidRPr="00892FA5">
        <w:tab/>
      </w:r>
      <w:r w:rsidR="00F266AC" w:rsidRPr="00892FA5">
        <w:tab/>
      </w:r>
      <w:r w:rsidR="00F266AC" w:rsidRPr="00892FA5">
        <w:tab/>
      </w:r>
      <w:r w:rsidR="00F266AC" w:rsidRPr="00892FA5">
        <w:tab/>
      </w:r>
      <w:r w:rsidR="00F266AC" w:rsidRPr="00892FA5">
        <w:tab/>
        <w:t xml:space="preserve">          Article 16</w:t>
      </w:r>
      <w:bookmarkEnd w:id="14"/>
      <w:bookmarkEnd w:id="15"/>
    </w:p>
    <w:p w14:paraId="1886521A" w14:textId="77777777" w:rsidR="00B3395C" w:rsidRPr="003A649A" w:rsidRDefault="00B3395C" w:rsidP="00B3395C">
      <w:pPr>
        <w:rPr>
          <w:b/>
        </w:rPr>
      </w:pPr>
    </w:p>
    <w:p w14:paraId="57680E85" w14:textId="4D30025A" w:rsidR="002C5AF5" w:rsidRPr="002C5AF5" w:rsidRDefault="00A1102C" w:rsidP="002C5AF5">
      <w:pPr>
        <w:jc w:val="both"/>
        <w:rPr>
          <w:rFonts w:asciiTheme="minorBidi" w:hAnsiTheme="minorBidi" w:cstheme="minorBidi"/>
          <w:sz w:val="20"/>
          <w:szCs w:val="20"/>
        </w:rPr>
      </w:pPr>
      <w:r w:rsidRPr="00A1102C">
        <w:rPr>
          <w:rFonts w:asciiTheme="minorBidi" w:hAnsiTheme="minorBidi" w:cstheme="minorBidi"/>
          <w:color w:val="000000" w:themeColor="text1"/>
          <w:sz w:val="20"/>
          <w:szCs w:val="20"/>
          <w:shd w:val="clear" w:color="auto" w:fill="FFFFFF"/>
        </w:rPr>
        <w:t>In July 2016, the Children’s (Amendment) Act was</w:t>
      </w:r>
      <w:r>
        <w:rPr>
          <w:rFonts w:asciiTheme="minorBidi" w:hAnsiTheme="minorBidi" w:cstheme="minorBidi"/>
          <w:color w:val="000000" w:themeColor="text1"/>
          <w:sz w:val="20"/>
          <w:szCs w:val="20"/>
          <w:shd w:val="clear" w:color="auto" w:fill="FFFFFF"/>
        </w:rPr>
        <w:t xml:space="preserve"> enacted,</w:t>
      </w:r>
      <w:r w:rsidRPr="00A1102C">
        <w:rPr>
          <w:rFonts w:asciiTheme="minorBidi" w:hAnsiTheme="minorBidi" w:cstheme="minorBidi"/>
          <w:color w:val="000000" w:themeColor="text1"/>
          <w:sz w:val="20"/>
          <w:szCs w:val="20"/>
          <w:shd w:val="clear" w:color="auto" w:fill="FFFFFF"/>
        </w:rPr>
        <w:t xml:space="preserve"> which prohibit</w:t>
      </w:r>
      <w:r>
        <w:rPr>
          <w:rFonts w:asciiTheme="minorBidi" w:hAnsiTheme="minorBidi" w:cstheme="minorBidi"/>
          <w:color w:val="000000" w:themeColor="text1"/>
          <w:sz w:val="20"/>
          <w:szCs w:val="20"/>
          <w:shd w:val="clear" w:color="auto" w:fill="FFFFFF"/>
        </w:rPr>
        <w:t>s</w:t>
      </w:r>
      <w:r w:rsidRPr="00A1102C">
        <w:rPr>
          <w:rFonts w:asciiTheme="minorBidi" w:hAnsiTheme="minorBidi" w:cstheme="minorBidi"/>
          <w:color w:val="000000" w:themeColor="text1"/>
          <w:sz w:val="20"/>
          <w:szCs w:val="20"/>
          <w:shd w:val="clear" w:color="auto" w:fill="FFFFFF"/>
        </w:rPr>
        <w:t xml:space="preserve"> child marriage and establishes the minimum age for marriage as 18 years</w:t>
      </w:r>
      <w:r>
        <w:rPr>
          <w:rFonts w:asciiTheme="minorBidi" w:hAnsiTheme="minorBidi" w:cstheme="minorBidi"/>
          <w:color w:val="000000" w:themeColor="text1"/>
          <w:sz w:val="20"/>
          <w:szCs w:val="20"/>
          <w:shd w:val="clear" w:color="auto" w:fill="FFFFFF"/>
        </w:rPr>
        <w:t>. The</w:t>
      </w:r>
      <w:r w:rsidR="00B3395C" w:rsidRPr="002C5AF5">
        <w:rPr>
          <w:rFonts w:asciiTheme="minorBidi" w:hAnsiTheme="minorBidi" w:cstheme="minorBidi"/>
          <w:sz w:val="20"/>
          <w:szCs w:val="20"/>
        </w:rPr>
        <w:t xml:space="preserve"> Act also prohibits the betrothal of a child</w:t>
      </w:r>
      <w:r>
        <w:rPr>
          <w:rFonts w:asciiTheme="minorBidi" w:hAnsiTheme="minorBidi" w:cstheme="minorBidi"/>
          <w:sz w:val="20"/>
          <w:szCs w:val="20"/>
        </w:rPr>
        <w:t xml:space="preserve">, </w:t>
      </w:r>
      <w:r>
        <w:rPr>
          <w:rFonts w:asciiTheme="minorBidi" w:hAnsiTheme="minorBidi" w:cstheme="minorBidi"/>
          <w:sz w:val="20"/>
          <w:szCs w:val="20"/>
        </w:rPr>
        <w:lastRenderedPageBreak/>
        <w:t xml:space="preserve">and prescribes a </w:t>
      </w:r>
      <w:r w:rsidR="00B3395C" w:rsidRPr="002C5AF5">
        <w:rPr>
          <w:rFonts w:asciiTheme="minorBidi" w:hAnsiTheme="minorBidi" w:cstheme="minorBidi"/>
          <w:sz w:val="20"/>
          <w:szCs w:val="20"/>
        </w:rPr>
        <w:t>punishment of up to twenty years imprisonment for any parent or guardian found wanting</w:t>
      </w:r>
      <w:r w:rsidR="002C5AF5" w:rsidRPr="002C5AF5">
        <w:rPr>
          <w:rFonts w:asciiTheme="minorBidi" w:hAnsiTheme="minorBidi" w:cstheme="minorBidi"/>
          <w:sz w:val="20"/>
          <w:szCs w:val="20"/>
        </w:rPr>
        <w:t>. However,</w:t>
      </w:r>
      <w:r w:rsidR="00B3395C" w:rsidRPr="002C5AF5">
        <w:rPr>
          <w:rFonts w:asciiTheme="minorBidi" w:hAnsiTheme="minorBidi" w:cstheme="minorBidi"/>
          <w:sz w:val="20"/>
          <w:szCs w:val="20"/>
        </w:rPr>
        <w:t xml:space="preserve"> the </w:t>
      </w:r>
      <w:r w:rsidR="002C5AF5" w:rsidRPr="002C5AF5">
        <w:rPr>
          <w:rFonts w:asciiTheme="minorBidi" w:hAnsiTheme="minorBidi" w:cstheme="minorBidi"/>
          <w:sz w:val="20"/>
          <w:szCs w:val="20"/>
        </w:rPr>
        <w:t xml:space="preserve">enforcement </w:t>
      </w:r>
      <w:r w:rsidR="00B3395C" w:rsidRPr="002C5AF5">
        <w:rPr>
          <w:rFonts w:asciiTheme="minorBidi" w:hAnsiTheme="minorBidi" w:cstheme="minorBidi"/>
          <w:sz w:val="20"/>
          <w:szCs w:val="20"/>
        </w:rPr>
        <w:t xml:space="preserve">of these amendments </w:t>
      </w:r>
      <w:r w:rsidR="002C5AF5" w:rsidRPr="002C5AF5">
        <w:rPr>
          <w:rFonts w:asciiTheme="minorBidi" w:hAnsiTheme="minorBidi" w:cstheme="minorBidi"/>
          <w:sz w:val="20"/>
          <w:szCs w:val="20"/>
        </w:rPr>
        <w:t xml:space="preserve">remains </w:t>
      </w:r>
      <w:r>
        <w:rPr>
          <w:rFonts w:asciiTheme="minorBidi" w:hAnsiTheme="minorBidi" w:cstheme="minorBidi"/>
          <w:sz w:val="20"/>
          <w:szCs w:val="20"/>
        </w:rPr>
        <w:t xml:space="preserve">a challenge </w:t>
      </w:r>
      <w:r w:rsidR="00B3395C" w:rsidRPr="002C5AF5">
        <w:rPr>
          <w:rFonts w:asciiTheme="minorBidi" w:hAnsiTheme="minorBidi" w:cstheme="minorBidi"/>
          <w:sz w:val="20"/>
          <w:szCs w:val="20"/>
        </w:rPr>
        <w:t xml:space="preserve">due the ineffective </w:t>
      </w:r>
      <w:r>
        <w:rPr>
          <w:rFonts w:asciiTheme="minorBidi" w:hAnsiTheme="minorBidi" w:cstheme="minorBidi"/>
          <w:sz w:val="20"/>
          <w:szCs w:val="20"/>
        </w:rPr>
        <w:t>implementation</w:t>
      </w:r>
      <w:r w:rsidR="002C5AF5">
        <w:rPr>
          <w:rFonts w:asciiTheme="minorBidi" w:hAnsiTheme="minorBidi" w:cstheme="minorBidi"/>
          <w:sz w:val="20"/>
          <w:szCs w:val="20"/>
        </w:rPr>
        <w:t xml:space="preserve"> as well as the deep-rooted nature of this practice</w:t>
      </w:r>
      <w:r w:rsidR="002C5AF5" w:rsidRPr="002C5AF5">
        <w:rPr>
          <w:rFonts w:asciiTheme="minorBidi" w:hAnsiTheme="minorBidi" w:cstheme="minorBidi"/>
          <w:sz w:val="20"/>
          <w:szCs w:val="20"/>
        </w:rPr>
        <w:t xml:space="preserve">. </w:t>
      </w:r>
      <w:r w:rsidR="007C5807">
        <w:rPr>
          <w:rFonts w:asciiTheme="minorBidi" w:hAnsiTheme="minorBidi" w:cstheme="minorBidi"/>
          <w:sz w:val="20"/>
          <w:szCs w:val="20"/>
        </w:rPr>
        <w:t>Ever s</w:t>
      </w:r>
      <w:r w:rsidR="002C5AF5" w:rsidRPr="002C5AF5">
        <w:rPr>
          <w:rFonts w:asciiTheme="minorBidi" w:hAnsiTheme="minorBidi" w:cstheme="minorBidi"/>
          <w:sz w:val="20"/>
          <w:szCs w:val="20"/>
        </w:rPr>
        <w:t>ince the enactment of the laws prohibiting child marriage and child betrothal through the amendment of Section 24 and 25 of the Children’s Act 2005,</w:t>
      </w:r>
      <w:r w:rsidR="00271D57">
        <w:rPr>
          <w:rFonts w:asciiTheme="minorBidi" w:hAnsiTheme="minorBidi" w:cstheme="minorBidi"/>
          <w:sz w:val="20"/>
          <w:szCs w:val="20"/>
        </w:rPr>
        <w:t xml:space="preserve"> </w:t>
      </w:r>
      <w:r w:rsidR="002C5AF5" w:rsidRPr="002C5AF5">
        <w:rPr>
          <w:rFonts w:asciiTheme="minorBidi" w:hAnsiTheme="minorBidi" w:cstheme="minorBidi"/>
          <w:sz w:val="20"/>
          <w:szCs w:val="20"/>
        </w:rPr>
        <w:t>prosecution</w:t>
      </w:r>
      <w:r w:rsidR="00271D57">
        <w:rPr>
          <w:rFonts w:asciiTheme="minorBidi" w:hAnsiTheme="minorBidi" w:cstheme="minorBidi"/>
          <w:sz w:val="20"/>
          <w:szCs w:val="20"/>
        </w:rPr>
        <w:t>s</w:t>
      </w:r>
      <w:r>
        <w:rPr>
          <w:rFonts w:asciiTheme="minorBidi" w:hAnsiTheme="minorBidi" w:cstheme="minorBidi"/>
          <w:sz w:val="20"/>
          <w:szCs w:val="20"/>
        </w:rPr>
        <w:t xml:space="preserve"> for child marriage</w:t>
      </w:r>
      <w:r w:rsidR="002C5AF5" w:rsidRPr="002C5AF5">
        <w:rPr>
          <w:rFonts w:asciiTheme="minorBidi" w:hAnsiTheme="minorBidi" w:cstheme="minorBidi"/>
          <w:sz w:val="20"/>
          <w:szCs w:val="20"/>
        </w:rPr>
        <w:t xml:space="preserve"> </w:t>
      </w:r>
      <w:r w:rsidR="00271D57">
        <w:rPr>
          <w:rFonts w:asciiTheme="minorBidi" w:hAnsiTheme="minorBidi" w:cstheme="minorBidi"/>
          <w:sz w:val="20"/>
          <w:szCs w:val="20"/>
        </w:rPr>
        <w:t>have not taken place.</w:t>
      </w:r>
    </w:p>
    <w:p w14:paraId="62C7B2BC" w14:textId="12F3D08A" w:rsidR="002C5AF5" w:rsidRPr="002C5AF5" w:rsidRDefault="002C5AF5" w:rsidP="002C5AF5">
      <w:pPr>
        <w:jc w:val="both"/>
        <w:rPr>
          <w:rFonts w:asciiTheme="minorBidi" w:hAnsiTheme="minorBidi" w:cstheme="minorBidi"/>
          <w:sz w:val="20"/>
          <w:szCs w:val="20"/>
        </w:rPr>
      </w:pPr>
    </w:p>
    <w:p w14:paraId="74775AC6" w14:textId="65717726" w:rsidR="00F24D9C" w:rsidRPr="007C5807" w:rsidRDefault="002C5AF5" w:rsidP="007C5807">
      <w:pPr>
        <w:jc w:val="both"/>
        <w:rPr>
          <w:rFonts w:asciiTheme="minorBidi" w:hAnsiTheme="minorBidi" w:cstheme="minorBidi"/>
          <w:sz w:val="20"/>
          <w:szCs w:val="20"/>
        </w:rPr>
      </w:pPr>
      <w:r w:rsidRPr="002C5AF5">
        <w:rPr>
          <w:rFonts w:asciiTheme="minorBidi" w:hAnsiTheme="minorBidi" w:cstheme="minorBidi"/>
          <w:sz w:val="20"/>
          <w:szCs w:val="20"/>
        </w:rPr>
        <w:t xml:space="preserve">Data indicates that </w:t>
      </w:r>
      <w:r w:rsidR="00B3395C" w:rsidRPr="002C5AF5">
        <w:rPr>
          <w:rFonts w:asciiTheme="minorBidi" w:hAnsiTheme="minorBidi" w:cstheme="minorBidi"/>
          <w:sz w:val="20"/>
          <w:szCs w:val="20"/>
        </w:rPr>
        <w:t>child marriage is still prevale</w:t>
      </w:r>
      <w:r w:rsidRPr="002C5AF5">
        <w:rPr>
          <w:rFonts w:asciiTheme="minorBidi" w:hAnsiTheme="minorBidi" w:cstheme="minorBidi"/>
          <w:sz w:val="20"/>
          <w:szCs w:val="20"/>
        </w:rPr>
        <w:t>nt:</w:t>
      </w:r>
      <w:r w:rsidR="00B3395C" w:rsidRPr="002C5AF5">
        <w:rPr>
          <w:rFonts w:asciiTheme="minorBidi" w:hAnsiTheme="minorBidi" w:cstheme="minorBidi"/>
          <w:sz w:val="20"/>
          <w:szCs w:val="20"/>
        </w:rPr>
        <w:t xml:space="preserve"> </w:t>
      </w:r>
      <w:r w:rsidRPr="002C5AF5">
        <w:rPr>
          <w:rFonts w:asciiTheme="minorBidi" w:hAnsiTheme="minorBidi" w:cstheme="minorBidi"/>
          <w:sz w:val="20"/>
          <w:szCs w:val="20"/>
        </w:rPr>
        <w:t>the</w:t>
      </w:r>
      <w:r w:rsidR="00B3395C" w:rsidRPr="002C5AF5">
        <w:rPr>
          <w:rFonts w:asciiTheme="minorBidi" w:hAnsiTheme="minorBidi" w:cstheme="minorBidi"/>
          <w:sz w:val="20"/>
          <w:szCs w:val="20"/>
        </w:rPr>
        <w:t xml:space="preserve"> Multiple Indicator Cluster Survey 2018 indicated </w:t>
      </w:r>
      <w:r w:rsidR="00764F65">
        <w:rPr>
          <w:rFonts w:asciiTheme="minorBidi" w:hAnsiTheme="minorBidi" w:cstheme="minorBidi"/>
          <w:sz w:val="20"/>
          <w:szCs w:val="20"/>
        </w:rPr>
        <w:t>34.2</w:t>
      </w:r>
      <w:r w:rsidR="00B3395C" w:rsidRPr="002C5AF5">
        <w:rPr>
          <w:rFonts w:asciiTheme="minorBidi" w:hAnsiTheme="minorBidi" w:cstheme="minorBidi"/>
          <w:sz w:val="20"/>
          <w:szCs w:val="20"/>
        </w:rPr>
        <w:t xml:space="preserve"> pe</w:t>
      </w:r>
      <w:r w:rsidR="00764F65">
        <w:rPr>
          <w:rFonts w:asciiTheme="minorBidi" w:hAnsiTheme="minorBidi" w:cstheme="minorBidi"/>
          <w:sz w:val="20"/>
          <w:szCs w:val="20"/>
        </w:rPr>
        <w:t>r</w:t>
      </w:r>
      <w:r w:rsidR="00B3395C" w:rsidRPr="002C5AF5">
        <w:rPr>
          <w:rFonts w:asciiTheme="minorBidi" w:hAnsiTheme="minorBidi" w:cstheme="minorBidi"/>
          <w:sz w:val="20"/>
          <w:szCs w:val="20"/>
        </w:rPr>
        <w:t xml:space="preserve">cent </w:t>
      </w:r>
      <w:r w:rsidR="00764F65">
        <w:rPr>
          <w:rFonts w:asciiTheme="minorBidi" w:hAnsiTheme="minorBidi" w:cstheme="minorBidi"/>
          <w:sz w:val="20"/>
          <w:szCs w:val="20"/>
        </w:rPr>
        <w:t xml:space="preserve">of women aged 20-49 years </w:t>
      </w:r>
      <w:r w:rsidR="00B3395C" w:rsidRPr="002C5AF5">
        <w:rPr>
          <w:rFonts w:asciiTheme="minorBidi" w:hAnsiTheme="minorBidi" w:cstheme="minorBidi"/>
          <w:sz w:val="20"/>
          <w:szCs w:val="20"/>
        </w:rPr>
        <w:t>were married before</w:t>
      </w:r>
      <w:r w:rsidR="00764F65">
        <w:rPr>
          <w:rFonts w:asciiTheme="minorBidi" w:hAnsiTheme="minorBidi" w:cstheme="minorBidi"/>
          <w:sz w:val="20"/>
          <w:szCs w:val="20"/>
        </w:rPr>
        <w:t xml:space="preserve"> the age of</w:t>
      </w:r>
      <w:r w:rsidR="00B3395C" w:rsidRPr="002C5AF5">
        <w:rPr>
          <w:rFonts w:asciiTheme="minorBidi" w:hAnsiTheme="minorBidi" w:cstheme="minorBidi"/>
          <w:sz w:val="20"/>
          <w:szCs w:val="20"/>
        </w:rPr>
        <w:t xml:space="preserve"> </w:t>
      </w:r>
      <w:r w:rsidR="00764F65">
        <w:rPr>
          <w:rFonts w:asciiTheme="minorBidi" w:hAnsiTheme="minorBidi" w:cstheme="minorBidi"/>
          <w:sz w:val="20"/>
          <w:szCs w:val="20"/>
        </w:rPr>
        <w:t>eighteen, and 17.1 percent of women aged 15-19</w:t>
      </w:r>
      <w:r w:rsidR="00D751A2">
        <w:rPr>
          <w:rFonts w:asciiTheme="minorBidi" w:hAnsiTheme="minorBidi" w:cstheme="minorBidi"/>
          <w:sz w:val="20"/>
          <w:szCs w:val="20"/>
        </w:rPr>
        <w:t xml:space="preserve"> years were married at the time of the survey</w:t>
      </w:r>
      <w:r w:rsidR="00B3395C" w:rsidRPr="002C5AF5">
        <w:rPr>
          <w:rFonts w:asciiTheme="minorBidi" w:hAnsiTheme="minorBidi" w:cstheme="minorBidi"/>
          <w:sz w:val="20"/>
          <w:szCs w:val="20"/>
        </w:rPr>
        <w:t>.</w:t>
      </w:r>
      <w:r w:rsidR="00764F65">
        <w:rPr>
          <w:rStyle w:val="FootnoteReference"/>
          <w:rFonts w:asciiTheme="minorBidi" w:hAnsiTheme="minorBidi" w:cstheme="minorBidi"/>
          <w:sz w:val="20"/>
          <w:szCs w:val="20"/>
        </w:rPr>
        <w:footnoteReference w:id="12"/>
      </w:r>
      <w:r w:rsidR="00B3395C" w:rsidRPr="002C5AF5">
        <w:rPr>
          <w:rFonts w:asciiTheme="minorBidi" w:hAnsiTheme="minorBidi" w:cstheme="minorBidi"/>
          <w:sz w:val="20"/>
          <w:szCs w:val="20"/>
        </w:rPr>
        <w:t xml:space="preserve"> It is not uncommon to hear of stories of young girls being taken out of school and forced into marriage by their family.</w:t>
      </w:r>
      <w:r w:rsidR="007C5807">
        <w:rPr>
          <w:rFonts w:asciiTheme="minorBidi" w:hAnsiTheme="minorBidi" w:cstheme="minorBidi"/>
          <w:sz w:val="20"/>
          <w:szCs w:val="20"/>
        </w:rPr>
        <w:t xml:space="preserve"> </w:t>
      </w:r>
      <w:r w:rsidR="00F24D9C" w:rsidRPr="007C5807">
        <w:rPr>
          <w:rFonts w:ascii="Arial" w:hAnsi="Arial" w:cs="Arial"/>
          <w:color w:val="000000" w:themeColor="text1"/>
          <w:sz w:val="20"/>
          <w:szCs w:val="20"/>
        </w:rPr>
        <w:t xml:space="preserve">Child marriages are </w:t>
      </w:r>
      <w:r w:rsidR="007C5807" w:rsidRPr="007C5807">
        <w:rPr>
          <w:rFonts w:ascii="Arial" w:hAnsi="Arial" w:cs="Arial"/>
          <w:color w:val="000000" w:themeColor="text1"/>
          <w:sz w:val="20"/>
          <w:szCs w:val="20"/>
        </w:rPr>
        <w:t>particularly</w:t>
      </w:r>
      <w:r w:rsidR="00F24D9C" w:rsidRPr="007C5807">
        <w:rPr>
          <w:rFonts w:ascii="Arial" w:hAnsi="Arial" w:cs="Arial"/>
          <w:color w:val="000000" w:themeColor="text1"/>
          <w:sz w:val="20"/>
          <w:szCs w:val="20"/>
        </w:rPr>
        <w:t xml:space="preserve"> common in rural areas, presenting the impact of education and poverty. For instance, the median age of women to marry in the capital city is 21.0, whereas it is 17.6 in Basse, a rural area. Similarly, the median age for women with a secondary education to marry is 22.2, as opposed to girls without an education, wherein the median is 17.3. Furthermore, the figures considering the girl’s family’s wealth are 20.8 for wealthier families and 17.2 years for families that aren’t wealthy.</w:t>
      </w:r>
      <w:r w:rsidR="00F24D9C" w:rsidRPr="007C5807">
        <w:rPr>
          <w:rStyle w:val="FootnoteReference"/>
          <w:rFonts w:ascii="Arial" w:hAnsi="Arial" w:cs="Arial"/>
          <w:color w:val="000000" w:themeColor="text1"/>
          <w:sz w:val="20"/>
          <w:szCs w:val="20"/>
        </w:rPr>
        <w:footnoteReference w:id="13"/>
      </w:r>
    </w:p>
    <w:p w14:paraId="21E24CE7" w14:textId="77777777" w:rsidR="00F24D9C" w:rsidRDefault="00F24D9C" w:rsidP="00F24D9C">
      <w:pPr>
        <w:rPr>
          <w:rFonts w:ascii="Arial" w:hAnsi="Arial" w:cs="Arial"/>
          <w:i/>
          <w:iCs/>
          <w:color w:val="FF0000"/>
          <w:sz w:val="20"/>
          <w:szCs w:val="20"/>
        </w:rPr>
      </w:pPr>
    </w:p>
    <w:p w14:paraId="7EDFFD84" w14:textId="6757E352" w:rsidR="00F24D9C" w:rsidRPr="007C5807" w:rsidRDefault="00F24D9C" w:rsidP="008415EB">
      <w:pPr>
        <w:jc w:val="both"/>
        <w:rPr>
          <w:rFonts w:ascii="Arial" w:hAnsi="Arial" w:cs="Arial"/>
          <w:color w:val="000000" w:themeColor="text1"/>
          <w:sz w:val="20"/>
          <w:szCs w:val="20"/>
        </w:rPr>
      </w:pPr>
      <w:r w:rsidRPr="007C5807">
        <w:rPr>
          <w:rFonts w:ascii="Arial" w:hAnsi="Arial" w:cs="Arial"/>
          <w:color w:val="000000" w:themeColor="text1"/>
          <w:sz w:val="20"/>
          <w:szCs w:val="20"/>
        </w:rPr>
        <w:t>A 2019 study found that</w:t>
      </w:r>
      <w:r w:rsidR="007C5807">
        <w:rPr>
          <w:rFonts w:ascii="Arial" w:hAnsi="Arial" w:cs="Arial"/>
          <w:color w:val="000000" w:themeColor="text1"/>
          <w:sz w:val="20"/>
          <w:szCs w:val="20"/>
        </w:rPr>
        <w:t xml:space="preserve"> </w:t>
      </w:r>
      <w:r w:rsidRPr="007C5807">
        <w:rPr>
          <w:rFonts w:ascii="Arial" w:hAnsi="Arial" w:cs="Arial"/>
          <w:color w:val="000000" w:themeColor="text1"/>
          <w:sz w:val="20"/>
          <w:szCs w:val="20"/>
        </w:rPr>
        <w:t>“</w:t>
      </w:r>
      <w:r w:rsidR="007C5807">
        <w:rPr>
          <w:rFonts w:ascii="Arial" w:hAnsi="Arial" w:cs="Arial"/>
          <w:color w:val="000000" w:themeColor="text1"/>
          <w:sz w:val="20"/>
          <w:szCs w:val="20"/>
        </w:rPr>
        <w:t>…</w:t>
      </w:r>
      <w:r w:rsidRPr="007C5807">
        <w:rPr>
          <w:rFonts w:ascii="Arial" w:hAnsi="Arial" w:cs="Arial"/>
          <w:color w:val="000000" w:themeColor="text1"/>
          <w:sz w:val="20"/>
          <w:szCs w:val="20"/>
        </w:rPr>
        <w:t>ethnicity and the fear that girls may engage in premarital sex are two important factors associated with early marriage in rural Gambia. In addition, a lack of meaningful alternatives to marriage, including work opportunities in rural areas, may also limit the options and resources available to girls, resulting in early wedlock. These findings suggest that in order to decrease early marriages in rural Gambia, future efforts should focus on understanding and addressing the role of ethnicity in determining marriage patterns and allaying the fear around premarital sex. The findings also suggest a need to provide girls with employment-oriented education, such as vocational skills, which may result in increased empowerment and a delay in marriage.”</w:t>
      </w:r>
      <w:r w:rsidRPr="007C5807">
        <w:rPr>
          <w:rStyle w:val="FootnoteReference"/>
          <w:rFonts w:ascii="Arial" w:hAnsi="Arial" w:cs="Arial"/>
          <w:color w:val="000000" w:themeColor="text1"/>
          <w:sz w:val="20"/>
          <w:szCs w:val="20"/>
        </w:rPr>
        <w:footnoteReference w:id="14"/>
      </w:r>
    </w:p>
    <w:p w14:paraId="720DBECA" w14:textId="77777777" w:rsidR="00F24D9C" w:rsidRPr="00DD0113" w:rsidRDefault="00F24D9C" w:rsidP="00F24D9C">
      <w:pPr>
        <w:widowControl w:val="0"/>
        <w:rPr>
          <w:rFonts w:ascii="Arial" w:hAnsi="Arial" w:cs="Arial"/>
          <w:sz w:val="20"/>
          <w:szCs w:val="20"/>
        </w:rPr>
      </w:pPr>
      <w:r w:rsidRPr="00DD0113">
        <w:rPr>
          <w:rFonts w:ascii="Arial" w:hAnsi="Arial" w:cs="Arial"/>
          <w:sz w:val="20"/>
          <w:szCs w:val="20"/>
        </w:rPr>
        <w:t xml:space="preserve">  </w:t>
      </w:r>
    </w:p>
    <w:tbl>
      <w:tblPr>
        <w:tblW w:w="89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17"/>
      </w:tblGrid>
      <w:tr w:rsidR="00F24D9C" w:rsidRPr="00DD0113" w14:paraId="79A16AA4" w14:textId="77777777" w:rsidTr="000E1F1E">
        <w:trPr>
          <w:trHeight w:val="2352"/>
        </w:trPr>
        <w:tc>
          <w:tcPr>
            <w:tcW w:w="8917" w:type="dxa"/>
            <w:shd w:val="clear" w:color="auto" w:fill="D9D9D9" w:themeFill="background1" w:themeFillShade="D9"/>
            <w:tcMar>
              <w:top w:w="100" w:type="dxa"/>
              <w:left w:w="100" w:type="dxa"/>
              <w:bottom w:w="100" w:type="dxa"/>
              <w:right w:w="100" w:type="dxa"/>
            </w:tcMar>
          </w:tcPr>
          <w:p w14:paraId="145D45BE" w14:textId="77777777" w:rsidR="00F24D9C" w:rsidRPr="00E91344" w:rsidRDefault="00F24D9C" w:rsidP="000E1F1E">
            <w:pPr>
              <w:widowControl w:val="0"/>
              <w:spacing w:before="240" w:after="240"/>
              <w:rPr>
                <w:rFonts w:ascii="Arial" w:hAnsi="Arial" w:cs="Arial"/>
                <w:b/>
                <w:sz w:val="20"/>
                <w:szCs w:val="20"/>
                <w:u w:val="single"/>
              </w:rPr>
            </w:pPr>
            <w:r w:rsidRPr="00E91344">
              <w:rPr>
                <w:rFonts w:ascii="Arial" w:hAnsi="Arial" w:cs="Arial"/>
                <w:b/>
                <w:sz w:val="20"/>
                <w:szCs w:val="20"/>
                <w:u w:val="single"/>
              </w:rPr>
              <w:t>RECOMMENDATIONS</w:t>
            </w:r>
          </w:p>
          <w:p w14:paraId="59495553" w14:textId="77777777" w:rsidR="00F24D9C" w:rsidRPr="00E91344" w:rsidRDefault="00F24D9C" w:rsidP="000E1F1E">
            <w:pPr>
              <w:rPr>
                <w:rFonts w:ascii="Arial" w:hAnsi="Arial" w:cs="Arial"/>
                <w:sz w:val="20"/>
                <w:szCs w:val="20"/>
              </w:rPr>
            </w:pPr>
            <w:r w:rsidRPr="00E91344">
              <w:rPr>
                <w:rFonts w:ascii="Arial" w:hAnsi="Arial" w:cs="Arial"/>
                <w:b/>
                <w:bCs/>
                <w:sz w:val="20"/>
                <w:szCs w:val="20"/>
              </w:rPr>
              <w:t>We recommend the CEDAW Committee urge the State party to:</w:t>
            </w:r>
          </w:p>
          <w:p w14:paraId="6D5B400B" w14:textId="77777777" w:rsidR="00F24D9C" w:rsidRPr="009E090E" w:rsidRDefault="00F24D9C" w:rsidP="000E1F1E">
            <w:pPr>
              <w:jc w:val="both"/>
              <w:rPr>
                <w:rFonts w:ascii="Arial" w:eastAsiaTheme="minorEastAsia" w:hAnsi="Arial" w:cs="Arial"/>
                <w:sz w:val="20"/>
                <w:szCs w:val="20"/>
              </w:rPr>
            </w:pPr>
          </w:p>
          <w:p w14:paraId="296F76AF" w14:textId="38AC6C0A" w:rsidR="007C5807" w:rsidRPr="007C5807" w:rsidRDefault="00186119" w:rsidP="000E1F1E">
            <w:pPr>
              <w:pStyle w:val="ListParagraph"/>
              <w:numPr>
                <w:ilvl w:val="0"/>
                <w:numId w:val="12"/>
              </w:numPr>
              <w:spacing w:after="160" w:line="259" w:lineRule="auto"/>
              <w:jc w:val="both"/>
              <w:rPr>
                <w:rFonts w:ascii="Arial" w:eastAsiaTheme="minorEastAsia" w:hAnsi="Arial" w:cs="Arial"/>
                <w:sz w:val="20"/>
                <w:szCs w:val="20"/>
              </w:rPr>
            </w:pPr>
            <w:r>
              <w:rPr>
                <w:rFonts w:ascii="Arial" w:eastAsiaTheme="minorEastAsia" w:hAnsi="Arial" w:cs="Arial"/>
                <w:sz w:val="20"/>
                <w:szCs w:val="20"/>
              </w:rPr>
              <w:t>Put in place a mechanism for registration of marriages, particularly in rural areas, so that marriages can be documented and recognized by all jurisdictions.</w:t>
            </w:r>
          </w:p>
          <w:p w14:paraId="1C83DD94" w14:textId="77777777" w:rsidR="007C5807" w:rsidRPr="007C5807" w:rsidRDefault="007C5807" w:rsidP="007C5807">
            <w:pPr>
              <w:pStyle w:val="ListParagraph"/>
              <w:spacing w:after="160" w:line="259" w:lineRule="auto"/>
              <w:jc w:val="both"/>
              <w:rPr>
                <w:rFonts w:ascii="Arial" w:eastAsiaTheme="minorEastAsia" w:hAnsi="Arial" w:cs="Arial"/>
                <w:sz w:val="20"/>
                <w:szCs w:val="20"/>
              </w:rPr>
            </w:pPr>
          </w:p>
          <w:p w14:paraId="60B4DF9A" w14:textId="3428CE6C" w:rsidR="00F24D9C" w:rsidRPr="009E090E" w:rsidRDefault="00F24D9C" w:rsidP="000E1F1E">
            <w:pPr>
              <w:pStyle w:val="ListParagraph"/>
              <w:numPr>
                <w:ilvl w:val="0"/>
                <w:numId w:val="12"/>
              </w:numPr>
              <w:spacing w:after="160" w:line="259" w:lineRule="auto"/>
              <w:jc w:val="both"/>
              <w:rPr>
                <w:rFonts w:ascii="Arial" w:eastAsiaTheme="minorEastAsia" w:hAnsi="Arial" w:cs="Arial"/>
                <w:sz w:val="20"/>
                <w:szCs w:val="20"/>
              </w:rPr>
            </w:pPr>
            <w:r w:rsidRPr="00DD0113">
              <w:rPr>
                <w:rFonts w:ascii="Arial" w:hAnsi="Arial" w:cs="Arial"/>
                <w:sz w:val="20"/>
                <w:szCs w:val="20"/>
              </w:rPr>
              <w:t>Provide targeted training programs to law enforcement officials, the judiciary, healthcare workers, and social workers to respond to reports of child marriage,</w:t>
            </w:r>
            <w:r>
              <w:rPr>
                <w:rFonts w:ascii="Arial" w:hAnsi="Arial" w:cs="Arial"/>
                <w:sz w:val="20"/>
                <w:szCs w:val="20"/>
              </w:rPr>
              <w:t xml:space="preserve"> </w:t>
            </w:r>
            <w:r w:rsidRPr="00DD0113">
              <w:rPr>
                <w:rFonts w:ascii="Arial" w:hAnsi="Arial" w:cs="Arial"/>
                <w:sz w:val="20"/>
                <w:szCs w:val="20"/>
              </w:rPr>
              <w:t>and provide adequate support to victims.</w:t>
            </w:r>
          </w:p>
          <w:p w14:paraId="15F30FA8" w14:textId="77777777" w:rsidR="00F24D9C" w:rsidRDefault="00F24D9C" w:rsidP="000E1F1E">
            <w:pPr>
              <w:pStyle w:val="ListParagraph"/>
              <w:spacing w:after="160" w:line="259" w:lineRule="auto"/>
              <w:jc w:val="both"/>
              <w:rPr>
                <w:rFonts w:ascii="Arial" w:eastAsiaTheme="minorEastAsia" w:hAnsi="Arial" w:cs="Arial"/>
                <w:sz w:val="20"/>
                <w:szCs w:val="20"/>
              </w:rPr>
            </w:pPr>
          </w:p>
          <w:p w14:paraId="28AC6B69" w14:textId="1A448E15" w:rsidR="00473D28" w:rsidRPr="00473D28" w:rsidRDefault="00F24D9C" w:rsidP="00473D28">
            <w:pPr>
              <w:pStyle w:val="ListParagraph"/>
              <w:numPr>
                <w:ilvl w:val="0"/>
                <w:numId w:val="12"/>
              </w:numPr>
              <w:spacing w:after="160" w:line="259" w:lineRule="auto"/>
              <w:jc w:val="both"/>
              <w:rPr>
                <w:rFonts w:ascii="Arial" w:eastAsiaTheme="minorEastAsia" w:hAnsi="Arial" w:cs="Arial"/>
                <w:sz w:val="20"/>
                <w:szCs w:val="20"/>
              </w:rPr>
            </w:pPr>
            <w:r w:rsidRPr="00DD0113">
              <w:rPr>
                <w:rFonts w:ascii="Arial" w:eastAsiaTheme="minorEastAsia" w:hAnsi="Arial" w:cs="Arial"/>
                <w:sz w:val="20"/>
                <w:szCs w:val="20"/>
              </w:rPr>
              <w:t xml:space="preserve">Enforce penalties </w:t>
            </w:r>
            <w:r>
              <w:rPr>
                <w:rFonts w:ascii="Arial" w:eastAsiaTheme="minorEastAsia" w:hAnsi="Arial" w:cs="Arial"/>
                <w:sz w:val="20"/>
                <w:szCs w:val="20"/>
              </w:rPr>
              <w:t>on</w:t>
            </w:r>
            <w:r w:rsidRPr="00DD0113">
              <w:rPr>
                <w:rFonts w:ascii="Arial" w:eastAsiaTheme="minorEastAsia" w:hAnsi="Arial" w:cs="Arial"/>
                <w:sz w:val="20"/>
                <w:szCs w:val="20"/>
              </w:rPr>
              <w:t xml:space="preserve"> </w:t>
            </w:r>
            <w:r>
              <w:rPr>
                <w:rFonts w:ascii="Arial" w:eastAsiaTheme="minorEastAsia" w:hAnsi="Arial" w:cs="Arial"/>
                <w:sz w:val="20"/>
                <w:szCs w:val="20"/>
              </w:rPr>
              <w:t>those</w:t>
            </w:r>
            <w:r w:rsidRPr="00DD0113">
              <w:rPr>
                <w:rFonts w:ascii="Arial" w:eastAsiaTheme="minorEastAsia" w:hAnsi="Arial" w:cs="Arial"/>
                <w:sz w:val="20"/>
                <w:szCs w:val="20"/>
              </w:rPr>
              <w:t xml:space="preserve"> who conduct, enable, or fail to prevent </w:t>
            </w:r>
            <w:r>
              <w:rPr>
                <w:rFonts w:ascii="Arial" w:eastAsiaTheme="minorEastAsia" w:hAnsi="Arial" w:cs="Arial"/>
                <w:sz w:val="20"/>
                <w:szCs w:val="20"/>
              </w:rPr>
              <w:t>child</w:t>
            </w:r>
            <w:r w:rsidRPr="00DD0113">
              <w:rPr>
                <w:rFonts w:ascii="Arial" w:eastAsiaTheme="minorEastAsia" w:hAnsi="Arial" w:cs="Arial"/>
                <w:sz w:val="20"/>
                <w:szCs w:val="20"/>
              </w:rPr>
              <w:t xml:space="preserve"> marriages</w:t>
            </w:r>
            <w:r w:rsidR="00186119">
              <w:rPr>
                <w:rFonts w:ascii="Arial" w:eastAsiaTheme="minorEastAsia" w:hAnsi="Arial" w:cs="Arial"/>
                <w:sz w:val="20"/>
                <w:szCs w:val="20"/>
              </w:rPr>
              <w:t>, and effectively enforce Section 24 and 25 of the Amendment Act of the Children’s’ Act 2015.</w:t>
            </w:r>
          </w:p>
        </w:tc>
      </w:tr>
    </w:tbl>
    <w:p w14:paraId="2F749A9E" w14:textId="02F3EB27" w:rsidR="00A1102C" w:rsidRDefault="00A1102C" w:rsidP="00E26F24"/>
    <w:p w14:paraId="3016898C" w14:textId="69D34A5E" w:rsidR="00473D28" w:rsidRPr="00DD0113" w:rsidRDefault="00473D28" w:rsidP="00892FA5">
      <w:pPr>
        <w:pStyle w:val="Heading2"/>
      </w:pPr>
      <w:bookmarkStart w:id="16" w:name="_Toc113905653"/>
      <w:r>
        <w:t>Violence Against Women</w:t>
      </w:r>
      <w:r>
        <w:tab/>
      </w:r>
      <w:r>
        <w:tab/>
      </w:r>
      <w:r>
        <w:tab/>
      </w:r>
      <w:r w:rsidR="00F266AC">
        <w:t xml:space="preserve">        </w:t>
      </w:r>
      <w:r w:rsidR="00F266AC" w:rsidRPr="00892321">
        <w:t>Articles 11-5, 16 &amp; 19, &amp; GR35</w:t>
      </w:r>
      <w:bookmarkEnd w:id="16"/>
    </w:p>
    <w:p w14:paraId="6BA78923" w14:textId="77777777" w:rsidR="00473D28" w:rsidRPr="00552C87" w:rsidRDefault="00473D28" w:rsidP="00473D28">
      <w:pPr>
        <w:widowControl w:val="0"/>
        <w:rPr>
          <w:rFonts w:ascii="Arial" w:hAnsi="Arial" w:cs="Arial"/>
        </w:rPr>
      </w:pPr>
    </w:p>
    <w:p w14:paraId="750DF11B" w14:textId="46293919" w:rsidR="00473D28" w:rsidRPr="00552C87" w:rsidRDefault="00473D28" w:rsidP="00473D28">
      <w:pPr>
        <w:rPr>
          <w:rFonts w:ascii="Arial" w:hAnsi="Arial" w:cs="Arial"/>
          <w:b/>
          <w:bCs/>
          <w:sz w:val="20"/>
          <w:szCs w:val="20"/>
        </w:rPr>
      </w:pPr>
      <w:r w:rsidRPr="00552C87">
        <w:rPr>
          <w:rFonts w:ascii="Arial" w:hAnsi="Arial" w:cs="Arial"/>
          <w:b/>
          <w:bCs/>
          <w:sz w:val="20"/>
          <w:szCs w:val="20"/>
        </w:rPr>
        <w:t>Marital Rape</w:t>
      </w:r>
    </w:p>
    <w:p w14:paraId="36805544" w14:textId="77777777" w:rsidR="00552C87" w:rsidRPr="00552C87" w:rsidRDefault="00552C87" w:rsidP="00473D28">
      <w:pPr>
        <w:rPr>
          <w:rFonts w:ascii="Arial" w:hAnsi="Arial" w:cs="Arial"/>
          <w:b/>
          <w:bCs/>
          <w:sz w:val="20"/>
          <w:szCs w:val="20"/>
        </w:rPr>
      </w:pPr>
    </w:p>
    <w:p w14:paraId="56B5B8E5" w14:textId="6D8EA765" w:rsidR="00473D28" w:rsidRPr="00552C87" w:rsidRDefault="00473D28" w:rsidP="00552C87">
      <w:pPr>
        <w:jc w:val="both"/>
        <w:rPr>
          <w:rFonts w:ascii="Arial" w:hAnsi="Arial" w:cs="Arial"/>
          <w:b/>
          <w:sz w:val="20"/>
          <w:szCs w:val="20"/>
        </w:rPr>
      </w:pPr>
      <w:r w:rsidRPr="00552C87">
        <w:rPr>
          <w:rFonts w:ascii="Arial" w:hAnsi="Arial" w:cs="Arial"/>
          <w:sz w:val="20"/>
          <w:szCs w:val="20"/>
        </w:rPr>
        <w:t>Marital rape is not legally recognized as rape in The Gambia. Section 3(3) of the Sexual Offense Act 2013 stipulates that “</w:t>
      </w:r>
      <w:r w:rsidR="00552C87" w:rsidRPr="00552C87">
        <w:rPr>
          <w:rFonts w:ascii="Arial" w:hAnsi="Arial" w:cs="Arial"/>
          <w:sz w:val="20"/>
          <w:szCs w:val="20"/>
        </w:rPr>
        <w:t>f</w:t>
      </w:r>
      <w:r w:rsidRPr="00552C87">
        <w:rPr>
          <w:rFonts w:ascii="Arial" w:hAnsi="Arial" w:cs="Arial"/>
          <w:sz w:val="20"/>
          <w:szCs w:val="20"/>
        </w:rPr>
        <w:t>or the purposes of this section, rape shall not apply to married couples”</w:t>
      </w:r>
      <w:r w:rsidR="00552C87" w:rsidRPr="00552C87">
        <w:rPr>
          <w:rFonts w:ascii="Arial" w:hAnsi="Arial" w:cs="Arial"/>
          <w:sz w:val="20"/>
          <w:szCs w:val="20"/>
        </w:rPr>
        <w:t>.</w:t>
      </w:r>
      <w:r w:rsidRPr="00552C87">
        <w:rPr>
          <w:rFonts w:ascii="Arial" w:hAnsi="Arial" w:cs="Arial"/>
          <w:sz w:val="20"/>
          <w:szCs w:val="20"/>
        </w:rPr>
        <w:t xml:space="preserve"> </w:t>
      </w:r>
      <w:r w:rsidR="00552C87" w:rsidRPr="00552C87">
        <w:rPr>
          <w:rFonts w:ascii="Arial" w:hAnsi="Arial" w:cs="Arial"/>
          <w:sz w:val="20"/>
          <w:szCs w:val="20"/>
        </w:rPr>
        <w:t>T</w:t>
      </w:r>
      <w:r w:rsidRPr="00552C87">
        <w:rPr>
          <w:rFonts w:ascii="Arial" w:hAnsi="Arial" w:cs="Arial"/>
          <w:sz w:val="20"/>
          <w:szCs w:val="20"/>
        </w:rPr>
        <w:t>his provision</w:t>
      </w:r>
      <w:r w:rsidR="00552C87" w:rsidRPr="00552C87">
        <w:rPr>
          <w:rFonts w:ascii="Arial" w:hAnsi="Arial" w:cs="Arial"/>
          <w:sz w:val="20"/>
          <w:szCs w:val="20"/>
        </w:rPr>
        <w:t xml:space="preserve"> gives </w:t>
      </w:r>
      <w:r w:rsidRPr="00552C87">
        <w:rPr>
          <w:rFonts w:ascii="Arial" w:hAnsi="Arial" w:cs="Arial"/>
          <w:sz w:val="20"/>
          <w:szCs w:val="20"/>
        </w:rPr>
        <w:t>room for women to be expose</w:t>
      </w:r>
      <w:r w:rsidR="00552C87" w:rsidRPr="00552C87">
        <w:rPr>
          <w:rFonts w:ascii="Arial" w:hAnsi="Arial" w:cs="Arial"/>
          <w:sz w:val="20"/>
          <w:szCs w:val="20"/>
        </w:rPr>
        <w:t>d</w:t>
      </w:r>
      <w:r w:rsidRPr="00552C87">
        <w:rPr>
          <w:rFonts w:ascii="Arial" w:hAnsi="Arial" w:cs="Arial"/>
          <w:sz w:val="20"/>
          <w:szCs w:val="20"/>
        </w:rPr>
        <w:t xml:space="preserve"> to sexual abuse</w:t>
      </w:r>
      <w:r w:rsidR="00552C87" w:rsidRPr="00552C87">
        <w:rPr>
          <w:rFonts w:ascii="Arial" w:hAnsi="Arial" w:cs="Arial"/>
          <w:sz w:val="20"/>
          <w:szCs w:val="20"/>
        </w:rPr>
        <w:t xml:space="preserve"> and marital rape, </w:t>
      </w:r>
      <w:r w:rsidRPr="00552C87">
        <w:rPr>
          <w:rFonts w:ascii="Arial" w:hAnsi="Arial" w:cs="Arial"/>
          <w:sz w:val="20"/>
          <w:szCs w:val="20"/>
        </w:rPr>
        <w:t>thus compromising their right to dignity</w:t>
      </w:r>
      <w:r w:rsidR="00552C87" w:rsidRPr="00552C87">
        <w:rPr>
          <w:rFonts w:ascii="Arial" w:hAnsi="Arial" w:cs="Arial"/>
          <w:sz w:val="20"/>
          <w:szCs w:val="20"/>
        </w:rPr>
        <w:t>, as well as their</w:t>
      </w:r>
      <w:r w:rsidRPr="00552C87">
        <w:rPr>
          <w:rFonts w:ascii="Arial" w:hAnsi="Arial" w:cs="Arial"/>
          <w:sz w:val="20"/>
          <w:szCs w:val="20"/>
        </w:rPr>
        <w:t xml:space="preserve"> reproductive health rights</w:t>
      </w:r>
      <w:r w:rsidRPr="00552C87">
        <w:rPr>
          <w:rFonts w:ascii="Arial" w:hAnsi="Arial" w:cs="Arial"/>
          <w:b/>
          <w:sz w:val="20"/>
          <w:szCs w:val="20"/>
        </w:rPr>
        <w:t xml:space="preserve">. </w:t>
      </w:r>
    </w:p>
    <w:p w14:paraId="007A02B2" w14:textId="1069A785" w:rsidR="00473D28" w:rsidRDefault="00473D28" w:rsidP="00473D28">
      <w:pPr>
        <w:widowControl w:val="0"/>
      </w:pPr>
    </w:p>
    <w:p w14:paraId="404C5153" w14:textId="4AD8C198" w:rsidR="00D813B1" w:rsidRDefault="00D813B1" w:rsidP="00473D28">
      <w:pPr>
        <w:widowControl w:val="0"/>
      </w:pPr>
    </w:p>
    <w:p w14:paraId="7887BDAE" w14:textId="77777777" w:rsidR="00D813B1" w:rsidRDefault="00D813B1" w:rsidP="00473D28">
      <w:pPr>
        <w:widowControl w:val="0"/>
      </w:pPr>
    </w:p>
    <w:p w14:paraId="488028EF" w14:textId="6DED1B3E" w:rsidR="00121CB2" w:rsidRPr="00121CB2" w:rsidRDefault="00473D28" w:rsidP="00121CB2">
      <w:pPr>
        <w:rPr>
          <w:rFonts w:ascii="Arial" w:hAnsi="Arial" w:cs="Arial"/>
          <w:b/>
          <w:bCs/>
          <w:sz w:val="20"/>
          <w:szCs w:val="20"/>
        </w:rPr>
      </w:pPr>
      <w:r w:rsidRPr="00552C87">
        <w:rPr>
          <w:rFonts w:ascii="Arial" w:hAnsi="Arial" w:cs="Arial"/>
          <w:b/>
          <w:bCs/>
          <w:sz w:val="20"/>
          <w:szCs w:val="20"/>
        </w:rPr>
        <w:lastRenderedPageBreak/>
        <w:t>Female Genital Mutilation (FGM)</w:t>
      </w:r>
    </w:p>
    <w:p w14:paraId="1637A0F1" w14:textId="77777777" w:rsidR="00121CB2" w:rsidRDefault="00121CB2" w:rsidP="00473D28">
      <w:pPr>
        <w:jc w:val="both"/>
        <w:rPr>
          <w:rFonts w:ascii="Arial" w:hAnsi="Arial" w:cs="Arial"/>
          <w:color w:val="333333"/>
          <w:sz w:val="20"/>
          <w:szCs w:val="20"/>
        </w:rPr>
      </w:pPr>
    </w:p>
    <w:p w14:paraId="0B5660B6" w14:textId="082375EC" w:rsidR="00121CB2" w:rsidRPr="00121CB2" w:rsidRDefault="00473D28" w:rsidP="00121CB2">
      <w:pPr>
        <w:jc w:val="both"/>
        <w:rPr>
          <w:rFonts w:ascii="Arial" w:hAnsi="Arial" w:cs="Arial"/>
          <w:color w:val="000000" w:themeColor="text1"/>
          <w:sz w:val="20"/>
          <w:szCs w:val="20"/>
        </w:rPr>
      </w:pPr>
      <w:r w:rsidRPr="00121CB2">
        <w:rPr>
          <w:rFonts w:ascii="Arial" w:hAnsi="Arial" w:cs="Arial"/>
          <w:color w:val="000000" w:themeColor="text1"/>
          <w:sz w:val="20"/>
          <w:szCs w:val="20"/>
        </w:rPr>
        <w:t>F</w:t>
      </w:r>
      <w:r w:rsidR="00583953">
        <w:rPr>
          <w:rFonts w:ascii="Arial" w:hAnsi="Arial" w:cs="Arial"/>
          <w:color w:val="000000" w:themeColor="text1"/>
          <w:sz w:val="20"/>
          <w:szCs w:val="20"/>
        </w:rPr>
        <w:t>GM</w:t>
      </w:r>
      <w:r w:rsidRPr="00121CB2">
        <w:rPr>
          <w:rFonts w:ascii="Arial" w:hAnsi="Arial" w:cs="Arial"/>
          <w:color w:val="000000" w:themeColor="text1"/>
          <w:sz w:val="20"/>
          <w:szCs w:val="20"/>
        </w:rPr>
        <w:t xml:space="preserve"> involves the cutting away of parts of the outer female genitalia.</w:t>
      </w:r>
      <w:r w:rsidRPr="00121CB2">
        <w:rPr>
          <w:rStyle w:val="FootnoteReference"/>
          <w:rFonts w:ascii="Arial" w:eastAsia="Arial" w:hAnsi="Arial" w:cs="Arial"/>
          <w:color w:val="000000" w:themeColor="text1"/>
          <w:sz w:val="20"/>
          <w:szCs w:val="20"/>
        </w:rPr>
        <w:footnoteReference w:id="15"/>
      </w:r>
      <w:r w:rsidRPr="00121CB2">
        <w:rPr>
          <w:rFonts w:ascii="Arial" w:hAnsi="Arial" w:cs="Arial"/>
          <w:color w:val="000000" w:themeColor="text1"/>
          <w:sz w:val="20"/>
          <w:szCs w:val="20"/>
        </w:rPr>
        <w:t xml:space="preserve"> </w:t>
      </w:r>
      <w:r w:rsidR="00121CB2" w:rsidRPr="00121CB2">
        <w:rPr>
          <w:rFonts w:ascii="Arial" w:hAnsi="Arial" w:cs="Arial"/>
          <w:color w:val="000000" w:themeColor="text1"/>
          <w:sz w:val="20"/>
          <w:szCs w:val="20"/>
        </w:rPr>
        <w:t xml:space="preserve">Although the Gambia </w:t>
      </w:r>
      <w:r w:rsidR="00121CB2">
        <w:rPr>
          <w:rFonts w:ascii="Arial" w:hAnsi="Arial" w:cs="Arial"/>
          <w:color w:val="000000" w:themeColor="text1"/>
          <w:sz w:val="20"/>
          <w:szCs w:val="20"/>
        </w:rPr>
        <w:t>prohibited FGM in 2015,</w:t>
      </w:r>
      <w:r w:rsidR="002F2FB3">
        <w:rPr>
          <w:rStyle w:val="FootnoteReference"/>
          <w:rFonts w:ascii="Arial" w:hAnsi="Arial" w:cs="Arial"/>
          <w:color w:val="000000" w:themeColor="text1"/>
          <w:sz w:val="20"/>
          <w:szCs w:val="20"/>
        </w:rPr>
        <w:footnoteReference w:id="16"/>
      </w:r>
      <w:r w:rsidR="00121CB2">
        <w:rPr>
          <w:rFonts w:ascii="Arial" w:hAnsi="Arial" w:cs="Arial"/>
          <w:color w:val="000000" w:themeColor="text1"/>
          <w:sz w:val="20"/>
          <w:szCs w:val="20"/>
        </w:rPr>
        <w:t xml:space="preserve"> the practice remains prevalent.</w:t>
      </w:r>
      <w:r w:rsidR="00121CB2">
        <w:rPr>
          <w:rStyle w:val="FootnoteReference"/>
          <w:rFonts w:ascii="Arial" w:hAnsi="Arial" w:cs="Arial"/>
          <w:color w:val="000000" w:themeColor="text1"/>
          <w:sz w:val="20"/>
          <w:szCs w:val="20"/>
        </w:rPr>
        <w:footnoteReference w:id="17"/>
      </w:r>
      <w:r w:rsidR="00121CB2">
        <w:rPr>
          <w:rFonts w:ascii="Arial" w:hAnsi="Arial" w:cs="Arial"/>
          <w:color w:val="000000" w:themeColor="text1"/>
          <w:sz w:val="20"/>
          <w:szCs w:val="20"/>
        </w:rPr>
        <w:t xml:space="preserve"> </w:t>
      </w:r>
      <w:r w:rsidR="00664FCA" w:rsidRPr="00664FCA">
        <w:rPr>
          <w:rFonts w:ascii="Arial" w:hAnsi="Arial" w:cs="Arial"/>
          <w:sz w:val="20"/>
          <w:szCs w:val="20"/>
        </w:rPr>
        <w:t xml:space="preserve">According to an analysis of data from the DHS 2013 by UNICEF, </w:t>
      </w:r>
      <w:r w:rsidRPr="0073020D">
        <w:rPr>
          <w:rFonts w:ascii="Arial" w:hAnsi="Arial" w:cs="Arial"/>
          <w:sz w:val="20"/>
          <w:szCs w:val="20"/>
        </w:rPr>
        <w:t>55</w:t>
      </w:r>
      <w:r w:rsidR="00D813B1">
        <w:rPr>
          <w:rFonts w:ascii="Arial" w:hAnsi="Arial" w:cs="Arial"/>
          <w:sz w:val="20"/>
          <w:szCs w:val="20"/>
        </w:rPr>
        <w:t xml:space="preserve"> percent</w:t>
      </w:r>
      <w:r w:rsidRPr="0073020D">
        <w:rPr>
          <w:rFonts w:ascii="Arial" w:hAnsi="Arial" w:cs="Arial"/>
          <w:sz w:val="20"/>
          <w:szCs w:val="20"/>
        </w:rPr>
        <w:t xml:space="preserve"> of</w:t>
      </w:r>
      <w:r w:rsidRPr="0073020D">
        <w:rPr>
          <w:rFonts w:ascii="Arial" w:hAnsi="Arial" w:cs="Arial"/>
          <w:color w:val="333333"/>
          <w:sz w:val="20"/>
          <w:szCs w:val="20"/>
        </w:rPr>
        <w:t xml:space="preserve"> </w:t>
      </w:r>
      <w:r w:rsidRPr="0073020D">
        <w:rPr>
          <w:rFonts w:ascii="Arial" w:hAnsi="Arial" w:cs="Arial"/>
          <w:sz w:val="20"/>
          <w:szCs w:val="20"/>
        </w:rPr>
        <w:t>women report</w:t>
      </w:r>
      <w:r w:rsidR="00121CB2">
        <w:rPr>
          <w:rFonts w:ascii="Arial" w:hAnsi="Arial" w:cs="Arial"/>
          <w:sz w:val="20"/>
          <w:szCs w:val="20"/>
        </w:rPr>
        <w:t>ed</w:t>
      </w:r>
      <w:r w:rsidRPr="0073020D">
        <w:rPr>
          <w:rFonts w:ascii="Arial" w:hAnsi="Arial" w:cs="Arial"/>
          <w:sz w:val="20"/>
          <w:szCs w:val="20"/>
        </w:rPr>
        <w:t xml:space="preserve"> that they were circumcised before the age of five. Another</w:t>
      </w:r>
      <w:r w:rsidRPr="0073020D">
        <w:rPr>
          <w:rFonts w:ascii="Arial" w:hAnsi="Arial" w:cs="Arial"/>
          <w:color w:val="333333"/>
          <w:sz w:val="20"/>
          <w:szCs w:val="20"/>
        </w:rPr>
        <w:t xml:space="preserve"> </w:t>
      </w:r>
      <w:r w:rsidRPr="0073020D">
        <w:rPr>
          <w:rFonts w:ascii="Arial" w:hAnsi="Arial" w:cs="Arial"/>
          <w:sz w:val="20"/>
          <w:szCs w:val="20"/>
        </w:rPr>
        <w:t>28</w:t>
      </w:r>
      <w:r w:rsidR="00D813B1">
        <w:rPr>
          <w:rFonts w:ascii="Arial" w:hAnsi="Arial" w:cs="Arial"/>
          <w:sz w:val="20"/>
          <w:szCs w:val="20"/>
        </w:rPr>
        <w:t xml:space="preserve"> percent</w:t>
      </w:r>
      <w:r w:rsidRPr="0073020D">
        <w:rPr>
          <w:rFonts w:ascii="Arial" w:hAnsi="Arial" w:cs="Arial"/>
          <w:sz w:val="20"/>
          <w:szCs w:val="20"/>
        </w:rPr>
        <w:t xml:space="preserve"> of women were circumcised between the ages of 5 and 9, and 7</w:t>
      </w:r>
      <w:r w:rsidR="00D813B1">
        <w:rPr>
          <w:rFonts w:ascii="Arial" w:hAnsi="Arial" w:cs="Arial"/>
          <w:sz w:val="20"/>
          <w:szCs w:val="20"/>
        </w:rPr>
        <w:t xml:space="preserve"> percent</w:t>
      </w:r>
      <w:r w:rsidRPr="0073020D">
        <w:rPr>
          <w:rFonts w:ascii="Arial" w:hAnsi="Arial" w:cs="Arial"/>
          <w:sz w:val="20"/>
          <w:szCs w:val="20"/>
        </w:rPr>
        <w:t xml:space="preserve"> were circumcised between the ages of 10 and 14.</w:t>
      </w:r>
      <w:r w:rsidR="00D018E4">
        <w:rPr>
          <w:rStyle w:val="FootnoteReference"/>
          <w:rFonts w:ascii="Arial" w:hAnsi="Arial" w:cs="Arial"/>
          <w:sz w:val="20"/>
          <w:szCs w:val="20"/>
        </w:rPr>
        <w:footnoteReference w:id="18"/>
      </w:r>
      <w:r w:rsidRPr="0073020D">
        <w:rPr>
          <w:rFonts w:ascii="Arial" w:hAnsi="Arial" w:cs="Arial"/>
          <w:sz w:val="20"/>
          <w:szCs w:val="20"/>
        </w:rPr>
        <w:t xml:space="preserve"> Around 85</w:t>
      </w:r>
      <w:r w:rsidR="00D813B1">
        <w:rPr>
          <w:rFonts w:ascii="Arial" w:hAnsi="Arial" w:cs="Arial"/>
          <w:sz w:val="20"/>
          <w:szCs w:val="20"/>
        </w:rPr>
        <w:t xml:space="preserve"> percent</w:t>
      </w:r>
      <w:r w:rsidRPr="0073020D">
        <w:rPr>
          <w:rFonts w:ascii="Arial" w:hAnsi="Arial" w:cs="Arial"/>
          <w:sz w:val="20"/>
          <w:szCs w:val="20"/>
        </w:rPr>
        <w:t xml:space="preserve"> of women circumcised</w:t>
      </w:r>
      <w:r w:rsidRPr="0073020D">
        <w:rPr>
          <w:rFonts w:ascii="Arial" w:hAnsi="Arial" w:cs="Arial"/>
          <w:color w:val="333333"/>
          <w:sz w:val="20"/>
          <w:szCs w:val="20"/>
        </w:rPr>
        <w:t xml:space="preserve"> </w:t>
      </w:r>
      <w:r w:rsidRPr="0073020D">
        <w:rPr>
          <w:rFonts w:ascii="Arial" w:hAnsi="Arial" w:cs="Arial"/>
          <w:sz w:val="20"/>
          <w:szCs w:val="20"/>
        </w:rPr>
        <w:t>mentioned that what they went through involved cutting and removal</w:t>
      </w:r>
      <w:r w:rsidRPr="0073020D">
        <w:rPr>
          <w:rFonts w:ascii="Arial" w:hAnsi="Arial" w:cs="Arial"/>
          <w:color w:val="333333"/>
          <w:sz w:val="20"/>
          <w:szCs w:val="20"/>
        </w:rPr>
        <w:t xml:space="preserve"> </w:t>
      </w:r>
      <w:r w:rsidRPr="0073020D">
        <w:rPr>
          <w:rFonts w:ascii="Arial" w:hAnsi="Arial" w:cs="Arial"/>
          <w:sz w:val="20"/>
          <w:szCs w:val="20"/>
        </w:rPr>
        <w:t>of flesh.</w:t>
      </w:r>
      <w:r w:rsidRPr="0073020D">
        <w:rPr>
          <w:rStyle w:val="FootnoteReference"/>
          <w:rFonts w:ascii="Arial" w:eastAsia="Arial" w:hAnsi="Arial" w:cs="Arial"/>
          <w:sz w:val="20"/>
          <w:szCs w:val="20"/>
        </w:rPr>
        <w:footnoteReference w:id="19"/>
      </w:r>
    </w:p>
    <w:p w14:paraId="332B0F93" w14:textId="77777777" w:rsidR="00121CB2" w:rsidRDefault="00121CB2" w:rsidP="00473D28">
      <w:pPr>
        <w:jc w:val="both"/>
        <w:rPr>
          <w:rFonts w:ascii="Arial" w:hAnsi="Arial" w:cs="Arial"/>
          <w:sz w:val="20"/>
          <w:szCs w:val="20"/>
        </w:rPr>
      </w:pPr>
    </w:p>
    <w:p w14:paraId="273E7347" w14:textId="0E978C42" w:rsidR="00473D28" w:rsidRPr="0073020D" w:rsidRDefault="00552C87" w:rsidP="00473D28">
      <w:pPr>
        <w:jc w:val="both"/>
        <w:rPr>
          <w:rFonts w:ascii="Arial" w:hAnsi="Arial" w:cs="Arial"/>
          <w:color w:val="333333"/>
          <w:sz w:val="20"/>
          <w:szCs w:val="20"/>
        </w:rPr>
      </w:pPr>
      <w:r w:rsidRPr="0073020D">
        <w:rPr>
          <w:rFonts w:ascii="Arial" w:hAnsi="Arial" w:cs="Arial"/>
          <w:sz w:val="20"/>
          <w:szCs w:val="20"/>
        </w:rPr>
        <w:t xml:space="preserve">This practice violates </w:t>
      </w:r>
      <w:r w:rsidR="00473D28" w:rsidRPr="0073020D">
        <w:rPr>
          <w:rFonts w:ascii="Arial" w:hAnsi="Arial" w:cs="Arial"/>
          <w:sz w:val="20"/>
          <w:szCs w:val="20"/>
        </w:rPr>
        <w:t>human rights of girls as guaranteed under international human rights</w:t>
      </w:r>
      <w:r w:rsidR="00473D28" w:rsidRPr="0073020D">
        <w:rPr>
          <w:rFonts w:ascii="Arial" w:hAnsi="Arial" w:cs="Arial"/>
          <w:color w:val="333333"/>
          <w:sz w:val="20"/>
          <w:szCs w:val="20"/>
        </w:rPr>
        <w:t xml:space="preserve"> </w:t>
      </w:r>
      <w:r w:rsidR="00473D28" w:rsidRPr="0073020D">
        <w:rPr>
          <w:rFonts w:ascii="Arial" w:hAnsi="Arial" w:cs="Arial"/>
          <w:sz w:val="20"/>
          <w:szCs w:val="20"/>
        </w:rPr>
        <w:t>law. This practice is not only a threat to the enjoyment of various rights of the girl-child,</w:t>
      </w:r>
      <w:r w:rsidR="00473D28" w:rsidRPr="0073020D">
        <w:rPr>
          <w:rFonts w:ascii="Arial" w:hAnsi="Arial" w:cs="Arial"/>
          <w:color w:val="333333"/>
          <w:sz w:val="20"/>
          <w:szCs w:val="20"/>
        </w:rPr>
        <w:t xml:space="preserve"> </w:t>
      </w:r>
      <w:r w:rsidR="00473D28" w:rsidRPr="0073020D">
        <w:rPr>
          <w:rFonts w:ascii="Arial" w:hAnsi="Arial" w:cs="Arial"/>
          <w:sz w:val="20"/>
          <w:szCs w:val="20"/>
        </w:rPr>
        <w:t>including the rights to life, health equality and non-discrimination, liberty, freedom from inhumane degrading treatment, dignity and autonomy but it also impacts the child’s physical, mental and emotional wellbeing.</w:t>
      </w:r>
      <w:r w:rsidR="00473D28" w:rsidRPr="0073020D">
        <w:rPr>
          <w:rStyle w:val="FootnoteReference"/>
          <w:rFonts w:ascii="Arial" w:eastAsia="Arial" w:hAnsi="Arial" w:cs="Arial"/>
          <w:sz w:val="20"/>
          <w:szCs w:val="20"/>
        </w:rPr>
        <w:footnoteReference w:id="20"/>
      </w:r>
      <w:r w:rsidR="002F2FB3">
        <w:rPr>
          <w:rFonts w:ascii="Arial" w:hAnsi="Arial" w:cs="Arial"/>
          <w:sz w:val="20"/>
          <w:szCs w:val="20"/>
        </w:rPr>
        <w:t xml:space="preserve"> It is also interesting to note that about half the women in the Gambia now openly disapprove of FGM.</w:t>
      </w:r>
      <w:r w:rsidR="002F2FB3">
        <w:rPr>
          <w:rStyle w:val="FootnoteReference"/>
          <w:rFonts w:ascii="Arial" w:hAnsi="Arial" w:cs="Arial"/>
          <w:sz w:val="20"/>
          <w:szCs w:val="20"/>
        </w:rPr>
        <w:footnoteReference w:id="21"/>
      </w:r>
      <w:r w:rsidR="002F2FB3">
        <w:rPr>
          <w:rFonts w:ascii="Arial" w:hAnsi="Arial" w:cs="Arial"/>
          <w:sz w:val="20"/>
          <w:szCs w:val="20"/>
        </w:rPr>
        <w:t xml:space="preserve"> </w:t>
      </w:r>
    </w:p>
    <w:p w14:paraId="091B8BA4" w14:textId="77777777" w:rsidR="0073020D" w:rsidRDefault="0073020D" w:rsidP="0073020D">
      <w:pPr>
        <w:autoSpaceDE w:val="0"/>
        <w:autoSpaceDN w:val="0"/>
        <w:adjustRightInd w:val="0"/>
        <w:jc w:val="both"/>
        <w:rPr>
          <w:rStyle w:val="quran1"/>
          <w:rFonts w:eastAsia="Corbel"/>
          <w:color w:val="111111"/>
          <w:lang w:val="en-GB"/>
        </w:rPr>
      </w:pPr>
    </w:p>
    <w:p w14:paraId="21D93B58" w14:textId="2CF4FC84" w:rsidR="00473D28" w:rsidRPr="002F2FB3" w:rsidRDefault="001D3B78" w:rsidP="0073020D">
      <w:pPr>
        <w:autoSpaceDE w:val="0"/>
        <w:autoSpaceDN w:val="0"/>
        <w:adjustRightInd w:val="0"/>
        <w:jc w:val="both"/>
        <w:rPr>
          <w:rFonts w:asciiTheme="minorBidi" w:eastAsia="Corbel" w:hAnsiTheme="minorBidi" w:cstheme="minorBidi"/>
          <w:color w:val="111111"/>
          <w:sz w:val="20"/>
          <w:szCs w:val="20"/>
          <w:lang w:val="en-GB"/>
        </w:rPr>
      </w:pPr>
      <w:r w:rsidRPr="002F2FB3">
        <w:rPr>
          <w:rStyle w:val="quran1"/>
          <w:rFonts w:asciiTheme="minorBidi" w:eastAsia="Corbel" w:hAnsiTheme="minorBidi" w:cstheme="minorBidi"/>
          <w:b w:val="0"/>
          <w:bCs w:val="0"/>
          <w:color w:val="111111"/>
          <w:sz w:val="20"/>
          <w:szCs w:val="20"/>
          <w:lang w:val="en-GB"/>
        </w:rPr>
        <w:t xml:space="preserve">The prevalence of FGM in the Gambia can </w:t>
      </w:r>
      <w:r w:rsidR="00473D28" w:rsidRPr="002F2FB3">
        <w:rPr>
          <w:rStyle w:val="quran1"/>
          <w:rFonts w:asciiTheme="minorBidi" w:eastAsia="Corbel" w:hAnsiTheme="minorBidi" w:cstheme="minorBidi"/>
          <w:b w:val="0"/>
          <w:bCs w:val="0"/>
          <w:color w:val="111111"/>
          <w:sz w:val="20"/>
          <w:szCs w:val="20"/>
          <w:lang w:val="en-GB"/>
        </w:rPr>
        <w:t>be attributed to the weak enforcement of the Women’s Act</w:t>
      </w:r>
      <w:r w:rsidR="0023316A">
        <w:rPr>
          <w:rStyle w:val="quran1"/>
          <w:rFonts w:asciiTheme="minorBidi" w:eastAsia="Corbel" w:hAnsiTheme="minorBidi" w:cstheme="minorBidi"/>
          <w:b w:val="0"/>
          <w:bCs w:val="0"/>
          <w:color w:val="111111"/>
          <w:sz w:val="20"/>
          <w:szCs w:val="20"/>
          <w:lang w:val="en-GB"/>
        </w:rPr>
        <w:t>, 2010</w:t>
      </w:r>
      <w:r w:rsidR="00473D28" w:rsidRPr="002F2FB3">
        <w:rPr>
          <w:rStyle w:val="quran1"/>
          <w:rFonts w:asciiTheme="minorBidi" w:eastAsia="Corbel" w:hAnsiTheme="minorBidi" w:cstheme="minorBidi"/>
          <w:b w:val="0"/>
          <w:bCs w:val="0"/>
          <w:color w:val="111111"/>
          <w:sz w:val="20"/>
          <w:szCs w:val="20"/>
          <w:lang w:val="en-GB"/>
        </w:rPr>
        <w:t xml:space="preserve">. </w:t>
      </w:r>
      <w:r w:rsidR="002F2FB3">
        <w:rPr>
          <w:rStyle w:val="quran1"/>
          <w:rFonts w:asciiTheme="minorBidi" w:eastAsia="Corbel" w:hAnsiTheme="minorBidi" w:cstheme="minorBidi"/>
          <w:b w:val="0"/>
          <w:bCs w:val="0"/>
          <w:color w:val="111111"/>
          <w:sz w:val="20"/>
          <w:szCs w:val="20"/>
          <w:lang w:val="en-GB"/>
        </w:rPr>
        <w:t>The general public</w:t>
      </w:r>
      <w:r w:rsidRPr="002F2FB3">
        <w:rPr>
          <w:rStyle w:val="quran1"/>
          <w:rFonts w:asciiTheme="minorBidi" w:eastAsia="Corbel" w:hAnsiTheme="minorBidi" w:cstheme="minorBidi"/>
          <w:b w:val="0"/>
          <w:bCs w:val="0"/>
          <w:color w:val="111111"/>
          <w:sz w:val="20"/>
          <w:szCs w:val="20"/>
          <w:lang w:val="en-GB"/>
        </w:rPr>
        <w:t xml:space="preserve"> </w:t>
      </w:r>
      <w:r w:rsidR="00473D28" w:rsidRPr="002F2FB3">
        <w:rPr>
          <w:rStyle w:val="quran1"/>
          <w:rFonts w:asciiTheme="minorBidi" w:eastAsia="Corbel" w:hAnsiTheme="minorBidi" w:cstheme="minorBidi"/>
          <w:b w:val="0"/>
          <w:bCs w:val="0"/>
          <w:color w:val="111111"/>
          <w:sz w:val="20"/>
          <w:szCs w:val="20"/>
          <w:lang w:val="en-GB"/>
        </w:rPr>
        <w:t>seldom report</w:t>
      </w:r>
      <w:r w:rsidR="002F2FB3">
        <w:rPr>
          <w:rStyle w:val="quran1"/>
          <w:rFonts w:asciiTheme="minorBidi" w:eastAsia="Corbel" w:hAnsiTheme="minorBidi" w:cstheme="minorBidi"/>
          <w:b w:val="0"/>
          <w:bCs w:val="0"/>
          <w:color w:val="111111"/>
          <w:sz w:val="20"/>
          <w:szCs w:val="20"/>
          <w:lang w:val="en-GB"/>
        </w:rPr>
        <w:t>s</w:t>
      </w:r>
      <w:r w:rsidR="00473D28" w:rsidRPr="002F2FB3">
        <w:rPr>
          <w:rStyle w:val="quran1"/>
          <w:rFonts w:asciiTheme="minorBidi" w:eastAsia="Corbel" w:hAnsiTheme="minorBidi" w:cstheme="minorBidi"/>
          <w:b w:val="0"/>
          <w:bCs w:val="0"/>
          <w:color w:val="111111"/>
          <w:sz w:val="20"/>
          <w:szCs w:val="20"/>
          <w:lang w:val="en-GB"/>
        </w:rPr>
        <w:t xml:space="preserve"> practices of FGM except if there is an outrage like the demise of a youngster.</w:t>
      </w:r>
      <w:r w:rsidR="00473D28" w:rsidRPr="002F2FB3">
        <w:rPr>
          <w:rStyle w:val="FootnoteReference"/>
          <w:rFonts w:asciiTheme="minorBidi" w:eastAsia="Arial" w:hAnsiTheme="minorBidi" w:cstheme="minorBidi"/>
          <w:color w:val="111111"/>
          <w:sz w:val="20"/>
          <w:szCs w:val="20"/>
          <w:lang w:val="en-GB"/>
        </w:rPr>
        <w:footnoteReference w:id="22"/>
      </w:r>
      <w:r w:rsidRPr="002F2FB3">
        <w:rPr>
          <w:rFonts w:asciiTheme="minorBidi" w:hAnsiTheme="minorBidi" w:cstheme="minorBidi"/>
          <w:sz w:val="20"/>
          <w:szCs w:val="20"/>
        </w:rPr>
        <w:t xml:space="preserve"> </w:t>
      </w:r>
      <w:r w:rsidR="002F2FB3" w:rsidRPr="002F2FB3">
        <w:rPr>
          <w:rStyle w:val="quran1"/>
          <w:rFonts w:asciiTheme="minorBidi" w:eastAsia="Corbel" w:hAnsiTheme="minorBidi" w:cstheme="minorBidi"/>
          <w:b w:val="0"/>
          <w:bCs w:val="0"/>
          <w:color w:val="111111"/>
          <w:sz w:val="20"/>
          <w:szCs w:val="20"/>
          <w:lang w:val="en-GB"/>
        </w:rPr>
        <w:t xml:space="preserve">It </w:t>
      </w:r>
      <w:r w:rsidR="00473D28" w:rsidRPr="002F2FB3">
        <w:rPr>
          <w:rFonts w:asciiTheme="minorBidi" w:hAnsiTheme="minorBidi" w:cstheme="minorBidi"/>
          <w:sz w:val="20"/>
          <w:szCs w:val="20"/>
        </w:rPr>
        <w:t xml:space="preserve">is important for the </w:t>
      </w:r>
      <w:r w:rsidR="002F2FB3" w:rsidRPr="002F2FB3">
        <w:rPr>
          <w:rFonts w:asciiTheme="minorBidi" w:hAnsiTheme="minorBidi" w:cstheme="minorBidi"/>
          <w:sz w:val="20"/>
          <w:szCs w:val="20"/>
        </w:rPr>
        <w:t>State Party</w:t>
      </w:r>
      <w:r w:rsidR="00473D28" w:rsidRPr="002F2FB3">
        <w:rPr>
          <w:rFonts w:asciiTheme="minorBidi" w:hAnsiTheme="minorBidi" w:cstheme="minorBidi"/>
          <w:sz w:val="20"/>
          <w:szCs w:val="20"/>
        </w:rPr>
        <w:t xml:space="preserve"> to </w:t>
      </w:r>
      <w:r w:rsidR="002F2FB3" w:rsidRPr="002F2FB3">
        <w:rPr>
          <w:rFonts w:asciiTheme="minorBidi" w:hAnsiTheme="minorBidi" w:cstheme="minorBidi"/>
          <w:sz w:val="20"/>
          <w:szCs w:val="20"/>
        </w:rPr>
        <w:t xml:space="preserve">devise </w:t>
      </w:r>
      <w:r w:rsidRPr="002F2FB3">
        <w:rPr>
          <w:rFonts w:asciiTheme="minorBidi" w:hAnsiTheme="minorBidi" w:cstheme="minorBidi"/>
          <w:sz w:val="20"/>
          <w:szCs w:val="20"/>
        </w:rPr>
        <w:t xml:space="preserve">effective </w:t>
      </w:r>
      <w:r w:rsidR="00473D28" w:rsidRPr="002F2FB3">
        <w:rPr>
          <w:rFonts w:asciiTheme="minorBidi" w:hAnsiTheme="minorBidi" w:cstheme="minorBidi"/>
          <w:sz w:val="20"/>
          <w:szCs w:val="20"/>
        </w:rPr>
        <w:t>enforcement mechanisms</w:t>
      </w:r>
      <w:r w:rsidR="002F2FB3" w:rsidRPr="002F2FB3">
        <w:rPr>
          <w:rFonts w:asciiTheme="minorBidi" w:hAnsiTheme="minorBidi" w:cstheme="minorBidi"/>
          <w:sz w:val="20"/>
          <w:szCs w:val="20"/>
        </w:rPr>
        <w:t xml:space="preserve"> of the prohibition on FGM</w:t>
      </w:r>
      <w:r w:rsidR="00473D28" w:rsidRPr="002F2FB3">
        <w:rPr>
          <w:rFonts w:asciiTheme="minorBidi" w:hAnsiTheme="minorBidi" w:cstheme="minorBidi"/>
          <w:sz w:val="20"/>
          <w:szCs w:val="20"/>
        </w:rPr>
        <w:t xml:space="preserve">.  It </w:t>
      </w:r>
      <w:r w:rsidR="002F2FB3" w:rsidRPr="002F2FB3">
        <w:rPr>
          <w:rFonts w:asciiTheme="minorBidi" w:hAnsiTheme="minorBidi" w:cstheme="minorBidi"/>
          <w:sz w:val="20"/>
          <w:szCs w:val="20"/>
        </w:rPr>
        <w:t>is pertinent</w:t>
      </w:r>
      <w:r w:rsidR="00473D28" w:rsidRPr="002F2FB3">
        <w:rPr>
          <w:rFonts w:asciiTheme="minorBidi" w:hAnsiTheme="minorBidi" w:cstheme="minorBidi"/>
          <w:sz w:val="20"/>
          <w:szCs w:val="20"/>
        </w:rPr>
        <w:t xml:space="preserve"> to put in place </w:t>
      </w:r>
      <w:r w:rsidRPr="002F2FB3">
        <w:rPr>
          <w:rFonts w:asciiTheme="minorBidi" w:hAnsiTheme="minorBidi" w:cstheme="minorBidi"/>
          <w:sz w:val="20"/>
          <w:szCs w:val="20"/>
        </w:rPr>
        <w:t xml:space="preserve">a </w:t>
      </w:r>
      <w:r w:rsidR="00473D28" w:rsidRPr="002F2FB3">
        <w:rPr>
          <w:rFonts w:asciiTheme="minorBidi" w:hAnsiTheme="minorBidi" w:cstheme="minorBidi"/>
          <w:sz w:val="20"/>
          <w:szCs w:val="20"/>
        </w:rPr>
        <w:t>detailed plan for implementation and monitoring</w:t>
      </w:r>
      <w:r w:rsidR="002F2FB3" w:rsidRPr="002F2FB3">
        <w:rPr>
          <w:rFonts w:asciiTheme="minorBidi" w:hAnsiTheme="minorBidi" w:cstheme="minorBidi"/>
          <w:sz w:val="20"/>
          <w:szCs w:val="20"/>
        </w:rPr>
        <w:t>,</w:t>
      </w:r>
      <w:r w:rsidR="00473D28" w:rsidRPr="002F2FB3">
        <w:rPr>
          <w:rFonts w:asciiTheme="minorBidi" w:hAnsiTheme="minorBidi" w:cstheme="minorBidi"/>
          <w:sz w:val="20"/>
          <w:szCs w:val="20"/>
        </w:rPr>
        <w:t xml:space="preserve"> as well as </w:t>
      </w:r>
      <w:r w:rsidR="002F2FB3" w:rsidRPr="002F2FB3">
        <w:rPr>
          <w:rFonts w:asciiTheme="minorBidi" w:hAnsiTheme="minorBidi" w:cstheme="minorBidi"/>
          <w:sz w:val="20"/>
          <w:szCs w:val="20"/>
        </w:rPr>
        <w:t xml:space="preserve">the </w:t>
      </w:r>
      <w:r w:rsidR="00473D28" w:rsidRPr="002F2FB3">
        <w:rPr>
          <w:rFonts w:asciiTheme="minorBidi" w:hAnsiTheme="minorBidi" w:cstheme="minorBidi"/>
          <w:sz w:val="20"/>
          <w:szCs w:val="20"/>
        </w:rPr>
        <w:t>establishment of enforcement mechanisms such as an Anti-FGM Prosecution Unit and the Anti-FGM Board.</w:t>
      </w:r>
      <w:r w:rsidR="00473D28" w:rsidRPr="002F2FB3">
        <w:rPr>
          <w:rStyle w:val="FootnoteReference"/>
          <w:rFonts w:asciiTheme="minorBidi" w:eastAsia="Arial" w:hAnsiTheme="minorBidi" w:cstheme="minorBidi"/>
          <w:sz w:val="20"/>
          <w:szCs w:val="20"/>
        </w:rPr>
        <w:footnoteReference w:id="23"/>
      </w:r>
      <w:r w:rsidR="00473D28" w:rsidRPr="002F2FB3">
        <w:rPr>
          <w:rFonts w:asciiTheme="minorBidi" w:hAnsiTheme="minorBidi" w:cstheme="minorBidi"/>
          <w:sz w:val="20"/>
          <w:szCs w:val="20"/>
        </w:rPr>
        <w:t xml:space="preserve"> </w:t>
      </w:r>
    </w:p>
    <w:p w14:paraId="25C65C90" w14:textId="77777777" w:rsidR="00473D28" w:rsidRPr="002F2FB3" w:rsidRDefault="00473D28" w:rsidP="00473D28">
      <w:pPr>
        <w:autoSpaceDE w:val="0"/>
        <w:autoSpaceDN w:val="0"/>
        <w:adjustRightInd w:val="0"/>
        <w:jc w:val="both"/>
        <w:rPr>
          <w:rFonts w:asciiTheme="minorBidi" w:hAnsiTheme="minorBidi" w:cstheme="minorBidi"/>
          <w:sz w:val="20"/>
          <w:szCs w:val="20"/>
        </w:rPr>
      </w:pPr>
    </w:p>
    <w:p w14:paraId="0CAA3334" w14:textId="1B0CC9D0" w:rsidR="00473D28" w:rsidRPr="002F2FB3" w:rsidRDefault="00473D28" w:rsidP="002F2FB3">
      <w:pPr>
        <w:autoSpaceDE w:val="0"/>
        <w:autoSpaceDN w:val="0"/>
        <w:adjustRightInd w:val="0"/>
        <w:jc w:val="both"/>
        <w:rPr>
          <w:rStyle w:val="quran1"/>
          <w:rFonts w:ascii="Arial" w:hAnsi="Arial" w:cs="Arial"/>
          <w:b w:val="0"/>
          <w:bCs w:val="0"/>
          <w:color w:val="auto"/>
          <w:sz w:val="20"/>
          <w:szCs w:val="20"/>
        </w:rPr>
      </w:pPr>
      <w:r w:rsidRPr="002F2FB3">
        <w:rPr>
          <w:rFonts w:ascii="Arial" w:hAnsi="Arial" w:cs="Arial"/>
          <w:sz w:val="20"/>
          <w:szCs w:val="20"/>
        </w:rPr>
        <w:t xml:space="preserve">The existence of such mechanisms </w:t>
      </w:r>
      <w:r w:rsidR="002F2FB3">
        <w:rPr>
          <w:rFonts w:ascii="Arial" w:hAnsi="Arial" w:cs="Arial"/>
          <w:sz w:val="20"/>
          <w:szCs w:val="20"/>
        </w:rPr>
        <w:t>would</w:t>
      </w:r>
      <w:r w:rsidRPr="002F2FB3">
        <w:rPr>
          <w:rFonts w:ascii="Arial" w:hAnsi="Arial" w:cs="Arial"/>
          <w:sz w:val="20"/>
          <w:szCs w:val="20"/>
        </w:rPr>
        <w:t xml:space="preserve"> </w:t>
      </w:r>
      <w:r w:rsidR="002F2FB3">
        <w:rPr>
          <w:rFonts w:ascii="Arial" w:hAnsi="Arial" w:cs="Arial"/>
          <w:sz w:val="20"/>
          <w:szCs w:val="20"/>
        </w:rPr>
        <w:t>enable</w:t>
      </w:r>
      <w:r w:rsidRPr="002F2FB3">
        <w:rPr>
          <w:rFonts w:ascii="Arial" w:hAnsi="Arial" w:cs="Arial"/>
          <w:sz w:val="20"/>
          <w:szCs w:val="20"/>
        </w:rPr>
        <w:t xml:space="preserve"> accountability in terms of reporting, investigating and prosecuting FGM cases. The difficulties confronted with the passing of regulation deterring unsafe customary practices </w:t>
      </w:r>
      <w:r w:rsidR="003620D4">
        <w:rPr>
          <w:rFonts w:ascii="Arial" w:hAnsi="Arial" w:cs="Arial"/>
          <w:sz w:val="20"/>
          <w:szCs w:val="20"/>
        </w:rPr>
        <w:t>are primarily due to</w:t>
      </w:r>
      <w:r w:rsidRPr="002F2FB3">
        <w:rPr>
          <w:rFonts w:ascii="Arial" w:hAnsi="Arial" w:cs="Arial"/>
          <w:sz w:val="20"/>
          <w:szCs w:val="20"/>
        </w:rPr>
        <w:t xml:space="preserve"> the absence of </w:t>
      </w:r>
      <w:r w:rsidR="00583953">
        <w:rPr>
          <w:rFonts w:ascii="Arial" w:hAnsi="Arial" w:cs="Arial"/>
          <w:sz w:val="20"/>
          <w:szCs w:val="20"/>
        </w:rPr>
        <w:t>p</w:t>
      </w:r>
      <w:r w:rsidRPr="002F2FB3">
        <w:rPr>
          <w:rFonts w:ascii="Arial" w:hAnsi="Arial" w:cs="Arial"/>
          <w:sz w:val="20"/>
          <w:szCs w:val="20"/>
        </w:rPr>
        <w:t>olice stations with the requisite tools and resource</w:t>
      </w:r>
      <w:r w:rsidR="00583953">
        <w:rPr>
          <w:rFonts w:ascii="Arial" w:hAnsi="Arial" w:cs="Arial"/>
          <w:sz w:val="20"/>
          <w:szCs w:val="20"/>
        </w:rPr>
        <w:t>s</w:t>
      </w:r>
      <w:r w:rsidRPr="002F2FB3">
        <w:rPr>
          <w:rFonts w:ascii="Arial" w:hAnsi="Arial" w:cs="Arial"/>
          <w:sz w:val="20"/>
          <w:szCs w:val="20"/>
        </w:rPr>
        <w:t xml:space="preserve"> to carry out </w:t>
      </w:r>
      <w:r w:rsidR="00583953">
        <w:rPr>
          <w:rFonts w:ascii="Arial" w:hAnsi="Arial" w:cs="Arial"/>
          <w:sz w:val="20"/>
          <w:szCs w:val="20"/>
        </w:rPr>
        <w:t xml:space="preserve">an effective </w:t>
      </w:r>
      <w:r w:rsidRPr="002F2FB3">
        <w:rPr>
          <w:rFonts w:ascii="Arial" w:hAnsi="Arial" w:cs="Arial"/>
          <w:sz w:val="20"/>
          <w:szCs w:val="20"/>
        </w:rPr>
        <w:t>investigation</w:t>
      </w:r>
      <w:r w:rsidR="00583953">
        <w:rPr>
          <w:rFonts w:ascii="Arial" w:hAnsi="Arial" w:cs="Arial"/>
          <w:sz w:val="20"/>
          <w:szCs w:val="20"/>
        </w:rPr>
        <w:t>,</w:t>
      </w:r>
      <w:r w:rsidRPr="002F2FB3">
        <w:rPr>
          <w:rFonts w:ascii="Arial" w:hAnsi="Arial" w:cs="Arial"/>
          <w:sz w:val="20"/>
          <w:szCs w:val="20"/>
        </w:rPr>
        <w:t xml:space="preserve"> and </w:t>
      </w:r>
      <w:r w:rsidR="00583953">
        <w:rPr>
          <w:rFonts w:ascii="Arial" w:hAnsi="Arial" w:cs="Arial"/>
          <w:sz w:val="20"/>
          <w:szCs w:val="20"/>
        </w:rPr>
        <w:t xml:space="preserve">the lack of understanding of the law by the </w:t>
      </w:r>
      <w:r w:rsidRPr="002F2FB3">
        <w:rPr>
          <w:rFonts w:ascii="Arial" w:hAnsi="Arial" w:cs="Arial"/>
          <w:sz w:val="20"/>
          <w:szCs w:val="20"/>
        </w:rPr>
        <w:t>police officers.</w:t>
      </w:r>
      <w:r w:rsidR="00583953">
        <w:rPr>
          <w:rFonts w:ascii="Arial" w:hAnsi="Arial" w:cs="Arial"/>
          <w:sz w:val="20"/>
          <w:szCs w:val="20"/>
        </w:rPr>
        <w:t xml:space="preserve"> </w:t>
      </w:r>
      <w:r w:rsidRPr="002F2FB3">
        <w:rPr>
          <w:rFonts w:ascii="Arial" w:hAnsi="Arial" w:cs="Arial"/>
          <w:sz w:val="20"/>
          <w:szCs w:val="20"/>
        </w:rPr>
        <w:t>Thus</w:t>
      </w:r>
      <w:r w:rsidR="002F2FB3">
        <w:rPr>
          <w:rFonts w:ascii="Arial" w:hAnsi="Arial" w:cs="Arial"/>
          <w:sz w:val="20"/>
          <w:szCs w:val="20"/>
        </w:rPr>
        <w:t>,</w:t>
      </w:r>
      <w:r w:rsidRPr="002F2FB3">
        <w:rPr>
          <w:rFonts w:ascii="Arial" w:hAnsi="Arial" w:cs="Arial"/>
          <w:sz w:val="20"/>
          <w:szCs w:val="20"/>
        </w:rPr>
        <w:t xml:space="preserve"> it </w:t>
      </w:r>
      <w:r w:rsidR="002F2FB3">
        <w:rPr>
          <w:rFonts w:ascii="Arial" w:hAnsi="Arial" w:cs="Arial"/>
          <w:sz w:val="20"/>
          <w:szCs w:val="20"/>
        </w:rPr>
        <w:t>is</w:t>
      </w:r>
      <w:r w:rsidRPr="002F2FB3">
        <w:rPr>
          <w:rFonts w:ascii="Arial" w:hAnsi="Arial" w:cs="Arial"/>
          <w:sz w:val="20"/>
          <w:szCs w:val="20"/>
        </w:rPr>
        <w:t xml:space="preserve"> important to call for greater awareness raising and enforcement mechanisms around the issues of FGM</w:t>
      </w:r>
      <w:r w:rsidR="002F2FB3">
        <w:rPr>
          <w:rFonts w:ascii="Arial" w:hAnsi="Arial" w:cs="Arial"/>
          <w:sz w:val="20"/>
          <w:szCs w:val="20"/>
        </w:rPr>
        <w:t>, particularly</w:t>
      </w:r>
      <w:r w:rsidRPr="002F2FB3">
        <w:rPr>
          <w:rFonts w:ascii="Arial" w:hAnsi="Arial" w:cs="Arial"/>
          <w:sz w:val="20"/>
          <w:szCs w:val="20"/>
        </w:rPr>
        <w:t xml:space="preserve"> within rural area</w:t>
      </w:r>
      <w:r w:rsidR="002F2FB3">
        <w:rPr>
          <w:rFonts w:ascii="Arial" w:hAnsi="Arial" w:cs="Arial"/>
          <w:sz w:val="20"/>
          <w:szCs w:val="20"/>
        </w:rPr>
        <w:t>s.</w:t>
      </w:r>
      <w:r w:rsidRPr="002F2FB3">
        <w:rPr>
          <w:rFonts w:ascii="Arial" w:hAnsi="Arial" w:cs="Arial"/>
          <w:sz w:val="20"/>
          <w:szCs w:val="20"/>
        </w:rPr>
        <w:t xml:space="preserve">  </w:t>
      </w:r>
    </w:p>
    <w:p w14:paraId="787B0E94" w14:textId="77777777" w:rsidR="00473D28" w:rsidRPr="002F2FB3" w:rsidRDefault="00473D28" w:rsidP="00473D28">
      <w:pPr>
        <w:autoSpaceDE w:val="0"/>
        <w:autoSpaceDN w:val="0"/>
        <w:adjustRightInd w:val="0"/>
        <w:jc w:val="both"/>
        <w:rPr>
          <w:rFonts w:ascii="Arial" w:hAnsi="Arial" w:cs="Arial"/>
          <w:color w:val="212529"/>
          <w:sz w:val="20"/>
          <w:szCs w:val="20"/>
        </w:rPr>
      </w:pPr>
    </w:p>
    <w:p w14:paraId="1FC86FF7" w14:textId="20186BCA" w:rsidR="00473D28" w:rsidRPr="00A91045" w:rsidRDefault="00B90FF8" w:rsidP="00473D28">
      <w:pPr>
        <w:widowControl w:val="0"/>
        <w:rPr>
          <w:rFonts w:ascii="Arial" w:hAnsi="Arial" w:cs="Arial"/>
          <w:b/>
          <w:bCs/>
          <w:sz w:val="20"/>
          <w:szCs w:val="20"/>
        </w:rPr>
      </w:pPr>
      <w:r w:rsidRPr="00A91045">
        <w:rPr>
          <w:rFonts w:ascii="Arial" w:hAnsi="Arial" w:cs="Arial"/>
          <w:b/>
          <w:bCs/>
          <w:sz w:val="20"/>
          <w:szCs w:val="20"/>
        </w:rPr>
        <w:t xml:space="preserve">Violence against Women </w:t>
      </w:r>
      <w:r w:rsidR="00A91045">
        <w:rPr>
          <w:rFonts w:ascii="Arial" w:hAnsi="Arial" w:cs="Arial"/>
          <w:b/>
          <w:bCs/>
          <w:sz w:val="20"/>
          <w:szCs w:val="20"/>
        </w:rPr>
        <w:t>amid</w:t>
      </w:r>
      <w:r w:rsidRPr="00A91045">
        <w:rPr>
          <w:rFonts w:ascii="Arial" w:hAnsi="Arial" w:cs="Arial"/>
          <w:b/>
          <w:bCs/>
          <w:sz w:val="20"/>
          <w:szCs w:val="20"/>
        </w:rPr>
        <w:t xml:space="preserve"> Covid-19</w:t>
      </w:r>
    </w:p>
    <w:p w14:paraId="2A5E70D3" w14:textId="041B20ED" w:rsidR="00B90FF8" w:rsidRDefault="00B90FF8" w:rsidP="00473D28">
      <w:pPr>
        <w:widowControl w:val="0"/>
        <w:rPr>
          <w:b/>
          <w:bCs/>
        </w:rPr>
      </w:pPr>
    </w:p>
    <w:p w14:paraId="1FCAE882" w14:textId="6DB75F2B" w:rsidR="00B90FF8" w:rsidRDefault="00B90FF8" w:rsidP="00A91045">
      <w:pPr>
        <w:autoSpaceDE w:val="0"/>
        <w:autoSpaceDN w:val="0"/>
        <w:adjustRightInd w:val="0"/>
        <w:jc w:val="both"/>
        <w:rPr>
          <w:rFonts w:ascii="Arial" w:eastAsiaTheme="minorHAnsi" w:hAnsi="Arial" w:cs="Arial"/>
          <w:sz w:val="20"/>
          <w:szCs w:val="20"/>
          <w:lang w:val="en-GB" w:eastAsia="en-US"/>
        </w:rPr>
      </w:pPr>
      <w:r w:rsidRPr="00144BA4">
        <w:rPr>
          <w:rFonts w:ascii="Arial" w:hAnsi="Arial" w:cs="Arial"/>
          <w:sz w:val="20"/>
          <w:szCs w:val="20"/>
        </w:rPr>
        <w:t xml:space="preserve">A study </w:t>
      </w:r>
      <w:r w:rsidR="00144BA4" w:rsidRPr="00144BA4">
        <w:rPr>
          <w:rFonts w:ascii="Arial" w:hAnsi="Arial" w:cs="Arial"/>
          <w:sz w:val="20"/>
          <w:szCs w:val="20"/>
        </w:rPr>
        <w:t>on VAW in the Gambia during Covid-19 published in 2021</w:t>
      </w:r>
      <w:r w:rsidR="00787593">
        <w:rPr>
          <w:rStyle w:val="FootnoteReference"/>
          <w:rFonts w:ascii="Arial" w:hAnsi="Arial" w:cs="Arial"/>
          <w:sz w:val="20"/>
          <w:szCs w:val="20"/>
        </w:rPr>
        <w:footnoteReference w:id="24"/>
      </w:r>
      <w:r w:rsidR="00144BA4" w:rsidRPr="00144BA4">
        <w:rPr>
          <w:rFonts w:ascii="Arial" w:hAnsi="Arial" w:cs="Arial"/>
          <w:sz w:val="20"/>
          <w:szCs w:val="20"/>
        </w:rPr>
        <w:t xml:space="preserve"> found that </w:t>
      </w:r>
      <w:r w:rsidR="00144BA4" w:rsidRPr="00144BA4">
        <w:rPr>
          <w:rFonts w:ascii="Arial" w:eastAsiaTheme="minorHAnsi" w:hAnsi="Arial" w:cs="Arial"/>
          <w:sz w:val="20"/>
          <w:szCs w:val="20"/>
          <w:lang w:val="en-GB" w:eastAsia="en-US"/>
        </w:rPr>
        <w:t>in</w:t>
      </w:r>
      <w:r w:rsidR="00144BA4">
        <w:rPr>
          <w:rFonts w:ascii="Arial" w:eastAsiaTheme="minorHAnsi" w:hAnsi="Arial" w:cs="Arial"/>
          <w:sz w:val="20"/>
          <w:szCs w:val="20"/>
          <w:lang w:val="en-GB" w:eastAsia="en-US"/>
        </w:rPr>
        <w:t xml:space="preserve"> </w:t>
      </w:r>
      <w:r w:rsidR="00144BA4" w:rsidRPr="00144BA4">
        <w:rPr>
          <w:rFonts w:ascii="Arial" w:eastAsiaTheme="minorHAnsi" w:hAnsi="Arial" w:cs="Arial"/>
          <w:sz w:val="20"/>
          <w:szCs w:val="20"/>
          <w:lang w:val="en-GB" w:eastAsia="en-US"/>
        </w:rPr>
        <w:t>communities where the survey was conducted</w:t>
      </w:r>
      <w:r w:rsidR="00144BA4">
        <w:rPr>
          <w:rFonts w:ascii="Arial" w:eastAsiaTheme="minorHAnsi" w:hAnsi="Arial" w:cs="Arial"/>
          <w:sz w:val="20"/>
          <w:szCs w:val="20"/>
          <w:lang w:val="en-GB" w:eastAsia="en-US"/>
        </w:rPr>
        <w:t>,</w:t>
      </w:r>
      <w:r w:rsidR="00144BA4" w:rsidRPr="00144BA4">
        <w:rPr>
          <w:rFonts w:ascii="Arial" w:eastAsiaTheme="minorHAnsi" w:hAnsi="Arial" w:cs="Arial"/>
          <w:sz w:val="20"/>
          <w:szCs w:val="20"/>
          <w:lang w:val="en-GB" w:eastAsia="en-US"/>
        </w:rPr>
        <w:t xml:space="preserve"> the perpetuation of economic and physical violence by an intimate partner </w:t>
      </w:r>
      <w:r w:rsidR="00144BA4">
        <w:rPr>
          <w:rFonts w:ascii="Arial" w:eastAsiaTheme="minorHAnsi" w:hAnsi="Arial" w:cs="Arial"/>
          <w:sz w:val="20"/>
          <w:szCs w:val="20"/>
          <w:lang w:val="en-GB" w:eastAsia="en-US"/>
        </w:rPr>
        <w:t>had</w:t>
      </w:r>
      <w:r w:rsidR="00144BA4" w:rsidRPr="00144BA4">
        <w:rPr>
          <w:rFonts w:ascii="Arial" w:eastAsiaTheme="minorHAnsi" w:hAnsi="Arial" w:cs="Arial"/>
          <w:sz w:val="20"/>
          <w:szCs w:val="20"/>
          <w:lang w:val="en-GB" w:eastAsia="en-US"/>
        </w:rPr>
        <w:t xml:space="preserve"> increased during the Covid-19 pandemic, owing </w:t>
      </w:r>
      <w:r w:rsidR="00144BA4">
        <w:rPr>
          <w:rFonts w:ascii="Arial" w:eastAsiaTheme="minorHAnsi" w:hAnsi="Arial" w:cs="Arial"/>
          <w:sz w:val="20"/>
          <w:szCs w:val="20"/>
          <w:lang w:val="en-GB" w:eastAsia="en-US"/>
        </w:rPr>
        <w:t xml:space="preserve">likely </w:t>
      </w:r>
      <w:r w:rsidR="00144BA4" w:rsidRPr="00144BA4">
        <w:rPr>
          <w:rFonts w:ascii="Arial" w:eastAsiaTheme="minorHAnsi" w:hAnsi="Arial" w:cs="Arial"/>
          <w:sz w:val="20"/>
          <w:szCs w:val="20"/>
          <w:lang w:val="en-GB" w:eastAsia="en-US"/>
        </w:rPr>
        <w:t>to the loss of economic income, particularly for husbands and the extended domestic stay that were promoted as Covid-19 mitigation strategies. In general, 43.7</w:t>
      </w:r>
      <w:r w:rsidR="00A26F80">
        <w:rPr>
          <w:rFonts w:ascii="Arial" w:eastAsiaTheme="minorHAnsi" w:hAnsi="Arial" w:cs="Arial"/>
          <w:sz w:val="20"/>
          <w:szCs w:val="20"/>
          <w:lang w:val="en-GB" w:eastAsia="en-US"/>
        </w:rPr>
        <w:t xml:space="preserve"> percent</w:t>
      </w:r>
      <w:r w:rsidR="00144BA4" w:rsidRPr="00144BA4">
        <w:rPr>
          <w:rFonts w:ascii="Arial" w:eastAsiaTheme="minorHAnsi" w:hAnsi="Arial" w:cs="Arial"/>
          <w:sz w:val="20"/>
          <w:szCs w:val="20"/>
          <w:lang w:val="en-GB" w:eastAsia="en-US"/>
        </w:rPr>
        <w:t xml:space="preserve"> of women and girls thought that</w:t>
      </w:r>
      <w:r w:rsidR="00A91045">
        <w:rPr>
          <w:rFonts w:ascii="Arial" w:eastAsiaTheme="minorHAnsi" w:hAnsi="Arial" w:cs="Arial"/>
          <w:sz w:val="20"/>
          <w:szCs w:val="20"/>
          <w:lang w:val="en-GB" w:eastAsia="en-US"/>
        </w:rPr>
        <w:t xml:space="preserve"> </w:t>
      </w:r>
      <w:r w:rsidR="00144BA4" w:rsidRPr="00144BA4">
        <w:rPr>
          <w:rFonts w:ascii="Arial" w:eastAsiaTheme="minorHAnsi" w:hAnsi="Arial" w:cs="Arial"/>
          <w:sz w:val="20"/>
          <w:szCs w:val="20"/>
          <w:lang w:val="en-GB" w:eastAsia="en-US"/>
        </w:rPr>
        <w:t>sexual and gender-based violence against women and girls by their partners, acquaintances or strangers are common in their community during the Covid-19 pandemic. Of the women and</w:t>
      </w:r>
      <w:r w:rsidR="00A91045">
        <w:rPr>
          <w:rFonts w:ascii="Arial" w:eastAsiaTheme="minorHAnsi" w:hAnsi="Arial" w:cs="Arial"/>
          <w:sz w:val="20"/>
          <w:szCs w:val="20"/>
          <w:lang w:val="en-GB" w:eastAsia="en-US"/>
        </w:rPr>
        <w:t xml:space="preserve"> </w:t>
      </w:r>
      <w:r w:rsidR="00144BA4" w:rsidRPr="00144BA4">
        <w:rPr>
          <w:rFonts w:ascii="Arial" w:eastAsiaTheme="minorHAnsi" w:hAnsi="Arial" w:cs="Arial"/>
          <w:sz w:val="20"/>
          <w:szCs w:val="20"/>
          <w:lang w:val="en-GB" w:eastAsia="en-US"/>
        </w:rPr>
        <w:t>girls who reported that SGBV during the Covid-19 is common in their communities, 175 knew of a woman or girl who has been a victim of emotional violence, 144 knew of girls who had been subjected to early and forced marriage, while 125 stated that they knew of a woman or a girl who has been a victim of physical violence.</w:t>
      </w:r>
    </w:p>
    <w:p w14:paraId="130056C9" w14:textId="4277FDC8" w:rsidR="00787593" w:rsidRDefault="00787593" w:rsidP="00A91045">
      <w:pPr>
        <w:autoSpaceDE w:val="0"/>
        <w:autoSpaceDN w:val="0"/>
        <w:adjustRightInd w:val="0"/>
        <w:jc w:val="both"/>
        <w:rPr>
          <w:rFonts w:ascii="Arial" w:eastAsiaTheme="minorHAnsi" w:hAnsi="Arial" w:cs="Arial"/>
          <w:sz w:val="20"/>
          <w:szCs w:val="20"/>
          <w:lang w:val="en-GB" w:eastAsia="en-US"/>
        </w:rPr>
      </w:pPr>
    </w:p>
    <w:p w14:paraId="104FB26F" w14:textId="70EA8397" w:rsidR="001E4B69" w:rsidRDefault="001E4B69" w:rsidP="001E4B69">
      <w:pPr>
        <w:autoSpaceDE w:val="0"/>
        <w:autoSpaceDN w:val="0"/>
        <w:adjustRightInd w:val="0"/>
        <w:jc w:val="center"/>
        <w:rPr>
          <w:rFonts w:ascii="Arial" w:eastAsiaTheme="minorHAnsi" w:hAnsi="Arial" w:cs="Arial"/>
          <w:sz w:val="20"/>
          <w:szCs w:val="20"/>
          <w:lang w:val="en-GB" w:eastAsia="en-US"/>
        </w:rPr>
      </w:pPr>
      <w:r>
        <w:rPr>
          <w:rFonts w:ascii="Arial" w:eastAsiaTheme="minorHAnsi" w:hAnsi="Arial" w:cs="Arial"/>
          <w:noProof/>
          <w:sz w:val="20"/>
          <w:szCs w:val="20"/>
          <w:lang w:eastAsia="en-US"/>
        </w:rPr>
        <w:lastRenderedPageBreak/>
        <w:drawing>
          <wp:inline distT="0" distB="0" distL="0" distR="0" wp14:anchorId="6FC73E20" wp14:editId="7E08C187">
            <wp:extent cx="4899991" cy="1751802"/>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29399" cy="1762316"/>
                    </a:xfrm>
                    <a:prstGeom prst="rect">
                      <a:avLst/>
                    </a:prstGeom>
                  </pic:spPr>
                </pic:pic>
              </a:graphicData>
            </a:graphic>
          </wp:inline>
        </w:drawing>
      </w:r>
    </w:p>
    <w:p w14:paraId="415479D2" w14:textId="60D2348B" w:rsidR="001E4B69" w:rsidRDefault="001E4B69" w:rsidP="00A91045">
      <w:pPr>
        <w:autoSpaceDE w:val="0"/>
        <w:autoSpaceDN w:val="0"/>
        <w:adjustRightInd w:val="0"/>
        <w:jc w:val="both"/>
        <w:rPr>
          <w:rFonts w:ascii="Arial" w:eastAsiaTheme="minorHAnsi" w:hAnsi="Arial" w:cs="Arial"/>
          <w:sz w:val="20"/>
          <w:szCs w:val="20"/>
          <w:lang w:val="en-GB" w:eastAsia="en-US"/>
        </w:rPr>
      </w:pPr>
    </w:p>
    <w:p w14:paraId="7B36AEBB" w14:textId="77777777" w:rsidR="001E4B69" w:rsidRPr="00144BA4" w:rsidRDefault="001E4B69" w:rsidP="00A91045">
      <w:pPr>
        <w:autoSpaceDE w:val="0"/>
        <w:autoSpaceDN w:val="0"/>
        <w:adjustRightInd w:val="0"/>
        <w:jc w:val="both"/>
        <w:rPr>
          <w:rFonts w:ascii="Arial" w:eastAsiaTheme="minorHAnsi" w:hAnsi="Arial" w:cs="Arial"/>
          <w:sz w:val="20"/>
          <w:szCs w:val="20"/>
          <w:lang w:val="en-GB" w:eastAsia="en-US"/>
        </w:rPr>
      </w:pPr>
    </w:p>
    <w:tbl>
      <w:tblPr>
        <w:tblW w:w="8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60"/>
      </w:tblGrid>
      <w:tr w:rsidR="00473D28" w14:paraId="298596A0" w14:textId="77777777" w:rsidTr="000E1F1E">
        <w:trPr>
          <w:trHeight w:val="3603"/>
        </w:trPr>
        <w:tc>
          <w:tcPr>
            <w:tcW w:w="8960" w:type="dxa"/>
            <w:shd w:val="clear" w:color="auto" w:fill="D9D9D9" w:themeFill="background1" w:themeFillShade="D9"/>
            <w:tcMar>
              <w:top w:w="100" w:type="dxa"/>
              <w:left w:w="100" w:type="dxa"/>
              <w:bottom w:w="100" w:type="dxa"/>
              <w:right w:w="100" w:type="dxa"/>
            </w:tcMar>
          </w:tcPr>
          <w:p w14:paraId="677C0F5D" w14:textId="77777777" w:rsidR="00473D28" w:rsidRPr="00E91344" w:rsidRDefault="00473D28" w:rsidP="000E1F1E">
            <w:pPr>
              <w:widowControl w:val="0"/>
              <w:spacing w:before="240" w:after="240"/>
              <w:jc w:val="both"/>
              <w:rPr>
                <w:rFonts w:ascii="Arial" w:hAnsi="Arial" w:cs="Arial"/>
                <w:b/>
                <w:sz w:val="20"/>
                <w:szCs w:val="20"/>
                <w:u w:val="single"/>
              </w:rPr>
            </w:pPr>
            <w:r w:rsidRPr="00E91344">
              <w:rPr>
                <w:rFonts w:ascii="Arial" w:hAnsi="Arial" w:cs="Arial"/>
                <w:b/>
                <w:sz w:val="20"/>
                <w:szCs w:val="20"/>
                <w:u w:val="single"/>
              </w:rPr>
              <w:t>RECOMMENDATIONS</w:t>
            </w:r>
          </w:p>
          <w:p w14:paraId="1D666008" w14:textId="77777777" w:rsidR="00473D28" w:rsidRDefault="00473D28" w:rsidP="000E1F1E">
            <w:pPr>
              <w:rPr>
                <w:rFonts w:ascii="Arial" w:hAnsi="Arial" w:cs="Arial"/>
                <w:sz w:val="20"/>
                <w:szCs w:val="20"/>
              </w:rPr>
            </w:pPr>
            <w:r w:rsidRPr="00215E42">
              <w:rPr>
                <w:rFonts w:ascii="Arial" w:hAnsi="Arial" w:cs="Arial"/>
                <w:b/>
                <w:bCs/>
                <w:sz w:val="20"/>
                <w:szCs w:val="20"/>
              </w:rPr>
              <w:t>We recommend the CEDAW Committee urge the State party to:</w:t>
            </w:r>
          </w:p>
          <w:p w14:paraId="7B7ECAA6" w14:textId="77777777" w:rsidR="00473D28" w:rsidRPr="00E91344" w:rsidRDefault="00473D28" w:rsidP="000E1F1E">
            <w:pPr>
              <w:rPr>
                <w:rFonts w:ascii="Arial" w:hAnsi="Arial" w:cs="Arial"/>
                <w:sz w:val="20"/>
                <w:szCs w:val="20"/>
              </w:rPr>
            </w:pPr>
          </w:p>
          <w:p w14:paraId="09FC10A2" w14:textId="298C3779" w:rsidR="00473D28" w:rsidRPr="003A1200" w:rsidRDefault="00552C87" w:rsidP="00583953">
            <w:pPr>
              <w:pStyle w:val="ListParagraph"/>
              <w:widowControl w:val="0"/>
              <w:numPr>
                <w:ilvl w:val="0"/>
                <w:numId w:val="26"/>
              </w:numPr>
              <w:spacing w:after="160" w:line="259" w:lineRule="auto"/>
            </w:pPr>
            <w:r w:rsidRPr="00552C87">
              <w:rPr>
                <w:rFonts w:asciiTheme="minorBidi" w:hAnsiTheme="minorBidi" w:cstheme="minorBidi"/>
                <w:bCs/>
                <w:sz w:val="20"/>
                <w:szCs w:val="20"/>
              </w:rPr>
              <w:t xml:space="preserve">Repeal Section 3(3) of the Sexual Offence Act 2013 to include marital rape within the </w:t>
            </w:r>
            <w:r w:rsidRPr="003A1200">
              <w:rPr>
                <w:rFonts w:asciiTheme="minorBidi" w:hAnsiTheme="minorBidi" w:cstheme="minorBidi"/>
                <w:bCs/>
                <w:sz w:val="20"/>
                <w:szCs w:val="20"/>
              </w:rPr>
              <w:t>ambit of rape.</w:t>
            </w:r>
          </w:p>
          <w:p w14:paraId="2616CB9A" w14:textId="27DD807B" w:rsidR="00473D28" w:rsidRPr="003A1200" w:rsidRDefault="00583953" w:rsidP="000E1F1E">
            <w:pPr>
              <w:widowControl w:val="0"/>
              <w:numPr>
                <w:ilvl w:val="0"/>
                <w:numId w:val="12"/>
              </w:numPr>
              <w:jc w:val="both"/>
              <w:rPr>
                <w:rFonts w:ascii="Arial" w:hAnsi="Arial" w:cs="Arial"/>
                <w:sz w:val="20"/>
                <w:szCs w:val="20"/>
              </w:rPr>
            </w:pPr>
            <w:r w:rsidRPr="003A1200">
              <w:rPr>
                <w:rFonts w:ascii="Arial" w:hAnsi="Arial" w:cs="Arial"/>
                <w:sz w:val="20"/>
                <w:szCs w:val="20"/>
              </w:rPr>
              <w:t>Enforce</w:t>
            </w:r>
            <w:r w:rsidR="00473D28" w:rsidRPr="003A1200">
              <w:rPr>
                <w:rFonts w:ascii="Arial" w:hAnsi="Arial" w:cs="Arial"/>
                <w:sz w:val="20"/>
                <w:szCs w:val="20"/>
              </w:rPr>
              <w:t xml:space="preserve"> strict penalties for perpetrators</w:t>
            </w:r>
            <w:r w:rsidRPr="003A1200">
              <w:rPr>
                <w:rFonts w:ascii="Arial" w:hAnsi="Arial" w:cs="Arial"/>
                <w:sz w:val="20"/>
                <w:szCs w:val="20"/>
              </w:rPr>
              <w:t xml:space="preserve"> of FGM</w:t>
            </w:r>
            <w:r w:rsidR="00473D28" w:rsidRPr="003A1200">
              <w:rPr>
                <w:rFonts w:ascii="Arial" w:hAnsi="Arial" w:cs="Arial"/>
                <w:sz w:val="20"/>
                <w:szCs w:val="20"/>
              </w:rPr>
              <w:t>, and strengthen awareness-raising and educational efforts to completely eliminate this practice and its underlying justifications.</w:t>
            </w:r>
          </w:p>
          <w:p w14:paraId="538DA7FD" w14:textId="77777777" w:rsidR="00473D28" w:rsidRPr="003A1200" w:rsidRDefault="00473D28" w:rsidP="000E1F1E">
            <w:pPr>
              <w:widowControl w:val="0"/>
              <w:ind w:left="720"/>
              <w:jc w:val="both"/>
              <w:rPr>
                <w:rFonts w:ascii="Arial" w:hAnsi="Arial" w:cs="Arial"/>
                <w:sz w:val="20"/>
                <w:szCs w:val="20"/>
              </w:rPr>
            </w:pPr>
          </w:p>
          <w:p w14:paraId="7C7274F7" w14:textId="38F024D1" w:rsidR="00473D28" w:rsidRDefault="00473D28" w:rsidP="000E1F1E">
            <w:pPr>
              <w:widowControl w:val="0"/>
              <w:numPr>
                <w:ilvl w:val="0"/>
                <w:numId w:val="12"/>
              </w:numPr>
              <w:jc w:val="both"/>
              <w:rPr>
                <w:rFonts w:ascii="Arial" w:hAnsi="Arial" w:cs="Arial"/>
                <w:sz w:val="20"/>
                <w:szCs w:val="20"/>
              </w:rPr>
            </w:pPr>
            <w:r w:rsidRPr="003A1200">
              <w:rPr>
                <w:rFonts w:ascii="Arial" w:hAnsi="Arial" w:cs="Arial"/>
                <w:sz w:val="20"/>
                <w:szCs w:val="20"/>
              </w:rPr>
              <w:t xml:space="preserve">Train law enforcement, the judiciary, healthcare workers, and social workers to respond to reports </w:t>
            </w:r>
            <w:r w:rsidR="00583953" w:rsidRPr="003A1200">
              <w:rPr>
                <w:rFonts w:ascii="Arial" w:hAnsi="Arial" w:cs="Arial"/>
                <w:sz w:val="20"/>
                <w:szCs w:val="20"/>
              </w:rPr>
              <w:t>of FGM</w:t>
            </w:r>
            <w:r w:rsidRPr="003A1200">
              <w:rPr>
                <w:rFonts w:ascii="Arial" w:hAnsi="Arial" w:cs="Arial"/>
                <w:sz w:val="20"/>
                <w:szCs w:val="20"/>
              </w:rPr>
              <w:t xml:space="preserve"> effectively and provide adequate support to victims of </w:t>
            </w:r>
            <w:r w:rsidR="00787593">
              <w:rPr>
                <w:rFonts w:ascii="Arial" w:hAnsi="Arial" w:cs="Arial"/>
                <w:sz w:val="20"/>
                <w:szCs w:val="20"/>
              </w:rPr>
              <w:t xml:space="preserve">domestic </w:t>
            </w:r>
            <w:r w:rsidRPr="003A1200">
              <w:rPr>
                <w:rFonts w:ascii="Arial" w:hAnsi="Arial" w:cs="Arial"/>
                <w:sz w:val="20"/>
                <w:szCs w:val="20"/>
              </w:rPr>
              <w:t>violence.</w:t>
            </w:r>
          </w:p>
          <w:p w14:paraId="0E909501" w14:textId="77777777" w:rsidR="00787593" w:rsidRDefault="00787593" w:rsidP="00787593">
            <w:pPr>
              <w:pStyle w:val="ListParagraph"/>
              <w:rPr>
                <w:rFonts w:ascii="Arial" w:hAnsi="Arial" w:cs="Arial"/>
                <w:sz w:val="20"/>
                <w:szCs w:val="20"/>
              </w:rPr>
            </w:pPr>
          </w:p>
          <w:p w14:paraId="4DFE22B0" w14:textId="7A98C2EE" w:rsidR="00473D28" w:rsidRPr="001E4B69" w:rsidRDefault="00787593" w:rsidP="001E4B69">
            <w:pPr>
              <w:widowControl w:val="0"/>
              <w:numPr>
                <w:ilvl w:val="0"/>
                <w:numId w:val="12"/>
              </w:numPr>
              <w:jc w:val="both"/>
              <w:rPr>
                <w:rFonts w:ascii="Arial" w:hAnsi="Arial" w:cs="Arial"/>
                <w:sz w:val="20"/>
                <w:szCs w:val="20"/>
              </w:rPr>
            </w:pPr>
            <w:r>
              <w:rPr>
                <w:rFonts w:ascii="Arial" w:hAnsi="Arial" w:cs="Arial"/>
                <w:sz w:val="20"/>
                <w:szCs w:val="20"/>
              </w:rPr>
              <w:t>Integrate awareness raising around domestic violence and information about existing resources and hotlines into advocacy programs and public health interventions on Covid-19.</w:t>
            </w:r>
          </w:p>
        </w:tc>
      </w:tr>
    </w:tbl>
    <w:p w14:paraId="6290F98D" w14:textId="6EC293E1" w:rsidR="00473D28" w:rsidRDefault="00473D28" w:rsidP="00E26F24"/>
    <w:p w14:paraId="4D04993F" w14:textId="540B5080" w:rsidR="003A1200" w:rsidRPr="00F266AC" w:rsidRDefault="003A1200" w:rsidP="00892FA5">
      <w:pPr>
        <w:pStyle w:val="Heading2"/>
        <w:rPr>
          <w:bCs/>
          <w:iCs/>
        </w:rPr>
      </w:pPr>
      <w:bookmarkStart w:id="17" w:name="_Toc103472509"/>
      <w:bookmarkStart w:id="18" w:name="_Toc113905654"/>
      <w:r w:rsidRPr="00F266AC">
        <w:t>Polygamy</w:t>
      </w:r>
      <w:r w:rsidRPr="00F266AC">
        <w:tab/>
      </w:r>
      <w:r w:rsidRPr="00F266AC">
        <w:tab/>
      </w:r>
      <w:r w:rsidRPr="00F266AC">
        <w:tab/>
      </w:r>
      <w:r w:rsidR="00F266AC" w:rsidRPr="00F266AC">
        <w:tab/>
      </w:r>
      <w:r w:rsidR="00F266AC" w:rsidRPr="00F266AC">
        <w:tab/>
      </w:r>
      <w:r w:rsidR="00F266AC" w:rsidRPr="00F266AC">
        <w:tab/>
      </w:r>
      <w:r w:rsidR="00F266AC" w:rsidRPr="00F266AC">
        <w:tab/>
      </w:r>
      <w:r w:rsidR="00F266AC" w:rsidRPr="00F266AC">
        <w:tab/>
      </w:r>
      <w:r w:rsidR="00F266AC" w:rsidRPr="00F266AC">
        <w:tab/>
      </w:r>
      <w:r w:rsidR="00F266AC">
        <w:t xml:space="preserve">          </w:t>
      </w:r>
      <w:r w:rsidR="00F266AC" w:rsidRPr="00F266AC">
        <w:t>Article 16</w:t>
      </w:r>
      <w:bookmarkEnd w:id="17"/>
      <w:bookmarkEnd w:id="18"/>
    </w:p>
    <w:p w14:paraId="3C8B628A" w14:textId="77777777" w:rsidR="00F266AC" w:rsidRDefault="00F266AC" w:rsidP="00FA12D7">
      <w:pPr>
        <w:autoSpaceDE w:val="0"/>
        <w:autoSpaceDN w:val="0"/>
        <w:adjustRightInd w:val="0"/>
        <w:jc w:val="both"/>
        <w:rPr>
          <w:rFonts w:ascii="Arial" w:hAnsi="Arial" w:cs="Arial"/>
          <w:color w:val="000000" w:themeColor="text1"/>
          <w:sz w:val="20"/>
          <w:szCs w:val="20"/>
        </w:rPr>
      </w:pPr>
    </w:p>
    <w:p w14:paraId="7C074637" w14:textId="511C0F7F" w:rsidR="00F96336" w:rsidRDefault="00F96336" w:rsidP="00FA12D7">
      <w:pPr>
        <w:autoSpaceDE w:val="0"/>
        <w:autoSpaceDN w:val="0"/>
        <w:adjustRightInd w:val="0"/>
        <w:jc w:val="both"/>
        <w:rPr>
          <w:rFonts w:ascii="Arial" w:hAnsi="Arial" w:cs="Arial"/>
          <w:color w:val="000000" w:themeColor="text1"/>
          <w:sz w:val="20"/>
          <w:szCs w:val="20"/>
        </w:rPr>
      </w:pPr>
      <w:r w:rsidRPr="00F96336">
        <w:rPr>
          <w:rFonts w:ascii="Arial" w:hAnsi="Arial" w:cs="Arial"/>
          <w:color w:val="000000" w:themeColor="text1"/>
          <w:sz w:val="20"/>
          <w:szCs w:val="20"/>
        </w:rPr>
        <w:t>There is no law prohibiting polygamy in The Gambia</w:t>
      </w:r>
      <w:r w:rsidR="00F32434">
        <w:rPr>
          <w:rFonts w:ascii="Arial" w:hAnsi="Arial" w:cs="Arial"/>
          <w:color w:val="000000" w:themeColor="text1"/>
          <w:sz w:val="20"/>
          <w:szCs w:val="20"/>
        </w:rPr>
        <w:t>. As mentioned before,</w:t>
      </w:r>
      <w:r w:rsidRPr="00F96336">
        <w:rPr>
          <w:rFonts w:ascii="Arial" w:hAnsi="Arial" w:cs="Arial"/>
          <w:color w:val="000000" w:themeColor="text1"/>
          <w:sz w:val="20"/>
          <w:szCs w:val="20"/>
        </w:rPr>
        <w:t xml:space="preserve"> the issue of marriage is</w:t>
      </w:r>
      <w:r>
        <w:rPr>
          <w:rFonts w:ascii="Arial" w:hAnsi="Arial" w:cs="Arial"/>
          <w:color w:val="000000" w:themeColor="text1"/>
          <w:sz w:val="20"/>
          <w:szCs w:val="20"/>
        </w:rPr>
        <w:t xml:space="preserve"> </w:t>
      </w:r>
      <w:r w:rsidRPr="00F96336">
        <w:rPr>
          <w:rFonts w:ascii="Arial" w:hAnsi="Arial" w:cs="Arial"/>
          <w:color w:val="000000" w:themeColor="text1"/>
          <w:sz w:val="20"/>
          <w:szCs w:val="20"/>
        </w:rPr>
        <w:t>subject to personal law</w:t>
      </w:r>
      <w:r w:rsidR="00F32434">
        <w:rPr>
          <w:rFonts w:ascii="Arial" w:hAnsi="Arial" w:cs="Arial"/>
          <w:color w:val="000000" w:themeColor="text1"/>
          <w:sz w:val="20"/>
          <w:szCs w:val="20"/>
        </w:rPr>
        <w:t>,</w:t>
      </w:r>
      <w:r w:rsidR="00F32434">
        <w:rPr>
          <w:rStyle w:val="FootnoteReference"/>
          <w:rFonts w:ascii="Arial" w:hAnsi="Arial" w:cs="Arial"/>
          <w:color w:val="000000" w:themeColor="text1"/>
          <w:sz w:val="20"/>
          <w:szCs w:val="20"/>
        </w:rPr>
        <w:footnoteReference w:id="25"/>
      </w:r>
      <w:r w:rsidR="00F32434">
        <w:rPr>
          <w:rFonts w:ascii="Arial" w:hAnsi="Arial" w:cs="Arial"/>
          <w:color w:val="000000" w:themeColor="text1"/>
          <w:sz w:val="20"/>
          <w:szCs w:val="20"/>
        </w:rPr>
        <w:t xml:space="preserve"> and according to </w:t>
      </w:r>
      <w:r w:rsidR="00FA12D7">
        <w:rPr>
          <w:rFonts w:ascii="Arial" w:hAnsi="Arial" w:cs="Arial"/>
          <w:color w:val="000000" w:themeColor="text1"/>
          <w:sz w:val="20"/>
          <w:szCs w:val="20"/>
        </w:rPr>
        <w:t>traditional interpretations of Islam, a man is allowed to marry up to four wives.</w:t>
      </w:r>
      <w:r w:rsidR="00DB78B1">
        <w:rPr>
          <w:rFonts w:ascii="Arial" w:hAnsi="Arial" w:cs="Arial"/>
          <w:color w:val="000000" w:themeColor="text1"/>
          <w:sz w:val="20"/>
          <w:szCs w:val="20"/>
        </w:rPr>
        <w:t xml:space="preserve"> There is also no law </w:t>
      </w:r>
      <w:r w:rsidR="00994D36">
        <w:rPr>
          <w:rFonts w:ascii="Arial" w:hAnsi="Arial" w:cs="Arial"/>
          <w:color w:val="000000" w:themeColor="text1"/>
          <w:sz w:val="20"/>
          <w:szCs w:val="20"/>
        </w:rPr>
        <w:t xml:space="preserve">in the Gambia </w:t>
      </w:r>
      <w:r w:rsidR="00DB78B1">
        <w:rPr>
          <w:rFonts w:ascii="Arial" w:hAnsi="Arial" w:cs="Arial"/>
          <w:color w:val="000000" w:themeColor="text1"/>
          <w:sz w:val="20"/>
          <w:szCs w:val="20"/>
        </w:rPr>
        <w:t>that includes the requirement of a woman’s consent to polygamous arrangements.</w:t>
      </w:r>
    </w:p>
    <w:p w14:paraId="14A54A57" w14:textId="77777777" w:rsidR="00F96336" w:rsidRDefault="00F96336" w:rsidP="003452C1">
      <w:pPr>
        <w:spacing w:line="276" w:lineRule="auto"/>
        <w:jc w:val="both"/>
        <w:rPr>
          <w:rFonts w:ascii="Arial" w:hAnsi="Arial" w:cs="Arial"/>
          <w:color w:val="000000" w:themeColor="text1"/>
          <w:sz w:val="20"/>
          <w:szCs w:val="20"/>
        </w:rPr>
      </w:pPr>
    </w:p>
    <w:p w14:paraId="7EAC6590" w14:textId="6C4AF5D7" w:rsidR="00741D99" w:rsidRDefault="003A1200" w:rsidP="00741D99">
      <w:pPr>
        <w:spacing w:line="276" w:lineRule="auto"/>
        <w:jc w:val="both"/>
        <w:rPr>
          <w:rFonts w:ascii="Arial" w:hAnsi="Arial" w:cs="Arial"/>
          <w:i/>
          <w:iCs/>
          <w:color w:val="FF0000"/>
          <w:sz w:val="20"/>
          <w:szCs w:val="20"/>
        </w:rPr>
      </w:pPr>
      <w:r>
        <w:rPr>
          <w:rFonts w:ascii="Arial" w:hAnsi="Arial" w:cs="Arial"/>
          <w:color w:val="000000" w:themeColor="text1"/>
          <w:sz w:val="20"/>
          <w:szCs w:val="20"/>
        </w:rPr>
        <w:t xml:space="preserve">According to </w:t>
      </w:r>
      <w:r w:rsidR="003452C1">
        <w:rPr>
          <w:rFonts w:ascii="Arial" w:hAnsi="Arial" w:cs="Arial"/>
          <w:color w:val="000000" w:themeColor="text1"/>
          <w:sz w:val="20"/>
          <w:szCs w:val="20"/>
        </w:rPr>
        <w:t>a</w:t>
      </w:r>
      <w:r>
        <w:rPr>
          <w:rFonts w:ascii="Arial" w:hAnsi="Arial" w:cs="Arial"/>
          <w:color w:val="000000" w:themeColor="text1"/>
          <w:sz w:val="20"/>
          <w:szCs w:val="20"/>
        </w:rPr>
        <w:t xml:space="preserve"> PEW </w:t>
      </w:r>
      <w:r w:rsidR="003452C1">
        <w:rPr>
          <w:rFonts w:ascii="Arial" w:hAnsi="Arial" w:cs="Arial"/>
          <w:color w:val="000000" w:themeColor="text1"/>
          <w:sz w:val="20"/>
          <w:szCs w:val="20"/>
        </w:rPr>
        <w:t>Research of 2020, p</w:t>
      </w:r>
      <w:r w:rsidR="003452C1" w:rsidRPr="003452C1">
        <w:rPr>
          <w:rFonts w:ascii="Arial" w:hAnsi="Arial" w:cs="Arial"/>
          <w:color w:val="000000" w:themeColor="text1"/>
          <w:sz w:val="20"/>
          <w:szCs w:val="20"/>
        </w:rPr>
        <w:t>olygamy is most often found in sub-Saharan Africa, where 11% of the population lives in arrangements that include more than one spouse.</w:t>
      </w:r>
      <w:r w:rsidR="003452C1">
        <w:rPr>
          <w:rFonts w:ascii="Arial" w:hAnsi="Arial" w:cs="Arial"/>
          <w:color w:val="000000" w:themeColor="text1"/>
          <w:sz w:val="20"/>
          <w:szCs w:val="20"/>
        </w:rPr>
        <w:t xml:space="preserve"> The practice is widespread </w:t>
      </w:r>
      <w:r w:rsidR="003452C1" w:rsidRPr="003452C1">
        <w:rPr>
          <w:rFonts w:ascii="Arial" w:hAnsi="Arial" w:cs="Arial"/>
          <w:color w:val="000000" w:themeColor="text1"/>
          <w:sz w:val="20"/>
          <w:szCs w:val="20"/>
        </w:rPr>
        <w:t xml:space="preserve">in a cluster of countries in West and Central Africa, </w:t>
      </w:r>
      <w:r w:rsidR="003452C1">
        <w:rPr>
          <w:rFonts w:ascii="Arial" w:hAnsi="Arial" w:cs="Arial"/>
          <w:color w:val="000000" w:themeColor="text1"/>
          <w:sz w:val="20"/>
          <w:szCs w:val="20"/>
        </w:rPr>
        <w:t xml:space="preserve">including the </w:t>
      </w:r>
      <w:r w:rsidR="003452C1" w:rsidRPr="003452C1">
        <w:rPr>
          <w:rFonts w:ascii="Arial" w:hAnsi="Arial" w:cs="Arial"/>
          <w:color w:val="000000" w:themeColor="text1"/>
          <w:sz w:val="20"/>
          <w:szCs w:val="20"/>
        </w:rPr>
        <w:t>Gambia (30%)</w:t>
      </w:r>
      <w:r w:rsidR="003452C1">
        <w:rPr>
          <w:rFonts w:ascii="Arial" w:hAnsi="Arial" w:cs="Arial"/>
          <w:color w:val="000000" w:themeColor="text1"/>
          <w:sz w:val="20"/>
          <w:szCs w:val="20"/>
        </w:rPr>
        <w:t xml:space="preserve">, </w:t>
      </w:r>
      <w:r w:rsidR="003452C1" w:rsidRPr="003452C1">
        <w:rPr>
          <w:rFonts w:ascii="Arial" w:hAnsi="Arial" w:cs="Arial"/>
          <w:color w:val="000000" w:themeColor="text1"/>
          <w:sz w:val="20"/>
          <w:szCs w:val="20"/>
        </w:rPr>
        <w:t xml:space="preserve">including Burkina Faso, (36%), </w:t>
      </w:r>
      <w:r w:rsidR="003452C1">
        <w:rPr>
          <w:rFonts w:ascii="Arial" w:hAnsi="Arial" w:cs="Arial"/>
          <w:color w:val="000000" w:themeColor="text1"/>
          <w:sz w:val="20"/>
          <w:szCs w:val="20"/>
        </w:rPr>
        <w:t xml:space="preserve">and </w:t>
      </w:r>
      <w:r w:rsidR="003452C1" w:rsidRPr="003452C1">
        <w:rPr>
          <w:rFonts w:ascii="Arial" w:hAnsi="Arial" w:cs="Arial"/>
          <w:color w:val="000000" w:themeColor="text1"/>
          <w:sz w:val="20"/>
          <w:szCs w:val="20"/>
        </w:rPr>
        <w:t>Mali (34%)</w:t>
      </w:r>
      <w:r w:rsidR="003452C1">
        <w:rPr>
          <w:rFonts w:ascii="Arial" w:hAnsi="Arial" w:cs="Arial"/>
          <w:color w:val="000000" w:themeColor="text1"/>
          <w:sz w:val="20"/>
          <w:szCs w:val="20"/>
        </w:rPr>
        <w:t>.</w:t>
      </w:r>
      <w:r w:rsidR="003452C1">
        <w:rPr>
          <w:rStyle w:val="FootnoteReference"/>
          <w:rFonts w:ascii="Arial" w:hAnsi="Arial" w:cs="Arial"/>
          <w:color w:val="000000" w:themeColor="text1"/>
          <w:sz w:val="20"/>
          <w:szCs w:val="20"/>
        </w:rPr>
        <w:footnoteReference w:id="26"/>
      </w:r>
      <w:r w:rsidR="00C71BD7">
        <w:rPr>
          <w:rFonts w:ascii="Arial" w:hAnsi="Arial" w:cs="Arial"/>
          <w:color w:val="000000" w:themeColor="text1"/>
          <w:sz w:val="20"/>
          <w:szCs w:val="20"/>
        </w:rPr>
        <w:t xml:space="preserve"> In the Gambia, the study found that 30 percent of Muslim individuals and 12 percent of Christian individuals were living in polygamous households.</w:t>
      </w:r>
      <w:r w:rsidR="00D46770">
        <w:rPr>
          <w:rStyle w:val="FootnoteReference"/>
          <w:rFonts w:ascii="Arial" w:hAnsi="Arial" w:cs="Arial"/>
          <w:color w:val="000000" w:themeColor="text1"/>
          <w:sz w:val="20"/>
          <w:szCs w:val="20"/>
        </w:rPr>
        <w:footnoteReference w:id="27"/>
      </w:r>
      <w:r w:rsidR="00780BCE">
        <w:rPr>
          <w:rFonts w:ascii="Arial" w:hAnsi="Arial" w:cs="Arial"/>
          <w:color w:val="000000" w:themeColor="text1"/>
          <w:sz w:val="20"/>
          <w:szCs w:val="20"/>
        </w:rPr>
        <w:t xml:space="preserve"> Moreover, a</w:t>
      </w:r>
      <w:r w:rsidR="00780BCE" w:rsidRPr="00780BCE">
        <w:rPr>
          <w:rFonts w:ascii="Arial" w:hAnsi="Arial" w:cs="Arial"/>
          <w:color w:val="000000" w:themeColor="text1"/>
          <w:sz w:val="20"/>
          <w:szCs w:val="20"/>
        </w:rPr>
        <w:t xml:space="preserve">ccording to the </w:t>
      </w:r>
      <w:r w:rsidR="00780BCE">
        <w:rPr>
          <w:rFonts w:ascii="Arial" w:hAnsi="Arial" w:cs="Arial"/>
          <w:color w:val="000000" w:themeColor="text1"/>
          <w:sz w:val="20"/>
          <w:szCs w:val="20"/>
        </w:rPr>
        <w:t>Demographic and Health Survey</w:t>
      </w:r>
      <w:r w:rsidR="00780BCE" w:rsidRPr="00780BCE">
        <w:rPr>
          <w:rFonts w:ascii="Arial" w:hAnsi="Arial" w:cs="Arial"/>
          <w:color w:val="000000" w:themeColor="text1"/>
          <w:sz w:val="20"/>
          <w:szCs w:val="20"/>
        </w:rPr>
        <w:t xml:space="preserve"> 2019-2020,</w:t>
      </w:r>
      <w:r w:rsidR="00780BCE">
        <w:rPr>
          <w:rFonts w:ascii="Arial" w:hAnsi="Arial" w:cs="Arial"/>
          <w:color w:val="000000" w:themeColor="text1"/>
          <w:sz w:val="20"/>
          <w:szCs w:val="20"/>
        </w:rPr>
        <w:t xml:space="preserve"> </w:t>
      </w:r>
      <w:r w:rsidR="00780BCE" w:rsidRPr="00780BCE">
        <w:rPr>
          <w:rFonts w:ascii="Arial" w:hAnsi="Arial" w:cs="Arial"/>
          <w:color w:val="000000" w:themeColor="text1"/>
          <w:sz w:val="20"/>
          <w:szCs w:val="20"/>
        </w:rPr>
        <w:t>34</w:t>
      </w:r>
      <w:r w:rsidR="009C514A">
        <w:rPr>
          <w:rFonts w:ascii="Arial" w:hAnsi="Arial" w:cs="Arial"/>
          <w:color w:val="000000" w:themeColor="text1"/>
          <w:sz w:val="20"/>
          <w:szCs w:val="20"/>
        </w:rPr>
        <w:t xml:space="preserve"> percent</w:t>
      </w:r>
      <w:r w:rsidR="00780BCE" w:rsidRPr="00780BCE">
        <w:rPr>
          <w:rFonts w:ascii="Arial" w:hAnsi="Arial" w:cs="Arial"/>
          <w:color w:val="000000" w:themeColor="text1"/>
          <w:sz w:val="20"/>
          <w:szCs w:val="20"/>
        </w:rPr>
        <w:t xml:space="preserve"> of married women age</w:t>
      </w:r>
      <w:r w:rsidR="00780BCE">
        <w:rPr>
          <w:rFonts w:ascii="Arial" w:hAnsi="Arial" w:cs="Arial"/>
          <w:color w:val="000000" w:themeColor="text1"/>
          <w:sz w:val="20"/>
          <w:szCs w:val="20"/>
        </w:rPr>
        <w:t>d</w:t>
      </w:r>
      <w:r w:rsidR="00780BCE" w:rsidRPr="00780BCE">
        <w:rPr>
          <w:rFonts w:ascii="Arial" w:hAnsi="Arial" w:cs="Arial"/>
          <w:color w:val="000000" w:themeColor="text1"/>
          <w:sz w:val="20"/>
          <w:szCs w:val="20"/>
        </w:rPr>
        <w:t xml:space="preserve"> 15-49 year are in </w:t>
      </w:r>
      <w:r w:rsidR="00780BCE">
        <w:rPr>
          <w:rFonts w:ascii="Arial" w:hAnsi="Arial" w:cs="Arial"/>
          <w:color w:val="000000" w:themeColor="text1"/>
          <w:sz w:val="20"/>
          <w:szCs w:val="20"/>
        </w:rPr>
        <w:t xml:space="preserve">a </w:t>
      </w:r>
      <w:r w:rsidR="00780BCE" w:rsidRPr="00780BCE">
        <w:rPr>
          <w:rFonts w:ascii="Arial" w:hAnsi="Arial" w:cs="Arial"/>
          <w:color w:val="000000" w:themeColor="text1"/>
          <w:sz w:val="20"/>
          <w:szCs w:val="20"/>
        </w:rPr>
        <w:t>polyg</w:t>
      </w:r>
      <w:r w:rsidR="00780BCE">
        <w:rPr>
          <w:rFonts w:ascii="Arial" w:hAnsi="Arial" w:cs="Arial"/>
          <w:color w:val="000000" w:themeColor="text1"/>
          <w:sz w:val="20"/>
          <w:szCs w:val="20"/>
        </w:rPr>
        <w:t>y</w:t>
      </w:r>
      <w:r w:rsidR="00780BCE" w:rsidRPr="00780BCE">
        <w:rPr>
          <w:rFonts w:ascii="Arial" w:hAnsi="Arial" w:cs="Arial"/>
          <w:color w:val="000000" w:themeColor="text1"/>
          <w:sz w:val="20"/>
          <w:szCs w:val="20"/>
        </w:rPr>
        <w:t>nous</w:t>
      </w:r>
      <w:r w:rsidR="00780BCE" w:rsidRPr="00780BCE">
        <w:rPr>
          <w:rFonts w:ascii="Arial" w:hAnsi="Arial" w:cs="Arial"/>
          <w:color w:val="000000" w:themeColor="text1"/>
          <w:sz w:val="20"/>
          <w:szCs w:val="20"/>
        </w:rPr>
        <w:t xml:space="preserve"> union, meaning </w:t>
      </w:r>
      <w:r w:rsidR="00780BCE">
        <w:rPr>
          <w:rFonts w:ascii="Arial" w:hAnsi="Arial" w:cs="Arial"/>
          <w:color w:val="000000" w:themeColor="text1"/>
          <w:sz w:val="20"/>
          <w:szCs w:val="20"/>
        </w:rPr>
        <w:t xml:space="preserve">they </w:t>
      </w:r>
      <w:r w:rsidR="00780BCE" w:rsidRPr="00780BCE">
        <w:rPr>
          <w:rFonts w:ascii="Arial" w:hAnsi="Arial" w:cs="Arial"/>
          <w:color w:val="000000" w:themeColor="text1"/>
          <w:sz w:val="20"/>
          <w:szCs w:val="20"/>
        </w:rPr>
        <w:t xml:space="preserve">have at least one co-wife. </w:t>
      </w:r>
      <w:r w:rsidR="00780BCE">
        <w:rPr>
          <w:rFonts w:ascii="Arial" w:hAnsi="Arial" w:cs="Arial"/>
          <w:color w:val="000000" w:themeColor="text1"/>
          <w:sz w:val="20"/>
          <w:szCs w:val="20"/>
        </w:rPr>
        <w:t xml:space="preserve">Additionally, the survey found that </w:t>
      </w:r>
      <w:r w:rsidR="00780BCE" w:rsidRPr="00780BCE">
        <w:rPr>
          <w:rFonts w:ascii="Arial" w:hAnsi="Arial" w:cs="Arial"/>
          <w:color w:val="000000" w:themeColor="text1"/>
          <w:sz w:val="20"/>
          <w:szCs w:val="20"/>
        </w:rPr>
        <w:t>14.9</w:t>
      </w:r>
      <w:r w:rsidR="009C514A">
        <w:rPr>
          <w:rFonts w:ascii="Arial" w:hAnsi="Arial" w:cs="Arial"/>
          <w:color w:val="000000" w:themeColor="text1"/>
          <w:sz w:val="20"/>
          <w:szCs w:val="20"/>
        </w:rPr>
        <w:t xml:space="preserve"> percent</w:t>
      </w:r>
      <w:r w:rsidR="00780BCE" w:rsidRPr="00780BCE">
        <w:rPr>
          <w:rFonts w:ascii="Arial" w:hAnsi="Arial" w:cs="Arial"/>
          <w:color w:val="000000" w:themeColor="text1"/>
          <w:sz w:val="20"/>
          <w:szCs w:val="20"/>
        </w:rPr>
        <w:t xml:space="preserve"> of men age</w:t>
      </w:r>
      <w:r w:rsidR="00780BCE">
        <w:rPr>
          <w:rFonts w:ascii="Arial" w:hAnsi="Arial" w:cs="Arial"/>
          <w:color w:val="000000" w:themeColor="text1"/>
          <w:sz w:val="20"/>
          <w:szCs w:val="20"/>
        </w:rPr>
        <w:t>d</w:t>
      </w:r>
      <w:r w:rsidR="00780BCE" w:rsidRPr="00780BCE">
        <w:rPr>
          <w:rFonts w:ascii="Arial" w:hAnsi="Arial" w:cs="Arial"/>
          <w:color w:val="000000" w:themeColor="text1"/>
          <w:sz w:val="20"/>
          <w:szCs w:val="20"/>
        </w:rPr>
        <w:t xml:space="preserve"> 15-49 years have more than one wife.</w:t>
      </w:r>
      <w:r w:rsidR="00780BCE">
        <w:rPr>
          <w:rStyle w:val="FootnoteReference"/>
          <w:rFonts w:ascii="Arial" w:hAnsi="Arial" w:cs="Arial"/>
          <w:color w:val="000000" w:themeColor="text1"/>
          <w:sz w:val="20"/>
          <w:szCs w:val="20"/>
        </w:rPr>
        <w:footnoteReference w:id="28"/>
      </w:r>
    </w:p>
    <w:p w14:paraId="5D6CD3EB" w14:textId="330AC6E6" w:rsidR="00741D99" w:rsidRPr="003F0D56" w:rsidRDefault="00741D99" w:rsidP="00741D99">
      <w:pPr>
        <w:spacing w:line="276" w:lineRule="auto"/>
        <w:jc w:val="both"/>
        <w:rPr>
          <w:rFonts w:ascii="Arial" w:hAnsi="Arial" w:cs="Arial"/>
          <w:color w:val="FF0000"/>
          <w:sz w:val="20"/>
          <w:szCs w:val="20"/>
        </w:rPr>
      </w:pPr>
    </w:p>
    <w:p w14:paraId="74AC24FB" w14:textId="5EB6EAC1" w:rsidR="003A1200" w:rsidRDefault="00741D99" w:rsidP="00E00A41">
      <w:pPr>
        <w:spacing w:line="276" w:lineRule="auto"/>
        <w:jc w:val="both"/>
        <w:rPr>
          <w:rFonts w:ascii="Arial" w:hAnsi="Arial" w:cs="Arial"/>
          <w:color w:val="000000" w:themeColor="text1"/>
          <w:sz w:val="20"/>
          <w:szCs w:val="20"/>
        </w:rPr>
      </w:pPr>
      <w:r w:rsidRPr="00DB78B1">
        <w:rPr>
          <w:rFonts w:ascii="Arial" w:hAnsi="Arial" w:cs="Arial"/>
          <w:color w:val="000000" w:themeColor="text1"/>
          <w:sz w:val="20"/>
          <w:szCs w:val="20"/>
        </w:rPr>
        <w:t>The threat of polygamy is often used as a powerful means of control of the wife by the husband.</w:t>
      </w:r>
      <w:r w:rsidRPr="00DB78B1">
        <w:rPr>
          <w:rStyle w:val="FootnoteReference"/>
          <w:rFonts w:ascii="Arial" w:hAnsi="Arial" w:cs="Arial"/>
          <w:color w:val="000000" w:themeColor="text1"/>
          <w:sz w:val="20"/>
          <w:szCs w:val="20"/>
        </w:rPr>
        <w:footnoteReference w:id="29"/>
      </w:r>
      <w:r w:rsidRPr="00DB78B1">
        <w:rPr>
          <w:rFonts w:ascii="Arial" w:hAnsi="Arial" w:cs="Arial"/>
          <w:color w:val="000000" w:themeColor="text1"/>
          <w:sz w:val="20"/>
          <w:szCs w:val="20"/>
        </w:rPr>
        <w:t xml:space="preserve"> It </w:t>
      </w:r>
      <w:r w:rsidR="00DB78B1">
        <w:rPr>
          <w:rFonts w:ascii="Arial" w:hAnsi="Arial" w:cs="Arial"/>
          <w:color w:val="000000" w:themeColor="text1"/>
          <w:sz w:val="20"/>
          <w:szCs w:val="20"/>
        </w:rPr>
        <w:t xml:space="preserve">continues to be practiced in a manner that can </w:t>
      </w:r>
      <w:r w:rsidRPr="00DB78B1">
        <w:rPr>
          <w:rFonts w:ascii="Arial" w:hAnsi="Arial" w:cs="Arial"/>
          <w:color w:val="000000" w:themeColor="text1"/>
          <w:sz w:val="20"/>
          <w:szCs w:val="20"/>
        </w:rPr>
        <w:t xml:space="preserve">results in </w:t>
      </w:r>
      <w:r w:rsidR="00DB78B1">
        <w:rPr>
          <w:rFonts w:ascii="Arial" w:hAnsi="Arial" w:cs="Arial"/>
          <w:color w:val="000000" w:themeColor="text1"/>
          <w:sz w:val="20"/>
          <w:szCs w:val="20"/>
        </w:rPr>
        <w:t xml:space="preserve">negative consequences to the financial, </w:t>
      </w:r>
      <w:r w:rsidR="00DB78B1">
        <w:rPr>
          <w:rFonts w:ascii="Arial" w:hAnsi="Arial" w:cs="Arial"/>
          <w:color w:val="000000" w:themeColor="text1"/>
          <w:sz w:val="20"/>
          <w:szCs w:val="20"/>
        </w:rPr>
        <w:lastRenderedPageBreak/>
        <w:t>psychological and emotional wellbeing of the wives and children of polygamous unions. While the Gambia has introduced laws including the Women’s Act and Domestic Violence Act, which seek to protect women all women including those in polygamous marriages,</w:t>
      </w:r>
      <w:r w:rsidR="00DB78B1">
        <w:rPr>
          <w:rStyle w:val="FootnoteReference"/>
          <w:rFonts w:ascii="Arial" w:hAnsi="Arial" w:cs="Arial"/>
          <w:color w:val="000000" w:themeColor="text1"/>
          <w:sz w:val="20"/>
          <w:szCs w:val="20"/>
        </w:rPr>
        <w:footnoteReference w:id="30"/>
      </w:r>
      <w:r w:rsidR="00DB78B1">
        <w:rPr>
          <w:rFonts w:ascii="Arial" w:hAnsi="Arial" w:cs="Arial"/>
          <w:color w:val="000000" w:themeColor="text1"/>
          <w:sz w:val="20"/>
          <w:szCs w:val="20"/>
        </w:rPr>
        <w:t xml:space="preserve"> it is important that polygamy be prohibited without exception to completely eliminate the practice.</w:t>
      </w:r>
    </w:p>
    <w:p w14:paraId="2A58E853" w14:textId="2FD57572" w:rsidR="0012209F" w:rsidRDefault="0012209F" w:rsidP="00E00A41">
      <w:pPr>
        <w:spacing w:line="276" w:lineRule="auto"/>
        <w:jc w:val="both"/>
        <w:rPr>
          <w:rFonts w:ascii="Arial" w:hAnsi="Arial" w:cs="Arial"/>
          <w:color w:val="000000" w:themeColor="text1"/>
          <w:sz w:val="20"/>
          <w:szCs w:val="20"/>
        </w:rPr>
      </w:pPr>
    </w:p>
    <w:p w14:paraId="2B076038" w14:textId="047FDACF" w:rsidR="0012209F" w:rsidRPr="00E00A41" w:rsidRDefault="0012209F" w:rsidP="00E00A41">
      <w:pPr>
        <w:spacing w:line="276" w:lineRule="auto"/>
        <w:jc w:val="both"/>
        <w:rPr>
          <w:rFonts w:ascii="Arial" w:hAnsi="Arial" w:cs="Arial"/>
          <w:color w:val="000000" w:themeColor="text1"/>
          <w:sz w:val="20"/>
          <w:szCs w:val="20"/>
        </w:rPr>
      </w:pPr>
      <w:r>
        <w:rPr>
          <w:rFonts w:ascii="Arial" w:hAnsi="Arial" w:cs="Arial"/>
          <w:noProof/>
          <w:color w:val="000000"/>
          <w:sz w:val="20"/>
          <w:szCs w:val="20"/>
          <w:lang w:eastAsia="en-US"/>
        </w:rPr>
        <w:drawing>
          <wp:inline distT="0" distB="0" distL="0" distR="0" wp14:anchorId="37F9DB77" wp14:editId="729E40BB">
            <wp:extent cx="5664200" cy="4254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3">
                      <a:extLst>
                        <a:ext uri="{28A0092B-C50C-407E-A947-70E740481C1C}">
                          <a14:useLocalDpi xmlns:a14="http://schemas.microsoft.com/office/drawing/2010/main" val="0"/>
                        </a:ext>
                      </a:extLst>
                    </a:blip>
                    <a:srcRect b="88937"/>
                    <a:stretch/>
                  </pic:blipFill>
                  <pic:spPr bwMode="auto">
                    <a:xfrm>
                      <a:off x="0" y="0"/>
                      <a:ext cx="5664200" cy="425450"/>
                    </a:xfrm>
                    <a:prstGeom prst="rect">
                      <a:avLst/>
                    </a:prstGeom>
                    <a:ln>
                      <a:noFill/>
                    </a:ln>
                    <a:extLst>
                      <a:ext uri="{53640926-AAD7-44D8-BBD7-CCE9431645EC}">
                        <a14:shadowObscured xmlns:a14="http://schemas.microsoft.com/office/drawing/2010/main"/>
                      </a:ext>
                    </a:extLst>
                  </pic:spPr>
                </pic:pic>
              </a:graphicData>
            </a:graphic>
          </wp:inline>
        </w:drawing>
      </w:r>
    </w:p>
    <w:p w14:paraId="6AE59E3F" w14:textId="05F4C69C" w:rsidR="008F638E" w:rsidRDefault="00E00A41" w:rsidP="008F638E">
      <w:pPr>
        <w:widowControl w:val="0"/>
        <w:jc w:val="center"/>
        <w:rPr>
          <w:rFonts w:asciiTheme="minorBidi" w:hAnsiTheme="minorBidi" w:cstheme="minorBidi"/>
          <w:b/>
          <w:bCs/>
          <w:i/>
          <w:iCs/>
          <w:color w:val="FF0000"/>
          <w:sz w:val="20"/>
          <w:szCs w:val="20"/>
        </w:rPr>
      </w:pPr>
      <w:r>
        <w:rPr>
          <w:noProof/>
          <w:lang w:eastAsia="en-US"/>
        </w:rPr>
        <w:drawing>
          <wp:inline distT="0" distB="0" distL="0" distR="0" wp14:anchorId="0132CC6F" wp14:editId="26655E02">
            <wp:extent cx="5664200" cy="24333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3">
                      <a:extLst>
                        <a:ext uri="{28A0092B-C50C-407E-A947-70E740481C1C}">
                          <a14:useLocalDpi xmlns:a14="http://schemas.microsoft.com/office/drawing/2010/main" val="0"/>
                        </a:ext>
                      </a:extLst>
                    </a:blip>
                    <a:srcRect t="36721"/>
                    <a:stretch/>
                  </pic:blipFill>
                  <pic:spPr bwMode="auto">
                    <a:xfrm>
                      <a:off x="0" y="0"/>
                      <a:ext cx="5664200" cy="2433320"/>
                    </a:xfrm>
                    <a:prstGeom prst="rect">
                      <a:avLst/>
                    </a:prstGeom>
                    <a:ln>
                      <a:noFill/>
                    </a:ln>
                    <a:extLst>
                      <a:ext uri="{53640926-AAD7-44D8-BBD7-CCE9431645EC}">
                        <a14:shadowObscured xmlns:a14="http://schemas.microsoft.com/office/drawing/2010/main"/>
                      </a:ext>
                    </a:extLst>
                  </pic:spPr>
                </pic:pic>
              </a:graphicData>
            </a:graphic>
          </wp:inline>
        </w:drawing>
      </w:r>
    </w:p>
    <w:p w14:paraId="58F2F747" w14:textId="77777777" w:rsidR="005D7B9F" w:rsidRDefault="005D7B9F" w:rsidP="0012209F">
      <w:pPr>
        <w:widowControl w:val="0"/>
        <w:jc w:val="center"/>
        <w:rPr>
          <w:rFonts w:asciiTheme="minorBidi" w:hAnsiTheme="minorBidi" w:cstheme="minorBidi"/>
          <w:b/>
          <w:bCs/>
          <w:i/>
          <w:iCs/>
          <w:color w:val="FF0000"/>
          <w:sz w:val="20"/>
          <w:szCs w:val="20"/>
        </w:rPr>
      </w:pPr>
    </w:p>
    <w:p w14:paraId="3A796514" w14:textId="5E279019" w:rsidR="0012209F" w:rsidRDefault="0012209F" w:rsidP="00943641">
      <w:pPr>
        <w:widowControl w:val="0"/>
        <w:jc w:val="center"/>
        <w:rPr>
          <w:rFonts w:asciiTheme="minorBidi" w:hAnsiTheme="minorBidi" w:cstheme="minorBidi"/>
          <w:b/>
          <w:bCs/>
          <w:i/>
          <w:iCs/>
          <w:color w:val="FF0000"/>
          <w:sz w:val="20"/>
          <w:szCs w:val="20"/>
        </w:rPr>
      </w:pPr>
      <w:r>
        <w:rPr>
          <w:noProof/>
          <w:lang w:eastAsia="en-US"/>
        </w:rPr>
        <w:drawing>
          <wp:inline distT="0" distB="0" distL="0" distR="0" wp14:anchorId="2ECFF523" wp14:editId="78D2A301">
            <wp:extent cx="4224130" cy="398332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24" cstate="print">
                      <a:extLst>
                        <a:ext uri="{28A0092B-C50C-407E-A947-70E740481C1C}">
                          <a14:useLocalDpi xmlns:a14="http://schemas.microsoft.com/office/drawing/2010/main" val="0"/>
                        </a:ext>
                      </a:extLst>
                    </a:blip>
                    <a:srcRect l="1" t="1386" r="-965"/>
                    <a:stretch/>
                  </pic:blipFill>
                  <pic:spPr bwMode="auto">
                    <a:xfrm>
                      <a:off x="0" y="0"/>
                      <a:ext cx="4299256" cy="4054167"/>
                    </a:xfrm>
                    <a:prstGeom prst="rect">
                      <a:avLst/>
                    </a:prstGeom>
                    <a:ln>
                      <a:noFill/>
                    </a:ln>
                    <a:extLst>
                      <a:ext uri="{53640926-AAD7-44D8-BBD7-CCE9431645EC}">
                        <a14:shadowObscured xmlns:a14="http://schemas.microsoft.com/office/drawing/2010/main"/>
                      </a:ext>
                    </a:extLst>
                  </pic:spPr>
                </pic:pic>
              </a:graphicData>
            </a:graphic>
          </wp:inline>
        </w:drawing>
      </w:r>
    </w:p>
    <w:p w14:paraId="0B5B4DCE" w14:textId="77777777" w:rsidR="003A1200" w:rsidRPr="005A4B73" w:rsidRDefault="003A1200" w:rsidP="003A1200">
      <w:pPr>
        <w:widowControl w:val="0"/>
        <w:rPr>
          <w:rFonts w:asciiTheme="minorBidi" w:hAnsiTheme="minorBidi" w:cstheme="minorBidi"/>
          <w:i/>
          <w:iCs/>
          <w:color w:val="FF0000"/>
          <w:sz w:val="20"/>
          <w:szCs w:val="20"/>
        </w:rPr>
      </w:pPr>
    </w:p>
    <w:tbl>
      <w:tblPr>
        <w:tblW w:w="8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60"/>
      </w:tblGrid>
      <w:tr w:rsidR="003A1200" w14:paraId="4FFB6FDB" w14:textId="77777777" w:rsidTr="00C26009">
        <w:trPr>
          <w:trHeight w:val="2011"/>
        </w:trPr>
        <w:tc>
          <w:tcPr>
            <w:tcW w:w="8960" w:type="dxa"/>
            <w:shd w:val="clear" w:color="auto" w:fill="D9D9D9" w:themeFill="background1" w:themeFillShade="D9"/>
            <w:tcMar>
              <w:top w:w="100" w:type="dxa"/>
              <w:left w:w="100" w:type="dxa"/>
              <w:bottom w:w="100" w:type="dxa"/>
              <w:right w:w="100" w:type="dxa"/>
            </w:tcMar>
          </w:tcPr>
          <w:p w14:paraId="48C48BB0" w14:textId="77777777" w:rsidR="003A1200" w:rsidRPr="00E91344" w:rsidRDefault="003A1200" w:rsidP="006B2410">
            <w:pPr>
              <w:widowControl w:val="0"/>
              <w:spacing w:before="240" w:after="240"/>
              <w:jc w:val="both"/>
              <w:rPr>
                <w:rFonts w:ascii="Arial" w:hAnsi="Arial" w:cs="Arial"/>
                <w:b/>
                <w:sz w:val="20"/>
                <w:szCs w:val="20"/>
                <w:u w:val="single"/>
              </w:rPr>
            </w:pPr>
            <w:r w:rsidRPr="00E91344">
              <w:rPr>
                <w:rFonts w:ascii="Arial" w:hAnsi="Arial" w:cs="Arial"/>
                <w:b/>
                <w:sz w:val="20"/>
                <w:szCs w:val="20"/>
                <w:u w:val="single"/>
              </w:rPr>
              <w:lastRenderedPageBreak/>
              <w:t>RECOMMENDATIONS</w:t>
            </w:r>
          </w:p>
          <w:p w14:paraId="19DEF0DE" w14:textId="77777777" w:rsidR="00DB78B1" w:rsidRDefault="003A1200" w:rsidP="00DB78B1">
            <w:pPr>
              <w:rPr>
                <w:rFonts w:ascii="Arial" w:hAnsi="Arial" w:cs="Arial"/>
                <w:sz w:val="20"/>
                <w:szCs w:val="20"/>
              </w:rPr>
            </w:pPr>
            <w:r w:rsidRPr="00215E42">
              <w:rPr>
                <w:rFonts w:ascii="Arial" w:hAnsi="Arial" w:cs="Arial"/>
                <w:b/>
                <w:bCs/>
                <w:sz w:val="20"/>
                <w:szCs w:val="20"/>
              </w:rPr>
              <w:t>We recommend the CEDAW Committee urge the State party to:</w:t>
            </w:r>
          </w:p>
          <w:p w14:paraId="4572FDED" w14:textId="77777777" w:rsidR="00DB78B1" w:rsidRDefault="00DB78B1" w:rsidP="00DB78B1">
            <w:pPr>
              <w:rPr>
                <w:rFonts w:ascii="Arial" w:hAnsi="Arial" w:cs="Arial"/>
                <w:sz w:val="20"/>
                <w:szCs w:val="20"/>
              </w:rPr>
            </w:pPr>
          </w:p>
          <w:p w14:paraId="7248052C" w14:textId="4059FA04" w:rsidR="003A1200" w:rsidRPr="00DB78B1" w:rsidRDefault="00337383" w:rsidP="00DB78B1">
            <w:pPr>
              <w:pStyle w:val="ListParagraph"/>
              <w:numPr>
                <w:ilvl w:val="0"/>
                <w:numId w:val="26"/>
              </w:numPr>
              <w:rPr>
                <w:rFonts w:ascii="Arial" w:hAnsi="Arial" w:cs="Arial"/>
                <w:sz w:val="20"/>
                <w:szCs w:val="20"/>
              </w:rPr>
            </w:pPr>
            <w:r>
              <w:rPr>
                <w:rFonts w:ascii="Arial" w:hAnsi="Arial" w:cs="Arial"/>
                <w:sz w:val="20"/>
                <w:szCs w:val="20"/>
              </w:rPr>
              <w:t>Adopt legal provisions explicitly prohibiting polygamy without exception</w:t>
            </w:r>
            <w:r w:rsidR="00C26009">
              <w:rPr>
                <w:rFonts w:ascii="Arial" w:hAnsi="Arial" w:cs="Arial"/>
                <w:sz w:val="20"/>
                <w:szCs w:val="20"/>
              </w:rPr>
              <w:t>, in addition to the previously stated recommendations with respect to harmonizing legislation with progressive parts of the Constitution.</w:t>
            </w:r>
          </w:p>
        </w:tc>
      </w:tr>
    </w:tbl>
    <w:p w14:paraId="7BFEFC99" w14:textId="77777777" w:rsidR="003A1200" w:rsidRDefault="003A1200" w:rsidP="003A1200">
      <w:pPr>
        <w:rPr>
          <w:rFonts w:asciiTheme="minorBidi" w:eastAsia="Trebuchet MS" w:hAnsiTheme="minorBidi" w:cstheme="minorBidi"/>
          <w:b/>
          <w:smallCaps/>
          <w:color w:val="FFFFFF" w:themeColor="background1"/>
          <w:sz w:val="20"/>
          <w:szCs w:val="20"/>
          <w:lang w:eastAsia="en-US"/>
        </w:rPr>
      </w:pPr>
    </w:p>
    <w:p w14:paraId="5E37AB6C" w14:textId="4C446BC4" w:rsidR="00337383" w:rsidRPr="00005B50" w:rsidRDefault="00337383" w:rsidP="00892FA5">
      <w:pPr>
        <w:pStyle w:val="Heading2"/>
        <w:rPr>
          <w:bCs/>
          <w:iCs/>
        </w:rPr>
      </w:pPr>
      <w:bookmarkStart w:id="19" w:name="_Toc113905655"/>
      <w:r w:rsidRPr="00005B50">
        <w:t>Inheritance</w:t>
      </w:r>
      <w:r w:rsidRPr="00005B50">
        <w:tab/>
      </w:r>
      <w:r w:rsidRPr="00005B50">
        <w:tab/>
      </w:r>
      <w:r w:rsidRPr="00005B50">
        <w:tab/>
      </w:r>
      <w:r w:rsidRPr="00005B50">
        <w:tab/>
      </w:r>
      <w:r w:rsidRPr="00005B50">
        <w:tab/>
      </w:r>
      <w:r w:rsidR="00005B50" w:rsidRPr="00005B50">
        <w:tab/>
      </w:r>
      <w:r w:rsidR="00005B50" w:rsidRPr="00005B50">
        <w:tab/>
      </w:r>
      <w:r w:rsidR="00005B50" w:rsidRPr="00005B50">
        <w:tab/>
      </w:r>
      <w:r w:rsidR="00005B50">
        <w:t xml:space="preserve">          </w:t>
      </w:r>
      <w:r w:rsidR="00005B50" w:rsidRPr="00005B50">
        <w:t>Article 1</w:t>
      </w:r>
      <w:r w:rsidR="00005B50">
        <w:t>6</w:t>
      </w:r>
      <w:bookmarkEnd w:id="19"/>
    </w:p>
    <w:p w14:paraId="4D8B4020" w14:textId="77777777" w:rsidR="00005B50" w:rsidRDefault="00005B50" w:rsidP="00C83691">
      <w:pPr>
        <w:autoSpaceDE w:val="0"/>
        <w:autoSpaceDN w:val="0"/>
        <w:adjustRightInd w:val="0"/>
        <w:jc w:val="both"/>
        <w:rPr>
          <w:rFonts w:asciiTheme="minorBidi" w:eastAsiaTheme="minorHAnsi" w:hAnsiTheme="minorBidi" w:cstheme="minorBidi"/>
          <w:color w:val="000000" w:themeColor="text1"/>
          <w:sz w:val="20"/>
          <w:szCs w:val="20"/>
          <w:lang w:val="en-GB" w:eastAsia="en-US"/>
        </w:rPr>
      </w:pPr>
    </w:p>
    <w:p w14:paraId="5F1A6ED0" w14:textId="26ACC841" w:rsidR="00447676" w:rsidRDefault="00447676" w:rsidP="00C83691">
      <w:pPr>
        <w:autoSpaceDE w:val="0"/>
        <w:autoSpaceDN w:val="0"/>
        <w:adjustRightInd w:val="0"/>
        <w:jc w:val="both"/>
        <w:rPr>
          <w:rFonts w:asciiTheme="minorBidi" w:eastAsiaTheme="minorHAnsi" w:hAnsiTheme="minorBidi" w:cstheme="minorBidi"/>
          <w:color w:val="000000" w:themeColor="text1"/>
          <w:sz w:val="20"/>
          <w:szCs w:val="20"/>
          <w:lang w:val="en-GB" w:eastAsia="en-US"/>
        </w:rPr>
      </w:pPr>
      <w:r>
        <w:rPr>
          <w:rFonts w:asciiTheme="minorBidi" w:eastAsiaTheme="minorHAnsi" w:hAnsiTheme="minorBidi" w:cstheme="minorBidi"/>
          <w:color w:val="000000" w:themeColor="text1"/>
          <w:sz w:val="20"/>
          <w:szCs w:val="20"/>
          <w:lang w:val="en-GB" w:eastAsia="en-US"/>
        </w:rPr>
        <w:t>The devolution of property during inheritance is another issue regulated by personal law</w:t>
      </w:r>
      <w:r w:rsidR="001828C4">
        <w:rPr>
          <w:rFonts w:asciiTheme="minorBidi" w:eastAsiaTheme="minorHAnsi" w:hAnsiTheme="minorBidi" w:cstheme="minorBidi"/>
          <w:color w:val="000000" w:themeColor="text1"/>
          <w:sz w:val="20"/>
          <w:szCs w:val="20"/>
          <w:lang w:val="en-GB" w:eastAsia="en-US"/>
        </w:rPr>
        <w:t>.</w:t>
      </w:r>
      <w:r>
        <w:rPr>
          <w:rFonts w:asciiTheme="minorBidi" w:eastAsiaTheme="minorHAnsi" w:hAnsiTheme="minorBidi" w:cstheme="minorBidi"/>
          <w:color w:val="000000" w:themeColor="text1"/>
          <w:sz w:val="20"/>
          <w:szCs w:val="20"/>
          <w:lang w:val="en-GB" w:eastAsia="en-US"/>
        </w:rPr>
        <w:t xml:space="preserve"> </w:t>
      </w:r>
      <w:r w:rsidR="001828C4">
        <w:rPr>
          <w:rFonts w:asciiTheme="minorBidi" w:eastAsiaTheme="minorHAnsi" w:hAnsiTheme="minorBidi" w:cstheme="minorBidi"/>
          <w:color w:val="000000" w:themeColor="text1"/>
          <w:sz w:val="20"/>
          <w:szCs w:val="20"/>
          <w:lang w:val="en-GB" w:eastAsia="en-US"/>
        </w:rPr>
        <w:t>A</w:t>
      </w:r>
      <w:r>
        <w:rPr>
          <w:rFonts w:asciiTheme="minorBidi" w:eastAsiaTheme="minorHAnsi" w:hAnsiTheme="minorBidi" w:cstheme="minorBidi"/>
          <w:color w:val="000000" w:themeColor="text1"/>
          <w:sz w:val="20"/>
          <w:szCs w:val="20"/>
          <w:lang w:val="en-GB" w:eastAsia="en-US"/>
        </w:rPr>
        <w:t xml:space="preserve">ccording to </w:t>
      </w:r>
      <w:r w:rsidR="001828C4">
        <w:rPr>
          <w:rFonts w:asciiTheme="minorBidi" w:eastAsiaTheme="minorHAnsi" w:hAnsiTheme="minorBidi" w:cstheme="minorBidi"/>
          <w:color w:val="000000" w:themeColor="text1"/>
          <w:sz w:val="20"/>
          <w:szCs w:val="20"/>
          <w:lang w:val="en-GB" w:eastAsia="en-US"/>
        </w:rPr>
        <w:t xml:space="preserve">the interpretation of Sharia law in the Gambia, </w:t>
      </w:r>
      <w:r>
        <w:rPr>
          <w:rFonts w:asciiTheme="minorBidi" w:eastAsiaTheme="minorHAnsi" w:hAnsiTheme="minorBidi" w:cstheme="minorBidi"/>
          <w:color w:val="000000" w:themeColor="text1"/>
          <w:sz w:val="20"/>
          <w:szCs w:val="20"/>
          <w:lang w:val="en-GB" w:eastAsia="en-US"/>
        </w:rPr>
        <w:t xml:space="preserve">Muslim women </w:t>
      </w:r>
      <w:r w:rsidR="001828C4">
        <w:rPr>
          <w:rFonts w:asciiTheme="minorBidi" w:eastAsiaTheme="minorHAnsi" w:hAnsiTheme="minorBidi" w:cstheme="minorBidi"/>
          <w:color w:val="000000" w:themeColor="text1"/>
          <w:sz w:val="20"/>
          <w:szCs w:val="20"/>
          <w:lang w:val="en-GB" w:eastAsia="en-US"/>
        </w:rPr>
        <w:t xml:space="preserve">tend to </w:t>
      </w:r>
      <w:r>
        <w:rPr>
          <w:rFonts w:asciiTheme="minorBidi" w:eastAsiaTheme="minorHAnsi" w:hAnsiTheme="minorBidi" w:cstheme="minorBidi"/>
          <w:color w:val="000000" w:themeColor="text1"/>
          <w:sz w:val="20"/>
          <w:szCs w:val="20"/>
          <w:lang w:val="en-GB" w:eastAsia="en-US"/>
        </w:rPr>
        <w:t>receive one third, while men receive two thirds of the shared property.</w:t>
      </w:r>
      <w:r>
        <w:rPr>
          <w:rStyle w:val="FootnoteReference"/>
          <w:rFonts w:asciiTheme="minorBidi" w:eastAsiaTheme="minorHAnsi" w:hAnsiTheme="minorBidi" w:cstheme="minorBidi"/>
          <w:color w:val="000000" w:themeColor="text1"/>
          <w:sz w:val="20"/>
          <w:szCs w:val="20"/>
          <w:lang w:val="en-GB" w:eastAsia="en-US"/>
        </w:rPr>
        <w:footnoteReference w:id="31"/>
      </w:r>
      <w:r>
        <w:rPr>
          <w:rFonts w:asciiTheme="minorBidi" w:eastAsiaTheme="minorHAnsi" w:hAnsiTheme="minorBidi" w:cstheme="minorBidi"/>
          <w:color w:val="000000" w:themeColor="text1"/>
          <w:sz w:val="20"/>
          <w:szCs w:val="20"/>
          <w:lang w:val="en-GB" w:eastAsia="en-US"/>
        </w:rPr>
        <w:t xml:space="preserve"> The Woman’s Act provides only for women’s “equitable” access to property, which is </w:t>
      </w:r>
      <w:r w:rsidR="001828C4">
        <w:rPr>
          <w:rFonts w:asciiTheme="minorBidi" w:eastAsiaTheme="minorHAnsi" w:hAnsiTheme="minorBidi" w:cstheme="minorBidi"/>
          <w:color w:val="000000" w:themeColor="text1"/>
          <w:sz w:val="20"/>
          <w:szCs w:val="20"/>
          <w:lang w:val="en-GB" w:eastAsia="en-US"/>
        </w:rPr>
        <w:t xml:space="preserve">also </w:t>
      </w:r>
      <w:r>
        <w:rPr>
          <w:rFonts w:asciiTheme="minorBidi" w:eastAsiaTheme="minorHAnsi" w:hAnsiTheme="minorBidi" w:cstheme="minorBidi"/>
          <w:color w:val="000000" w:themeColor="text1"/>
          <w:sz w:val="20"/>
          <w:szCs w:val="20"/>
          <w:lang w:val="en-GB" w:eastAsia="en-US"/>
        </w:rPr>
        <w:t>not compliant with the CEDAW Committee’s standard of equality.</w:t>
      </w:r>
      <w:r>
        <w:rPr>
          <w:rStyle w:val="FootnoteReference"/>
          <w:rFonts w:asciiTheme="minorBidi" w:eastAsiaTheme="minorHAnsi" w:hAnsiTheme="minorBidi" w:cstheme="minorBidi"/>
          <w:color w:val="000000" w:themeColor="text1"/>
          <w:sz w:val="20"/>
          <w:szCs w:val="20"/>
          <w:lang w:val="en-GB" w:eastAsia="en-US"/>
        </w:rPr>
        <w:footnoteReference w:id="32"/>
      </w:r>
    </w:p>
    <w:p w14:paraId="3FC3E0DA" w14:textId="5895D4D9" w:rsidR="00447676" w:rsidRDefault="00447676" w:rsidP="003E6D76">
      <w:pPr>
        <w:autoSpaceDE w:val="0"/>
        <w:autoSpaceDN w:val="0"/>
        <w:adjustRightInd w:val="0"/>
        <w:jc w:val="both"/>
        <w:rPr>
          <w:rFonts w:asciiTheme="minorBidi" w:eastAsiaTheme="minorHAnsi" w:hAnsiTheme="minorBidi" w:cstheme="minorBidi"/>
          <w:color w:val="000000" w:themeColor="text1"/>
          <w:sz w:val="20"/>
          <w:szCs w:val="20"/>
          <w:lang w:val="en-GB" w:eastAsia="en-US"/>
        </w:rPr>
      </w:pPr>
    </w:p>
    <w:p w14:paraId="7F8CD799" w14:textId="7B4D01E1" w:rsidR="00F574C1" w:rsidRDefault="00447676" w:rsidP="003E6D76">
      <w:pPr>
        <w:autoSpaceDE w:val="0"/>
        <w:autoSpaceDN w:val="0"/>
        <w:adjustRightInd w:val="0"/>
        <w:jc w:val="both"/>
        <w:rPr>
          <w:rFonts w:asciiTheme="minorBidi" w:eastAsiaTheme="minorHAnsi" w:hAnsiTheme="minorBidi" w:cstheme="minorBidi"/>
          <w:color w:val="000000" w:themeColor="text1"/>
          <w:sz w:val="20"/>
          <w:szCs w:val="20"/>
          <w:lang w:val="en-GB" w:eastAsia="en-US"/>
        </w:rPr>
      </w:pPr>
      <w:r>
        <w:rPr>
          <w:rFonts w:asciiTheme="minorBidi" w:eastAsiaTheme="minorHAnsi" w:hAnsiTheme="minorBidi" w:cstheme="minorBidi"/>
          <w:color w:val="000000" w:themeColor="text1"/>
          <w:sz w:val="20"/>
          <w:szCs w:val="20"/>
          <w:lang w:val="en-GB" w:eastAsia="en-US"/>
        </w:rPr>
        <w:t xml:space="preserve">The Gambia conducted a study on the laws of the country to identify areas of harmonization of legislation, and </w:t>
      </w:r>
      <w:r w:rsidR="00F574C1">
        <w:rPr>
          <w:rFonts w:asciiTheme="minorBidi" w:eastAsiaTheme="minorHAnsi" w:hAnsiTheme="minorBidi" w:cstheme="minorBidi"/>
          <w:color w:val="000000" w:themeColor="text1"/>
          <w:sz w:val="20"/>
          <w:szCs w:val="20"/>
          <w:lang w:val="en-GB" w:eastAsia="en-US"/>
        </w:rPr>
        <w:t xml:space="preserve">the State Party Report states that </w:t>
      </w:r>
      <w:r w:rsidR="003E6D76">
        <w:rPr>
          <w:rFonts w:asciiTheme="minorBidi" w:eastAsiaTheme="minorHAnsi" w:hAnsiTheme="minorBidi" w:cstheme="minorBidi"/>
          <w:color w:val="000000" w:themeColor="text1"/>
          <w:sz w:val="20"/>
          <w:szCs w:val="20"/>
          <w:lang w:val="en-GB" w:eastAsia="en-US"/>
        </w:rPr>
        <w:t>‘</w:t>
      </w:r>
      <w:r w:rsidR="00F574C1">
        <w:rPr>
          <w:rFonts w:asciiTheme="minorBidi" w:eastAsiaTheme="minorHAnsi" w:hAnsiTheme="minorBidi" w:cstheme="minorBidi"/>
          <w:color w:val="000000" w:themeColor="text1"/>
          <w:sz w:val="20"/>
          <w:szCs w:val="20"/>
          <w:lang w:val="en-GB" w:eastAsia="en-US"/>
        </w:rPr>
        <w:t>t</w:t>
      </w:r>
      <w:r w:rsidR="00F574C1" w:rsidRPr="00F574C1">
        <w:rPr>
          <w:rFonts w:asciiTheme="minorBidi" w:eastAsiaTheme="minorHAnsi" w:hAnsiTheme="minorBidi" w:cstheme="minorBidi"/>
          <w:color w:val="000000" w:themeColor="text1"/>
          <w:sz w:val="20"/>
          <w:szCs w:val="20"/>
          <w:lang w:val="en-GB" w:eastAsia="en-US"/>
        </w:rPr>
        <w:t>he supplementary gender position paper to the Constitutional</w:t>
      </w:r>
      <w:r w:rsidR="00F574C1">
        <w:rPr>
          <w:rFonts w:asciiTheme="minorBidi" w:eastAsiaTheme="minorHAnsi" w:hAnsiTheme="minorBidi" w:cstheme="minorBidi"/>
          <w:color w:val="000000" w:themeColor="text1"/>
          <w:sz w:val="20"/>
          <w:szCs w:val="20"/>
          <w:lang w:val="en-GB" w:eastAsia="en-US"/>
        </w:rPr>
        <w:t xml:space="preserve"> </w:t>
      </w:r>
      <w:r w:rsidR="00F574C1" w:rsidRPr="00F574C1">
        <w:rPr>
          <w:rFonts w:asciiTheme="minorBidi" w:eastAsiaTheme="minorHAnsi" w:hAnsiTheme="minorBidi" w:cstheme="minorBidi"/>
          <w:color w:val="000000" w:themeColor="text1"/>
          <w:sz w:val="20"/>
          <w:szCs w:val="20"/>
          <w:lang w:val="en-GB" w:eastAsia="en-US"/>
        </w:rPr>
        <w:t>Review Commission already recommended the Replacement of the term “equitable”</w:t>
      </w:r>
      <w:r w:rsidR="00F574C1">
        <w:rPr>
          <w:rFonts w:asciiTheme="minorBidi" w:eastAsiaTheme="minorHAnsi" w:hAnsiTheme="minorBidi" w:cstheme="minorBidi"/>
          <w:color w:val="000000" w:themeColor="text1"/>
          <w:sz w:val="20"/>
          <w:szCs w:val="20"/>
          <w:lang w:val="en-GB" w:eastAsia="en-US"/>
        </w:rPr>
        <w:t xml:space="preserve"> </w:t>
      </w:r>
      <w:r w:rsidR="00F574C1" w:rsidRPr="00F574C1">
        <w:rPr>
          <w:rFonts w:asciiTheme="minorBidi" w:eastAsiaTheme="minorHAnsi" w:hAnsiTheme="minorBidi" w:cstheme="minorBidi"/>
          <w:color w:val="000000" w:themeColor="text1"/>
          <w:sz w:val="20"/>
          <w:szCs w:val="20"/>
          <w:lang w:val="en-GB" w:eastAsia="en-US"/>
        </w:rPr>
        <w:t xml:space="preserve">by “equal” as regards women’s access to property in the Women’s Act </w:t>
      </w:r>
      <w:r w:rsidR="00EE0D95">
        <w:rPr>
          <w:rFonts w:asciiTheme="minorBidi" w:eastAsiaTheme="minorHAnsi" w:hAnsiTheme="minorBidi" w:cstheme="minorBidi"/>
          <w:color w:val="000000" w:themeColor="text1"/>
          <w:sz w:val="20"/>
          <w:szCs w:val="20"/>
          <w:lang w:val="en-GB" w:eastAsia="en-US"/>
        </w:rPr>
        <w:t xml:space="preserve">2010 </w:t>
      </w:r>
      <w:r w:rsidR="00F574C1" w:rsidRPr="00F574C1">
        <w:rPr>
          <w:rFonts w:asciiTheme="minorBidi" w:eastAsiaTheme="minorHAnsi" w:hAnsiTheme="minorBidi" w:cstheme="minorBidi"/>
          <w:color w:val="000000" w:themeColor="text1"/>
          <w:sz w:val="20"/>
          <w:szCs w:val="20"/>
          <w:lang w:val="en-GB" w:eastAsia="en-US"/>
        </w:rPr>
        <w:t>and ensure that</w:t>
      </w:r>
      <w:r w:rsidR="00F574C1">
        <w:rPr>
          <w:rFonts w:asciiTheme="minorBidi" w:eastAsiaTheme="minorHAnsi" w:hAnsiTheme="minorBidi" w:cstheme="minorBidi"/>
          <w:color w:val="000000" w:themeColor="text1"/>
          <w:sz w:val="20"/>
          <w:szCs w:val="20"/>
          <w:lang w:val="en-GB" w:eastAsia="en-US"/>
        </w:rPr>
        <w:t xml:space="preserve"> </w:t>
      </w:r>
      <w:r w:rsidR="00F574C1" w:rsidRPr="00F574C1">
        <w:rPr>
          <w:rFonts w:asciiTheme="minorBidi" w:eastAsiaTheme="minorHAnsi" w:hAnsiTheme="minorBidi" w:cstheme="minorBidi"/>
          <w:color w:val="000000" w:themeColor="text1"/>
          <w:sz w:val="20"/>
          <w:szCs w:val="20"/>
          <w:lang w:val="en-GB" w:eastAsia="en-US"/>
        </w:rPr>
        <w:t>judges interpret it accordingly in their judgments</w:t>
      </w:r>
      <w:r w:rsidR="003E6D76">
        <w:rPr>
          <w:rFonts w:asciiTheme="minorBidi" w:eastAsiaTheme="minorHAnsi" w:hAnsiTheme="minorBidi" w:cstheme="minorBidi"/>
          <w:color w:val="000000" w:themeColor="text1"/>
          <w:sz w:val="20"/>
          <w:szCs w:val="20"/>
          <w:lang w:val="en-GB" w:eastAsia="en-US"/>
        </w:rPr>
        <w:t>’</w:t>
      </w:r>
      <w:r w:rsidR="00F574C1" w:rsidRPr="00F574C1">
        <w:rPr>
          <w:rFonts w:asciiTheme="minorBidi" w:eastAsiaTheme="minorHAnsi" w:hAnsiTheme="minorBidi" w:cstheme="minorBidi"/>
          <w:color w:val="000000" w:themeColor="text1"/>
          <w:sz w:val="20"/>
          <w:szCs w:val="20"/>
          <w:lang w:val="en-GB" w:eastAsia="en-US"/>
        </w:rPr>
        <w:t>.</w:t>
      </w:r>
      <w:r w:rsidR="00F574C1">
        <w:rPr>
          <w:rStyle w:val="FootnoteReference"/>
          <w:rFonts w:asciiTheme="minorBidi" w:eastAsiaTheme="minorHAnsi" w:hAnsiTheme="minorBidi" w:cstheme="minorBidi"/>
          <w:color w:val="000000" w:themeColor="text1"/>
          <w:sz w:val="20"/>
          <w:szCs w:val="20"/>
          <w:lang w:val="en-GB" w:eastAsia="en-US"/>
        </w:rPr>
        <w:footnoteReference w:id="33"/>
      </w:r>
      <w:r w:rsidR="003E6D76">
        <w:rPr>
          <w:rFonts w:asciiTheme="minorBidi" w:eastAsiaTheme="minorHAnsi" w:hAnsiTheme="minorBidi" w:cstheme="minorBidi"/>
          <w:color w:val="000000" w:themeColor="text1"/>
          <w:sz w:val="20"/>
          <w:szCs w:val="20"/>
          <w:lang w:val="en-GB" w:eastAsia="en-US"/>
        </w:rPr>
        <w:t xml:space="preserve"> </w:t>
      </w:r>
      <w:r w:rsidR="00F574C1">
        <w:rPr>
          <w:rFonts w:asciiTheme="minorBidi" w:eastAsiaTheme="minorHAnsi" w:hAnsiTheme="minorBidi" w:cstheme="minorBidi"/>
          <w:color w:val="000000" w:themeColor="text1"/>
          <w:sz w:val="20"/>
          <w:szCs w:val="20"/>
          <w:lang w:val="en-GB" w:eastAsia="en-US"/>
        </w:rPr>
        <w:t xml:space="preserve">However, no such provision exists in the law </w:t>
      </w:r>
      <w:r w:rsidR="003E6D76">
        <w:rPr>
          <w:rFonts w:asciiTheme="minorBidi" w:eastAsiaTheme="minorHAnsi" w:hAnsiTheme="minorBidi" w:cstheme="minorBidi"/>
          <w:color w:val="000000" w:themeColor="text1"/>
          <w:sz w:val="20"/>
          <w:szCs w:val="20"/>
          <w:lang w:val="en-GB" w:eastAsia="en-US"/>
        </w:rPr>
        <w:t>till date.</w:t>
      </w:r>
    </w:p>
    <w:p w14:paraId="3BCFF174" w14:textId="336EB307" w:rsidR="003E6D76" w:rsidRDefault="003E6D76" w:rsidP="003E6D76">
      <w:pPr>
        <w:autoSpaceDE w:val="0"/>
        <w:autoSpaceDN w:val="0"/>
        <w:adjustRightInd w:val="0"/>
        <w:jc w:val="both"/>
        <w:rPr>
          <w:rFonts w:asciiTheme="minorBidi" w:eastAsiaTheme="minorHAnsi" w:hAnsiTheme="minorBidi" w:cstheme="minorBidi"/>
          <w:color w:val="000000" w:themeColor="text1"/>
          <w:sz w:val="20"/>
          <w:szCs w:val="20"/>
          <w:lang w:val="en-GB" w:eastAsia="en-US"/>
        </w:rPr>
      </w:pPr>
    </w:p>
    <w:p w14:paraId="715A39E1" w14:textId="18766DD5" w:rsidR="00CF61FC" w:rsidRDefault="00CF61FC" w:rsidP="00CF61FC">
      <w:pPr>
        <w:jc w:val="both"/>
        <w:rPr>
          <w:rFonts w:ascii="Arial" w:hAnsi="Arial" w:cs="Arial"/>
          <w:sz w:val="20"/>
          <w:szCs w:val="20"/>
        </w:rPr>
      </w:pPr>
      <w:r w:rsidRPr="001C34B1">
        <w:rPr>
          <w:rFonts w:ascii="Arial" w:hAnsi="Arial" w:cs="Arial"/>
          <w:color w:val="111111"/>
          <w:sz w:val="20"/>
          <w:szCs w:val="20"/>
          <w:lang w:val="en-GB"/>
        </w:rPr>
        <w:t>The aforementioned principle resulting in an unequal distribution of inheritance among men and women has been used to determine numerous cases presided over by the Cadi courts in the Gambia.</w:t>
      </w:r>
      <w:r w:rsidRPr="001C34B1">
        <w:rPr>
          <w:rStyle w:val="FootnoteReference"/>
          <w:rFonts w:ascii="Arial" w:hAnsi="Arial" w:cs="Arial"/>
          <w:color w:val="111111"/>
          <w:sz w:val="20"/>
          <w:szCs w:val="20"/>
          <w:lang w:val="en-GB"/>
        </w:rPr>
        <w:footnoteReference w:id="34"/>
      </w:r>
      <w:r w:rsidRPr="001C34B1">
        <w:rPr>
          <w:rFonts w:ascii="Arial" w:hAnsi="Arial" w:cs="Arial"/>
          <w:color w:val="111111"/>
          <w:sz w:val="20"/>
          <w:szCs w:val="20"/>
          <w:lang w:val="en-GB"/>
        </w:rPr>
        <w:t xml:space="preserve"> In one such case,</w:t>
      </w:r>
      <w:r w:rsidRPr="001C34B1">
        <w:rPr>
          <w:rStyle w:val="FootnoteReference"/>
          <w:rFonts w:ascii="Arial" w:hAnsi="Arial" w:cs="Arial"/>
          <w:color w:val="111111"/>
          <w:sz w:val="20"/>
          <w:szCs w:val="20"/>
          <w:lang w:val="en-GB"/>
        </w:rPr>
        <w:footnoteReference w:id="35"/>
      </w:r>
      <w:r w:rsidRPr="001C34B1">
        <w:rPr>
          <w:rFonts w:ascii="Arial" w:hAnsi="Arial" w:cs="Arial"/>
          <w:color w:val="111111"/>
          <w:sz w:val="20"/>
          <w:szCs w:val="20"/>
          <w:lang w:val="en-GB"/>
        </w:rPr>
        <w:t xml:space="preserve"> the Cadi Appeal Panel affirmed the decision of the lower court on the distribution of the property of late Pa </w:t>
      </w:r>
      <w:proofErr w:type="spellStart"/>
      <w:r w:rsidRPr="001C34B1">
        <w:rPr>
          <w:rFonts w:ascii="Arial" w:hAnsi="Arial" w:cs="Arial"/>
          <w:color w:val="111111"/>
          <w:sz w:val="20"/>
          <w:szCs w:val="20"/>
          <w:lang w:val="en-GB"/>
        </w:rPr>
        <w:t>Njie</w:t>
      </w:r>
      <w:proofErr w:type="spellEnd"/>
      <w:r w:rsidRPr="001C34B1">
        <w:rPr>
          <w:rFonts w:ascii="Arial" w:hAnsi="Arial" w:cs="Arial"/>
          <w:color w:val="111111"/>
          <w:sz w:val="20"/>
          <w:szCs w:val="20"/>
          <w:lang w:val="en-GB"/>
        </w:rPr>
        <w:t xml:space="preserve"> among his beneficiaries: </w:t>
      </w:r>
      <w:r w:rsidRPr="001C34B1">
        <w:rPr>
          <w:rFonts w:ascii="Arial" w:hAnsi="Arial" w:cs="Arial"/>
          <w:sz w:val="20"/>
          <w:szCs w:val="20"/>
        </w:rPr>
        <w:t>for the wife to inherit 1/8 and the son and the daughter to share the residue, with the male inheriting double the share of the female.</w:t>
      </w:r>
    </w:p>
    <w:p w14:paraId="12604DA9" w14:textId="1390189A" w:rsidR="001C34B1" w:rsidRDefault="001C34B1" w:rsidP="00CF61FC">
      <w:pPr>
        <w:jc w:val="both"/>
        <w:rPr>
          <w:rFonts w:ascii="Arial" w:hAnsi="Arial" w:cs="Arial"/>
          <w:sz w:val="20"/>
          <w:szCs w:val="20"/>
        </w:rPr>
      </w:pPr>
    </w:p>
    <w:p w14:paraId="1A0C7502" w14:textId="0246D3DD" w:rsidR="001C34B1" w:rsidRPr="001C34B1" w:rsidRDefault="001828C4" w:rsidP="00CF61FC">
      <w:pPr>
        <w:jc w:val="both"/>
        <w:rPr>
          <w:rFonts w:ascii="Arial" w:hAnsi="Arial" w:cs="Arial"/>
          <w:color w:val="111111"/>
          <w:sz w:val="20"/>
          <w:szCs w:val="20"/>
          <w:lang w:val="en-GB"/>
        </w:rPr>
      </w:pPr>
      <w:r>
        <w:rPr>
          <w:rFonts w:ascii="Arial" w:hAnsi="Arial" w:cs="Arial"/>
          <w:sz w:val="20"/>
          <w:szCs w:val="20"/>
        </w:rPr>
        <w:t xml:space="preserve">Hence, it is </w:t>
      </w:r>
      <w:r w:rsidR="001C34B1">
        <w:rPr>
          <w:rFonts w:ascii="Arial" w:hAnsi="Arial" w:cs="Arial"/>
          <w:sz w:val="20"/>
          <w:szCs w:val="20"/>
        </w:rPr>
        <w:t xml:space="preserve">important that Shariah law not be applied discriminatorily against Muslim women. An example of </w:t>
      </w:r>
      <w:r w:rsidR="0074711C">
        <w:rPr>
          <w:rFonts w:ascii="Arial" w:hAnsi="Arial" w:cs="Arial"/>
          <w:sz w:val="20"/>
          <w:szCs w:val="20"/>
        </w:rPr>
        <w:t xml:space="preserve">such progressive </w:t>
      </w:r>
      <w:r w:rsidR="001C34B1">
        <w:rPr>
          <w:rFonts w:ascii="Arial" w:hAnsi="Arial" w:cs="Arial"/>
          <w:sz w:val="20"/>
          <w:szCs w:val="20"/>
        </w:rPr>
        <w:t>development</w:t>
      </w:r>
      <w:r w:rsidR="0074711C">
        <w:rPr>
          <w:rFonts w:ascii="Arial" w:hAnsi="Arial" w:cs="Arial"/>
          <w:sz w:val="20"/>
          <w:szCs w:val="20"/>
        </w:rPr>
        <w:t xml:space="preserve"> can be seen from</w:t>
      </w:r>
      <w:r w:rsidR="001C34B1">
        <w:rPr>
          <w:rFonts w:ascii="Arial" w:hAnsi="Arial" w:cs="Arial"/>
          <w:sz w:val="20"/>
          <w:szCs w:val="20"/>
        </w:rPr>
        <w:t xml:space="preserve"> </w:t>
      </w:r>
      <w:r w:rsidR="0074711C">
        <w:rPr>
          <w:rFonts w:ascii="Arial" w:hAnsi="Arial" w:cs="Arial"/>
          <w:sz w:val="20"/>
          <w:szCs w:val="20"/>
        </w:rPr>
        <w:t xml:space="preserve">Ghana, another country in the Sub-Saharan Africa region, where the Supreme Court held that Sharia law cannot be applied discriminatorily against females in </w:t>
      </w:r>
      <w:r>
        <w:rPr>
          <w:rFonts w:ascii="Arial" w:hAnsi="Arial" w:cs="Arial"/>
          <w:sz w:val="20"/>
          <w:szCs w:val="20"/>
        </w:rPr>
        <w:t>matters of</w:t>
      </w:r>
      <w:r w:rsidR="0074711C">
        <w:rPr>
          <w:rFonts w:ascii="Arial" w:hAnsi="Arial" w:cs="Arial"/>
          <w:sz w:val="20"/>
          <w:szCs w:val="20"/>
        </w:rPr>
        <w:t xml:space="preserve"> property distribution</w:t>
      </w:r>
      <w:r w:rsidR="000D723C">
        <w:rPr>
          <w:rFonts w:ascii="Arial" w:hAnsi="Arial" w:cs="Arial"/>
          <w:sz w:val="20"/>
          <w:szCs w:val="20"/>
        </w:rPr>
        <w:t>.</w:t>
      </w:r>
      <w:r w:rsidR="000D723C">
        <w:rPr>
          <w:rStyle w:val="FootnoteReference"/>
          <w:rFonts w:ascii="Arial" w:hAnsi="Arial" w:cs="Arial"/>
          <w:sz w:val="20"/>
          <w:szCs w:val="20"/>
        </w:rPr>
        <w:footnoteReference w:id="36"/>
      </w:r>
    </w:p>
    <w:p w14:paraId="678EAC9D" w14:textId="173E346D" w:rsidR="00337383" w:rsidRDefault="00337383" w:rsidP="00337383">
      <w:pPr>
        <w:widowControl w:val="0"/>
      </w:pPr>
    </w:p>
    <w:p w14:paraId="486E002E" w14:textId="1E57B6E8" w:rsidR="00E00A41" w:rsidRDefault="00E00A41" w:rsidP="00943641">
      <w:pPr>
        <w:widowControl w:val="0"/>
        <w:jc w:val="center"/>
      </w:pPr>
      <w:r>
        <w:rPr>
          <w:rFonts w:ascii="Arial" w:hAnsi="Arial" w:cs="Arial"/>
          <w:noProof/>
          <w:sz w:val="20"/>
          <w:szCs w:val="20"/>
          <w:lang w:eastAsia="en-US"/>
        </w:rPr>
        <w:drawing>
          <wp:inline distT="0" distB="0" distL="0" distR="0" wp14:anchorId="747B31E8" wp14:editId="353698AD">
            <wp:extent cx="4848592" cy="278780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20094" cy="2828917"/>
                    </a:xfrm>
                    <a:prstGeom prst="rect">
                      <a:avLst/>
                    </a:prstGeom>
                  </pic:spPr>
                </pic:pic>
              </a:graphicData>
            </a:graphic>
          </wp:inline>
        </w:drawing>
      </w:r>
    </w:p>
    <w:p w14:paraId="261097A2" w14:textId="77777777" w:rsidR="00E00A41" w:rsidRDefault="00E00A41" w:rsidP="00337383">
      <w:pPr>
        <w:widowControl w:val="0"/>
      </w:pPr>
    </w:p>
    <w:tbl>
      <w:tblPr>
        <w:tblW w:w="8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60"/>
      </w:tblGrid>
      <w:tr w:rsidR="00337383" w14:paraId="3753005F" w14:textId="77777777" w:rsidTr="006B2410">
        <w:trPr>
          <w:trHeight w:val="2244"/>
        </w:trPr>
        <w:tc>
          <w:tcPr>
            <w:tcW w:w="8960" w:type="dxa"/>
            <w:shd w:val="clear" w:color="auto" w:fill="D9D9D9" w:themeFill="background1" w:themeFillShade="D9"/>
            <w:tcMar>
              <w:top w:w="100" w:type="dxa"/>
              <w:left w:w="100" w:type="dxa"/>
              <w:bottom w:w="100" w:type="dxa"/>
              <w:right w:w="100" w:type="dxa"/>
            </w:tcMar>
          </w:tcPr>
          <w:p w14:paraId="6781002A" w14:textId="77777777" w:rsidR="00337383" w:rsidRPr="000D723C" w:rsidRDefault="00337383" w:rsidP="006B2410">
            <w:pPr>
              <w:widowControl w:val="0"/>
              <w:spacing w:before="240" w:after="240"/>
              <w:jc w:val="both"/>
              <w:rPr>
                <w:rFonts w:ascii="Arial" w:hAnsi="Arial" w:cs="Arial"/>
                <w:b/>
                <w:sz w:val="20"/>
                <w:szCs w:val="20"/>
                <w:u w:val="single"/>
              </w:rPr>
            </w:pPr>
            <w:r w:rsidRPr="000D723C">
              <w:rPr>
                <w:rFonts w:ascii="Arial" w:hAnsi="Arial" w:cs="Arial"/>
                <w:b/>
                <w:sz w:val="20"/>
                <w:szCs w:val="20"/>
                <w:u w:val="single"/>
              </w:rPr>
              <w:lastRenderedPageBreak/>
              <w:t>RECOMMENDATIONS</w:t>
            </w:r>
          </w:p>
          <w:p w14:paraId="5AF03222" w14:textId="77777777" w:rsidR="00337383" w:rsidRPr="000D723C" w:rsidRDefault="00337383" w:rsidP="006B2410">
            <w:pPr>
              <w:rPr>
                <w:rFonts w:ascii="Arial" w:hAnsi="Arial" w:cs="Arial"/>
                <w:sz w:val="20"/>
                <w:szCs w:val="20"/>
              </w:rPr>
            </w:pPr>
            <w:r w:rsidRPr="000D723C">
              <w:rPr>
                <w:rFonts w:ascii="Arial" w:hAnsi="Arial" w:cs="Arial"/>
                <w:b/>
                <w:bCs/>
                <w:sz w:val="20"/>
                <w:szCs w:val="20"/>
              </w:rPr>
              <w:t>We recommend the CEDAW Committee urge the State party to:</w:t>
            </w:r>
          </w:p>
          <w:p w14:paraId="4BC02B40" w14:textId="77777777" w:rsidR="00337383" w:rsidRPr="000D723C" w:rsidRDefault="00337383" w:rsidP="006B2410">
            <w:pPr>
              <w:rPr>
                <w:rFonts w:ascii="Arial" w:hAnsi="Arial" w:cs="Arial"/>
                <w:sz w:val="20"/>
                <w:szCs w:val="20"/>
              </w:rPr>
            </w:pPr>
          </w:p>
          <w:p w14:paraId="1B526310" w14:textId="08EAEDDE" w:rsidR="00337383" w:rsidRDefault="00C26009" w:rsidP="00C26009">
            <w:pPr>
              <w:pStyle w:val="ListParagraph"/>
              <w:widowControl w:val="0"/>
              <w:numPr>
                <w:ilvl w:val="0"/>
                <w:numId w:val="26"/>
              </w:numPr>
              <w:jc w:val="both"/>
              <w:rPr>
                <w:rFonts w:ascii="Arial" w:hAnsi="Arial" w:cs="Arial"/>
                <w:sz w:val="20"/>
                <w:szCs w:val="20"/>
              </w:rPr>
            </w:pPr>
            <w:r>
              <w:rPr>
                <w:rFonts w:ascii="Arial" w:hAnsi="Arial" w:cs="Arial"/>
                <w:sz w:val="20"/>
                <w:szCs w:val="20"/>
              </w:rPr>
              <w:t>Replace the term “equitable” with “equal” in references in the Women’s Act</w:t>
            </w:r>
            <w:r w:rsidR="00F823DD">
              <w:rPr>
                <w:rFonts w:ascii="Arial" w:hAnsi="Arial" w:cs="Arial"/>
                <w:sz w:val="20"/>
                <w:szCs w:val="20"/>
              </w:rPr>
              <w:t xml:space="preserve"> 2010</w:t>
            </w:r>
            <w:r>
              <w:rPr>
                <w:rFonts w:ascii="Arial" w:hAnsi="Arial" w:cs="Arial"/>
                <w:sz w:val="20"/>
                <w:szCs w:val="20"/>
              </w:rPr>
              <w:t xml:space="preserve"> as regards women’s access to property, and ensure that judges interpret the Act accordingly in their judgements, i</w:t>
            </w:r>
            <w:r w:rsidR="000D723C">
              <w:rPr>
                <w:rFonts w:ascii="Arial" w:hAnsi="Arial" w:cs="Arial"/>
                <w:sz w:val="20"/>
                <w:szCs w:val="20"/>
              </w:rPr>
              <w:t>n accordance with the CEDAW Committee’s previous Concluding Observations and the recommendation of supplementary gender position paper to the Constitutional Review Commission</w:t>
            </w:r>
            <w:r>
              <w:rPr>
                <w:rFonts w:ascii="Arial" w:hAnsi="Arial" w:cs="Arial"/>
                <w:sz w:val="20"/>
                <w:szCs w:val="20"/>
              </w:rPr>
              <w:t xml:space="preserve"> as stated in the Gambia’s State Party Report.</w:t>
            </w:r>
          </w:p>
          <w:p w14:paraId="498DB320" w14:textId="05B52A4B" w:rsidR="001828C4" w:rsidRDefault="001828C4" w:rsidP="001828C4">
            <w:pPr>
              <w:widowControl w:val="0"/>
              <w:jc w:val="both"/>
              <w:rPr>
                <w:rFonts w:ascii="Arial" w:hAnsi="Arial" w:cs="Arial"/>
                <w:sz w:val="20"/>
                <w:szCs w:val="20"/>
              </w:rPr>
            </w:pPr>
          </w:p>
          <w:p w14:paraId="12243A84" w14:textId="0FA62575" w:rsidR="001828C4" w:rsidRPr="001828C4" w:rsidRDefault="001828C4" w:rsidP="001828C4">
            <w:pPr>
              <w:pStyle w:val="ListParagraph"/>
              <w:widowControl w:val="0"/>
              <w:numPr>
                <w:ilvl w:val="0"/>
                <w:numId w:val="26"/>
              </w:numPr>
              <w:jc w:val="both"/>
              <w:rPr>
                <w:rFonts w:ascii="Arial" w:hAnsi="Arial" w:cs="Arial"/>
                <w:sz w:val="20"/>
                <w:szCs w:val="20"/>
              </w:rPr>
            </w:pPr>
            <w:r>
              <w:rPr>
                <w:rFonts w:ascii="Arial" w:hAnsi="Arial" w:cs="Arial"/>
                <w:sz w:val="20"/>
                <w:szCs w:val="20"/>
              </w:rPr>
              <w:t xml:space="preserve">As stated previously, introduce provisions in the relevant laws and the Constitution </w:t>
            </w:r>
            <w:r w:rsidR="00337A25">
              <w:rPr>
                <w:rFonts w:ascii="Arial" w:hAnsi="Arial" w:cs="Arial"/>
                <w:sz w:val="20"/>
                <w:szCs w:val="20"/>
              </w:rPr>
              <w:t>that ensure that discriminatory interpretations of Sharia or customary laws</w:t>
            </w:r>
            <w:r w:rsidR="00F823DD">
              <w:rPr>
                <w:rFonts w:ascii="Arial" w:hAnsi="Arial" w:cs="Arial"/>
                <w:sz w:val="20"/>
                <w:szCs w:val="20"/>
              </w:rPr>
              <w:t>,</w:t>
            </w:r>
            <w:r w:rsidR="00337A25">
              <w:rPr>
                <w:rFonts w:ascii="Arial" w:hAnsi="Arial" w:cs="Arial"/>
                <w:sz w:val="20"/>
                <w:szCs w:val="20"/>
              </w:rPr>
              <w:t xml:space="preserve"> resulting in unequal distribution of property among men and women</w:t>
            </w:r>
            <w:r w:rsidR="00F823DD">
              <w:rPr>
                <w:rFonts w:ascii="Arial" w:hAnsi="Arial" w:cs="Arial"/>
                <w:sz w:val="20"/>
                <w:szCs w:val="20"/>
              </w:rPr>
              <w:t>,</w:t>
            </w:r>
            <w:r w:rsidR="00337A25">
              <w:rPr>
                <w:rFonts w:ascii="Arial" w:hAnsi="Arial" w:cs="Arial"/>
                <w:sz w:val="20"/>
                <w:szCs w:val="20"/>
              </w:rPr>
              <w:t xml:space="preserve"> are prohibited.</w:t>
            </w:r>
          </w:p>
          <w:p w14:paraId="26481B7B" w14:textId="0C0AF47F" w:rsidR="00C26009" w:rsidRPr="00C26009" w:rsidRDefault="00C26009" w:rsidP="00C26009">
            <w:pPr>
              <w:widowControl w:val="0"/>
              <w:jc w:val="both"/>
              <w:rPr>
                <w:rFonts w:ascii="Arial" w:hAnsi="Arial" w:cs="Arial"/>
                <w:sz w:val="20"/>
                <w:szCs w:val="20"/>
              </w:rPr>
            </w:pPr>
          </w:p>
        </w:tc>
      </w:tr>
    </w:tbl>
    <w:p w14:paraId="176BB7BF" w14:textId="34750874" w:rsidR="00337383" w:rsidRPr="00337A25" w:rsidRDefault="00337383" w:rsidP="00337A25">
      <w:pPr>
        <w:widowControl w:val="0"/>
        <w:rPr>
          <w:rFonts w:ascii="Arial" w:hAnsi="Arial" w:cs="Arial"/>
          <w:sz w:val="20"/>
          <w:szCs w:val="20"/>
        </w:rPr>
      </w:pPr>
    </w:p>
    <w:bookmarkEnd w:id="11"/>
    <w:p w14:paraId="5F66677C" w14:textId="375D9500" w:rsidR="00E26F24" w:rsidRDefault="00E26F24" w:rsidP="00E26F24"/>
    <w:sectPr w:rsidR="00E26F24" w:rsidSect="008077FA">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A4E0D" w14:textId="77777777" w:rsidR="00B75A23" w:rsidRDefault="00B75A23" w:rsidP="00E26F24">
      <w:r>
        <w:separator/>
      </w:r>
    </w:p>
  </w:endnote>
  <w:endnote w:type="continuationSeparator" w:id="0">
    <w:p w14:paraId="29680C9A" w14:textId="77777777" w:rsidR="00B75A23" w:rsidRDefault="00B75A23" w:rsidP="00E2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4ACD2" w14:textId="77777777" w:rsidR="00E26F24" w:rsidRDefault="00E26F24">
    <w:pPr>
      <w:pStyle w:val="Normal1"/>
      <w:spacing w:before="0" w:after="0" w:line="240" w:lineRule="auto"/>
      <w:jc w:val="right"/>
    </w:pPr>
    <w:r>
      <w:fldChar w:fldCharType="begin"/>
    </w:r>
    <w:r>
      <w:instrText>PAGE</w:instrText>
    </w:r>
    <w:r>
      <w:fldChar w:fldCharType="separate"/>
    </w:r>
    <w:r>
      <w:rPr>
        <w:noProof/>
      </w:rPr>
      <w:t>3</w:t>
    </w:r>
    <w:r>
      <w:fldChar w:fldCharType="end"/>
    </w:r>
  </w:p>
  <w:p w14:paraId="1586B15C" w14:textId="77777777" w:rsidR="00E26F24" w:rsidRDefault="00E26F24">
    <w:pPr>
      <w:pStyle w:val="Normal1"/>
      <w:spacing w:before="0" w:after="720" w:line="240" w:lineRule="auto"/>
      <w:ind w:right="360"/>
    </w:pPr>
  </w:p>
  <w:p w14:paraId="6B4ECB52" w14:textId="77777777" w:rsidR="00E26F24" w:rsidRDefault="00E26F24">
    <w:pPr>
      <w:pStyle w:val="Norm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3BC76" w14:textId="77777777" w:rsidR="00E26F24" w:rsidRDefault="00E26F24" w:rsidP="00C70E87">
    <w:pPr>
      <w:pStyle w:val="Normal1"/>
      <w:spacing w:before="0" w:after="0" w:line="240" w:lineRule="auto"/>
    </w:pPr>
  </w:p>
  <w:p w14:paraId="6BB1B0D0" w14:textId="77777777" w:rsidR="00E26F24" w:rsidRPr="00034A52" w:rsidRDefault="00E26F24" w:rsidP="0008058B">
    <w:pPr>
      <w:pStyle w:val="Normal1"/>
      <w:spacing w:before="0" w:after="0" w:line="240" w:lineRule="auto"/>
      <w:jc w:val="right"/>
      <w:rPr>
        <w:rFonts w:ascii="Arial" w:eastAsia="Arial" w:hAnsi="Arial" w:cs="Arial"/>
        <w:sz w:val="18"/>
        <w:szCs w:val="18"/>
      </w:rPr>
    </w:pPr>
    <w:r w:rsidRPr="00034A52">
      <w:rPr>
        <w:rFonts w:ascii="Arial" w:eastAsia="Arial" w:hAnsi="Arial" w:cs="Arial"/>
        <w:sz w:val="18"/>
        <w:szCs w:val="18"/>
      </w:rPr>
      <w:fldChar w:fldCharType="begin"/>
    </w:r>
    <w:r w:rsidRPr="00034A52">
      <w:rPr>
        <w:rFonts w:ascii="Arial" w:eastAsia="Arial" w:hAnsi="Arial" w:cs="Arial"/>
        <w:sz w:val="18"/>
        <w:szCs w:val="18"/>
      </w:rPr>
      <w:instrText>PAGE</w:instrText>
    </w:r>
    <w:r w:rsidRPr="00034A52">
      <w:rPr>
        <w:rFonts w:ascii="Arial" w:eastAsia="Arial" w:hAnsi="Arial" w:cs="Arial"/>
        <w:sz w:val="18"/>
        <w:szCs w:val="18"/>
      </w:rPr>
      <w:fldChar w:fldCharType="separate"/>
    </w:r>
    <w:r w:rsidR="00A72ABB">
      <w:rPr>
        <w:rFonts w:ascii="Arial" w:eastAsia="Arial" w:hAnsi="Arial" w:cs="Arial"/>
        <w:noProof/>
        <w:sz w:val="18"/>
        <w:szCs w:val="18"/>
      </w:rPr>
      <w:t>10</w:t>
    </w:r>
    <w:r w:rsidRPr="00034A52">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CA282" w14:textId="77777777" w:rsidR="00B75A23" w:rsidRDefault="00B75A23" w:rsidP="00E26F24">
      <w:r>
        <w:separator/>
      </w:r>
    </w:p>
  </w:footnote>
  <w:footnote w:type="continuationSeparator" w:id="0">
    <w:p w14:paraId="7AD2DB94" w14:textId="77777777" w:rsidR="00B75A23" w:rsidRDefault="00B75A23" w:rsidP="00E26F24">
      <w:r>
        <w:continuationSeparator/>
      </w:r>
    </w:p>
  </w:footnote>
  <w:footnote w:id="1">
    <w:p w14:paraId="60C065B9" w14:textId="5F235C3A" w:rsidR="006D2BCB" w:rsidRPr="008415EB" w:rsidRDefault="006D2BCB" w:rsidP="006D2BCB">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C748A7" w:rsidRPr="008415EB">
        <w:rPr>
          <w:rFonts w:ascii="Arial" w:hAnsi="Arial" w:cs="Arial"/>
          <w:sz w:val="18"/>
          <w:szCs w:val="18"/>
        </w:rPr>
        <w:t>2020 Report on International</w:t>
      </w:r>
      <w:r w:rsidRPr="008415EB">
        <w:rPr>
          <w:rFonts w:ascii="Arial" w:hAnsi="Arial" w:cs="Arial"/>
          <w:sz w:val="18"/>
          <w:szCs w:val="18"/>
        </w:rPr>
        <w:t xml:space="preserve"> Religious Freedom Repor</w:t>
      </w:r>
      <w:r w:rsidR="00C748A7" w:rsidRPr="008415EB">
        <w:rPr>
          <w:rFonts w:ascii="Arial" w:hAnsi="Arial" w:cs="Arial"/>
          <w:sz w:val="18"/>
          <w:szCs w:val="18"/>
        </w:rPr>
        <w:t>t: The Gambia</w:t>
      </w:r>
      <w:r w:rsidRPr="008415EB">
        <w:rPr>
          <w:rFonts w:ascii="Arial" w:hAnsi="Arial" w:cs="Arial"/>
          <w:sz w:val="18"/>
          <w:szCs w:val="18"/>
        </w:rPr>
        <w:t>,</w:t>
      </w:r>
      <w:r w:rsidR="00C748A7" w:rsidRPr="008415EB">
        <w:rPr>
          <w:rFonts w:ascii="Arial" w:hAnsi="Arial" w:cs="Arial"/>
          <w:sz w:val="18"/>
          <w:szCs w:val="18"/>
        </w:rPr>
        <w:t xml:space="preserve"> US Department of State,</w:t>
      </w:r>
      <w:r w:rsidRPr="008415EB">
        <w:rPr>
          <w:rFonts w:ascii="Arial" w:hAnsi="Arial" w:cs="Arial"/>
          <w:sz w:val="18"/>
          <w:szCs w:val="18"/>
        </w:rPr>
        <w:t xml:space="preserve"> </w:t>
      </w:r>
      <w:hyperlink r:id="rId1" w:history="1">
        <w:r w:rsidRPr="008415EB">
          <w:rPr>
            <w:rStyle w:val="Hyperlink"/>
            <w:rFonts w:ascii="Arial" w:hAnsi="Arial" w:cs="Arial"/>
            <w:sz w:val="18"/>
            <w:szCs w:val="18"/>
          </w:rPr>
          <w:t>https://www.state</w:t>
        </w:r>
        <w:r w:rsidRPr="008415EB">
          <w:rPr>
            <w:rStyle w:val="Hyperlink"/>
            <w:rFonts w:ascii="Arial" w:hAnsi="Arial" w:cs="Arial"/>
            <w:sz w:val="18"/>
            <w:szCs w:val="18"/>
          </w:rPr>
          <w:t>.</w:t>
        </w:r>
        <w:r w:rsidRPr="008415EB">
          <w:rPr>
            <w:rStyle w:val="Hyperlink"/>
            <w:rFonts w:ascii="Arial" w:hAnsi="Arial" w:cs="Arial"/>
            <w:sz w:val="18"/>
            <w:szCs w:val="18"/>
          </w:rPr>
          <w:t>gov/wp-content/uploads/2021/05/240282-GAMBIA-2020-INTERNATIONAL-RELIGIOUS-FREEDOM-REPORT.pdf</w:t>
        </w:r>
      </w:hyperlink>
      <w:r w:rsidR="00C748A7" w:rsidRPr="008415EB">
        <w:rPr>
          <w:rStyle w:val="Hyperlink"/>
          <w:rFonts w:ascii="Arial" w:hAnsi="Arial" w:cs="Arial"/>
          <w:sz w:val="18"/>
          <w:szCs w:val="18"/>
        </w:rPr>
        <w:t>.</w:t>
      </w:r>
    </w:p>
  </w:footnote>
  <w:footnote w:id="2">
    <w:p w14:paraId="48B792B0" w14:textId="30A65FD8" w:rsidR="002F0A52" w:rsidRPr="008415EB" w:rsidRDefault="002F0A52">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C748A7" w:rsidRPr="008415EB">
        <w:rPr>
          <w:rFonts w:ascii="Arial" w:hAnsi="Arial" w:cs="Arial"/>
          <w:sz w:val="18"/>
          <w:szCs w:val="18"/>
        </w:rPr>
        <w:t>Constitution of the Republic of The Gambia 199</w:t>
      </w:r>
      <w:r w:rsidR="00C748A7" w:rsidRPr="008415EB">
        <w:rPr>
          <w:rFonts w:ascii="Arial" w:hAnsi="Arial" w:cs="Arial"/>
          <w:sz w:val="18"/>
          <w:szCs w:val="18"/>
        </w:rPr>
        <w:t>7,</w:t>
      </w:r>
      <w:r w:rsidR="00C1230E" w:rsidRPr="008415EB">
        <w:rPr>
          <w:rFonts w:ascii="Arial" w:hAnsi="Arial" w:cs="Arial"/>
          <w:sz w:val="18"/>
          <w:szCs w:val="18"/>
        </w:rPr>
        <w:t xml:space="preserve"> (hereinafter “Gambia Constitution”),</w:t>
      </w:r>
      <w:r w:rsidR="00C748A7" w:rsidRPr="008415EB">
        <w:rPr>
          <w:rFonts w:ascii="Arial" w:hAnsi="Arial" w:cs="Arial"/>
          <w:sz w:val="18"/>
          <w:szCs w:val="18"/>
        </w:rPr>
        <w:t xml:space="preserve"> </w:t>
      </w:r>
      <w:r w:rsidRPr="008415EB">
        <w:rPr>
          <w:rFonts w:ascii="Arial" w:hAnsi="Arial" w:cs="Arial"/>
          <w:sz w:val="18"/>
          <w:szCs w:val="18"/>
        </w:rPr>
        <w:t>Preamble</w:t>
      </w:r>
    </w:p>
  </w:footnote>
  <w:footnote w:id="3">
    <w:p w14:paraId="364CD5A0" w14:textId="5666BD93" w:rsidR="00C1230E" w:rsidRPr="008415EB" w:rsidRDefault="004B0CF1" w:rsidP="00C1230E">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C1230E" w:rsidRPr="008415EB">
        <w:rPr>
          <w:rFonts w:ascii="Arial" w:hAnsi="Arial" w:cs="Arial"/>
          <w:sz w:val="18"/>
          <w:szCs w:val="18"/>
        </w:rPr>
        <w:t xml:space="preserve">Towards Reversing Discrimination </w:t>
      </w:r>
      <w:r w:rsidR="00C1230E" w:rsidRPr="008415EB">
        <w:rPr>
          <w:rFonts w:ascii="Arial" w:hAnsi="Arial" w:cs="Arial"/>
          <w:sz w:val="18"/>
          <w:szCs w:val="18"/>
        </w:rPr>
        <w:t>in</w:t>
      </w:r>
      <w:r w:rsidR="00C1230E" w:rsidRPr="008415EB">
        <w:rPr>
          <w:rFonts w:ascii="Arial" w:hAnsi="Arial" w:cs="Arial"/>
          <w:sz w:val="18"/>
          <w:szCs w:val="18"/>
        </w:rPr>
        <w:t xml:space="preserve"> Law</w:t>
      </w:r>
      <w:r w:rsidR="00C1230E" w:rsidRPr="008415EB">
        <w:rPr>
          <w:rFonts w:ascii="Arial" w:hAnsi="Arial" w:cs="Arial"/>
          <w:sz w:val="18"/>
          <w:szCs w:val="18"/>
        </w:rPr>
        <w:t xml:space="preserve">: </w:t>
      </w:r>
      <w:r w:rsidR="00C1230E" w:rsidRPr="008415EB">
        <w:rPr>
          <w:rFonts w:ascii="Arial" w:hAnsi="Arial" w:cs="Arial"/>
          <w:sz w:val="18"/>
          <w:szCs w:val="18"/>
        </w:rPr>
        <w:t xml:space="preserve">Mapping </w:t>
      </w:r>
      <w:r w:rsidR="00C1230E" w:rsidRPr="008415EB">
        <w:rPr>
          <w:rFonts w:ascii="Arial" w:hAnsi="Arial" w:cs="Arial"/>
          <w:sz w:val="18"/>
          <w:szCs w:val="18"/>
        </w:rPr>
        <w:t>and</w:t>
      </w:r>
      <w:r w:rsidR="00C1230E" w:rsidRPr="008415EB">
        <w:rPr>
          <w:rFonts w:ascii="Arial" w:hAnsi="Arial" w:cs="Arial"/>
          <w:sz w:val="18"/>
          <w:szCs w:val="18"/>
        </w:rPr>
        <w:t xml:space="preserve"> Analysis </w:t>
      </w:r>
      <w:r w:rsidR="00C1230E" w:rsidRPr="008415EB">
        <w:rPr>
          <w:rFonts w:ascii="Arial" w:hAnsi="Arial" w:cs="Arial"/>
          <w:sz w:val="18"/>
          <w:szCs w:val="18"/>
        </w:rPr>
        <w:t>o</w:t>
      </w:r>
      <w:r w:rsidR="00C1230E" w:rsidRPr="008415EB">
        <w:rPr>
          <w:rFonts w:ascii="Arial" w:hAnsi="Arial" w:cs="Arial"/>
          <w:sz w:val="18"/>
          <w:szCs w:val="18"/>
        </w:rPr>
        <w:t xml:space="preserve">f </w:t>
      </w:r>
      <w:r w:rsidR="00C1230E" w:rsidRPr="008415EB">
        <w:rPr>
          <w:rFonts w:ascii="Arial" w:hAnsi="Arial" w:cs="Arial"/>
          <w:sz w:val="18"/>
          <w:szCs w:val="18"/>
        </w:rPr>
        <w:t>t</w:t>
      </w:r>
      <w:r w:rsidR="00C1230E" w:rsidRPr="008415EB">
        <w:rPr>
          <w:rFonts w:ascii="Arial" w:hAnsi="Arial" w:cs="Arial"/>
          <w:sz w:val="18"/>
          <w:szCs w:val="18"/>
        </w:rPr>
        <w:t xml:space="preserve">he Laws </w:t>
      </w:r>
      <w:r w:rsidR="00C1230E" w:rsidRPr="008415EB">
        <w:rPr>
          <w:rFonts w:ascii="Arial" w:hAnsi="Arial" w:cs="Arial"/>
          <w:sz w:val="18"/>
          <w:szCs w:val="18"/>
        </w:rPr>
        <w:t xml:space="preserve">of the </w:t>
      </w:r>
      <w:r w:rsidR="00C1230E" w:rsidRPr="008415EB">
        <w:rPr>
          <w:rFonts w:ascii="Arial" w:hAnsi="Arial" w:cs="Arial"/>
          <w:sz w:val="18"/>
          <w:szCs w:val="18"/>
        </w:rPr>
        <w:t xml:space="preserve">Gambia </w:t>
      </w:r>
      <w:r w:rsidR="00C1230E" w:rsidRPr="008415EB">
        <w:rPr>
          <w:rFonts w:ascii="Arial" w:hAnsi="Arial" w:cs="Arial"/>
          <w:sz w:val="18"/>
          <w:szCs w:val="18"/>
        </w:rPr>
        <w:t xml:space="preserve">from a </w:t>
      </w:r>
      <w:r w:rsidR="00C1230E" w:rsidRPr="008415EB">
        <w:rPr>
          <w:rFonts w:ascii="Arial" w:hAnsi="Arial" w:cs="Arial"/>
          <w:sz w:val="18"/>
          <w:szCs w:val="18"/>
        </w:rPr>
        <w:t>Gender Perspective</w:t>
      </w:r>
      <w:r w:rsidR="00C1230E" w:rsidRPr="008415EB">
        <w:rPr>
          <w:rFonts w:ascii="Arial" w:hAnsi="Arial" w:cs="Arial"/>
          <w:sz w:val="18"/>
          <w:szCs w:val="18"/>
        </w:rPr>
        <w:t>, UN Women and the Commonwealth Secretariat, 2020</w:t>
      </w:r>
      <w:r w:rsidRPr="008415EB">
        <w:rPr>
          <w:rFonts w:ascii="Arial" w:hAnsi="Arial" w:cs="Arial"/>
          <w:sz w:val="18"/>
          <w:szCs w:val="18"/>
        </w:rPr>
        <w:t xml:space="preserve">, </w:t>
      </w:r>
      <w:r w:rsidR="00C1230E" w:rsidRPr="008415EB">
        <w:rPr>
          <w:rFonts w:ascii="Arial" w:hAnsi="Arial" w:cs="Arial"/>
          <w:sz w:val="18"/>
          <w:szCs w:val="18"/>
        </w:rPr>
        <w:t>(hereinafter “Gender Report UN Women”) p.</w:t>
      </w:r>
      <w:r w:rsidRPr="008415EB">
        <w:rPr>
          <w:rFonts w:ascii="Arial" w:hAnsi="Arial" w:cs="Arial"/>
          <w:sz w:val="18"/>
          <w:szCs w:val="18"/>
        </w:rPr>
        <w:t>22</w:t>
      </w:r>
      <w:r w:rsidR="00C1230E" w:rsidRPr="008415EB">
        <w:rPr>
          <w:rFonts w:ascii="Arial" w:hAnsi="Arial" w:cs="Arial"/>
          <w:sz w:val="18"/>
          <w:szCs w:val="18"/>
        </w:rPr>
        <w:t>,</w:t>
      </w:r>
      <w:r w:rsidRPr="008415EB">
        <w:rPr>
          <w:rFonts w:ascii="Arial" w:hAnsi="Arial" w:cs="Arial"/>
          <w:sz w:val="18"/>
          <w:szCs w:val="18"/>
        </w:rPr>
        <w:t xml:space="preserve"> </w:t>
      </w:r>
      <w:hyperlink r:id="rId2" w:history="1">
        <w:r w:rsidR="00C1230E" w:rsidRPr="008415EB">
          <w:rPr>
            <w:rStyle w:val="Hyperlink"/>
            <w:rFonts w:ascii="Arial" w:hAnsi="Arial" w:cs="Arial"/>
            <w:sz w:val="18"/>
            <w:szCs w:val="18"/>
          </w:rPr>
          <w:t>https://africa.unwomen.org/en/digital-library/publications/2020/08/mapping-and-analysis-of-the-laws-of-the-gambia</w:t>
        </w:r>
      </w:hyperlink>
      <w:r w:rsidR="00C1230E" w:rsidRPr="008415EB">
        <w:rPr>
          <w:rFonts w:ascii="Arial" w:hAnsi="Arial" w:cs="Arial"/>
          <w:sz w:val="18"/>
          <w:szCs w:val="18"/>
        </w:rPr>
        <w:t>.</w:t>
      </w:r>
    </w:p>
  </w:footnote>
  <w:footnote w:id="4">
    <w:p w14:paraId="1144638D" w14:textId="4DA330D6" w:rsidR="006A5535" w:rsidRPr="008415EB" w:rsidRDefault="006A5535">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Ib</w:t>
      </w:r>
      <w:r w:rsidR="00C1230E" w:rsidRPr="008415EB">
        <w:rPr>
          <w:rFonts w:ascii="Arial" w:hAnsi="Arial" w:cs="Arial"/>
          <w:sz w:val="18"/>
          <w:szCs w:val="18"/>
        </w:rPr>
        <w:t>id.</w:t>
      </w:r>
    </w:p>
  </w:footnote>
  <w:footnote w:id="5">
    <w:p w14:paraId="1D2C727B" w14:textId="6C6269FD" w:rsidR="000E7C84" w:rsidRPr="008415EB" w:rsidRDefault="000E7C84">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C1230E" w:rsidRPr="008415EB">
        <w:rPr>
          <w:rFonts w:ascii="Arial" w:hAnsi="Arial" w:cs="Arial"/>
          <w:sz w:val="18"/>
          <w:szCs w:val="18"/>
        </w:rPr>
        <w:t>Gambia</w:t>
      </w:r>
      <w:r w:rsidRPr="008415EB">
        <w:rPr>
          <w:rFonts w:ascii="Arial" w:hAnsi="Arial" w:cs="Arial"/>
          <w:sz w:val="18"/>
          <w:szCs w:val="18"/>
        </w:rPr>
        <w:t xml:space="preserve"> Constitutio</w:t>
      </w:r>
      <w:r w:rsidR="00C1230E" w:rsidRPr="008415EB">
        <w:rPr>
          <w:rFonts w:ascii="Arial" w:hAnsi="Arial" w:cs="Arial"/>
          <w:sz w:val="18"/>
          <w:szCs w:val="18"/>
        </w:rPr>
        <w:t>n, sec.137</w:t>
      </w:r>
      <w:r w:rsidRPr="008415EB">
        <w:rPr>
          <w:rFonts w:ascii="Arial" w:hAnsi="Arial" w:cs="Arial"/>
          <w:sz w:val="18"/>
          <w:szCs w:val="18"/>
        </w:rPr>
        <w:t>.</w:t>
      </w:r>
    </w:p>
  </w:footnote>
  <w:footnote w:id="6">
    <w:p w14:paraId="5EBBA838" w14:textId="6143EFBE" w:rsidR="000E7C84" w:rsidRPr="008415EB" w:rsidRDefault="000E7C84">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C1230E" w:rsidRPr="008415EB">
        <w:rPr>
          <w:rFonts w:ascii="Arial" w:hAnsi="Arial" w:cs="Arial"/>
          <w:sz w:val="18"/>
          <w:szCs w:val="18"/>
        </w:rPr>
        <w:t>Gender Report UN Women</w:t>
      </w:r>
      <w:r w:rsidR="008415EB">
        <w:rPr>
          <w:rFonts w:ascii="Arial" w:hAnsi="Arial" w:cs="Arial"/>
          <w:sz w:val="18"/>
          <w:szCs w:val="18"/>
        </w:rPr>
        <w:t xml:space="preserve"> supra note 3</w:t>
      </w:r>
      <w:r w:rsidR="009B03E0" w:rsidRPr="008415EB">
        <w:rPr>
          <w:rFonts w:ascii="Arial" w:hAnsi="Arial" w:cs="Arial"/>
          <w:sz w:val="18"/>
          <w:szCs w:val="18"/>
        </w:rPr>
        <w:t>, p</w:t>
      </w:r>
      <w:r w:rsidR="00C1230E" w:rsidRPr="008415EB">
        <w:rPr>
          <w:rFonts w:ascii="Arial" w:hAnsi="Arial" w:cs="Arial"/>
          <w:sz w:val="18"/>
          <w:szCs w:val="18"/>
        </w:rPr>
        <w:t xml:space="preserve">. </w:t>
      </w:r>
      <w:r w:rsidR="009B03E0" w:rsidRPr="008415EB">
        <w:rPr>
          <w:rFonts w:ascii="Arial" w:hAnsi="Arial" w:cs="Arial"/>
          <w:sz w:val="18"/>
          <w:szCs w:val="18"/>
        </w:rPr>
        <w:t>21.</w:t>
      </w:r>
    </w:p>
  </w:footnote>
  <w:footnote w:id="7">
    <w:p w14:paraId="09295A3E" w14:textId="45435349" w:rsidR="009B03E0" w:rsidRPr="008415EB" w:rsidRDefault="009B03E0">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8415EB">
        <w:rPr>
          <w:rFonts w:ascii="Arial" w:hAnsi="Arial" w:cs="Arial"/>
          <w:sz w:val="18"/>
          <w:szCs w:val="18"/>
        </w:rPr>
        <w:t>Ibid</w:t>
      </w:r>
      <w:r w:rsidRPr="008415EB">
        <w:rPr>
          <w:rFonts w:ascii="Arial" w:hAnsi="Arial" w:cs="Arial"/>
          <w:sz w:val="18"/>
          <w:szCs w:val="18"/>
        </w:rPr>
        <w:t>, p</w:t>
      </w:r>
      <w:r w:rsidR="008415EB">
        <w:rPr>
          <w:rFonts w:ascii="Arial" w:hAnsi="Arial" w:cs="Arial"/>
          <w:sz w:val="18"/>
          <w:szCs w:val="18"/>
        </w:rPr>
        <w:t xml:space="preserve">. </w:t>
      </w:r>
      <w:r w:rsidRPr="008415EB">
        <w:rPr>
          <w:rFonts w:ascii="Arial" w:hAnsi="Arial" w:cs="Arial"/>
          <w:sz w:val="18"/>
          <w:szCs w:val="18"/>
        </w:rPr>
        <w:t>17.</w:t>
      </w:r>
    </w:p>
  </w:footnote>
  <w:footnote w:id="8">
    <w:p w14:paraId="07B1BED7" w14:textId="450A8822" w:rsidR="00B80DEE" w:rsidRPr="008415EB" w:rsidRDefault="00D63C74" w:rsidP="00B80DEE">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B80DEE" w:rsidRPr="008415EB">
        <w:rPr>
          <w:rFonts w:ascii="Arial" w:hAnsi="Arial" w:cs="Arial"/>
          <w:sz w:val="18"/>
          <w:szCs w:val="18"/>
        </w:rPr>
        <w:t xml:space="preserve">Gambia </w:t>
      </w:r>
      <w:r w:rsidR="008415EB" w:rsidRPr="008415EB">
        <w:rPr>
          <w:rFonts w:ascii="Arial" w:hAnsi="Arial" w:cs="Arial"/>
          <w:sz w:val="18"/>
          <w:szCs w:val="18"/>
        </w:rPr>
        <w:t>A</w:t>
      </w:r>
      <w:r w:rsidR="00B80DEE" w:rsidRPr="008415EB">
        <w:rPr>
          <w:rFonts w:ascii="Arial" w:hAnsi="Arial" w:cs="Arial"/>
          <w:sz w:val="18"/>
          <w:szCs w:val="18"/>
        </w:rPr>
        <w:t xml:space="preserve">ppoints </w:t>
      </w:r>
      <w:r w:rsidR="008415EB" w:rsidRPr="008415EB">
        <w:rPr>
          <w:rFonts w:ascii="Arial" w:hAnsi="Arial" w:cs="Arial"/>
          <w:sz w:val="18"/>
          <w:szCs w:val="18"/>
        </w:rPr>
        <w:t>F</w:t>
      </w:r>
      <w:r w:rsidR="00B80DEE" w:rsidRPr="008415EB">
        <w:rPr>
          <w:rFonts w:ascii="Arial" w:hAnsi="Arial" w:cs="Arial"/>
          <w:sz w:val="18"/>
          <w:szCs w:val="18"/>
        </w:rPr>
        <w:t xml:space="preserve">irst </w:t>
      </w:r>
      <w:r w:rsidR="008415EB" w:rsidRPr="008415EB">
        <w:rPr>
          <w:rFonts w:ascii="Arial" w:hAnsi="Arial" w:cs="Arial"/>
          <w:sz w:val="18"/>
          <w:szCs w:val="18"/>
        </w:rPr>
        <w:t>W</w:t>
      </w:r>
      <w:r w:rsidR="00B80DEE" w:rsidRPr="008415EB">
        <w:rPr>
          <w:rFonts w:ascii="Arial" w:hAnsi="Arial" w:cs="Arial"/>
          <w:sz w:val="18"/>
          <w:szCs w:val="18"/>
        </w:rPr>
        <w:t xml:space="preserve">omen Cadis, </w:t>
      </w:r>
      <w:r w:rsidR="008415EB" w:rsidRPr="008415EB">
        <w:rPr>
          <w:rFonts w:ascii="Arial" w:hAnsi="Arial" w:cs="Arial"/>
          <w:sz w:val="18"/>
          <w:szCs w:val="18"/>
        </w:rPr>
        <w:t xml:space="preserve">The Standard, </w:t>
      </w:r>
      <w:r w:rsidR="00B80DEE" w:rsidRPr="008415EB">
        <w:rPr>
          <w:rFonts w:ascii="Arial" w:hAnsi="Arial" w:cs="Arial"/>
          <w:sz w:val="18"/>
          <w:szCs w:val="18"/>
        </w:rPr>
        <w:t>Feb 17 2022</w:t>
      </w:r>
      <w:r w:rsidR="008415EB" w:rsidRPr="008415EB">
        <w:rPr>
          <w:rFonts w:ascii="Arial" w:hAnsi="Arial" w:cs="Arial"/>
          <w:sz w:val="18"/>
          <w:szCs w:val="18"/>
        </w:rPr>
        <w:t xml:space="preserve">, </w:t>
      </w:r>
      <w:hyperlink r:id="rId3" w:history="1">
        <w:r w:rsidR="00B80DEE" w:rsidRPr="008415EB">
          <w:rPr>
            <w:rStyle w:val="Hyperlink"/>
            <w:rFonts w:ascii="Arial" w:hAnsi="Arial" w:cs="Arial"/>
            <w:sz w:val="18"/>
            <w:szCs w:val="18"/>
          </w:rPr>
          <w:t>https://standard.gm/gambia-appoints-first-women-cadis/</w:t>
        </w:r>
      </w:hyperlink>
      <w:r w:rsidR="008415EB">
        <w:rPr>
          <w:rFonts w:ascii="Arial" w:hAnsi="Arial" w:cs="Arial"/>
          <w:sz w:val="18"/>
          <w:szCs w:val="18"/>
        </w:rPr>
        <w:t>.</w:t>
      </w:r>
    </w:p>
  </w:footnote>
  <w:footnote w:id="9">
    <w:p w14:paraId="60DF4D42" w14:textId="55B8B949" w:rsidR="00B65891" w:rsidRPr="008415EB" w:rsidRDefault="00B65891">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8415EB">
        <w:rPr>
          <w:rFonts w:ascii="Arial" w:hAnsi="Arial" w:cs="Arial"/>
          <w:sz w:val="18"/>
          <w:szCs w:val="18"/>
        </w:rPr>
        <w:t xml:space="preserve">The </w:t>
      </w:r>
      <w:r w:rsidRPr="008415EB">
        <w:rPr>
          <w:rFonts w:ascii="Arial" w:hAnsi="Arial" w:cs="Arial"/>
          <w:sz w:val="18"/>
          <w:szCs w:val="18"/>
        </w:rPr>
        <w:t xml:space="preserve">Gambia Reply to </w:t>
      </w:r>
      <w:r w:rsidR="008415EB">
        <w:rPr>
          <w:rFonts w:ascii="Arial" w:hAnsi="Arial" w:cs="Arial"/>
          <w:sz w:val="18"/>
          <w:szCs w:val="18"/>
        </w:rPr>
        <w:t>the List of Issues, CEDAW 83</w:t>
      </w:r>
      <w:r w:rsidR="008415EB" w:rsidRPr="008415EB">
        <w:rPr>
          <w:rFonts w:ascii="Arial" w:hAnsi="Arial" w:cs="Arial"/>
          <w:sz w:val="18"/>
          <w:szCs w:val="18"/>
          <w:vertAlign w:val="superscript"/>
        </w:rPr>
        <w:t>rd</w:t>
      </w:r>
      <w:r w:rsidR="008415EB">
        <w:rPr>
          <w:rFonts w:ascii="Arial" w:hAnsi="Arial" w:cs="Arial"/>
          <w:sz w:val="18"/>
          <w:szCs w:val="18"/>
        </w:rPr>
        <w:t xml:space="preserve"> Session, 20 July 2022,</w:t>
      </w:r>
      <w:r w:rsidRPr="008415EB">
        <w:rPr>
          <w:rFonts w:ascii="Arial" w:hAnsi="Arial" w:cs="Arial"/>
          <w:sz w:val="18"/>
          <w:szCs w:val="18"/>
        </w:rPr>
        <w:t xml:space="preserve"> para</w:t>
      </w:r>
      <w:r w:rsidR="008415EB">
        <w:rPr>
          <w:rFonts w:ascii="Arial" w:hAnsi="Arial" w:cs="Arial"/>
          <w:sz w:val="18"/>
          <w:szCs w:val="18"/>
        </w:rPr>
        <w:t xml:space="preserve"> </w:t>
      </w:r>
      <w:r w:rsidRPr="008415EB">
        <w:rPr>
          <w:rFonts w:ascii="Arial" w:hAnsi="Arial" w:cs="Arial"/>
          <w:sz w:val="18"/>
          <w:szCs w:val="18"/>
        </w:rPr>
        <w:t>92.</w:t>
      </w:r>
    </w:p>
  </w:footnote>
  <w:footnote w:id="10">
    <w:p w14:paraId="062BE40D" w14:textId="3457582F" w:rsidR="00363DFE" w:rsidRPr="008415EB" w:rsidRDefault="00363DFE" w:rsidP="00363DFE">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8415EB">
        <w:rPr>
          <w:rFonts w:ascii="Arial" w:hAnsi="Arial" w:cs="Arial"/>
          <w:sz w:val="18"/>
          <w:szCs w:val="18"/>
        </w:rPr>
        <w:t>Gender Report UN Women</w:t>
      </w:r>
      <w:r w:rsidRPr="008415EB">
        <w:rPr>
          <w:rFonts w:ascii="Arial" w:hAnsi="Arial" w:cs="Arial"/>
          <w:sz w:val="18"/>
          <w:szCs w:val="18"/>
        </w:rPr>
        <w:t xml:space="preserve">, </w:t>
      </w:r>
      <w:r w:rsidR="008415EB">
        <w:rPr>
          <w:rFonts w:ascii="Arial" w:hAnsi="Arial" w:cs="Arial"/>
          <w:sz w:val="18"/>
          <w:szCs w:val="18"/>
        </w:rPr>
        <w:t xml:space="preserve">supra note 3, </w:t>
      </w:r>
      <w:r w:rsidRPr="008415EB">
        <w:rPr>
          <w:rFonts w:ascii="Arial" w:hAnsi="Arial" w:cs="Arial"/>
          <w:sz w:val="18"/>
          <w:szCs w:val="18"/>
        </w:rPr>
        <w:t>p</w:t>
      </w:r>
      <w:r w:rsidR="008415EB">
        <w:rPr>
          <w:rFonts w:ascii="Arial" w:hAnsi="Arial" w:cs="Arial"/>
          <w:sz w:val="18"/>
          <w:szCs w:val="18"/>
        </w:rPr>
        <w:t>.</w:t>
      </w:r>
      <w:r w:rsidRPr="008415EB">
        <w:rPr>
          <w:rFonts w:ascii="Arial" w:hAnsi="Arial" w:cs="Arial"/>
          <w:sz w:val="18"/>
          <w:szCs w:val="18"/>
        </w:rPr>
        <w:t xml:space="preserve"> 17.</w:t>
      </w:r>
    </w:p>
  </w:footnote>
  <w:footnote w:id="11">
    <w:p w14:paraId="006E0895" w14:textId="239BBAAF" w:rsidR="00363DFE" w:rsidRPr="008415EB" w:rsidRDefault="00363DFE">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Ibid.</w:t>
      </w:r>
    </w:p>
  </w:footnote>
  <w:footnote w:id="12">
    <w:p w14:paraId="49F0901F" w14:textId="32661939" w:rsidR="00764F65" w:rsidRPr="008415EB" w:rsidRDefault="00764F65" w:rsidP="00764F65">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The Gambia Multiple Indicator Cluster Survey 2018, </w:t>
      </w:r>
      <w:hyperlink r:id="rId4" w:history="1">
        <w:r w:rsidRPr="008415EB">
          <w:rPr>
            <w:rStyle w:val="Hyperlink"/>
            <w:rFonts w:ascii="Arial" w:hAnsi="Arial" w:cs="Arial"/>
            <w:sz w:val="18"/>
            <w:szCs w:val="18"/>
          </w:rPr>
          <w:t>https://mics-surveys-prod.s3.amazonaws.com/MICS6/West%2</w:t>
        </w:r>
        <w:r w:rsidRPr="008415EB">
          <w:rPr>
            <w:rStyle w:val="Hyperlink"/>
            <w:rFonts w:ascii="Arial" w:hAnsi="Arial" w:cs="Arial"/>
            <w:sz w:val="18"/>
            <w:szCs w:val="18"/>
          </w:rPr>
          <w:t>0</w:t>
        </w:r>
        <w:r w:rsidRPr="008415EB">
          <w:rPr>
            <w:rStyle w:val="Hyperlink"/>
            <w:rFonts w:ascii="Arial" w:hAnsi="Arial" w:cs="Arial"/>
            <w:sz w:val="18"/>
            <w:szCs w:val="18"/>
          </w:rPr>
          <w:t>and%20Central%20Africa/Gambia/2018/Survey%20findings/The%20Gambia%202018%20MICS%20Survey%20Findings%20Report_English.pdf</w:t>
        </w:r>
      </w:hyperlink>
    </w:p>
  </w:footnote>
  <w:footnote w:id="13">
    <w:p w14:paraId="0E021B84" w14:textId="5E93A3F2" w:rsidR="00F24D9C" w:rsidRPr="008415EB" w:rsidRDefault="00F24D9C" w:rsidP="00F24D9C">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hyperlink r:id="rId5" w:history="1">
        <w:r w:rsidRPr="008415EB">
          <w:rPr>
            <w:rStyle w:val="Hyperlink"/>
            <w:rFonts w:ascii="Arial" w:hAnsi="Arial" w:cs="Arial"/>
            <w:sz w:val="18"/>
            <w:szCs w:val="18"/>
          </w:rPr>
          <w:t>https://www</w:t>
        </w:r>
        <w:r w:rsidRPr="008415EB">
          <w:rPr>
            <w:rStyle w:val="Hyperlink"/>
            <w:rFonts w:ascii="Arial" w:hAnsi="Arial" w:cs="Arial"/>
            <w:sz w:val="18"/>
            <w:szCs w:val="18"/>
          </w:rPr>
          <w:t>.</w:t>
        </w:r>
        <w:r w:rsidRPr="008415EB">
          <w:rPr>
            <w:rStyle w:val="Hyperlink"/>
            <w:rFonts w:ascii="Arial" w:hAnsi="Arial" w:cs="Arial"/>
            <w:sz w:val="18"/>
            <w:szCs w:val="18"/>
          </w:rPr>
          <w:t>orphansinneed.org.uk/news/chil</w:t>
        </w:r>
        <w:r w:rsidRPr="008415EB">
          <w:rPr>
            <w:rStyle w:val="Hyperlink"/>
            <w:rFonts w:ascii="Arial" w:hAnsi="Arial" w:cs="Arial"/>
            <w:sz w:val="18"/>
            <w:szCs w:val="18"/>
          </w:rPr>
          <w:t>d</w:t>
        </w:r>
        <w:r w:rsidRPr="008415EB">
          <w:rPr>
            <w:rStyle w:val="Hyperlink"/>
            <w:rFonts w:ascii="Arial" w:hAnsi="Arial" w:cs="Arial"/>
            <w:sz w:val="18"/>
            <w:szCs w:val="18"/>
          </w:rPr>
          <w:t>-marriage-in-the-gambia/</w:t>
        </w:r>
      </w:hyperlink>
      <w:r w:rsidR="0093160E">
        <w:rPr>
          <w:rStyle w:val="Hyperlink"/>
          <w:rFonts w:ascii="Arial" w:hAnsi="Arial" w:cs="Arial"/>
          <w:sz w:val="18"/>
          <w:szCs w:val="18"/>
        </w:rPr>
        <w:t>.</w:t>
      </w:r>
    </w:p>
  </w:footnote>
  <w:footnote w:id="14">
    <w:p w14:paraId="01E64138" w14:textId="1CAAC6A7" w:rsidR="00F24D9C" w:rsidRPr="008415EB" w:rsidRDefault="00F24D9C" w:rsidP="00F24D9C">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93160E">
        <w:rPr>
          <w:rFonts w:ascii="Arial" w:hAnsi="Arial" w:cs="Arial"/>
          <w:sz w:val="18"/>
          <w:szCs w:val="18"/>
        </w:rPr>
        <w:t xml:space="preserve">Preventing Early Marriage in Rural Gambia, </w:t>
      </w:r>
      <w:r w:rsidR="0093160E" w:rsidRPr="0093160E">
        <w:rPr>
          <w:rFonts w:ascii="Arial" w:hAnsi="Arial" w:cs="Arial"/>
          <w:sz w:val="18"/>
          <w:szCs w:val="18"/>
        </w:rPr>
        <w:t>Society for the Study of Women's Health (SSWH); Agency for the Development of Women and Children (ADWAC)</w:t>
      </w:r>
      <w:r w:rsidR="0093160E">
        <w:rPr>
          <w:rFonts w:ascii="Arial" w:hAnsi="Arial" w:cs="Arial"/>
          <w:sz w:val="18"/>
          <w:szCs w:val="18"/>
        </w:rPr>
        <w:t xml:space="preserve">, November 2019, </w:t>
      </w:r>
      <w:hyperlink r:id="rId6" w:history="1">
        <w:r w:rsidR="0093160E" w:rsidRPr="00DB6E17">
          <w:rPr>
            <w:rStyle w:val="Hyperlink"/>
            <w:rFonts w:ascii="Arial" w:hAnsi="Arial" w:cs="Arial"/>
            <w:sz w:val="18"/>
            <w:szCs w:val="18"/>
          </w:rPr>
          <w:t>https://www.</w:t>
        </w:r>
        <w:r w:rsidR="0093160E" w:rsidRPr="00DB6E17">
          <w:rPr>
            <w:rStyle w:val="Hyperlink"/>
            <w:rFonts w:ascii="Arial" w:hAnsi="Arial" w:cs="Arial"/>
            <w:sz w:val="18"/>
            <w:szCs w:val="18"/>
          </w:rPr>
          <w:t>a</w:t>
        </w:r>
        <w:r w:rsidR="0093160E" w:rsidRPr="00DB6E17">
          <w:rPr>
            <w:rStyle w:val="Hyperlink"/>
            <w:rFonts w:ascii="Arial" w:hAnsi="Arial" w:cs="Arial"/>
            <w:sz w:val="18"/>
            <w:szCs w:val="18"/>
          </w:rPr>
          <w:t>lignplatform.org/resources/preventing-early-marriage-rural-gambia</w:t>
        </w:r>
      </w:hyperlink>
      <w:r w:rsidR="0093160E">
        <w:rPr>
          <w:rStyle w:val="Hyperlink"/>
          <w:rFonts w:ascii="Arial" w:hAnsi="Arial" w:cs="Arial"/>
          <w:sz w:val="18"/>
          <w:szCs w:val="18"/>
        </w:rPr>
        <w:t>.</w:t>
      </w:r>
    </w:p>
    <w:p w14:paraId="79609F89" w14:textId="77777777" w:rsidR="00F24D9C" w:rsidRPr="008415EB" w:rsidRDefault="00F24D9C" w:rsidP="00F24D9C">
      <w:pPr>
        <w:pStyle w:val="FootnoteText"/>
        <w:rPr>
          <w:rFonts w:ascii="Arial" w:hAnsi="Arial" w:cs="Arial"/>
          <w:sz w:val="18"/>
          <w:szCs w:val="18"/>
        </w:rPr>
      </w:pPr>
    </w:p>
  </w:footnote>
  <w:footnote w:id="15">
    <w:p w14:paraId="23EB48EA" w14:textId="740793F7" w:rsidR="00473D28" w:rsidRPr="008415EB" w:rsidRDefault="00473D28" w:rsidP="00473D28">
      <w:pPr>
        <w:pStyle w:val="FootnoteText"/>
        <w:rPr>
          <w:rFonts w:ascii="Arial" w:hAnsi="Arial" w:cs="Arial"/>
          <w:sz w:val="18"/>
          <w:szCs w:val="18"/>
          <w:lang w:val="en-GB"/>
        </w:rPr>
      </w:pPr>
      <w:r w:rsidRPr="008415EB">
        <w:rPr>
          <w:rStyle w:val="FootnoteReference"/>
          <w:rFonts w:ascii="Arial" w:eastAsia="Arial" w:hAnsi="Arial" w:cs="Arial"/>
          <w:sz w:val="18"/>
          <w:szCs w:val="18"/>
        </w:rPr>
        <w:footnoteRef/>
      </w:r>
      <w:r w:rsidRPr="008415EB">
        <w:rPr>
          <w:rFonts w:ascii="Arial" w:hAnsi="Arial" w:cs="Arial"/>
          <w:sz w:val="18"/>
          <w:szCs w:val="18"/>
        </w:rPr>
        <w:t xml:space="preserve"> </w:t>
      </w:r>
      <w:r w:rsidR="0093160E">
        <w:rPr>
          <w:rFonts w:ascii="Arial" w:hAnsi="Arial" w:cs="Arial"/>
          <w:sz w:val="18"/>
          <w:szCs w:val="18"/>
        </w:rPr>
        <w:t xml:space="preserve">Female Genital Mutilation in the Gambia, </w:t>
      </w:r>
      <w:hyperlink r:id="rId7" w:history="1">
        <w:r w:rsidR="0093160E" w:rsidRPr="00DB6E17">
          <w:rPr>
            <w:rStyle w:val="Hyperlink"/>
            <w:rFonts w:ascii="Arial" w:eastAsia="Corbel" w:hAnsi="Arial" w:cs="Arial"/>
            <w:sz w:val="18"/>
            <w:szCs w:val="18"/>
          </w:rPr>
          <w:t>http://accessgambia.com/inform</w:t>
        </w:r>
        <w:r w:rsidR="0093160E" w:rsidRPr="00DB6E17">
          <w:rPr>
            <w:rStyle w:val="Hyperlink"/>
            <w:rFonts w:ascii="Arial" w:eastAsia="Corbel" w:hAnsi="Arial" w:cs="Arial"/>
            <w:sz w:val="18"/>
            <w:szCs w:val="18"/>
          </w:rPr>
          <w:t>a</w:t>
        </w:r>
        <w:r w:rsidR="0093160E" w:rsidRPr="00DB6E17">
          <w:rPr>
            <w:rStyle w:val="Hyperlink"/>
            <w:rFonts w:ascii="Arial" w:eastAsia="Corbel" w:hAnsi="Arial" w:cs="Arial"/>
            <w:sz w:val="18"/>
            <w:szCs w:val="18"/>
          </w:rPr>
          <w:t>tion/female-circumcision-fgm.html</w:t>
        </w:r>
      </w:hyperlink>
      <w:r w:rsidR="0093160E">
        <w:rPr>
          <w:rFonts w:ascii="Arial" w:eastAsia="Corbel" w:hAnsi="Arial" w:cs="Arial"/>
          <w:sz w:val="18"/>
          <w:szCs w:val="18"/>
        </w:rPr>
        <w:t>.</w:t>
      </w:r>
      <w:r w:rsidRPr="008415EB">
        <w:rPr>
          <w:rFonts w:ascii="Arial" w:hAnsi="Arial" w:cs="Arial"/>
          <w:color w:val="000000"/>
          <w:sz w:val="18"/>
          <w:szCs w:val="18"/>
        </w:rPr>
        <w:t xml:space="preserve"> </w:t>
      </w:r>
    </w:p>
  </w:footnote>
  <w:footnote w:id="16">
    <w:p w14:paraId="0D7E1C75" w14:textId="71655C37" w:rsidR="002F2FB3" w:rsidRPr="008415EB" w:rsidRDefault="002F2FB3">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043451">
        <w:rPr>
          <w:rFonts w:ascii="Arial" w:hAnsi="Arial" w:cs="Arial"/>
          <w:sz w:val="18"/>
          <w:szCs w:val="18"/>
        </w:rPr>
        <w:t xml:space="preserve">Women’s Act (Act No. 12 of 2010), (hereinafter “Women’s Act 2010”), amended by the </w:t>
      </w:r>
      <w:r w:rsidRPr="008415EB">
        <w:rPr>
          <w:rFonts w:ascii="Arial" w:hAnsi="Arial" w:cs="Arial"/>
          <w:sz w:val="18"/>
          <w:szCs w:val="18"/>
        </w:rPr>
        <w:t>Women’s Amendment Act 2015</w:t>
      </w:r>
      <w:r w:rsidR="00043451">
        <w:rPr>
          <w:rFonts w:ascii="Arial" w:hAnsi="Arial" w:cs="Arial"/>
          <w:sz w:val="18"/>
          <w:szCs w:val="18"/>
        </w:rPr>
        <w:t>, sec.</w:t>
      </w:r>
      <w:r w:rsidR="00043451" w:rsidRPr="008415EB">
        <w:rPr>
          <w:rFonts w:ascii="Arial" w:hAnsi="Arial" w:cs="Arial"/>
          <w:sz w:val="18"/>
          <w:szCs w:val="18"/>
        </w:rPr>
        <w:t xml:space="preserve"> 32A, 32B</w:t>
      </w:r>
      <w:r w:rsidR="00043451">
        <w:rPr>
          <w:rFonts w:ascii="Arial" w:hAnsi="Arial" w:cs="Arial"/>
          <w:sz w:val="18"/>
          <w:szCs w:val="18"/>
        </w:rPr>
        <w:t>.</w:t>
      </w:r>
    </w:p>
  </w:footnote>
  <w:footnote w:id="17">
    <w:p w14:paraId="40FDD5D6" w14:textId="4F75FBF2" w:rsidR="00121CB2" w:rsidRPr="008415EB" w:rsidRDefault="00121CB2">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043451">
        <w:rPr>
          <w:rFonts w:ascii="Arial" w:hAnsi="Arial" w:cs="Arial"/>
          <w:sz w:val="18"/>
          <w:szCs w:val="18"/>
        </w:rPr>
        <w:t xml:space="preserve">FGM Still a Problem in Gambia Years After it was Banned, Tender, 31 March 2017,  </w:t>
      </w:r>
      <w:hyperlink r:id="rId8" w:history="1">
        <w:r w:rsidR="00043451" w:rsidRPr="00DB6E17">
          <w:rPr>
            <w:rStyle w:val="Hyperlink"/>
            <w:rFonts w:ascii="Arial" w:eastAsia="Corbel" w:hAnsi="Arial" w:cs="Arial"/>
            <w:sz w:val="18"/>
            <w:szCs w:val="18"/>
          </w:rPr>
          <w:t>https://tender.org.uk/blog/fgm-still-proble</w:t>
        </w:r>
        <w:r w:rsidR="00043451" w:rsidRPr="00DB6E17">
          <w:rPr>
            <w:rStyle w:val="Hyperlink"/>
            <w:rFonts w:ascii="Arial" w:eastAsia="Corbel" w:hAnsi="Arial" w:cs="Arial"/>
            <w:sz w:val="18"/>
            <w:szCs w:val="18"/>
          </w:rPr>
          <w:t>m</w:t>
        </w:r>
        <w:r w:rsidR="00043451" w:rsidRPr="00DB6E17">
          <w:rPr>
            <w:rStyle w:val="Hyperlink"/>
            <w:rFonts w:ascii="Arial" w:eastAsia="Corbel" w:hAnsi="Arial" w:cs="Arial"/>
            <w:sz w:val="18"/>
            <w:szCs w:val="18"/>
          </w:rPr>
          <w:t>-gambia-years-banned/</w:t>
        </w:r>
      </w:hyperlink>
      <w:r w:rsidR="00043451">
        <w:rPr>
          <w:rFonts w:ascii="Arial" w:eastAsia="Corbel" w:hAnsi="Arial" w:cs="Arial"/>
          <w:sz w:val="18"/>
          <w:szCs w:val="18"/>
        </w:rPr>
        <w:t>.</w:t>
      </w:r>
    </w:p>
  </w:footnote>
  <w:footnote w:id="18">
    <w:p w14:paraId="7515104B" w14:textId="721F5F83" w:rsidR="00D018E4" w:rsidRPr="00005E9E" w:rsidRDefault="00D018E4" w:rsidP="00005E9E">
      <w:pPr>
        <w:rPr>
          <w:rFonts w:ascii="Arial" w:hAnsi="Arial" w:cs="Arial"/>
          <w:color w:val="000000" w:themeColor="text1"/>
          <w:sz w:val="18"/>
          <w:szCs w:val="18"/>
          <w:shd w:val="clear" w:color="auto" w:fill="FFFFFF"/>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043451">
        <w:rPr>
          <w:rFonts w:ascii="Arial" w:hAnsi="Arial" w:cs="Arial"/>
          <w:sz w:val="18"/>
          <w:szCs w:val="18"/>
        </w:rPr>
        <w:t>Statistical Profile on Female Genital Mutilation/Cutting,</w:t>
      </w:r>
      <w:r w:rsidRPr="00043451">
        <w:rPr>
          <w:rFonts w:ascii="Arial" w:hAnsi="Arial" w:cs="Arial"/>
          <w:color w:val="000000" w:themeColor="text1"/>
          <w:sz w:val="18"/>
          <w:szCs w:val="18"/>
          <w:shd w:val="clear" w:color="auto" w:fill="FFFFFF"/>
        </w:rPr>
        <w:t xml:space="preserve"> United Nations Children's Fund (UNICEF)</w:t>
      </w:r>
      <w:r w:rsidR="00043451">
        <w:rPr>
          <w:rFonts w:ascii="Arial" w:hAnsi="Arial" w:cs="Arial"/>
          <w:color w:val="000000" w:themeColor="text1"/>
          <w:sz w:val="18"/>
          <w:szCs w:val="18"/>
          <w:shd w:val="clear" w:color="auto" w:fill="FFFFFF"/>
        </w:rPr>
        <w:t xml:space="preserve">, </w:t>
      </w:r>
      <w:r w:rsidR="00043451" w:rsidRPr="00043451">
        <w:rPr>
          <w:rFonts w:ascii="Arial" w:hAnsi="Arial" w:cs="Arial"/>
          <w:color w:val="000000" w:themeColor="text1"/>
          <w:sz w:val="18"/>
          <w:szCs w:val="18"/>
          <w:shd w:val="clear" w:color="auto" w:fill="FFFFFF"/>
        </w:rPr>
        <w:t>February 2016</w:t>
      </w:r>
      <w:r w:rsidR="00043451">
        <w:rPr>
          <w:rFonts w:ascii="Arial" w:hAnsi="Arial" w:cs="Arial"/>
          <w:color w:val="000000" w:themeColor="text1"/>
          <w:sz w:val="18"/>
          <w:szCs w:val="18"/>
          <w:shd w:val="clear" w:color="auto" w:fill="FFFFFF"/>
        </w:rPr>
        <w:t>,</w:t>
      </w:r>
      <w:r w:rsidR="00005E9E">
        <w:rPr>
          <w:rFonts w:ascii="Arial" w:hAnsi="Arial" w:cs="Arial"/>
          <w:color w:val="000000" w:themeColor="text1"/>
          <w:sz w:val="18"/>
          <w:szCs w:val="18"/>
          <w:shd w:val="clear" w:color="auto" w:fill="FFFFFF"/>
        </w:rPr>
        <w:t xml:space="preserve"> </w:t>
      </w:r>
      <w:hyperlink r:id="rId9" w:history="1">
        <w:r w:rsidR="00005E9E" w:rsidRPr="00DB6E17">
          <w:rPr>
            <w:rStyle w:val="Hyperlink"/>
            <w:rFonts w:ascii="Arial" w:hAnsi="Arial" w:cs="Arial"/>
            <w:sz w:val="18"/>
            <w:szCs w:val="18"/>
            <w:shd w:val="clear" w:color="auto" w:fill="FFFFFF"/>
          </w:rPr>
          <w:t>https://data.unicef.org/wp-content/uploads/country_profiles/Gambia/FGMC_GMB.pdf</w:t>
        </w:r>
      </w:hyperlink>
      <w:r w:rsidR="00005E9E">
        <w:rPr>
          <w:rFonts w:ascii="Arial" w:hAnsi="Arial" w:cs="Arial"/>
          <w:color w:val="000000" w:themeColor="text1"/>
          <w:sz w:val="18"/>
          <w:szCs w:val="18"/>
          <w:shd w:val="clear" w:color="auto" w:fill="FFFFFF"/>
        </w:rPr>
        <w:t>.</w:t>
      </w:r>
    </w:p>
  </w:footnote>
  <w:footnote w:id="19">
    <w:p w14:paraId="36ED2F3F" w14:textId="0FE20382" w:rsidR="00473D28" w:rsidRPr="00DE14FE" w:rsidRDefault="00473D28" w:rsidP="00DE14FE">
      <w:pPr>
        <w:autoSpaceDE w:val="0"/>
        <w:autoSpaceDN w:val="0"/>
        <w:adjustRightInd w:val="0"/>
        <w:rPr>
          <w:rFonts w:ascii="Arial" w:hAnsi="Arial" w:cs="Arial"/>
          <w:sz w:val="18"/>
          <w:szCs w:val="18"/>
        </w:rPr>
      </w:pPr>
      <w:r w:rsidRPr="008415EB">
        <w:rPr>
          <w:rStyle w:val="FootnoteReference"/>
          <w:rFonts w:ascii="Arial" w:eastAsia="Arial" w:hAnsi="Arial" w:cs="Arial"/>
          <w:sz w:val="18"/>
          <w:szCs w:val="18"/>
        </w:rPr>
        <w:footnoteRef/>
      </w:r>
      <w:r w:rsidRPr="008415EB">
        <w:rPr>
          <w:rFonts w:ascii="Arial" w:hAnsi="Arial" w:cs="Arial"/>
          <w:sz w:val="18"/>
          <w:szCs w:val="18"/>
        </w:rPr>
        <w:t xml:space="preserve"> </w:t>
      </w:r>
      <w:r w:rsidR="00DE14FE" w:rsidRPr="00DE14FE">
        <w:rPr>
          <w:rFonts w:ascii="Arial" w:hAnsi="Arial" w:cs="Arial"/>
          <w:sz w:val="18"/>
          <w:szCs w:val="18"/>
        </w:rPr>
        <w:t>The Gambia 2013</w:t>
      </w:r>
      <w:r w:rsidR="00DE14FE">
        <w:rPr>
          <w:rFonts w:ascii="Arial" w:hAnsi="Arial" w:cs="Arial"/>
          <w:sz w:val="18"/>
          <w:szCs w:val="18"/>
        </w:rPr>
        <w:t xml:space="preserve"> P</w:t>
      </w:r>
      <w:r w:rsidR="00DE14FE" w:rsidRPr="00DE14FE">
        <w:rPr>
          <w:rFonts w:ascii="Arial" w:hAnsi="Arial" w:cs="Arial"/>
          <w:sz w:val="18"/>
          <w:szCs w:val="18"/>
        </w:rPr>
        <w:t xml:space="preserve">opulation and </w:t>
      </w:r>
      <w:r w:rsidR="00DE14FE">
        <w:rPr>
          <w:rFonts w:ascii="Arial" w:hAnsi="Arial" w:cs="Arial"/>
          <w:sz w:val="18"/>
          <w:szCs w:val="18"/>
        </w:rPr>
        <w:t>H</w:t>
      </w:r>
      <w:r w:rsidR="00DE14FE" w:rsidRPr="00DE14FE">
        <w:rPr>
          <w:rFonts w:ascii="Arial" w:hAnsi="Arial" w:cs="Arial"/>
          <w:sz w:val="18"/>
          <w:szCs w:val="18"/>
        </w:rPr>
        <w:t xml:space="preserve">ousing </w:t>
      </w:r>
      <w:r w:rsidR="00DE14FE">
        <w:rPr>
          <w:rFonts w:ascii="Arial" w:hAnsi="Arial" w:cs="Arial"/>
          <w:sz w:val="18"/>
          <w:szCs w:val="18"/>
        </w:rPr>
        <w:t>C</w:t>
      </w:r>
      <w:r w:rsidR="00DE14FE" w:rsidRPr="00DE14FE">
        <w:rPr>
          <w:rFonts w:ascii="Arial" w:hAnsi="Arial" w:cs="Arial"/>
          <w:sz w:val="18"/>
          <w:szCs w:val="18"/>
        </w:rPr>
        <w:t xml:space="preserve">ensus </w:t>
      </w:r>
      <w:r w:rsidR="00DE14FE">
        <w:rPr>
          <w:rFonts w:ascii="Arial" w:hAnsi="Arial" w:cs="Arial"/>
          <w:sz w:val="18"/>
          <w:szCs w:val="18"/>
        </w:rPr>
        <w:t>P</w:t>
      </w:r>
      <w:r w:rsidR="00DE14FE" w:rsidRPr="00DE14FE">
        <w:rPr>
          <w:rFonts w:ascii="Arial" w:hAnsi="Arial" w:cs="Arial"/>
          <w:sz w:val="18"/>
          <w:szCs w:val="18"/>
        </w:rPr>
        <w:t>reliminary</w:t>
      </w:r>
      <w:r w:rsidR="00DE14FE">
        <w:rPr>
          <w:rFonts w:ascii="Arial" w:hAnsi="Arial" w:cs="Arial"/>
          <w:sz w:val="18"/>
          <w:szCs w:val="18"/>
        </w:rPr>
        <w:t xml:space="preserve"> R</w:t>
      </w:r>
      <w:r w:rsidR="00DE14FE" w:rsidRPr="00DE14FE">
        <w:rPr>
          <w:rFonts w:ascii="Arial" w:hAnsi="Arial" w:cs="Arial"/>
          <w:sz w:val="18"/>
          <w:szCs w:val="18"/>
        </w:rPr>
        <w:t>esults (2014)</w:t>
      </w:r>
      <w:r w:rsidR="00DE14FE" w:rsidRPr="00DE14FE">
        <w:rPr>
          <w:rFonts w:ascii="Arial" w:hAnsi="Arial" w:cs="Arial"/>
          <w:sz w:val="18"/>
          <w:szCs w:val="18"/>
        </w:rPr>
        <w:t>,</w:t>
      </w:r>
      <w:r w:rsidR="00DE14FE">
        <w:rPr>
          <w:rFonts w:ascii="Arial" w:hAnsi="Arial" w:cs="Arial"/>
          <w:sz w:val="18"/>
          <w:szCs w:val="18"/>
        </w:rPr>
        <w:t xml:space="preserve"> </w:t>
      </w:r>
      <w:r w:rsidRPr="008415EB">
        <w:rPr>
          <w:rFonts w:ascii="Arial" w:hAnsi="Arial" w:cs="Arial"/>
          <w:sz w:val="18"/>
          <w:szCs w:val="18"/>
        </w:rPr>
        <w:t>Gambia Bureau of Statistics (GBOS)</w:t>
      </w:r>
      <w:r w:rsidR="00DE14FE">
        <w:rPr>
          <w:rFonts w:ascii="Arial" w:hAnsi="Arial" w:cs="Arial"/>
          <w:sz w:val="18"/>
          <w:szCs w:val="18"/>
        </w:rPr>
        <w:t>.</w:t>
      </w:r>
    </w:p>
  </w:footnote>
  <w:footnote w:id="20">
    <w:p w14:paraId="443A66B8" w14:textId="1C840D76" w:rsidR="00473D28" w:rsidRPr="008415EB" w:rsidRDefault="00473D28" w:rsidP="00473D28">
      <w:pPr>
        <w:autoSpaceDE w:val="0"/>
        <w:autoSpaceDN w:val="0"/>
        <w:adjustRightInd w:val="0"/>
        <w:jc w:val="both"/>
        <w:rPr>
          <w:rFonts w:ascii="Arial" w:hAnsi="Arial" w:cs="Arial"/>
          <w:sz w:val="18"/>
          <w:szCs w:val="18"/>
        </w:rPr>
      </w:pPr>
      <w:r w:rsidRPr="008415EB">
        <w:rPr>
          <w:rStyle w:val="FootnoteReference"/>
          <w:rFonts w:ascii="Arial" w:eastAsia="Arial" w:hAnsi="Arial" w:cs="Arial"/>
          <w:sz w:val="18"/>
          <w:szCs w:val="18"/>
        </w:rPr>
        <w:footnoteRef/>
      </w:r>
      <w:r w:rsidRPr="008415EB">
        <w:rPr>
          <w:rFonts w:ascii="Arial" w:hAnsi="Arial" w:cs="Arial"/>
          <w:sz w:val="18"/>
          <w:szCs w:val="18"/>
        </w:rPr>
        <w:t xml:space="preserve"> </w:t>
      </w:r>
      <w:proofErr w:type="spellStart"/>
      <w:r w:rsidRPr="008415EB">
        <w:rPr>
          <w:rFonts w:ascii="Arial" w:hAnsi="Arial" w:cs="Arial"/>
          <w:sz w:val="18"/>
          <w:szCs w:val="18"/>
        </w:rPr>
        <w:t>Nabaneh</w:t>
      </w:r>
      <w:proofErr w:type="spellEnd"/>
      <w:r w:rsidRPr="008415EB">
        <w:rPr>
          <w:rFonts w:ascii="Arial" w:hAnsi="Arial" w:cs="Arial"/>
          <w:sz w:val="18"/>
          <w:szCs w:val="18"/>
        </w:rPr>
        <w:t xml:space="preserve"> &amp; A </w:t>
      </w:r>
      <w:proofErr w:type="spellStart"/>
      <w:r w:rsidRPr="008415EB">
        <w:rPr>
          <w:rFonts w:ascii="Arial" w:hAnsi="Arial" w:cs="Arial"/>
          <w:sz w:val="18"/>
          <w:szCs w:val="18"/>
        </w:rPr>
        <w:t>Muula</w:t>
      </w:r>
      <w:proofErr w:type="spellEnd"/>
      <w:r w:rsidRPr="008415EB">
        <w:rPr>
          <w:rFonts w:ascii="Arial" w:hAnsi="Arial" w:cs="Arial"/>
          <w:sz w:val="18"/>
          <w:szCs w:val="18"/>
        </w:rPr>
        <w:t xml:space="preserve"> ‘Female </w:t>
      </w:r>
      <w:r w:rsidR="00DE14FE">
        <w:rPr>
          <w:rFonts w:ascii="Arial" w:hAnsi="Arial" w:cs="Arial"/>
          <w:sz w:val="18"/>
          <w:szCs w:val="18"/>
        </w:rPr>
        <w:t>G</w:t>
      </w:r>
      <w:r w:rsidRPr="008415EB">
        <w:rPr>
          <w:rFonts w:ascii="Arial" w:hAnsi="Arial" w:cs="Arial"/>
          <w:sz w:val="18"/>
          <w:szCs w:val="18"/>
        </w:rPr>
        <w:t xml:space="preserve">enital </w:t>
      </w:r>
      <w:r w:rsidR="00DE14FE">
        <w:rPr>
          <w:rFonts w:ascii="Arial" w:hAnsi="Arial" w:cs="Arial"/>
          <w:sz w:val="18"/>
          <w:szCs w:val="18"/>
        </w:rPr>
        <w:t>M</w:t>
      </w:r>
      <w:r w:rsidRPr="008415EB">
        <w:rPr>
          <w:rFonts w:ascii="Arial" w:hAnsi="Arial" w:cs="Arial"/>
          <w:sz w:val="18"/>
          <w:szCs w:val="18"/>
        </w:rPr>
        <w:t>utilation/</w:t>
      </w:r>
      <w:r w:rsidR="00DE14FE">
        <w:rPr>
          <w:rFonts w:ascii="Arial" w:hAnsi="Arial" w:cs="Arial"/>
          <w:sz w:val="18"/>
          <w:szCs w:val="18"/>
        </w:rPr>
        <w:t>C</w:t>
      </w:r>
      <w:r w:rsidRPr="008415EB">
        <w:rPr>
          <w:rFonts w:ascii="Arial" w:hAnsi="Arial" w:cs="Arial"/>
          <w:sz w:val="18"/>
          <w:szCs w:val="18"/>
        </w:rPr>
        <w:t xml:space="preserve">utting: A </w:t>
      </w:r>
      <w:r w:rsidR="00DE14FE">
        <w:rPr>
          <w:rFonts w:ascii="Arial" w:hAnsi="Arial" w:cs="Arial"/>
          <w:sz w:val="18"/>
          <w:szCs w:val="18"/>
        </w:rPr>
        <w:t>C</w:t>
      </w:r>
      <w:r w:rsidRPr="008415EB">
        <w:rPr>
          <w:rFonts w:ascii="Arial" w:hAnsi="Arial" w:cs="Arial"/>
          <w:sz w:val="18"/>
          <w:szCs w:val="18"/>
        </w:rPr>
        <w:t xml:space="preserve">omplex </w:t>
      </w:r>
      <w:r w:rsidR="00DE14FE">
        <w:rPr>
          <w:rFonts w:ascii="Arial" w:hAnsi="Arial" w:cs="Arial"/>
          <w:sz w:val="18"/>
          <w:szCs w:val="18"/>
        </w:rPr>
        <w:t>L</w:t>
      </w:r>
      <w:r w:rsidRPr="008415EB">
        <w:rPr>
          <w:rFonts w:ascii="Arial" w:hAnsi="Arial" w:cs="Arial"/>
          <w:sz w:val="18"/>
          <w:szCs w:val="18"/>
        </w:rPr>
        <w:t xml:space="preserve">egal and </w:t>
      </w:r>
      <w:r w:rsidR="00DE14FE">
        <w:rPr>
          <w:rFonts w:ascii="Arial" w:hAnsi="Arial" w:cs="Arial"/>
          <w:sz w:val="18"/>
          <w:szCs w:val="18"/>
        </w:rPr>
        <w:t>E</w:t>
      </w:r>
      <w:r w:rsidRPr="008415EB">
        <w:rPr>
          <w:rFonts w:ascii="Arial" w:hAnsi="Arial" w:cs="Arial"/>
          <w:sz w:val="18"/>
          <w:szCs w:val="18"/>
        </w:rPr>
        <w:t xml:space="preserve">thical </w:t>
      </w:r>
      <w:r w:rsidR="00DE14FE">
        <w:rPr>
          <w:rFonts w:ascii="Arial" w:hAnsi="Arial" w:cs="Arial"/>
          <w:sz w:val="18"/>
          <w:szCs w:val="18"/>
        </w:rPr>
        <w:t>L</w:t>
      </w:r>
      <w:r w:rsidRPr="008415EB">
        <w:rPr>
          <w:rFonts w:ascii="Arial" w:hAnsi="Arial" w:cs="Arial"/>
          <w:sz w:val="18"/>
          <w:szCs w:val="18"/>
        </w:rPr>
        <w:t xml:space="preserve">andscape’ (2019) 145(2) </w:t>
      </w:r>
      <w:r w:rsidRPr="008415EB">
        <w:rPr>
          <w:rFonts w:ascii="Arial" w:hAnsi="Arial" w:cs="Arial"/>
          <w:i/>
          <w:iCs/>
          <w:sz w:val="18"/>
          <w:szCs w:val="18"/>
        </w:rPr>
        <w:t xml:space="preserve">International Journal of Gynecology &amp; Obstetrics </w:t>
      </w:r>
      <w:r w:rsidRPr="008415EB">
        <w:rPr>
          <w:rFonts w:ascii="Arial" w:hAnsi="Arial" w:cs="Arial"/>
          <w:sz w:val="18"/>
          <w:szCs w:val="18"/>
        </w:rPr>
        <w:t xml:space="preserve">253–257.; see also E </w:t>
      </w:r>
      <w:proofErr w:type="spellStart"/>
      <w:r w:rsidRPr="008415EB">
        <w:rPr>
          <w:rFonts w:ascii="Arial" w:hAnsi="Arial" w:cs="Arial"/>
          <w:sz w:val="18"/>
          <w:szCs w:val="18"/>
        </w:rPr>
        <w:t>Durojaye</w:t>
      </w:r>
      <w:proofErr w:type="spellEnd"/>
      <w:r w:rsidRPr="008415EB">
        <w:rPr>
          <w:rFonts w:ascii="Arial" w:hAnsi="Arial" w:cs="Arial"/>
          <w:sz w:val="18"/>
          <w:szCs w:val="18"/>
        </w:rPr>
        <w:t xml:space="preserve"> &amp; P </w:t>
      </w:r>
      <w:proofErr w:type="spellStart"/>
      <w:r w:rsidRPr="008415EB">
        <w:rPr>
          <w:rFonts w:ascii="Arial" w:hAnsi="Arial" w:cs="Arial"/>
          <w:sz w:val="18"/>
          <w:szCs w:val="18"/>
        </w:rPr>
        <w:t>Sonne</w:t>
      </w:r>
      <w:proofErr w:type="spellEnd"/>
      <w:r w:rsidRPr="008415EB">
        <w:rPr>
          <w:rFonts w:ascii="Arial" w:hAnsi="Arial" w:cs="Arial"/>
          <w:sz w:val="18"/>
          <w:szCs w:val="18"/>
        </w:rPr>
        <w:t xml:space="preserve"> ‘A holistic approach to addressing female genital cutting (FGC) in Africa: The relevance of the protocol to the African charter on the rights of women’ (2011) </w:t>
      </w:r>
      <w:proofErr w:type="spellStart"/>
      <w:r w:rsidRPr="008415EB">
        <w:rPr>
          <w:rFonts w:ascii="Arial" w:hAnsi="Arial" w:cs="Arial"/>
          <w:i/>
          <w:iCs/>
          <w:sz w:val="18"/>
          <w:szCs w:val="18"/>
        </w:rPr>
        <w:t>Akungba</w:t>
      </w:r>
      <w:proofErr w:type="spellEnd"/>
      <w:r w:rsidRPr="008415EB">
        <w:rPr>
          <w:rFonts w:ascii="Arial" w:hAnsi="Arial" w:cs="Arial"/>
          <w:i/>
          <w:iCs/>
          <w:sz w:val="18"/>
          <w:szCs w:val="18"/>
        </w:rPr>
        <w:t xml:space="preserve"> Law Review </w:t>
      </w:r>
      <w:r w:rsidRPr="008415EB">
        <w:rPr>
          <w:rFonts w:ascii="Arial" w:hAnsi="Arial" w:cs="Arial"/>
          <w:sz w:val="18"/>
          <w:szCs w:val="18"/>
        </w:rPr>
        <w:t>240–259.</w:t>
      </w:r>
    </w:p>
  </w:footnote>
  <w:footnote w:id="21">
    <w:p w14:paraId="4456CE29" w14:textId="40E44920" w:rsidR="002F2FB3" w:rsidRPr="008415EB" w:rsidRDefault="002F2FB3" w:rsidP="002F2FB3">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DE14FE" w:rsidRPr="00DE14FE">
        <w:rPr>
          <w:rFonts w:ascii="Arial" w:hAnsi="Arial" w:cs="Arial"/>
          <w:sz w:val="18"/>
          <w:szCs w:val="18"/>
        </w:rPr>
        <w:t>On the Day of the African Child, UNICEF alerts that it’s past time to end female genital mutilation and child marriage in The Gambia</w:t>
      </w:r>
      <w:r w:rsidR="00DE14FE">
        <w:rPr>
          <w:rFonts w:ascii="Arial" w:hAnsi="Arial" w:cs="Arial"/>
          <w:sz w:val="18"/>
          <w:szCs w:val="18"/>
        </w:rPr>
        <w:t xml:space="preserve">, UNICEF, 15 June 2022, </w:t>
      </w:r>
      <w:hyperlink r:id="rId10" w:history="1">
        <w:r w:rsidR="00DE14FE" w:rsidRPr="00DB6E17">
          <w:rPr>
            <w:rStyle w:val="Hyperlink"/>
            <w:rFonts w:ascii="Arial" w:hAnsi="Arial" w:cs="Arial"/>
            <w:sz w:val="18"/>
            <w:szCs w:val="18"/>
          </w:rPr>
          <w:t>https://www.unicef.org/gambia/press-releases/day-african-child-unicef-alerts-its-past-time-end-female-genital-mutilation-a</w:t>
        </w:r>
        <w:r w:rsidR="00DE14FE" w:rsidRPr="00DB6E17">
          <w:rPr>
            <w:rStyle w:val="Hyperlink"/>
            <w:rFonts w:ascii="Arial" w:hAnsi="Arial" w:cs="Arial"/>
            <w:sz w:val="18"/>
            <w:szCs w:val="18"/>
          </w:rPr>
          <w:t>n</w:t>
        </w:r>
        <w:r w:rsidR="00DE14FE" w:rsidRPr="00DB6E17">
          <w:rPr>
            <w:rStyle w:val="Hyperlink"/>
            <w:rFonts w:ascii="Arial" w:hAnsi="Arial" w:cs="Arial"/>
            <w:sz w:val="18"/>
            <w:szCs w:val="18"/>
          </w:rPr>
          <w:t>d</w:t>
        </w:r>
      </w:hyperlink>
      <w:r w:rsidR="00DE14FE">
        <w:rPr>
          <w:rFonts w:ascii="Arial" w:hAnsi="Arial" w:cs="Arial"/>
          <w:sz w:val="18"/>
          <w:szCs w:val="18"/>
        </w:rPr>
        <w:t>.</w:t>
      </w:r>
    </w:p>
  </w:footnote>
  <w:footnote w:id="22">
    <w:p w14:paraId="3FA218CB" w14:textId="1547371F" w:rsidR="00473D28" w:rsidRPr="008415EB" w:rsidRDefault="00473D28" w:rsidP="00473D28">
      <w:pPr>
        <w:pStyle w:val="FootnoteText"/>
        <w:rPr>
          <w:rFonts w:ascii="Arial" w:hAnsi="Arial" w:cs="Arial"/>
          <w:sz w:val="18"/>
          <w:szCs w:val="18"/>
          <w:lang w:val="en-GB"/>
        </w:rPr>
      </w:pPr>
      <w:r w:rsidRPr="008415EB">
        <w:rPr>
          <w:rStyle w:val="FootnoteReference"/>
          <w:rFonts w:ascii="Arial" w:eastAsia="Arial" w:hAnsi="Arial" w:cs="Arial"/>
          <w:sz w:val="18"/>
          <w:szCs w:val="18"/>
        </w:rPr>
        <w:footnoteRef/>
      </w:r>
      <w:r w:rsidRPr="008415EB">
        <w:rPr>
          <w:rFonts w:ascii="Arial" w:hAnsi="Arial" w:cs="Arial"/>
          <w:sz w:val="18"/>
          <w:szCs w:val="18"/>
        </w:rPr>
        <w:t xml:space="preserve"> </w:t>
      </w:r>
      <w:r w:rsidRPr="008415EB">
        <w:rPr>
          <w:rFonts w:ascii="Arial" w:hAnsi="Arial" w:cs="Arial"/>
          <w:color w:val="000000" w:themeColor="text1"/>
          <w:sz w:val="18"/>
          <w:szCs w:val="18"/>
        </w:rPr>
        <w:t xml:space="preserve">Ebenezer </w:t>
      </w:r>
      <w:proofErr w:type="spellStart"/>
      <w:r w:rsidRPr="008415EB">
        <w:rPr>
          <w:rFonts w:ascii="Arial" w:hAnsi="Arial" w:cs="Arial"/>
          <w:color w:val="000000" w:themeColor="text1"/>
          <w:sz w:val="18"/>
          <w:szCs w:val="18"/>
        </w:rPr>
        <w:t>Durojaye</w:t>
      </w:r>
      <w:proofErr w:type="spellEnd"/>
      <w:r w:rsidRPr="008415EB">
        <w:rPr>
          <w:rFonts w:ascii="Arial" w:hAnsi="Arial" w:cs="Arial"/>
          <w:color w:val="000000" w:themeColor="text1"/>
          <w:sz w:val="18"/>
          <w:szCs w:val="18"/>
        </w:rPr>
        <w:t xml:space="preserve"> and Satang </w:t>
      </w:r>
      <w:proofErr w:type="spellStart"/>
      <w:r w:rsidRPr="008415EB">
        <w:rPr>
          <w:rFonts w:ascii="Arial" w:hAnsi="Arial" w:cs="Arial"/>
          <w:color w:val="000000" w:themeColor="text1"/>
          <w:sz w:val="18"/>
          <w:szCs w:val="18"/>
        </w:rPr>
        <w:t>Nabaneh</w:t>
      </w:r>
      <w:proofErr w:type="spellEnd"/>
      <w:r w:rsidRPr="008415EB">
        <w:rPr>
          <w:rFonts w:ascii="Arial" w:hAnsi="Arial" w:cs="Arial"/>
          <w:color w:val="000000" w:themeColor="text1"/>
          <w:sz w:val="18"/>
          <w:szCs w:val="18"/>
        </w:rPr>
        <w:t xml:space="preserve">, </w:t>
      </w:r>
      <w:r w:rsidRPr="008415EB">
        <w:rPr>
          <w:rFonts w:ascii="Arial" w:hAnsi="Arial" w:cs="Arial"/>
          <w:bCs/>
          <w:i/>
          <w:color w:val="111111"/>
          <w:sz w:val="18"/>
          <w:szCs w:val="18"/>
          <w:lang w:val="en"/>
        </w:rPr>
        <w:t>Addressing female genital cutting/mutilation (FGC/M) in The Gambia</w:t>
      </w:r>
      <w:r w:rsidRPr="008415EB">
        <w:rPr>
          <w:rFonts w:ascii="Arial" w:hAnsi="Arial" w:cs="Arial"/>
          <w:b/>
          <w:bCs/>
          <w:color w:val="111111"/>
          <w:sz w:val="18"/>
          <w:szCs w:val="18"/>
          <w:lang w:val="en"/>
        </w:rPr>
        <w:t>, (</w:t>
      </w:r>
      <w:r w:rsidRPr="008415EB">
        <w:rPr>
          <w:rFonts w:ascii="Arial" w:hAnsi="Arial" w:cs="Arial"/>
          <w:bCs/>
          <w:color w:val="111111"/>
          <w:sz w:val="18"/>
          <w:szCs w:val="18"/>
          <w:lang w:val="en"/>
        </w:rPr>
        <w:t>2021),</w:t>
      </w:r>
      <w:r w:rsidRPr="008415EB">
        <w:rPr>
          <w:rFonts w:ascii="Arial" w:hAnsi="Arial" w:cs="Arial"/>
          <w:b/>
          <w:bCs/>
          <w:color w:val="111111"/>
          <w:sz w:val="18"/>
          <w:szCs w:val="18"/>
          <w:lang w:val="en"/>
        </w:rPr>
        <w:t xml:space="preserve"> </w:t>
      </w:r>
      <w:r w:rsidR="00DE14FE">
        <w:rPr>
          <w:rFonts w:ascii="Arial" w:hAnsi="Arial" w:cs="Arial"/>
          <w:bCs/>
          <w:color w:val="111111"/>
          <w:sz w:val="18"/>
          <w:szCs w:val="18"/>
          <w:lang w:val="en"/>
        </w:rPr>
        <w:t>p</w:t>
      </w:r>
      <w:r w:rsidRPr="008415EB">
        <w:rPr>
          <w:rFonts w:ascii="Arial" w:hAnsi="Arial" w:cs="Arial"/>
          <w:bCs/>
          <w:color w:val="111111"/>
          <w:sz w:val="18"/>
          <w:szCs w:val="18"/>
          <w:lang w:val="en"/>
        </w:rPr>
        <w:t>. 126</w:t>
      </w:r>
      <w:r w:rsidR="00DE14FE">
        <w:rPr>
          <w:rFonts w:ascii="Arial" w:hAnsi="Arial" w:cs="Arial"/>
          <w:bCs/>
          <w:color w:val="111111"/>
          <w:sz w:val="18"/>
          <w:szCs w:val="18"/>
          <w:lang w:val="en"/>
        </w:rPr>
        <w:t>-</w:t>
      </w:r>
      <w:r w:rsidRPr="008415EB">
        <w:rPr>
          <w:rFonts w:ascii="Arial" w:hAnsi="Arial" w:cs="Arial"/>
          <w:bCs/>
          <w:color w:val="111111"/>
          <w:sz w:val="18"/>
          <w:szCs w:val="18"/>
          <w:lang w:val="en"/>
        </w:rPr>
        <w:t>127</w:t>
      </w:r>
      <w:r w:rsidR="00DE14FE">
        <w:rPr>
          <w:rFonts w:ascii="Arial" w:hAnsi="Arial" w:cs="Arial"/>
          <w:bCs/>
          <w:color w:val="111111"/>
          <w:sz w:val="18"/>
          <w:szCs w:val="18"/>
          <w:lang w:val="en"/>
        </w:rPr>
        <w:t>.</w:t>
      </w:r>
    </w:p>
  </w:footnote>
  <w:footnote w:id="23">
    <w:p w14:paraId="489DF891" w14:textId="681A5C80" w:rsidR="00473D28" w:rsidRPr="008415EB" w:rsidRDefault="00473D28" w:rsidP="00473D28">
      <w:pPr>
        <w:pStyle w:val="FootnoteText"/>
        <w:rPr>
          <w:rFonts w:ascii="Arial" w:hAnsi="Arial" w:cs="Arial"/>
          <w:sz w:val="18"/>
          <w:szCs w:val="18"/>
          <w:lang w:val="en-GB"/>
        </w:rPr>
      </w:pPr>
      <w:r w:rsidRPr="008415EB">
        <w:rPr>
          <w:rStyle w:val="FootnoteReference"/>
          <w:rFonts w:ascii="Arial" w:eastAsia="Arial" w:hAnsi="Arial" w:cs="Arial"/>
          <w:sz w:val="18"/>
          <w:szCs w:val="18"/>
        </w:rPr>
        <w:footnoteRef/>
      </w:r>
      <w:r w:rsidRPr="008415EB">
        <w:rPr>
          <w:rFonts w:ascii="Arial" w:hAnsi="Arial" w:cs="Arial"/>
          <w:b/>
          <w:bCs/>
          <w:color w:val="111111"/>
          <w:sz w:val="18"/>
          <w:szCs w:val="18"/>
          <w:lang w:val="en"/>
        </w:rPr>
        <w:t xml:space="preserve"> </w:t>
      </w:r>
      <w:r w:rsidRPr="008415EB">
        <w:rPr>
          <w:rFonts w:ascii="Arial" w:hAnsi="Arial" w:cs="Arial"/>
          <w:bCs/>
          <w:color w:val="111111"/>
          <w:sz w:val="18"/>
          <w:szCs w:val="18"/>
          <w:lang w:val="en"/>
        </w:rPr>
        <w:t>Ibid</w:t>
      </w:r>
      <w:r w:rsidR="00DE14FE">
        <w:rPr>
          <w:rFonts w:ascii="Arial" w:hAnsi="Arial" w:cs="Arial"/>
          <w:bCs/>
          <w:color w:val="111111"/>
          <w:sz w:val="18"/>
          <w:szCs w:val="18"/>
          <w:lang w:val="en"/>
        </w:rPr>
        <w:t>.</w:t>
      </w:r>
    </w:p>
  </w:footnote>
  <w:footnote w:id="24">
    <w:p w14:paraId="5F8BF871" w14:textId="5ED2D4AC" w:rsidR="00787593" w:rsidRPr="008415EB" w:rsidRDefault="00787593" w:rsidP="00787593">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A P</w:t>
      </w:r>
      <w:r w:rsidR="00DE14FE">
        <w:rPr>
          <w:rFonts w:ascii="Arial" w:hAnsi="Arial" w:cs="Arial"/>
          <w:sz w:val="18"/>
          <w:szCs w:val="18"/>
        </w:rPr>
        <w:t xml:space="preserve">andemic of the State and Home: </w:t>
      </w:r>
      <w:r w:rsidRPr="008415EB">
        <w:rPr>
          <w:rFonts w:ascii="Arial" w:hAnsi="Arial" w:cs="Arial"/>
          <w:sz w:val="18"/>
          <w:szCs w:val="18"/>
        </w:rPr>
        <w:t xml:space="preserve">Gambian </w:t>
      </w:r>
      <w:r w:rsidR="00DE14FE">
        <w:rPr>
          <w:rFonts w:ascii="Arial" w:hAnsi="Arial" w:cs="Arial"/>
          <w:sz w:val="18"/>
          <w:szCs w:val="18"/>
        </w:rPr>
        <w:t>Wo</w:t>
      </w:r>
      <w:r w:rsidRPr="008415EB">
        <w:rPr>
          <w:rFonts w:ascii="Arial" w:hAnsi="Arial" w:cs="Arial"/>
          <w:sz w:val="18"/>
          <w:szCs w:val="18"/>
        </w:rPr>
        <w:t xml:space="preserve">men’s </w:t>
      </w:r>
      <w:r w:rsidR="00DE14FE">
        <w:rPr>
          <w:rFonts w:ascii="Arial" w:hAnsi="Arial" w:cs="Arial"/>
          <w:sz w:val="18"/>
          <w:szCs w:val="18"/>
        </w:rPr>
        <w:t>E</w:t>
      </w:r>
      <w:r w:rsidRPr="008415EB">
        <w:rPr>
          <w:rFonts w:ascii="Arial" w:hAnsi="Arial" w:cs="Arial"/>
          <w:sz w:val="18"/>
          <w:szCs w:val="18"/>
        </w:rPr>
        <w:t xml:space="preserve">xperiences of </w:t>
      </w:r>
      <w:r w:rsidR="00DE14FE">
        <w:rPr>
          <w:rFonts w:ascii="Arial" w:hAnsi="Arial" w:cs="Arial"/>
          <w:sz w:val="18"/>
          <w:szCs w:val="18"/>
        </w:rPr>
        <w:t>S</w:t>
      </w:r>
      <w:r w:rsidRPr="008415EB">
        <w:rPr>
          <w:rFonts w:ascii="Arial" w:hAnsi="Arial" w:cs="Arial"/>
          <w:sz w:val="18"/>
          <w:szCs w:val="18"/>
        </w:rPr>
        <w:t xml:space="preserve">exual and </w:t>
      </w:r>
      <w:r w:rsidR="00DE14FE">
        <w:rPr>
          <w:rFonts w:ascii="Arial" w:hAnsi="Arial" w:cs="Arial"/>
          <w:sz w:val="18"/>
          <w:szCs w:val="18"/>
        </w:rPr>
        <w:t>G</w:t>
      </w:r>
      <w:r w:rsidRPr="008415EB">
        <w:rPr>
          <w:rFonts w:ascii="Arial" w:hAnsi="Arial" w:cs="Arial"/>
          <w:sz w:val="18"/>
          <w:szCs w:val="18"/>
        </w:rPr>
        <w:t xml:space="preserve">ender </w:t>
      </w:r>
      <w:r w:rsidR="00DE14FE">
        <w:rPr>
          <w:rFonts w:ascii="Arial" w:hAnsi="Arial" w:cs="Arial"/>
          <w:sz w:val="18"/>
          <w:szCs w:val="18"/>
        </w:rPr>
        <w:t>Ba</w:t>
      </w:r>
      <w:r w:rsidRPr="008415EB">
        <w:rPr>
          <w:rFonts w:ascii="Arial" w:hAnsi="Arial" w:cs="Arial"/>
          <w:sz w:val="18"/>
          <w:szCs w:val="18"/>
        </w:rPr>
        <w:t xml:space="preserve">sed </w:t>
      </w:r>
      <w:r w:rsidR="00DE14FE">
        <w:rPr>
          <w:rFonts w:ascii="Arial" w:hAnsi="Arial" w:cs="Arial"/>
          <w:sz w:val="18"/>
          <w:szCs w:val="18"/>
        </w:rPr>
        <w:t>Vi</w:t>
      </w:r>
      <w:r w:rsidRPr="008415EB">
        <w:rPr>
          <w:rFonts w:ascii="Arial" w:hAnsi="Arial" w:cs="Arial"/>
          <w:sz w:val="18"/>
          <w:szCs w:val="18"/>
        </w:rPr>
        <w:t>olence during Covid-19</w:t>
      </w:r>
      <w:r w:rsidR="00DE14FE">
        <w:rPr>
          <w:rFonts w:ascii="Arial" w:hAnsi="Arial" w:cs="Arial"/>
          <w:sz w:val="18"/>
          <w:szCs w:val="18"/>
        </w:rPr>
        <w:t>,</w:t>
      </w:r>
      <w:r w:rsidRPr="008415EB">
        <w:rPr>
          <w:rFonts w:ascii="Arial" w:hAnsi="Arial" w:cs="Arial"/>
          <w:sz w:val="18"/>
          <w:szCs w:val="18"/>
        </w:rPr>
        <w:t xml:space="preserve"> </w:t>
      </w:r>
      <w:r w:rsidR="00DE14FE" w:rsidRPr="008415EB">
        <w:rPr>
          <w:rFonts w:ascii="Arial" w:hAnsi="Arial" w:cs="Arial"/>
          <w:sz w:val="18"/>
          <w:szCs w:val="18"/>
        </w:rPr>
        <w:t>Equals Now; Open Society Initiative for West Africa (OSIWA)</w:t>
      </w:r>
      <w:r w:rsidR="00DE14FE">
        <w:rPr>
          <w:rFonts w:ascii="Arial" w:hAnsi="Arial" w:cs="Arial"/>
          <w:sz w:val="18"/>
          <w:szCs w:val="18"/>
        </w:rPr>
        <w:t xml:space="preserve">, 30 </w:t>
      </w:r>
      <w:r w:rsidRPr="008415EB">
        <w:rPr>
          <w:rFonts w:ascii="Arial" w:hAnsi="Arial" w:cs="Arial"/>
          <w:sz w:val="18"/>
          <w:szCs w:val="18"/>
        </w:rPr>
        <w:t>Septembe</w:t>
      </w:r>
      <w:r w:rsidR="00DE14FE">
        <w:rPr>
          <w:rFonts w:ascii="Arial" w:hAnsi="Arial" w:cs="Arial"/>
          <w:sz w:val="18"/>
          <w:szCs w:val="18"/>
        </w:rPr>
        <w:t>r</w:t>
      </w:r>
      <w:r w:rsidRPr="008415EB">
        <w:rPr>
          <w:rFonts w:ascii="Arial" w:hAnsi="Arial" w:cs="Arial"/>
          <w:sz w:val="18"/>
          <w:szCs w:val="18"/>
        </w:rPr>
        <w:t xml:space="preserve"> 2021, </w:t>
      </w:r>
      <w:hyperlink r:id="rId11" w:history="1">
        <w:r w:rsidRPr="008415EB">
          <w:rPr>
            <w:rStyle w:val="Hyperlink"/>
            <w:rFonts w:ascii="Arial" w:hAnsi="Arial" w:cs="Arial"/>
            <w:sz w:val="18"/>
            <w:szCs w:val="18"/>
          </w:rPr>
          <w:t>http://equalsnow.org/wp-content/uploads/2022/07/</w:t>
        </w:r>
        <w:r w:rsidRPr="008415EB">
          <w:rPr>
            <w:rStyle w:val="Hyperlink"/>
            <w:rFonts w:ascii="Arial" w:hAnsi="Arial" w:cs="Arial"/>
            <w:sz w:val="18"/>
            <w:szCs w:val="18"/>
          </w:rPr>
          <w:t>P</w:t>
        </w:r>
        <w:r w:rsidRPr="008415EB">
          <w:rPr>
            <w:rStyle w:val="Hyperlink"/>
            <w:rFonts w:ascii="Arial" w:hAnsi="Arial" w:cs="Arial"/>
            <w:sz w:val="18"/>
            <w:szCs w:val="18"/>
          </w:rPr>
          <w:t>andemic-of-the-State-and-Home.pdf</w:t>
        </w:r>
      </w:hyperlink>
      <w:r w:rsidR="00DE14FE">
        <w:rPr>
          <w:rStyle w:val="Hyperlink"/>
          <w:rFonts w:ascii="Arial" w:hAnsi="Arial" w:cs="Arial"/>
          <w:sz w:val="18"/>
          <w:szCs w:val="18"/>
        </w:rPr>
        <w:t>.</w:t>
      </w:r>
    </w:p>
  </w:footnote>
  <w:footnote w:id="25">
    <w:p w14:paraId="772B5719" w14:textId="438F678D" w:rsidR="00F32434" w:rsidRPr="008415EB" w:rsidRDefault="00F32434">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The Gambia State Party Report</w:t>
      </w:r>
      <w:r w:rsidR="00A368F7">
        <w:rPr>
          <w:rFonts w:ascii="Arial" w:hAnsi="Arial" w:cs="Arial"/>
          <w:sz w:val="18"/>
          <w:szCs w:val="18"/>
        </w:rPr>
        <w:t>, CEDAW 83</w:t>
      </w:r>
      <w:r w:rsidR="00A368F7" w:rsidRPr="00A368F7">
        <w:rPr>
          <w:rFonts w:ascii="Arial" w:hAnsi="Arial" w:cs="Arial"/>
          <w:sz w:val="18"/>
          <w:szCs w:val="18"/>
          <w:vertAlign w:val="superscript"/>
        </w:rPr>
        <w:t>rd</w:t>
      </w:r>
      <w:r w:rsidR="00A368F7">
        <w:rPr>
          <w:rFonts w:ascii="Arial" w:hAnsi="Arial" w:cs="Arial"/>
          <w:sz w:val="18"/>
          <w:szCs w:val="18"/>
        </w:rPr>
        <w:t xml:space="preserve"> Session</w:t>
      </w:r>
      <w:r w:rsidRPr="008415EB">
        <w:rPr>
          <w:rFonts w:ascii="Arial" w:hAnsi="Arial" w:cs="Arial"/>
          <w:sz w:val="18"/>
          <w:szCs w:val="18"/>
        </w:rPr>
        <w:t xml:space="preserve">, </w:t>
      </w:r>
      <w:r w:rsidR="00A368F7">
        <w:rPr>
          <w:rFonts w:ascii="Arial" w:hAnsi="Arial" w:cs="Arial"/>
          <w:sz w:val="18"/>
          <w:szCs w:val="18"/>
        </w:rPr>
        <w:t xml:space="preserve">2 December 2020, </w:t>
      </w:r>
      <w:r w:rsidR="00D1213B">
        <w:rPr>
          <w:rFonts w:ascii="Arial" w:hAnsi="Arial" w:cs="Arial"/>
          <w:sz w:val="18"/>
          <w:szCs w:val="18"/>
        </w:rPr>
        <w:t xml:space="preserve">(hereinafter “Gambia State Party Report”), </w:t>
      </w:r>
      <w:r w:rsidRPr="008415EB">
        <w:rPr>
          <w:rFonts w:ascii="Arial" w:hAnsi="Arial" w:cs="Arial"/>
          <w:sz w:val="18"/>
          <w:szCs w:val="18"/>
        </w:rPr>
        <w:t xml:space="preserve">para 78. </w:t>
      </w:r>
    </w:p>
  </w:footnote>
  <w:footnote w:id="26">
    <w:p w14:paraId="0A1A1682" w14:textId="33F85A01" w:rsidR="003452C1" w:rsidRPr="008415EB" w:rsidRDefault="003452C1" w:rsidP="003452C1">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w:t>
      </w:r>
      <w:r w:rsidR="00C05CE1" w:rsidRPr="00C05CE1">
        <w:rPr>
          <w:rFonts w:ascii="Arial" w:hAnsi="Arial" w:cs="Arial"/>
          <w:sz w:val="18"/>
          <w:szCs w:val="18"/>
        </w:rPr>
        <w:t xml:space="preserve">Polygamy is </w:t>
      </w:r>
      <w:r w:rsidR="00C05CE1">
        <w:rPr>
          <w:rFonts w:ascii="Arial" w:hAnsi="Arial" w:cs="Arial"/>
          <w:sz w:val="18"/>
          <w:szCs w:val="18"/>
        </w:rPr>
        <w:t>R</w:t>
      </w:r>
      <w:r w:rsidR="00C05CE1" w:rsidRPr="00C05CE1">
        <w:rPr>
          <w:rFonts w:ascii="Arial" w:hAnsi="Arial" w:cs="Arial"/>
          <w:sz w:val="18"/>
          <w:szCs w:val="18"/>
        </w:rPr>
        <w:t xml:space="preserve">are </w:t>
      </w:r>
      <w:r w:rsidR="00C05CE1">
        <w:rPr>
          <w:rFonts w:ascii="Arial" w:hAnsi="Arial" w:cs="Arial"/>
          <w:sz w:val="18"/>
          <w:szCs w:val="18"/>
        </w:rPr>
        <w:t>A</w:t>
      </w:r>
      <w:r w:rsidR="00C05CE1" w:rsidRPr="00C05CE1">
        <w:rPr>
          <w:rFonts w:ascii="Arial" w:hAnsi="Arial" w:cs="Arial"/>
          <w:sz w:val="18"/>
          <w:szCs w:val="18"/>
        </w:rPr>
        <w:t xml:space="preserve">round the </w:t>
      </w:r>
      <w:r w:rsidR="00C05CE1">
        <w:rPr>
          <w:rFonts w:ascii="Arial" w:hAnsi="Arial" w:cs="Arial"/>
          <w:sz w:val="18"/>
          <w:szCs w:val="18"/>
        </w:rPr>
        <w:t>W</w:t>
      </w:r>
      <w:r w:rsidR="00C05CE1" w:rsidRPr="00C05CE1">
        <w:rPr>
          <w:rFonts w:ascii="Arial" w:hAnsi="Arial" w:cs="Arial"/>
          <w:sz w:val="18"/>
          <w:szCs w:val="18"/>
        </w:rPr>
        <w:t xml:space="preserve">orld and </w:t>
      </w:r>
      <w:r w:rsidR="00C05CE1">
        <w:rPr>
          <w:rFonts w:ascii="Arial" w:hAnsi="Arial" w:cs="Arial"/>
          <w:sz w:val="18"/>
          <w:szCs w:val="18"/>
        </w:rPr>
        <w:t>M</w:t>
      </w:r>
      <w:r w:rsidR="00C05CE1" w:rsidRPr="00C05CE1">
        <w:rPr>
          <w:rFonts w:ascii="Arial" w:hAnsi="Arial" w:cs="Arial"/>
          <w:sz w:val="18"/>
          <w:szCs w:val="18"/>
        </w:rPr>
        <w:t xml:space="preserve">ostly </w:t>
      </w:r>
      <w:r w:rsidR="00C05CE1">
        <w:rPr>
          <w:rFonts w:ascii="Arial" w:hAnsi="Arial" w:cs="Arial"/>
          <w:sz w:val="18"/>
          <w:szCs w:val="18"/>
        </w:rPr>
        <w:t>C</w:t>
      </w:r>
      <w:r w:rsidR="00C05CE1" w:rsidRPr="00C05CE1">
        <w:rPr>
          <w:rFonts w:ascii="Arial" w:hAnsi="Arial" w:cs="Arial"/>
          <w:sz w:val="18"/>
          <w:szCs w:val="18"/>
        </w:rPr>
        <w:t xml:space="preserve">onfined to a </w:t>
      </w:r>
      <w:r w:rsidR="00C05CE1">
        <w:rPr>
          <w:rFonts w:ascii="Arial" w:hAnsi="Arial" w:cs="Arial"/>
          <w:sz w:val="18"/>
          <w:szCs w:val="18"/>
        </w:rPr>
        <w:t>F</w:t>
      </w:r>
      <w:r w:rsidR="00C05CE1" w:rsidRPr="00C05CE1">
        <w:rPr>
          <w:rFonts w:ascii="Arial" w:hAnsi="Arial" w:cs="Arial"/>
          <w:sz w:val="18"/>
          <w:szCs w:val="18"/>
        </w:rPr>
        <w:t xml:space="preserve">ew </w:t>
      </w:r>
      <w:r w:rsidR="00C05CE1">
        <w:rPr>
          <w:rFonts w:ascii="Arial" w:hAnsi="Arial" w:cs="Arial"/>
          <w:sz w:val="18"/>
          <w:szCs w:val="18"/>
        </w:rPr>
        <w:t>R</w:t>
      </w:r>
      <w:r w:rsidR="00C05CE1" w:rsidRPr="00C05CE1">
        <w:rPr>
          <w:rFonts w:ascii="Arial" w:hAnsi="Arial" w:cs="Arial"/>
          <w:sz w:val="18"/>
          <w:szCs w:val="18"/>
        </w:rPr>
        <w:t>egions</w:t>
      </w:r>
      <w:r w:rsidR="00C05CE1">
        <w:rPr>
          <w:rFonts w:ascii="Arial" w:hAnsi="Arial" w:cs="Arial"/>
          <w:sz w:val="18"/>
          <w:szCs w:val="18"/>
        </w:rPr>
        <w:t xml:space="preserve">, Pew Research Center, </w:t>
      </w:r>
      <w:r w:rsidR="00C05CE1">
        <w:rPr>
          <w:rFonts w:ascii="Arial" w:hAnsi="Arial" w:cs="Arial"/>
          <w:sz w:val="18"/>
          <w:szCs w:val="18"/>
        </w:rPr>
        <w:t xml:space="preserve">7 December 2020, </w:t>
      </w:r>
      <w:hyperlink r:id="rId12" w:history="1">
        <w:r w:rsidR="00C05CE1" w:rsidRPr="00DB6E17">
          <w:rPr>
            <w:rStyle w:val="Hyperlink"/>
            <w:rFonts w:ascii="Arial" w:hAnsi="Arial" w:cs="Arial"/>
            <w:sz w:val="18"/>
            <w:szCs w:val="18"/>
          </w:rPr>
          <w:t>https://www.pe</w:t>
        </w:r>
        <w:r w:rsidR="00C05CE1" w:rsidRPr="00DB6E17">
          <w:rPr>
            <w:rStyle w:val="Hyperlink"/>
            <w:rFonts w:ascii="Arial" w:hAnsi="Arial" w:cs="Arial"/>
            <w:sz w:val="18"/>
            <w:szCs w:val="18"/>
          </w:rPr>
          <w:t>w</w:t>
        </w:r>
        <w:r w:rsidR="00C05CE1" w:rsidRPr="00DB6E17">
          <w:rPr>
            <w:rStyle w:val="Hyperlink"/>
            <w:rFonts w:ascii="Arial" w:hAnsi="Arial" w:cs="Arial"/>
            <w:sz w:val="18"/>
            <w:szCs w:val="18"/>
          </w:rPr>
          <w:t>research.org/fact-tank/2020/12/07/polygamy-is-rare-around-the-world-and-mostly-confined-to-a-few-regions/</w:t>
        </w:r>
      </w:hyperlink>
      <w:r w:rsidR="00C05CE1">
        <w:rPr>
          <w:rFonts w:ascii="Arial" w:hAnsi="Arial" w:cs="Arial"/>
          <w:sz w:val="18"/>
          <w:szCs w:val="18"/>
        </w:rPr>
        <w:t>.</w:t>
      </w:r>
    </w:p>
  </w:footnote>
  <w:footnote w:id="27">
    <w:p w14:paraId="488F7523" w14:textId="66592C44" w:rsidR="00D46770" w:rsidRPr="008415EB" w:rsidRDefault="00D46770" w:rsidP="00D46770">
      <w:pPr>
        <w:pStyle w:val="FootnoteText"/>
        <w:rPr>
          <w:rFonts w:ascii="Arial" w:hAnsi="Arial" w:cs="Arial"/>
          <w:sz w:val="18"/>
          <w:szCs w:val="18"/>
        </w:rPr>
      </w:pPr>
      <w:r w:rsidRPr="008415EB">
        <w:rPr>
          <w:rStyle w:val="FootnoteReference"/>
          <w:rFonts w:ascii="Arial" w:hAnsi="Arial" w:cs="Arial"/>
          <w:sz w:val="18"/>
          <w:szCs w:val="18"/>
        </w:rPr>
        <w:footnoteRef/>
      </w:r>
      <w:r w:rsidR="00C05CE1">
        <w:rPr>
          <w:rFonts w:ascii="Arial" w:hAnsi="Arial" w:cs="Arial"/>
          <w:sz w:val="18"/>
          <w:szCs w:val="18"/>
        </w:rPr>
        <w:t xml:space="preserve"> Ibid.</w:t>
      </w:r>
    </w:p>
  </w:footnote>
  <w:footnote w:id="28">
    <w:p w14:paraId="60C6DC34" w14:textId="5F8A85C2" w:rsidR="00780BCE" w:rsidRPr="008415EB" w:rsidRDefault="00780BCE" w:rsidP="00780BCE">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The Gambia Demographic and Health Survey 2019-2020, </w:t>
      </w:r>
      <w:r w:rsidR="00D1213B">
        <w:rPr>
          <w:rFonts w:ascii="Arial" w:hAnsi="Arial" w:cs="Arial"/>
          <w:sz w:val="18"/>
          <w:szCs w:val="18"/>
        </w:rPr>
        <w:t xml:space="preserve">Gambia Bureau of Statistics, March 2021, </w:t>
      </w:r>
      <w:hyperlink r:id="rId13" w:history="1">
        <w:r w:rsidR="00D1213B" w:rsidRPr="00DB6E17">
          <w:rPr>
            <w:rStyle w:val="Hyperlink"/>
            <w:rFonts w:ascii="Arial" w:hAnsi="Arial" w:cs="Arial"/>
            <w:sz w:val="18"/>
            <w:szCs w:val="18"/>
          </w:rPr>
          <w:t>https://dhsprogram.com/pubs/pdf/FR36</w:t>
        </w:r>
        <w:r w:rsidR="00D1213B" w:rsidRPr="00DB6E17">
          <w:rPr>
            <w:rStyle w:val="Hyperlink"/>
            <w:rFonts w:ascii="Arial" w:hAnsi="Arial" w:cs="Arial"/>
            <w:sz w:val="18"/>
            <w:szCs w:val="18"/>
          </w:rPr>
          <w:t>9</w:t>
        </w:r>
        <w:r w:rsidR="00D1213B" w:rsidRPr="00DB6E17">
          <w:rPr>
            <w:rStyle w:val="Hyperlink"/>
            <w:rFonts w:ascii="Arial" w:hAnsi="Arial" w:cs="Arial"/>
            <w:sz w:val="18"/>
            <w:szCs w:val="18"/>
          </w:rPr>
          <w:t>/FR369.pdf</w:t>
        </w:r>
      </w:hyperlink>
      <w:r w:rsidR="00D1213B">
        <w:rPr>
          <w:rFonts w:ascii="Arial" w:hAnsi="Arial" w:cs="Arial"/>
          <w:sz w:val="18"/>
          <w:szCs w:val="18"/>
        </w:rPr>
        <w:t>.</w:t>
      </w:r>
    </w:p>
  </w:footnote>
  <w:footnote w:id="29">
    <w:p w14:paraId="0EC23312" w14:textId="3E582814" w:rsidR="00741D99" w:rsidRPr="008415EB" w:rsidRDefault="00741D99" w:rsidP="00741D99">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Musawah, CEDAW and Muslim Family Laws: In Search of Common Ground</w:t>
      </w:r>
      <w:r w:rsidR="00D1213B">
        <w:rPr>
          <w:rFonts w:ascii="Arial" w:hAnsi="Arial" w:cs="Arial"/>
          <w:sz w:val="18"/>
          <w:szCs w:val="18"/>
        </w:rPr>
        <w:t xml:space="preserve">, </w:t>
      </w:r>
      <w:r w:rsidRPr="008415EB">
        <w:rPr>
          <w:rFonts w:ascii="Arial" w:hAnsi="Arial" w:cs="Arial"/>
          <w:sz w:val="18"/>
          <w:szCs w:val="18"/>
        </w:rPr>
        <w:t>2011</w:t>
      </w:r>
      <w:r w:rsidR="00D1213B">
        <w:rPr>
          <w:rFonts w:ascii="Arial" w:hAnsi="Arial" w:cs="Arial"/>
          <w:sz w:val="18"/>
          <w:szCs w:val="18"/>
        </w:rPr>
        <w:t xml:space="preserve">, </w:t>
      </w:r>
    </w:p>
    <w:p w14:paraId="52086ED9" w14:textId="28916156" w:rsidR="005D7B9F" w:rsidRPr="008415EB" w:rsidRDefault="005D7B9F" w:rsidP="005D7B9F">
      <w:pPr>
        <w:pStyle w:val="FootnoteText"/>
        <w:rPr>
          <w:rFonts w:ascii="Arial" w:hAnsi="Arial" w:cs="Arial"/>
          <w:sz w:val="18"/>
          <w:szCs w:val="18"/>
        </w:rPr>
      </w:pPr>
      <w:hyperlink r:id="rId14" w:history="1">
        <w:r w:rsidRPr="00DB6E17">
          <w:rPr>
            <w:rStyle w:val="Hyperlink"/>
            <w:rFonts w:ascii="Arial" w:hAnsi="Arial" w:cs="Arial"/>
            <w:sz w:val="18"/>
            <w:szCs w:val="18"/>
          </w:rPr>
          <w:t>https://www.musawah.org/resources/cedaw-and-muslim-family-laws-in-search-of-common-ground/</w:t>
        </w:r>
      </w:hyperlink>
    </w:p>
  </w:footnote>
  <w:footnote w:id="30">
    <w:p w14:paraId="3139D1C6" w14:textId="6F845E91" w:rsidR="00DB78B1" w:rsidRPr="008415EB" w:rsidRDefault="00DB78B1">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Gambia State Party Report, para 161.</w:t>
      </w:r>
    </w:p>
  </w:footnote>
  <w:footnote w:id="31">
    <w:p w14:paraId="3C07BEBD" w14:textId="442CD26B" w:rsidR="00447676" w:rsidRPr="008415EB" w:rsidRDefault="00447676">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Gambia State Party Report, para 161.</w:t>
      </w:r>
    </w:p>
  </w:footnote>
  <w:footnote w:id="32">
    <w:p w14:paraId="3B7E9684" w14:textId="50FCDFCD" w:rsidR="00447676" w:rsidRPr="008415EB" w:rsidRDefault="00447676">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Concluding Observations 2015 for the Gambia,</w:t>
      </w:r>
      <w:r w:rsidR="00D1213B">
        <w:rPr>
          <w:rFonts w:ascii="Arial" w:hAnsi="Arial" w:cs="Arial"/>
          <w:sz w:val="18"/>
          <w:szCs w:val="18"/>
        </w:rPr>
        <w:t xml:space="preserve"> CEDAW, 28 July 2015,</w:t>
      </w:r>
      <w:r w:rsidRPr="008415EB">
        <w:rPr>
          <w:rFonts w:ascii="Arial" w:hAnsi="Arial" w:cs="Arial"/>
          <w:sz w:val="18"/>
          <w:szCs w:val="18"/>
        </w:rPr>
        <w:t xml:space="preserve"> para 48.</w:t>
      </w:r>
    </w:p>
  </w:footnote>
  <w:footnote w:id="33">
    <w:p w14:paraId="68DE6AA4" w14:textId="06912286" w:rsidR="00F574C1" w:rsidRPr="008415EB" w:rsidRDefault="00F574C1">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Gambia State Party Report, para 160.</w:t>
      </w:r>
    </w:p>
  </w:footnote>
  <w:footnote w:id="34">
    <w:p w14:paraId="387BCCFB" w14:textId="525349AA" w:rsidR="00CF61FC" w:rsidRPr="008415EB" w:rsidRDefault="00CF61FC">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See for example: Musa </w:t>
      </w:r>
      <w:proofErr w:type="spellStart"/>
      <w:r w:rsidRPr="008415EB">
        <w:rPr>
          <w:rFonts w:ascii="Arial" w:hAnsi="Arial" w:cs="Arial"/>
          <w:sz w:val="18"/>
          <w:szCs w:val="18"/>
        </w:rPr>
        <w:t>Sabily</w:t>
      </w:r>
      <w:proofErr w:type="spellEnd"/>
      <w:r w:rsidRPr="008415EB">
        <w:rPr>
          <w:rFonts w:ascii="Arial" w:hAnsi="Arial" w:cs="Arial"/>
          <w:sz w:val="18"/>
          <w:szCs w:val="18"/>
        </w:rPr>
        <w:t xml:space="preserve"> v. </w:t>
      </w:r>
      <w:proofErr w:type="spellStart"/>
      <w:r w:rsidRPr="008415EB">
        <w:rPr>
          <w:rFonts w:ascii="Arial" w:hAnsi="Arial" w:cs="Arial"/>
          <w:sz w:val="18"/>
          <w:szCs w:val="18"/>
        </w:rPr>
        <w:t>Hassana</w:t>
      </w:r>
      <w:proofErr w:type="spellEnd"/>
      <w:r w:rsidRPr="008415EB">
        <w:rPr>
          <w:rFonts w:ascii="Arial" w:hAnsi="Arial" w:cs="Arial"/>
          <w:sz w:val="18"/>
          <w:szCs w:val="18"/>
        </w:rPr>
        <w:t xml:space="preserve"> Baye (2007) 1 (GSLR) p. 22.</w:t>
      </w:r>
    </w:p>
  </w:footnote>
  <w:footnote w:id="35">
    <w:p w14:paraId="3C89BD93" w14:textId="1B973BFD" w:rsidR="00CF61FC" w:rsidRPr="008415EB" w:rsidRDefault="00CF61FC" w:rsidP="00CF61FC">
      <w:pPr>
        <w:pStyle w:val="FootnoteText"/>
        <w:rPr>
          <w:rFonts w:ascii="Arial" w:hAnsi="Arial" w:cs="Arial"/>
          <w:sz w:val="18"/>
          <w:szCs w:val="18"/>
          <w:lang w:val="en-GB"/>
        </w:rPr>
      </w:pPr>
      <w:r w:rsidRPr="008415EB">
        <w:rPr>
          <w:rStyle w:val="FootnoteReference"/>
          <w:rFonts w:ascii="Arial" w:hAnsi="Arial" w:cs="Arial"/>
          <w:sz w:val="18"/>
          <w:szCs w:val="18"/>
        </w:rPr>
        <w:footnoteRef/>
      </w:r>
      <w:r w:rsidRPr="008415EB">
        <w:rPr>
          <w:rFonts w:ascii="Arial" w:hAnsi="Arial" w:cs="Arial"/>
          <w:sz w:val="18"/>
          <w:szCs w:val="18"/>
        </w:rPr>
        <w:t xml:space="preserve"> Aji Tide Ceesay v. Modu </w:t>
      </w:r>
      <w:proofErr w:type="spellStart"/>
      <w:r w:rsidRPr="008415EB">
        <w:rPr>
          <w:rFonts w:ascii="Arial" w:hAnsi="Arial" w:cs="Arial"/>
          <w:sz w:val="18"/>
          <w:szCs w:val="18"/>
        </w:rPr>
        <w:t>Njie</w:t>
      </w:r>
      <w:proofErr w:type="spellEnd"/>
      <w:r w:rsidRPr="008415EB">
        <w:rPr>
          <w:rFonts w:ascii="Arial" w:hAnsi="Arial" w:cs="Arial"/>
          <w:sz w:val="18"/>
          <w:szCs w:val="18"/>
        </w:rPr>
        <w:t xml:space="preserve"> (2010 1 Gambia Sharia Law Report (GSLR) p. 41 - </w:t>
      </w:r>
      <w:r w:rsidRPr="008415EB">
        <w:rPr>
          <w:rFonts w:ascii="Arial" w:hAnsi="Arial" w:cs="Arial"/>
          <w:bCs/>
          <w:sz w:val="18"/>
          <w:szCs w:val="18"/>
        </w:rPr>
        <w:t>APPEAL NO. AP/31/2005.</w:t>
      </w:r>
    </w:p>
  </w:footnote>
  <w:footnote w:id="36">
    <w:p w14:paraId="0470BDFD" w14:textId="70F3C43D" w:rsidR="000D723C" w:rsidRPr="008415EB" w:rsidRDefault="000D723C">
      <w:pPr>
        <w:pStyle w:val="FootnoteText"/>
        <w:rPr>
          <w:rFonts w:ascii="Arial" w:hAnsi="Arial" w:cs="Arial"/>
          <w:sz w:val="18"/>
          <w:szCs w:val="18"/>
        </w:rPr>
      </w:pPr>
      <w:r w:rsidRPr="008415EB">
        <w:rPr>
          <w:rStyle w:val="FootnoteReference"/>
          <w:rFonts w:ascii="Arial" w:hAnsi="Arial" w:cs="Arial"/>
          <w:sz w:val="18"/>
          <w:szCs w:val="18"/>
        </w:rPr>
        <w:footnoteRef/>
      </w:r>
      <w:r w:rsidRPr="008415EB">
        <w:rPr>
          <w:rFonts w:ascii="Arial" w:hAnsi="Arial" w:cs="Arial"/>
          <w:sz w:val="18"/>
          <w:szCs w:val="18"/>
        </w:rPr>
        <w:t xml:space="preserve"> Abdul Rahman </w:t>
      </w:r>
      <w:proofErr w:type="spellStart"/>
      <w:r w:rsidRPr="008415EB">
        <w:rPr>
          <w:rFonts w:ascii="Arial" w:hAnsi="Arial" w:cs="Arial"/>
          <w:sz w:val="18"/>
          <w:szCs w:val="18"/>
        </w:rPr>
        <w:t>Osumanu</w:t>
      </w:r>
      <w:proofErr w:type="spellEnd"/>
      <w:r w:rsidRPr="008415EB">
        <w:rPr>
          <w:rFonts w:ascii="Arial" w:hAnsi="Arial" w:cs="Arial"/>
          <w:sz w:val="18"/>
          <w:szCs w:val="18"/>
        </w:rPr>
        <w:t xml:space="preserve"> </w:t>
      </w:r>
      <w:proofErr w:type="spellStart"/>
      <w:r w:rsidRPr="008415EB">
        <w:rPr>
          <w:rFonts w:ascii="Arial" w:hAnsi="Arial" w:cs="Arial"/>
          <w:sz w:val="18"/>
          <w:szCs w:val="18"/>
        </w:rPr>
        <w:t>Giwah</w:t>
      </w:r>
      <w:proofErr w:type="spellEnd"/>
      <w:r w:rsidRPr="008415EB">
        <w:rPr>
          <w:rFonts w:ascii="Arial" w:hAnsi="Arial" w:cs="Arial"/>
          <w:sz w:val="18"/>
          <w:szCs w:val="18"/>
        </w:rPr>
        <w:t xml:space="preserve">, Alhaji Ali Adamu </w:t>
      </w:r>
      <w:proofErr w:type="spellStart"/>
      <w:r w:rsidRPr="008415EB">
        <w:rPr>
          <w:rFonts w:ascii="Arial" w:hAnsi="Arial" w:cs="Arial"/>
          <w:sz w:val="18"/>
          <w:szCs w:val="18"/>
        </w:rPr>
        <w:t>Giwah</w:t>
      </w:r>
      <w:proofErr w:type="spellEnd"/>
      <w:r w:rsidRPr="008415EB">
        <w:rPr>
          <w:rFonts w:ascii="Arial" w:hAnsi="Arial" w:cs="Arial"/>
          <w:sz w:val="18"/>
          <w:szCs w:val="18"/>
        </w:rPr>
        <w:t xml:space="preserve"> and </w:t>
      </w:r>
      <w:proofErr w:type="spellStart"/>
      <w:r w:rsidRPr="008415EB">
        <w:rPr>
          <w:rFonts w:ascii="Arial" w:hAnsi="Arial" w:cs="Arial"/>
          <w:sz w:val="18"/>
          <w:szCs w:val="18"/>
        </w:rPr>
        <w:t>Hajia</w:t>
      </w:r>
      <w:proofErr w:type="spellEnd"/>
      <w:r w:rsidRPr="008415EB">
        <w:rPr>
          <w:rFonts w:ascii="Arial" w:hAnsi="Arial" w:cs="Arial"/>
          <w:sz w:val="18"/>
          <w:szCs w:val="18"/>
        </w:rPr>
        <w:t xml:space="preserve"> Fatima Alhassan </w:t>
      </w:r>
      <w:proofErr w:type="spellStart"/>
      <w:r w:rsidRPr="008415EB">
        <w:rPr>
          <w:rFonts w:ascii="Arial" w:hAnsi="Arial" w:cs="Arial"/>
          <w:sz w:val="18"/>
          <w:szCs w:val="18"/>
        </w:rPr>
        <w:t>Giwah</w:t>
      </w:r>
      <w:proofErr w:type="spellEnd"/>
      <w:r w:rsidRPr="008415EB">
        <w:rPr>
          <w:rFonts w:ascii="Arial" w:hAnsi="Arial" w:cs="Arial"/>
          <w:sz w:val="18"/>
          <w:szCs w:val="18"/>
        </w:rPr>
        <w:t xml:space="preserve"> vs. Baba </w:t>
      </w:r>
      <w:proofErr w:type="spellStart"/>
      <w:r w:rsidRPr="008415EB">
        <w:rPr>
          <w:rFonts w:ascii="Arial" w:hAnsi="Arial" w:cs="Arial"/>
          <w:sz w:val="18"/>
          <w:szCs w:val="18"/>
        </w:rPr>
        <w:t>Ladi</w:t>
      </w:r>
      <w:proofErr w:type="spellEnd"/>
      <w:r w:rsidRPr="008415EB">
        <w:rPr>
          <w:rFonts w:ascii="Arial" w:hAnsi="Arial" w:cs="Arial"/>
          <w:sz w:val="18"/>
          <w:szCs w:val="18"/>
        </w:rPr>
        <w:t xml:space="preserve"> [2013]</w:t>
      </w:r>
      <w:r w:rsidR="005D7B9F">
        <w:rPr>
          <w:rFonts w:ascii="Arial" w:hAnsi="Arial" w:cs="Arial"/>
          <w:sz w:val="18"/>
          <w:szCs w:val="18"/>
        </w:rPr>
        <w:t xml:space="preserve"> </w:t>
      </w:r>
      <w:r w:rsidRPr="008415EB">
        <w:rPr>
          <w:rFonts w:ascii="Arial" w:hAnsi="Arial" w:cs="Arial"/>
          <w:sz w:val="18"/>
          <w:szCs w:val="18"/>
        </w:rPr>
        <w:t>DLSC</w:t>
      </w:r>
      <w:r w:rsidR="005D7B9F">
        <w:rPr>
          <w:rFonts w:ascii="Arial" w:hAnsi="Arial" w:cs="Arial"/>
          <w:sz w:val="18"/>
          <w:szCs w:val="18"/>
        </w:rPr>
        <w:t xml:space="preserve"> </w:t>
      </w:r>
      <w:r w:rsidRPr="008415EB">
        <w:rPr>
          <w:rFonts w:ascii="Arial" w:hAnsi="Arial" w:cs="Arial"/>
          <w:sz w:val="18"/>
          <w:szCs w:val="18"/>
        </w:rPr>
        <w:t>2745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57A"/>
    <w:multiLevelType w:val="multilevel"/>
    <w:tmpl w:val="38B294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58E5903"/>
    <w:multiLevelType w:val="multilevel"/>
    <w:tmpl w:val="1842F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B94F5A"/>
    <w:multiLevelType w:val="hybridMultilevel"/>
    <w:tmpl w:val="FA60BA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90073"/>
    <w:multiLevelType w:val="multilevel"/>
    <w:tmpl w:val="F7922DC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16C5284E"/>
    <w:multiLevelType w:val="hybridMultilevel"/>
    <w:tmpl w:val="CD9E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2242D3"/>
    <w:multiLevelType w:val="hybridMultilevel"/>
    <w:tmpl w:val="BEDCB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D6D89"/>
    <w:multiLevelType w:val="hybridMultilevel"/>
    <w:tmpl w:val="C88E7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13390A"/>
    <w:multiLevelType w:val="multilevel"/>
    <w:tmpl w:val="E87225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DA8512A"/>
    <w:multiLevelType w:val="multilevel"/>
    <w:tmpl w:val="0F603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D26FC8"/>
    <w:multiLevelType w:val="hybridMultilevel"/>
    <w:tmpl w:val="5094ADD4"/>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C01596"/>
    <w:multiLevelType w:val="hybridMultilevel"/>
    <w:tmpl w:val="4F12E08C"/>
    <w:lvl w:ilvl="0" w:tplc="498CF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A72DCC"/>
    <w:multiLevelType w:val="multilevel"/>
    <w:tmpl w:val="3BC4576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193F8A"/>
    <w:multiLevelType w:val="hybridMultilevel"/>
    <w:tmpl w:val="26666A78"/>
    <w:lvl w:ilvl="0" w:tplc="57BC5B04">
      <w:start w:val="1"/>
      <w:numFmt w:val="bullet"/>
      <w:lvlText w:val=""/>
      <w:lvlJc w:val="left"/>
      <w:pPr>
        <w:ind w:left="720" w:hanging="360"/>
      </w:pPr>
      <w:rPr>
        <w:rFonts w:ascii="Symbol" w:hAnsi="Symbol" w:hint="default"/>
      </w:rPr>
    </w:lvl>
    <w:lvl w:ilvl="1" w:tplc="29923B50">
      <w:start w:val="1"/>
      <w:numFmt w:val="bullet"/>
      <w:lvlText w:val="o"/>
      <w:lvlJc w:val="left"/>
      <w:pPr>
        <w:ind w:left="1440" w:hanging="360"/>
      </w:pPr>
      <w:rPr>
        <w:rFonts w:ascii="Courier New" w:hAnsi="Courier New" w:hint="default"/>
      </w:rPr>
    </w:lvl>
    <w:lvl w:ilvl="2" w:tplc="B9EC1034">
      <w:start w:val="1"/>
      <w:numFmt w:val="bullet"/>
      <w:lvlText w:val=""/>
      <w:lvlJc w:val="left"/>
      <w:pPr>
        <w:ind w:left="2160" w:hanging="360"/>
      </w:pPr>
      <w:rPr>
        <w:rFonts w:ascii="Wingdings" w:hAnsi="Wingdings" w:hint="default"/>
      </w:rPr>
    </w:lvl>
    <w:lvl w:ilvl="3" w:tplc="DB027EC8">
      <w:start w:val="1"/>
      <w:numFmt w:val="bullet"/>
      <w:lvlText w:val=""/>
      <w:lvlJc w:val="left"/>
      <w:pPr>
        <w:ind w:left="2880" w:hanging="360"/>
      </w:pPr>
      <w:rPr>
        <w:rFonts w:ascii="Symbol" w:hAnsi="Symbol" w:hint="default"/>
      </w:rPr>
    </w:lvl>
    <w:lvl w:ilvl="4" w:tplc="462446AE">
      <w:start w:val="1"/>
      <w:numFmt w:val="bullet"/>
      <w:lvlText w:val="o"/>
      <w:lvlJc w:val="left"/>
      <w:pPr>
        <w:ind w:left="3600" w:hanging="360"/>
      </w:pPr>
      <w:rPr>
        <w:rFonts w:ascii="Courier New" w:hAnsi="Courier New" w:hint="default"/>
      </w:rPr>
    </w:lvl>
    <w:lvl w:ilvl="5" w:tplc="F39E7E96">
      <w:start w:val="1"/>
      <w:numFmt w:val="bullet"/>
      <w:lvlText w:val=""/>
      <w:lvlJc w:val="left"/>
      <w:pPr>
        <w:ind w:left="4320" w:hanging="360"/>
      </w:pPr>
      <w:rPr>
        <w:rFonts w:ascii="Wingdings" w:hAnsi="Wingdings" w:hint="default"/>
      </w:rPr>
    </w:lvl>
    <w:lvl w:ilvl="6" w:tplc="B128D0E8">
      <w:start w:val="1"/>
      <w:numFmt w:val="bullet"/>
      <w:lvlText w:val=""/>
      <w:lvlJc w:val="left"/>
      <w:pPr>
        <w:ind w:left="5040" w:hanging="360"/>
      </w:pPr>
      <w:rPr>
        <w:rFonts w:ascii="Symbol" w:hAnsi="Symbol" w:hint="default"/>
      </w:rPr>
    </w:lvl>
    <w:lvl w:ilvl="7" w:tplc="EBB2D18A">
      <w:start w:val="1"/>
      <w:numFmt w:val="bullet"/>
      <w:lvlText w:val="o"/>
      <w:lvlJc w:val="left"/>
      <w:pPr>
        <w:ind w:left="5760" w:hanging="360"/>
      </w:pPr>
      <w:rPr>
        <w:rFonts w:ascii="Courier New" w:hAnsi="Courier New" w:hint="default"/>
      </w:rPr>
    </w:lvl>
    <w:lvl w:ilvl="8" w:tplc="4E5816B8">
      <w:start w:val="1"/>
      <w:numFmt w:val="bullet"/>
      <w:lvlText w:val=""/>
      <w:lvlJc w:val="left"/>
      <w:pPr>
        <w:ind w:left="6480" w:hanging="360"/>
      </w:pPr>
      <w:rPr>
        <w:rFonts w:ascii="Wingdings" w:hAnsi="Wingdings" w:hint="default"/>
      </w:rPr>
    </w:lvl>
  </w:abstractNum>
  <w:abstractNum w:abstractNumId="13" w15:restartNumberingAfterBreak="0">
    <w:nsid w:val="483610A0"/>
    <w:multiLevelType w:val="hybridMultilevel"/>
    <w:tmpl w:val="5EBE2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FF62F1"/>
    <w:multiLevelType w:val="hybridMultilevel"/>
    <w:tmpl w:val="3C9C7E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B03D2D"/>
    <w:multiLevelType w:val="hybridMultilevel"/>
    <w:tmpl w:val="6632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F73068"/>
    <w:multiLevelType w:val="hybridMultilevel"/>
    <w:tmpl w:val="5DAE59B2"/>
    <w:lvl w:ilvl="0" w:tplc="DB943F86">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1249E"/>
    <w:multiLevelType w:val="hybridMultilevel"/>
    <w:tmpl w:val="D49270D0"/>
    <w:lvl w:ilvl="0" w:tplc="51BC01CA">
      <w:start w:val="1"/>
      <w:numFmt w:val="bullet"/>
      <w:lvlText w:val=""/>
      <w:lvlJc w:val="left"/>
      <w:pPr>
        <w:ind w:left="720" w:hanging="360"/>
      </w:pPr>
      <w:rPr>
        <w:rFonts w:ascii="Symbol" w:hAnsi="Symbol" w:hint="default"/>
      </w:rPr>
    </w:lvl>
    <w:lvl w:ilvl="1" w:tplc="22A45F1E">
      <w:start w:val="1"/>
      <w:numFmt w:val="bullet"/>
      <w:lvlText w:val="o"/>
      <w:lvlJc w:val="left"/>
      <w:pPr>
        <w:ind w:left="1440" w:hanging="360"/>
      </w:pPr>
      <w:rPr>
        <w:rFonts w:ascii="Courier New" w:hAnsi="Courier New" w:hint="default"/>
      </w:rPr>
    </w:lvl>
    <w:lvl w:ilvl="2" w:tplc="9822EFC4">
      <w:start w:val="1"/>
      <w:numFmt w:val="bullet"/>
      <w:lvlText w:val=""/>
      <w:lvlJc w:val="left"/>
      <w:pPr>
        <w:ind w:left="2160" w:hanging="360"/>
      </w:pPr>
      <w:rPr>
        <w:rFonts w:ascii="Wingdings" w:hAnsi="Wingdings" w:hint="default"/>
      </w:rPr>
    </w:lvl>
    <w:lvl w:ilvl="3" w:tplc="B9883A50">
      <w:start w:val="1"/>
      <w:numFmt w:val="bullet"/>
      <w:lvlText w:val=""/>
      <w:lvlJc w:val="left"/>
      <w:pPr>
        <w:ind w:left="2880" w:hanging="360"/>
      </w:pPr>
      <w:rPr>
        <w:rFonts w:ascii="Symbol" w:hAnsi="Symbol" w:hint="default"/>
      </w:rPr>
    </w:lvl>
    <w:lvl w:ilvl="4" w:tplc="85F0E15C">
      <w:start w:val="1"/>
      <w:numFmt w:val="bullet"/>
      <w:lvlText w:val="o"/>
      <w:lvlJc w:val="left"/>
      <w:pPr>
        <w:ind w:left="3600" w:hanging="360"/>
      </w:pPr>
      <w:rPr>
        <w:rFonts w:ascii="Courier New" w:hAnsi="Courier New" w:hint="default"/>
      </w:rPr>
    </w:lvl>
    <w:lvl w:ilvl="5" w:tplc="453A405C">
      <w:start w:val="1"/>
      <w:numFmt w:val="bullet"/>
      <w:lvlText w:val=""/>
      <w:lvlJc w:val="left"/>
      <w:pPr>
        <w:ind w:left="4320" w:hanging="360"/>
      </w:pPr>
      <w:rPr>
        <w:rFonts w:ascii="Wingdings" w:hAnsi="Wingdings" w:hint="default"/>
      </w:rPr>
    </w:lvl>
    <w:lvl w:ilvl="6" w:tplc="8466DC00">
      <w:start w:val="1"/>
      <w:numFmt w:val="bullet"/>
      <w:lvlText w:val=""/>
      <w:lvlJc w:val="left"/>
      <w:pPr>
        <w:ind w:left="5040" w:hanging="360"/>
      </w:pPr>
      <w:rPr>
        <w:rFonts w:ascii="Symbol" w:hAnsi="Symbol" w:hint="default"/>
      </w:rPr>
    </w:lvl>
    <w:lvl w:ilvl="7" w:tplc="6F2A35F2">
      <w:start w:val="1"/>
      <w:numFmt w:val="bullet"/>
      <w:lvlText w:val="o"/>
      <w:lvlJc w:val="left"/>
      <w:pPr>
        <w:ind w:left="5760" w:hanging="360"/>
      </w:pPr>
      <w:rPr>
        <w:rFonts w:ascii="Courier New" w:hAnsi="Courier New" w:hint="default"/>
      </w:rPr>
    </w:lvl>
    <w:lvl w:ilvl="8" w:tplc="0D780596">
      <w:start w:val="1"/>
      <w:numFmt w:val="bullet"/>
      <w:lvlText w:val=""/>
      <w:lvlJc w:val="left"/>
      <w:pPr>
        <w:ind w:left="6480" w:hanging="360"/>
      </w:pPr>
      <w:rPr>
        <w:rFonts w:ascii="Wingdings" w:hAnsi="Wingdings" w:hint="default"/>
      </w:rPr>
    </w:lvl>
  </w:abstractNum>
  <w:abstractNum w:abstractNumId="18" w15:restartNumberingAfterBreak="0">
    <w:nsid w:val="5E3B4A90"/>
    <w:multiLevelType w:val="hybridMultilevel"/>
    <w:tmpl w:val="765AE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25516CD"/>
    <w:multiLevelType w:val="hybridMultilevel"/>
    <w:tmpl w:val="9438C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8341A0"/>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98A1DA5"/>
    <w:multiLevelType w:val="multilevel"/>
    <w:tmpl w:val="0CD0E9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9954662"/>
    <w:multiLevelType w:val="multilevel"/>
    <w:tmpl w:val="ACCEF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871A37"/>
    <w:multiLevelType w:val="multilevel"/>
    <w:tmpl w:val="A6C694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6D80291D"/>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E2E36E0"/>
    <w:multiLevelType w:val="hybridMultilevel"/>
    <w:tmpl w:val="567AFA60"/>
    <w:lvl w:ilvl="0" w:tplc="DC5AEEEC">
      <w:start w:val="1"/>
      <w:numFmt w:val="decimal"/>
      <w:pStyle w:val="Heading2"/>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9D66D6"/>
    <w:multiLevelType w:val="multilevel"/>
    <w:tmpl w:val="F1862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6873098">
    <w:abstractNumId w:val="3"/>
  </w:num>
  <w:num w:numId="2" w16cid:durableId="1531912007">
    <w:abstractNumId w:val="22"/>
  </w:num>
  <w:num w:numId="3" w16cid:durableId="1036589105">
    <w:abstractNumId w:val="16"/>
  </w:num>
  <w:num w:numId="4" w16cid:durableId="1578516257">
    <w:abstractNumId w:val="15"/>
  </w:num>
  <w:num w:numId="5" w16cid:durableId="1990163538">
    <w:abstractNumId w:val="10"/>
  </w:num>
  <w:num w:numId="6" w16cid:durableId="2096782699">
    <w:abstractNumId w:val="11"/>
  </w:num>
  <w:num w:numId="7" w16cid:durableId="1009988494">
    <w:abstractNumId w:val="5"/>
  </w:num>
  <w:num w:numId="8" w16cid:durableId="1971402682">
    <w:abstractNumId w:val="13"/>
  </w:num>
  <w:num w:numId="9" w16cid:durableId="2023587601">
    <w:abstractNumId w:val="18"/>
  </w:num>
  <w:num w:numId="10" w16cid:durableId="1348285267">
    <w:abstractNumId w:val="17"/>
  </w:num>
  <w:num w:numId="11" w16cid:durableId="607084748">
    <w:abstractNumId w:val="1"/>
  </w:num>
  <w:num w:numId="12" w16cid:durableId="949094840">
    <w:abstractNumId w:val="8"/>
  </w:num>
  <w:num w:numId="13" w16cid:durableId="1133668238">
    <w:abstractNumId w:val="24"/>
  </w:num>
  <w:num w:numId="14" w16cid:durableId="2112579204">
    <w:abstractNumId w:val="20"/>
  </w:num>
  <w:num w:numId="15" w16cid:durableId="1909606980">
    <w:abstractNumId w:val="19"/>
  </w:num>
  <w:num w:numId="16" w16cid:durableId="1193768299">
    <w:abstractNumId w:val="26"/>
  </w:num>
  <w:num w:numId="17" w16cid:durableId="1533419184">
    <w:abstractNumId w:val="0"/>
  </w:num>
  <w:num w:numId="18" w16cid:durableId="112674867">
    <w:abstractNumId w:val="23"/>
  </w:num>
  <w:num w:numId="19" w16cid:durableId="235551738">
    <w:abstractNumId w:val="21"/>
  </w:num>
  <w:num w:numId="20" w16cid:durableId="170922590">
    <w:abstractNumId w:val="7"/>
  </w:num>
  <w:num w:numId="21" w16cid:durableId="1398432017">
    <w:abstractNumId w:val="25"/>
  </w:num>
  <w:num w:numId="22" w16cid:durableId="1720745236">
    <w:abstractNumId w:val="12"/>
  </w:num>
  <w:num w:numId="23" w16cid:durableId="1897814778">
    <w:abstractNumId w:val="2"/>
  </w:num>
  <w:num w:numId="24" w16cid:durableId="1418331210">
    <w:abstractNumId w:val="9"/>
  </w:num>
  <w:num w:numId="25" w16cid:durableId="1781219398">
    <w:abstractNumId w:val="14"/>
  </w:num>
  <w:num w:numId="26" w16cid:durableId="1713455765">
    <w:abstractNumId w:val="4"/>
  </w:num>
  <w:num w:numId="27" w16cid:durableId="4846665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F24"/>
    <w:rsid w:val="00005B50"/>
    <w:rsid w:val="00005E9E"/>
    <w:rsid w:val="00006434"/>
    <w:rsid w:val="000243BB"/>
    <w:rsid w:val="00043451"/>
    <w:rsid w:val="000437A2"/>
    <w:rsid w:val="00045DC0"/>
    <w:rsid w:val="00053017"/>
    <w:rsid w:val="00067E21"/>
    <w:rsid w:val="00081A06"/>
    <w:rsid w:val="000B22C1"/>
    <w:rsid w:val="000C295A"/>
    <w:rsid w:val="000C6DA6"/>
    <w:rsid w:val="000D5C07"/>
    <w:rsid w:val="000D723C"/>
    <w:rsid w:val="000E0833"/>
    <w:rsid w:val="000E7C84"/>
    <w:rsid w:val="001136EB"/>
    <w:rsid w:val="00121CB2"/>
    <w:rsid w:val="0012209F"/>
    <w:rsid w:val="00125749"/>
    <w:rsid w:val="001350D8"/>
    <w:rsid w:val="001367A5"/>
    <w:rsid w:val="00144BA4"/>
    <w:rsid w:val="001540D2"/>
    <w:rsid w:val="001543C3"/>
    <w:rsid w:val="00177C52"/>
    <w:rsid w:val="00177C89"/>
    <w:rsid w:val="001828C4"/>
    <w:rsid w:val="00186119"/>
    <w:rsid w:val="00191FBF"/>
    <w:rsid w:val="001A6111"/>
    <w:rsid w:val="001B454B"/>
    <w:rsid w:val="001C34B1"/>
    <w:rsid w:val="001C7290"/>
    <w:rsid w:val="001C7C97"/>
    <w:rsid w:val="001D3B78"/>
    <w:rsid w:val="001E4B69"/>
    <w:rsid w:val="002134CD"/>
    <w:rsid w:val="00226610"/>
    <w:rsid w:val="0023316A"/>
    <w:rsid w:val="00233AE3"/>
    <w:rsid w:val="0024631A"/>
    <w:rsid w:val="00253B8F"/>
    <w:rsid w:val="00255633"/>
    <w:rsid w:val="00256E2F"/>
    <w:rsid w:val="00260B49"/>
    <w:rsid w:val="00265C04"/>
    <w:rsid w:val="0026611E"/>
    <w:rsid w:val="00271D57"/>
    <w:rsid w:val="00283DEA"/>
    <w:rsid w:val="00292461"/>
    <w:rsid w:val="0029689C"/>
    <w:rsid w:val="002A08FB"/>
    <w:rsid w:val="002C5AF5"/>
    <w:rsid w:val="002F0A52"/>
    <w:rsid w:val="002F2FB3"/>
    <w:rsid w:val="00337383"/>
    <w:rsid w:val="00337A25"/>
    <w:rsid w:val="003452C1"/>
    <w:rsid w:val="003620D4"/>
    <w:rsid w:val="00363DFE"/>
    <w:rsid w:val="0037506C"/>
    <w:rsid w:val="00397C34"/>
    <w:rsid w:val="003A0AC6"/>
    <w:rsid w:val="003A1200"/>
    <w:rsid w:val="003C59ED"/>
    <w:rsid w:val="003E6D76"/>
    <w:rsid w:val="003E6EAD"/>
    <w:rsid w:val="003E7F80"/>
    <w:rsid w:val="003E7FC6"/>
    <w:rsid w:val="003F019A"/>
    <w:rsid w:val="003F0D56"/>
    <w:rsid w:val="00423589"/>
    <w:rsid w:val="004368B9"/>
    <w:rsid w:val="00447676"/>
    <w:rsid w:val="0046167A"/>
    <w:rsid w:val="00471C44"/>
    <w:rsid w:val="00473D28"/>
    <w:rsid w:val="00484C23"/>
    <w:rsid w:val="004940AF"/>
    <w:rsid w:val="004A56E1"/>
    <w:rsid w:val="004B0CF1"/>
    <w:rsid w:val="004B10C3"/>
    <w:rsid w:val="004D74F2"/>
    <w:rsid w:val="004E2D1C"/>
    <w:rsid w:val="004F604B"/>
    <w:rsid w:val="00507C6E"/>
    <w:rsid w:val="005161B2"/>
    <w:rsid w:val="00537F93"/>
    <w:rsid w:val="00540BB6"/>
    <w:rsid w:val="0054418F"/>
    <w:rsid w:val="00546880"/>
    <w:rsid w:val="00552C87"/>
    <w:rsid w:val="00583953"/>
    <w:rsid w:val="00583C2F"/>
    <w:rsid w:val="00593C5C"/>
    <w:rsid w:val="005A4B73"/>
    <w:rsid w:val="005D7B9F"/>
    <w:rsid w:val="005F2651"/>
    <w:rsid w:val="00603348"/>
    <w:rsid w:val="00612FDF"/>
    <w:rsid w:val="0062020E"/>
    <w:rsid w:val="00630600"/>
    <w:rsid w:val="00636E60"/>
    <w:rsid w:val="00664FCA"/>
    <w:rsid w:val="006A5535"/>
    <w:rsid w:val="006B5CCF"/>
    <w:rsid w:val="006D2BCB"/>
    <w:rsid w:val="006F0A32"/>
    <w:rsid w:val="006F3136"/>
    <w:rsid w:val="0070527F"/>
    <w:rsid w:val="00715E11"/>
    <w:rsid w:val="0073020D"/>
    <w:rsid w:val="00741D99"/>
    <w:rsid w:val="0074711C"/>
    <w:rsid w:val="00764F65"/>
    <w:rsid w:val="00780BCE"/>
    <w:rsid w:val="00782803"/>
    <w:rsid w:val="00787593"/>
    <w:rsid w:val="007C5807"/>
    <w:rsid w:val="007D41ED"/>
    <w:rsid w:val="007D7D36"/>
    <w:rsid w:val="0082090E"/>
    <w:rsid w:val="0082124A"/>
    <w:rsid w:val="00827ECA"/>
    <w:rsid w:val="008415EB"/>
    <w:rsid w:val="00843BD1"/>
    <w:rsid w:val="00852829"/>
    <w:rsid w:val="008813B4"/>
    <w:rsid w:val="00882D6D"/>
    <w:rsid w:val="00890480"/>
    <w:rsid w:val="00892321"/>
    <w:rsid w:val="00892FA5"/>
    <w:rsid w:val="008A4A52"/>
    <w:rsid w:val="008C7591"/>
    <w:rsid w:val="008D1C3B"/>
    <w:rsid w:val="008F638E"/>
    <w:rsid w:val="00905973"/>
    <w:rsid w:val="00911F2C"/>
    <w:rsid w:val="0091437E"/>
    <w:rsid w:val="00927038"/>
    <w:rsid w:val="0093160E"/>
    <w:rsid w:val="00943641"/>
    <w:rsid w:val="00965FC9"/>
    <w:rsid w:val="00994D36"/>
    <w:rsid w:val="009B03E0"/>
    <w:rsid w:val="009C36BC"/>
    <w:rsid w:val="009C514A"/>
    <w:rsid w:val="009E090E"/>
    <w:rsid w:val="009E23DA"/>
    <w:rsid w:val="009E240A"/>
    <w:rsid w:val="00A06C3A"/>
    <w:rsid w:val="00A1102C"/>
    <w:rsid w:val="00A16DCD"/>
    <w:rsid w:val="00A2135B"/>
    <w:rsid w:val="00A265C8"/>
    <w:rsid w:val="00A26F80"/>
    <w:rsid w:val="00A368F7"/>
    <w:rsid w:val="00A436FC"/>
    <w:rsid w:val="00A5436C"/>
    <w:rsid w:val="00A72ABB"/>
    <w:rsid w:val="00A91045"/>
    <w:rsid w:val="00AA2DD4"/>
    <w:rsid w:val="00AD1CFC"/>
    <w:rsid w:val="00AD75BA"/>
    <w:rsid w:val="00AE2D53"/>
    <w:rsid w:val="00AE5B3E"/>
    <w:rsid w:val="00AF08D2"/>
    <w:rsid w:val="00B03BB8"/>
    <w:rsid w:val="00B3395C"/>
    <w:rsid w:val="00B42C0D"/>
    <w:rsid w:val="00B65891"/>
    <w:rsid w:val="00B75A23"/>
    <w:rsid w:val="00B76BEA"/>
    <w:rsid w:val="00B80DEE"/>
    <w:rsid w:val="00B84EEB"/>
    <w:rsid w:val="00B90FF8"/>
    <w:rsid w:val="00B92469"/>
    <w:rsid w:val="00BC09A3"/>
    <w:rsid w:val="00BF587E"/>
    <w:rsid w:val="00C02A70"/>
    <w:rsid w:val="00C05CE1"/>
    <w:rsid w:val="00C1230E"/>
    <w:rsid w:val="00C26009"/>
    <w:rsid w:val="00C267F7"/>
    <w:rsid w:val="00C57A20"/>
    <w:rsid w:val="00C62C67"/>
    <w:rsid w:val="00C66F37"/>
    <w:rsid w:val="00C705B5"/>
    <w:rsid w:val="00C71BD7"/>
    <w:rsid w:val="00C748A7"/>
    <w:rsid w:val="00C77BFC"/>
    <w:rsid w:val="00C83691"/>
    <w:rsid w:val="00CF1FC1"/>
    <w:rsid w:val="00CF61FC"/>
    <w:rsid w:val="00D018E4"/>
    <w:rsid w:val="00D02072"/>
    <w:rsid w:val="00D04A07"/>
    <w:rsid w:val="00D1046C"/>
    <w:rsid w:val="00D1213B"/>
    <w:rsid w:val="00D128A6"/>
    <w:rsid w:val="00D15DDA"/>
    <w:rsid w:val="00D27CFF"/>
    <w:rsid w:val="00D326D7"/>
    <w:rsid w:val="00D428F3"/>
    <w:rsid w:val="00D43C94"/>
    <w:rsid w:val="00D46770"/>
    <w:rsid w:val="00D62A4D"/>
    <w:rsid w:val="00D63C74"/>
    <w:rsid w:val="00D751A2"/>
    <w:rsid w:val="00D813B1"/>
    <w:rsid w:val="00D96007"/>
    <w:rsid w:val="00DB0729"/>
    <w:rsid w:val="00DB44A4"/>
    <w:rsid w:val="00DB78B1"/>
    <w:rsid w:val="00DC58C2"/>
    <w:rsid w:val="00DE14FE"/>
    <w:rsid w:val="00E00A41"/>
    <w:rsid w:val="00E00C6F"/>
    <w:rsid w:val="00E12411"/>
    <w:rsid w:val="00E26F24"/>
    <w:rsid w:val="00E30CB3"/>
    <w:rsid w:val="00E45B1D"/>
    <w:rsid w:val="00E533AA"/>
    <w:rsid w:val="00E538E6"/>
    <w:rsid w:val="00E87476"/>
    <w:rsid w:val="00E91344"/>
    <w:rsid w:val="00EA51DC"/>
    <w:rsid w:val="00EB53C2"/>
    <w:rsid w:val="00EE0D95"/>
    <w:rsid w:val="00EE39D6"/>
    <w:rsid w:val="00F24D9C"/>
    <w:rsid w:val="00F266AC"/>
    <w:rsid w:val="00F27650"/>
    <w:rsid w:val="00F27F1A"/>
    <w:rsid w:val="00F31A60"/>
    <w:rsid w:val="00F32434"/>
    <w:rsid w:val="00F47F80"/>
    <w:rsid w:val="00F564A5"/>
    <w:rsid w:val="00F574C1"/>
    <w:rsid w:val="00F823DD"/>
    <w:rsid w:val="00F96336"/>
    <w:rsid w:val="00FA12D7"/>
    <w:rsid w:val="00FC47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5FB4"/>
  <w15:chartTrackingRefBased/>
  <w15:docId w15:val="{FA783450-CCE9-7942-B9C1-A2E26E58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290"/>
    <w:rPr>
      <w:rFonts w:ascii="Times New Roman" w:eastAsia="Times New Roman" w:hAnsi="Times New Roman" w:cs="Times New Roman"/>
      <w:lang w:eastAsia="zh-CN"/>
    </w:rPr>
  </w:style>
  <w:style w:type="paragraph" w:styleId="Heading1">
    <w:name w:val="heading 1"/>
    <w:basedOn w:val="Normal1"/>
    <w:next w:val="Normal1"/>
    <w:link w:val="Heading1Char"/>
    <w:rsid w:val="00892FA5"/>
    <w:pPr>
      <w:shd w:val="clear" w:color="auto" w:fill="BD0014"/>
      <w:tabs>
        <w:tab w:val="left" w:pos="270"/>
        <w:tab w:val="left" w:pos="630"/>
      </w:tabs>
      <w:spacing w:after="0" w:line="240" w:lineRule="auto"/>
      <w:ind w:left="540" w:hanging="540"/>
      <w:outlineLvl w:val="0"/>
    </w:pPr>
    <w:rPr>
      <w:rFonts w:asciiTheme="minorBidi" w:eastAsia="Arial" w:hAnsiTheme="minorBidi" w:cstheme="minorBidi"/>
      <w:b/>
      <w:smallCaps/>
      <w:color w:val="FFFFFF"/>
      <w:sz w:val="28"/>
      <w:szCs w:val="28"/>
    </w:rPr>
  </w:style>
  <w:style w:type="paragraph" w:styleId="Heading2">
    <w:name w:val="heading 2"/>
    <w:basedOn w:val="Normal1"/>
    <w:next w:val="Normal1"/>
    <w:link w:val="Heading2Char"/>
    <w:rsid w:val="00892FA5"/>
    <w:pPr>
      <w:numPr>
        <w:numId w:val="21"/>
      </w:numPr>
      <w:shd w:val="clear" w:color="auto" w:fill="FCB040"/>
      <w:spacing w:before="40" w:after="40" w:line="240" w:lineRule="auto"/>
      <w:ind w:left="270" w:hanging="270"/>
      <w:outlineLvl w:val="1"/>
    </w:pPr>
    <w:rPr>
      <w:rFonts w:asciiTheme="minorBidi" w:eastAsia="Arial" w:hAnsiTheme="minorBidi" w:cstheme="minorBidi"/>
      <w:b/>
      <w:smallCaps/>
      <w:sz w:val="24"/>
      <w:szCs w:val="24"/>
    </w:rPr>
  </w:style>
  <w:style w:type="paragraph" w:styleId="Heading3">
    <w:name w:val="heading 3"/>
    <w:basedOn w:val="Normal1"/>
    <w:next w:val="Normal1"/>
    <w:link w:val="Heading3Char"/>
    <w:rsid w:val="00E26F24"/>
    <w:pPr>
      <w:spacing w:line="240" w:lineRule="auto"/>
      <w:outlineLvl w:val="2"/>
    </w:pPr>
    <w:rPr>
      <w:rFonts w:ascii="Arial" w:eastAsia="Arial" w:hAnsi="Arial" w:cs="Arial"/>
      <w:b/>
    </w:rPr>
  </w:style>
  <w:style w:type="paragraph" w:styleId="Heading4">
    <w:name w:val="heading 4"/>
    <w:basedOn w:val="Normal1"/>
    <w:next w:val="Normal1"/>
    <w:link w:val="Heading4Char"/>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Title">
    <w:name w:val="Title"/>
    <w:basedOn w:val="Normal1"/>
    <w:next w:val="Normal1"/>
    <w:link w:val="TitleChar"/>
    <w:rsid w:val="00E26F24"/>
    <w:pPr>
      <w:spacing w:before="0" w:after="0"/>
    </w:pPr>
    <w:rPr>
      <w:smallCaps/>
      <w:color w:val="0673A5"/>
      <w:sz w:val="52"/>
      <w:szCs w:val="5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1"/>
    <w:next w:val="Normal1"/>
    <w:link w:val="SubtitleChar"/>
    <w:rsid w:val="00E26F24"/>
    <w:pPr>
      <w:spacing w:after="160"/>
    </w:pPr>
    <w:rPr>
      <w:color w:val="404040"/>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semiHidden/>
    <w:unhideWhenUsed/>
    <w:rsid w:val="00E26F24"/>
  </w:style>
  <w:style w:type="character" w:customStyle="1" w:styleId="CommentTextChar">
    <w:name w:val="Comment Text Char"/>
    <w:basedOn w:val="DefaultParagraphFont"/>
    <w:link w:val="CommentText"/>
    <w:uiPriority w:val="99"/>
    <w:semiHidden/>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E26F24"/>
    <w:pPr>
      <w:tabs>
        <w:tab w:val="center" w:pos="4320"/>
        <w:tab w:val="right" w:pos="8640"/>
      </w:tabs>
    </w:pPr>
  </w:style>
  <w:style w:type="character" w:customStyle="1" w:styleId="FooterChar">
    <w:name w:val="Footer Char"/>
    <w:basedOn w:val="DefaultParagraphFont"/>
    <w:link w:val="Footer"/>
    <w:uiPriority w:val="99"/>
    <w:rsid w:val="00E26F24"/>
    <w:rPr>
      <w:rFonts w:ascii="Times New Roman" w:eastAsia="Times New Roman" w:hAnsi="Times New Roman" w:cs="Times New Roman"/>
      <w:lang w:eastAsia="zh-CN"/>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E26F24"/>
    <w:pPr>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styleId="FootnoteText">
    <w:name w:val="footnote text"/>
    <w:basedOn w:val="Normal"/>
    <w:link w:val="FootnoteTextChar"/>
    <w:uiPriority w:val="99"/>
    <w:unhideWhenUsed/>
    <w:rsid w:val="00E26F24"/>
  </w:style>
  <w:style w:type="character" w:customStyle="1" w:styleId="FootnoteTextChar">
    <w:name w:val="Footnote Text Char"/>
    <w:basedOn w:val="DefaultParagraphFont"/>
    <w:link w:val="FootnoteText"/>
    <w:uiPriority w:val="99"/>
    <w:rsid w:val="00E26F24"/>
    <w:rPr>
      <w:rFonts w:ascii="Times New Roman" w:eastAsia="Times New Roman" w:hAnsi="Times New Roman" w:cs="Times New Roman"/>
      <w:lang w:eastAsia="zh-CN"/>
    </w:rPr>
  </w:style>
  <w:style w:type="character" w:styleId="FootnoteReference">
    <w:name w:val="footnote reference"/>
    <w:basedOn w:val="DefaultParagraphFont"/>
    <w:uiPriority w:val="99"/>
    <w:unhideWhenUsed/>
    <w:rsid w:val="00E26F24"/>
    <w:rPr>
      <w:vertAlign w:val="superscript"/>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
    <w:uiPriority w:val="99"/>
    <w:unhideWhenUsed/>
    <w:rsid w:val="00E26F24"/>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69716">
      <w:bodyDiv w:val="1"/>
      <w:marLeft w:val="0"/>
      <w:marRight w:val="0"/>
      <w:marTop w:val="0"/>
      <w:marBottom w:val="0"/>
      <w:divBdr>
        <w:top w:val="none" w:sz="0" w:space="0" w:color="auto"/>
        <w:left w:val="none" w:sz="0" w:space="0" w:color="auto"/>
        <w:bottom w:val="none" w:sz="0" w:space="0" w:color="auto"/>
        <w:right w:val="none" w:sz="0" w:space="0" w:color="auto"/>
      </w:divBdr>
    </w:div>
    <w:div w:id="428353717">
      <w:bodyDiv w:val="1"/>
      <w:marLeft w:val="0"/>
      <w:marRight w:val="0"/>
      <w:marTop w:val="0"/>
      <w:marBottom w:val="0"/>
      <w:divBdr>
        <w:top w:val="none" w:sz="0" w:space="0" w:color="auto"/>
        <w:left w:val="none" w:sz="0" w:space="0" w:color="auto"/>
        <w:bottom w:val="none" w:sz="0" w:space="0" w:color="auto"/>
        <w:right w:val="none" w:sz="0" w:space="0" w:color="auto"/>
      </w:divBdr>
    </w:div>
    <w:div w:id="440337879">
      <w:bodyDiv w:val="1"/>
      <w:marLeft w:val="0"/>
      <w:marRight w:val="0"/>
      <w:marTop w:val="0"/>
      <w:marBottom w:val="0"/>
      <w:divBdr>
        <w:top w:val="none" w:sz="0" w:space="0" w:color="auto"/>
        <w:left w:val="none" w:sz="0" w:space="0" w:color="auto"/>
        <w:bottom w:val="none" w:sz="0" w:space="0" w:color="auto"/>
        <w:right w:val="none" w:sz="0" w:space="0" w:color="auto"/>
      </w:divBdr>
    </w:div>
    <w:div w:id="474104380">
      <w:bodyDiv w:val="1"/>
      <w:marLeft w:val="0"/>
      <w:marRight w:val="0"/>
      <w:marTop w:val="0"/>
      <w:marBottom w:val="0"/>
      <w:divBdr>
        <w:top w:val="none" w:sz="0" w:space="0" w:color="auto"/>
        <w:left w:val="none" w:sz="0" w:space="0" w:color="auto"/>
        <w:bottom w:val="none" w:sz="0" w:space="0" w:color="auto"/>
        <w:right w:val="none" w:sz="0" w:space="0" w:color="auto"/>
      </w:divBdr>
    </w:div>
    <w:div w:id="524490607">
      <w:bodyDiv w:val="1"/>
      <w:marLeft w:val="0"/>
      <w:marRight w:val="0"/>
      <w:marTop w:val="0"/>
      <w:marBottom w:val="0"/>
      <w:divBdr>
        <w:top w:val="none" w:sz="0" w:space="0" w:color="auto"/>
        <w:left w:val="none" w:sz="0" w:space="0" w:color="auto"/>
        <w:bottom w:val="none" w:sz="0" w:space="0" w:color="auto"/>
        <w:right w:val="none" w:sz="0" w:space="0" w:color="auto"/>
      </w:divBdr>
    </w:div>
    <w:div w:id="534854659">
      <w:bodyDiv w:val="1"/>
      <w:marLeft w:val="0"/>
      <w:marRight w:val="0"/>
      <w:marTop w:val="0"/>
      <w:marBottom w:val="0"/>
      <w:divBdr>
        <w:top w:val="none" w:sz="0" w:space="0" w:color="auto"/>
        <w:left w:val="none" w:sz="0" w:space="0" w:color="auto"/>
        <w:bottom w:val="none" w:sz="0" w:space="0" w:color="auto"/>
        <w:right w:val="none" w:sz="0" w:space="0" w:color="auto"/>
      </w:divBdr>
    </w:div>
    <w:div w:id="1126656971">
      <w:bodyDiv w:val="1"/>
      <w:marLeft w:val="0"/>
      <w:marRight w:val="0"/>
      <w:marTop w:val="0"/>
      <w:marBottom w:val="0"/>
      <w:divBdr>
        <w:top w:val="none" w:sz="0" w:space="0" w:color="auto"/>
        <w:left w:val="none" w:sz="0" w:space="0" w:color="auto"/>
        <w:bottom w:val="none" w:sz="0" w:space="0" w:color="auto"/>
        <w:right w:val="none" w:sz="0" w:space="0" w:color="auto"/>
      </w:divBdr>
    </w:div>
    <w:div w:id="1177966497">
      <w:bodyDiv w:val="1"/>
      <w:marLeft w:val="0"/>
      <w:marRight w:val="0"/>
      <w:marTop w:val="0"/>
      <w:marBottom w:val="0"/>
      <w:divBdr>
        <w:top w:val="none" w:sz="0" w:space="0" w:color="auto"/>
        <w:left w:val="none" w:sz="0" w:space="0" w:color="auto"/>
        <w:bottom w:val="none" w:sz="0" w:space="0" w:color="auto"/>
        <w:right w:val="none" w:sz="0" w:space="0" w:color="auto"/>
      </w:divBdr>
    </w:div>
    <w:div w:id="1180505597">
      <w:bodyDiv w:val="1"/>
      <w:marLeft w:val="0"/>
      <w:marRight w:val="0"/>
      <w:marTop w:val="0"/>
      <w:marBottom w:val="0"/>
      <w:divBdr>
        <w:top w:val="none" w:sz="0" w:space="0" w:color="auto"/>
        <w:left w:val="none" w:sz="0" w:space="0" w:color="auto"/>
        <w:bottom w:val="none" w:sz="0" w:space="0" w:color="auto"/>
        <w:right w:val="none" w:sz="0" w:space="0" w:color="auto"/>
      </w:divBdr>
    </w:div>
    <w:div w:id="1338657868">
      <w:bodyDiv w:val="1"/>
      <w:marLeft w:val="0"/>
      <w:marRight w:val="0"/>
      <w:marTop w:val="0"/>
      <w:marBottom w:val="0"/>
      <w:divBdr>
        <w:top w:val="none" w:sz="0" w:space="0" w:color="auto"/>
        <w:left w:val="none" w:sz="0" w:space="0" w:color="auto"/>
        <w:bottom w:val="none" w:sz="0" w:space="0" w:color="auto"/>
        <w:right w:val="none" w:sz="0" w:space="0" w:color="auto"/>
      </w:divBdr>
    </w:div>
    <w:div w:id="1516535032">
      <w:bodyDiv w:val="1"/>
      <w:marLeft w:val="0"/>
      <w:marRight w:val="0"/>
      <w:marTop w:val="0"/>
      <w:marBottom w:val="0"/>
      <w:divBdr>
        <w:top w:val="none" w:sz="0" w:space="0" w:color="auto"/>
        <w:left w:val="none" w:sz="0" w:space="0" w:color="auto"/>
        <w:bottom w:val="none" w:sz="0" w:space="0" w:color="auto"/>
        <w:right w:val="none" w:sz="0" w:space="0" w:color="auto"/>
      </w:divBdr>
    </w:div>
    <w:div w:id="1523981637">
      <w:bodyDiv w:val="1"/>
      <w:marLeft w:val="0"/>
      <w:marRight w:val="0"/>
      <w:marTop w:val="0"/>
      <w:marBottom w:val="0"/>
      <w:divBdr>
        <w:top w:val="none" w:sz="0" w:space="0" w:color="auto"/>
        <w:left w:val="none" w:sz="0" w:space="0" w:color="auto"/>
        <w:bottom w:val="none" w:sz="0" w:space="0" w:color="auto"/>
        <w:right w:val="none" w:sz="0" w:space="0" w:color="auto"/>
      </w:divBdr>
    </w:div>
    <w:div w:id="1558584641">
      <w:bodyDiv w:val="1"/>
      <w:marLeft w:val="0"/>
      <w:marRight w:val="0"/>
      <w:marTop w:val="0"/>
      <w:marBottom w:val="0"/>
      <w:divBdr>
        <w:top w:val="none" w:sz="0" w:space="0" w:color="auto"/>
        <w:left w:val="none" w:sz="0" w:space="0" w:color="auto"/>
        <w:bottom w:val="none" w:sz="0" w:space="0" w:color="auto"/>
        <w:right w:val="none" w:sz="0" w:space="0" w:color="auto"/>
      </w:divBdr>
    </w:div>
    <w:div w:id="1582830773">
      <w:bodyDiv w:val="1"/>
      <w:marLeft w:val="0"/>
      <w:marRight w:val="0"/>
      <w:marTop w:val="0"/>
      <w:marBottom w:val="0"/>
      <w:divBdr>
        <w:top w:val="none" w:sz="0" w:space="0" w:color="auto"/>
        <w:left w:val="none" w:sz="0" w:space="0" w:color="auto"/>
        <w:bottom w:val="none" w:sz="0" w:space="0" w:color="auto"/>
        <w:right w:val="none" w:sz="0" w:space="0" w:color="auto"/>
      </w:divBdr>
    </w:div>
    <w:div w:id="1612972737">
      <w:bodyDiv w:val="1"/>
      <w:marLeft w:val="0"/>
      <w:marRight w:val="0"/>
      <w:marTop w:val="0"/>
      <w:marBottom w:val="0"/>
      <w:divBdr>
        <w:top w:val="none" w:sz="0" w:space="0" w:color="auto"/>
        <w:left w:val="none" w:sz="0" w:space="0" w:color="auto"/>
        <w:bottom w:val="none" w:sz="0" w:space="0" w:color="auto"/>
        <w:right w:val="none" w:sz="0" w:space="0" w:color="auto"/>
      </w:divBdr>
    </w:div>
    <w:div w:id="1668941081">
      <w:bodyDiv w:val="1"/>
      <w:marLeft w:val="0"/>
      <w:marRight w:val="0"/>
      <w:marTop w:val="0"/>
      <w:marBottom w:val="0"/>
      <w:divBdr>
        <w:top w:val="none" w:sz="0" w:space="0" w:color="auto"/>
        <w:left w:val="none" w:sz="0" w:space="0" w:color="auto"/>
        <w:bottom w:val="none" w:sz="0" w:space="0" w:color="auto"/>
        <w:right w:val="none" w:sz="0" w:space="0" w:color="auto"/>
      </w:divBdr>
      <w:divsChild>
        <w:div w:id="1707409561">
          <w:marLeft w:val="0"/>
          <w:marRight w:val="0"/>
          <w:marTop w:val="0"/>
          <w:marBottom w:val="0"/>
          <w:divBdr>
            <w:top w:val="none" w:sz="0" w:space="0" w:color="auto"/>
            <w:left w:val="none" w:sz="0" w:space="0" w:color="auto"/>
            <w:bottom w:val="none" w:sz="0" w:space="0" w:color="auto"/>
            <w:right w:val="none" w:sz="0" w:space="0" w:color="auto"/>
          </w:divBdr>
        </w:div>
      </w:divsChild>
    </w:div>
    <w:div w:id="1670479340">
      <w:bodyDiv w:val="1"/>
      <w:marLeft w:val="0"/>
      <w:marRight w:val="0"/>
      <w:marTop w:val="0"/>
      <w:marBottom w:val="0"/>
      <w:divBdr>
        <w:top w:val="none" w:sz="0" w:space="0" w:color="auto"/>
        <w:left w:val="none" w:sz="0" w:space="0" w:color="auto"/>
        <w:bottom w:val="none" w:sz="0" w:space="0" w:color="auto"/>
        <w:right w:val="none" w:sz="0" w:space="0" w:color="auto"/>
      </w:divBdr>
    </w:div>
    <w:div w:id="1728529241">
      <w:bodyDiv w:val="1"/>
      <w:marLeft w:val="0"/>
      <w:marRight w:val="0"/>
      <w:marTop w:val="0"/>
      <w:marBottom w:val="0"/>
      <w:divBdr>
        <w:top w:val="none" w:sz="0" w:space="0" w:color="auto"/>
        <w:left w:val="none" w:sz="0" w:space="0" w:color="auto"/>
        <w:bottom w:val="none" w:sz="0" w:space="0" w:color="auto"/>
        <w:right w:val="none" w:sz="0" w:space="0" w:color="auto"/>
      </w:divBdr>
    </w:div>
    <w:div w:id="1932078615">
      <w:bodyDiv w:val="1"/>
      <w:marLeft w:val="0"/>
      <w:marRight w:val="0"/>
      <w:marTop w:val="0"/>
      <w:marBottom w:val="0"/>
      <w:divBdr>
        <w:top w:val="none" w:sz="0" w:space="0" w:color="auto"/>
        <w:left w:val="none" w:sz="0" w:space="0" w:color="auto"/>
        <w:bottom w:val="none" w:sz="0" w:space="0" w:color="auto"/>
        <w:right w:val="none" w:sz="0" w:space="0" w:color="auto"/>
      </w:divBdr>
      <w:divsChild>
        <w:div w:id="7874048">
          <w:marLeft w:val="0"/>
          <w:marRight w:val="0"/>
          <w:marTop w:val="0"/>
          <w:marBottom w:val="0"/>
          <w:divBdr>
            <w:top w:val="none" w:sz="0" w:space="0" w:color="auto"/>
            <w:left w:val="none" w:sz="0" w:space="0" w:color="auto"/>
            <w:bottom w:val="none" w:sz="0" w:space="0" w:color="auto"/>
            <w:right w:val="none" w:sz="0" w:space="0" w:color="auto"/>
          </w:divBdr>
        </w:div>
      </w:divsChild>
    </w:div>
    <w:div w:id="1942224999">
      <w:bodyDiv w:val="1"/>
      <w:marLeft w:val="0"/>
      <w:marRight w:val="0"/>
      <w:marTop w:val="0"/>
      <w:marBottom w:val="0"/>
      <w:divBdr>
        <w:top w:val="none" w:sz="0" w:space="0" w:color="auto"/>
        <w:left w:val="none" w:sz="0" w:space="0" w:color="auto"/>
        <w:bottom w:val="none" w:sz="0" w:space="0" w:color="auto"/>
        <w:right w:val="none" w:sz="0" w:space="0" w:color="auto"/>
      </w:divBdr>
    </w:div>
    <w:div w:id="1957251764">
      <w:bodyDiv w:val="1"/>
      <w:marLeft w:val="0"/>
      <w:marRight w:val="0"/>
      <w:marTop w:val="0"/>
      <w:marBottom w:val="0"/>
      <w:divBdr>
        <w:top w:val="none" w:sz="0" w:space="0" w:color="auto"/>
        <w:left w:val="none" w:sz="0" w:space="0" w:color="auto"/>
        <w:bottom w:val="none" w:sz="0" w:space="0" w:color="auto"/>
        <w:right w:val="none" w:sz="0" w:space="0" w:color="auto"/>
      </w:divBdr>
    </w:div>
    <w:div w:id="201241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www.musawah.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www.thinkyoungwomen.org/" TargetMode="External"/><Relationship Id="rId17" Type="http://schemas.openxmlformats.org/officeDocument/2006/relationships/hyperlink" Target="mailto:musawah@musawah.org"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inkyoungwomen@gmail.com"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yperlink" Target="http://www.cpagambia.gm" TargetMode="External"/><Relationship Id="rId23" Type="http://schemas.openxmlformats.org/officeDocument/2006/relationships/image" Target="media/image7.jpeg"/><Relationship Id="rId28" Type="http://schemas.openxmlformats.org/officeDocument/2006/relationships/customXml" Target="../customXml/item2.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am02.safelinks.protection.outlook.com/?url=http%3A%2F%2Fwww.wave-gambia.org%2F&amp;data=04%7C01%7Cafricaproposals%40ned.org%7C9ab60c8e88b840f4436208d92d28cba3%7C4e07708641b34a22b78e41daff10793d%7C1%7C0%7C637590475978331053%7CUnknown%7CTWFpbGZsb3d8eyJWIjoiMC4wLjAwMDAiLCJQIjoiV2luMzIiLCJBTiI6Ik1haWwiLCJXVCI6Mn0%3D%7C1000&amp;sdata=ByOjWlu%2B59aavgi962kBwqRpPjGZDzJi%2Fcqlp1UHJII%3D&amp;reserved=0" TargetMode="External"/><Relationship Id="rId14" Type="http://schemas.openxmlformats.org/officeDocument/2006/relationships/hyperlink" Target="mailto:cpagambia@yahoo.com" TargetMode="External"/><Relationship Id="rId22" Type="http://schemas.openxmlformats.org/officeDocument/2006/relationships/image" Target="media/image6.jpeg"/><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tender.org.uk/blog/fgm-still-problem-gambia-years-banned/" TargetMode="External"/><Relationship Id="rId13" Type="http://schemas.openxmlformats.org/officeDocument/2006/relationships/hyperlink" Target="https://dhsprogram.com/pubs/pdf/FR369/FR369.pdf" TargetMode="External"/><Relationship Id="rId3" Type="http://schemas.openxmlformats.org/officeDocument/2006/relationships/hyperlink" Target="https://standard.gm/gambia-appoints-first-women-cadis/" TargetMode="External"/><Relationship Id="rId7" Type="http://schemas.openxmlformats.org/officeDocument/2006/relationships/hyperlink" Target="http://accessgambia.com/information/female-circumcision-fgm.html" TargetMode="External"/><Relationship Id="rId12" Type="http://schemas.openxmlformats.org/officeDocument/2006/relationships/hyperlink" Target="https://www.pewresearch.org/fact-tank/2020/12/07/polygamy-is-rare-around-the-world-and-mostly-confined-to-a-few-regions/" TargetMode="External"/><Relationship Id="rId2" Type="http://schemas.openxmlformats.org/officeDocument/2006/relationships/hyperlink" Target="https://africa.unwomen.org/en/digital-library/publications/2020/08/mapping-and-analysis-of-the-laws-of-the-gambia" TargetMode="External"/><Relationship Id="rId1" Type="http://schemas.openxmlformats.org/officeDocument/2006/relationships/hyperlink" Target="https://www.state.gov/wp-content/uploads/2021/05/240282-GAMBIA-2020-INTERNATIONAL-RELIGIOUS-FREEDOM-REPORT.pdf" TargetMode="External"/><Relationship Id="rId6" Type="http://schemas.openxmlformats.org/officeDocument/2006/relationships/hyperlink" Target="https://www.alignplatform.org/resources/preventing-early-marriage-rural-gambia" TargetMode="External"/><Relationship Id="rId11" Type="http://schemas.openxmlformats.org/officeDocument/2006/relationships/hyperlink" Target="http://equalsnow.org/wp-content/uploads/2022/07/Pandemic-of-the-State-and-Home.pdf" TargetMode="External"/><Relationship Id="rId5" Type="http://schemas.openxmlformats.org/officeDocument/2006/relationships/hyperlink" Target="https://www.orphansinneed.org.uk/news/child-marriage-in-the-gambia/" TargetMode="External"/><Relationship Id="rId10" Type="http://schemas.openxmlformats.org/officeDocument/2006/relationships/hyperlink" Target="https://www.unicef.org/gambia/press-releases/day-african-child-unicef-alerts-its-past-time-end-female-genital-mutilation-and" TargetMode="External"/><Relationship Id="rId4" Type="http://schemas.openxmlformats.org/officeDocument/2006/relationships/hyperlink" Target="https://mics-surveys-prod.s3.amazonaws.com/MICS6/West%20and%20Central%20Africa/Gambia/2018/Survey%20findings/The%20Gambia%202018%20MICS%20Survey%20Findings%20Report_English.pdf" TargetMode="External"/><Relationship Id="rId9" Type="http://schemas.openxmlformats.org/officeDocument/2006/relationships/hyperlink" Target="https://data.unicef.org/wp-content/uploads/country_profiles/Gambia/FGMC_GMB.pdf" TargetMode="External"/><Relationship Id="rId14" Type="http://schemas.openxmlformats.org/officeDocument/2006/relationships/hyperlink" Target="https://www.musawah.org/resources/cedaw-and-muslim-family-laws-in-search-of-common-gro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78ED74-2DA7-43EA-B9DA-737CBF90C29C}">
  <ds:schemaRefs>
    <ds:schemaRef ds:uri="http://schemas.openxmlformats.org/officeDocument/2006/bibliography"/>
  </ds:schemaRefs>
</ds:datastoreItem>
</file>

<file path=customXml/itemProps2.xml><?xml version="1.0" encoding="utf-8"?>
<ds:datastoreItem xmlns:ds="http://schemas.openxmlformats.org/officeDocument/2006/customXml" ds:itemID="{EEA887FC-A037-4EBB-872A-583048F05FD0}"/>
</file>

<file path=customXml/itemProps3.xml><?xml version="1.0" encoding="utf-8"?>
<ds:datastoreItem xmlns:ds="http://schemas.openxmlformats.org/officeDocument/2006/customXml" ds:itemID="{4300303D-6075-46BE-A007-B653D53AA676}"/>
</file>

<file path=customXml/itemProps4.xml><?xml version="1.0" encoding="utf-8"?>
<ds:datastoreItem xmlns:ds="http://schemas.openxmlformats.org/officeDocument/2006/customXml" ds:itemID="{2FAD2161-FC3F-4671-87B2-06D57001A8B0}"/>
</file>

<file path=docProps/app.xml><?xml version="1.0" encoding="utf-8"?>
<Properties xmlns="http://schemas.openxmlformats.org/officeDocument/2006/extended-properties" xmlns:vt="http://schemas.openxmlformats.org/officeDocument/2006/docPropsVTypes">
  <Template>Normal.dotm</Template>
  <TotalTime>423</TotalTime>
  <Pages>11</Pages>
  <Words>3319</Words>
  <Characters>18923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Waheedi, Salma</dc:creator>
  <cp:keywords/>
  <dc:description/>
  <cp:lastModifiedBy>Ansari, Fer Ghanaa-HLSCLINICS</cp:lastModifiedBy>
  <cp:revision>24</cp:revision>
  <dcterms:created xsi:type="dcterms:W3CDTF">2022-09-05T20:13:00Z</dcterms:created>
  <dcterms:modified xsi:type="dcterms:W3CDTF">2022-09-12T16:37:00Z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