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5938C" w14:textId="77777777" w:rsidR="006C1AD7" w:rsidRDefault="00000000">
      <w:pPr>
        <w:pStyle w:val="Heading1"/>
        <w:keepNext w:val="0"/>
        <w:keepLines w:val="0"/>
        <w:spacing w:line="240" w:lineRule="auto"/>
        <w:jc w:val="both"/>
        <w:rPr>
          <w:sz w:val="22"/>
          <w:szCs w:val="22"/>
        </w:rPr>
      </w:pPr>
      <w:bookmarkStart w:id="0" w:name="_heading=h.bqe49p1u0zgm" w:colFirst="0" w:colLast="0"/>
      <w:bookmarkEnd w:id="0"/>
      <w:r>
        <w:rPr>
          <w:noProof/>
          <w:sz w:val="22"/>
          <w:szCs w:val="22"/>
        </w:rPr>
        <w:drawing>
          <wp:inline distT="114300" distB="114300" distL="114300" distR="114300" wp14:anchorId="58056A09" wp14:editId="62C1CBE3">
            <wp:extent cx="5731200" cy="8102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8102600"/>
                    </a:xfrm>
                    <a:prstGeom prst="rect">
                      <a:avLst/>
                    </a:prstGeom>
                    <a:ln/>
                  </pic:spPr>
                </pic:pic>
              </a:graphicData>
            </a:graphic>
          </wp:inline>
        </w:drawing>
      </w:r>
      <w:r>
        <w:rPr>
          <w:sz w:val="22"/>
          <w:szCs w:val="22"/>
        </w:rPr>
        <w:lastRenderedPageBreak/>
        <w:t>Introduction</w:t>
      </w:r>
    </w:p>
    <w:p w14:paraId="0C0A2706" w14:textId="77777777" w:rsidR="006C1AD7" w:rsidRDefault="00000000">
      <w:pPr>
        <w:numPr>
          <w:ilvl w:val="0"/>
          <w:numId w:val="2"/>
        </w:numPr>
        <w:spacing w:after="0" w:line="276" w:lineRule="auto"/>
        <w:jc w:val="both"/>
      </w:pPr>
      <w:r>
        <w:t>This parallel report is submitted by FIAN Indonesia, the national section of FIAN International, a human rights organization for the right to food and nutrition (hereafter RtFN) in Indonesia.</w:t>
      </w:r>
    </w:p>
    <w:p w14:paraId="7C87B764" w14:textId="77777777" w:rsidR="006C1AD7" w:rsidRDefault="00000000">
      <w:pPr>
        <w:numPr>
          <w:ilvl w:val="0"/>
          <w:numId w:val="1"/>
        </w:numPr>
        <w:spacing w:after="0" w:line="276" w:lineRule="auto"/>
        <w:jc w:val="both"/>
      </w:pPr>
      <w:r>
        <w:t>The report focuses on the impact of the Food Estate (hereafter FE) on local smallholders’ RtFN. FE was proclaimed by the Government of Indonesia in 2020. By establishing large-scale agricultural plantations, the Government of Indonesia sought to solve the impending food crisis. This parallel report, in particular, looks at how the FE has contributed to the loss of local food systems and environmental degradation, and its impact on women’s rights. The focus is on the FE in North Sumatra, Central Kalimantan, and Papua. This parallel report is written based on intensive on-site research carried out by FIAN Indonesia since 2021.</w:t>
      </w:r>
    </w:p>
    <w:p w14:paraId="7D936997" w14:textId="645E33A7" w:rsidR="004D2802" w:rsidRDefault="00000000">
      <w:pPr>
        <w:numPr>
          <w:ilvl w:val="0"/>
          <w:numId w:val="1"/>
        </w:numPr>
        <w:spacing w:after="0" w:line="276" w:lineRule="auto"/>
        <w:jc w:val="both"/>
      </w:pPr>
      <w:r>
        <w:t>In the List of Issues,</w:t>
      </w:r>
      <w:r w:rsidR="004D2802">
        <w:rPr>
          <w:vertAlign w:val="superscript"/>
        </w:rPr>
        <w:endnoteReference w:id="1"/>
      </w:r>
      <w:r w:rsidR="004D2802">
        <w:t xml:space="preserve"> the Committee on Economic, Social, and Cultural Rights (CESCR) has specifically requested the Indonesian Government to clarify “(t)he measures taken to protect the rights of small-scale farmers, particularly relating to food and nutrition, livelihoods, participation in decision-making processes, and access to and use of land, and particularly in the context of implementing the Food Estate program”. The reply of the Government of Indonesia to the List of Issues does not refer explicitly to the FE. Instead, it merely mentions measures to protect small-scale farmers and fishers through various financialization, diversification, and certification programs</w:t>
      </w:r>
      <w:r w:rsidR="004D2802">
        <w:rPr>
          <w:vertAlign w:val="superscript"/>
        </w:rPr>
        <w:endnoteReference w:id="2"/>
      </w:r>
      <w:r w:rsidR="004D2802">
        <w:t xml:space="preserve">. FIAN Indonesia believes that these measures are short-term solutions and do not contribute to the realization of the RtFN of small-scale farmers. </w:t>
      </w:r>
    </w:p>
    <w:p w14:paraId="1B46C636" w14:textId="77777777" w:rsidR="004D2802" w:rsidRDefault="004D2802">
      <w:pPr>
        <w:numPr>
          <w:ilvl w:val="0"/>
          <w:numId w:val="1"/>
        </w:numPr>
        <w:spacing w:after="0" w:line="276" w:lineRule="auto"/>
        <w:jc w:val="both"/>
      </w:pPr>
      <w:r>
        <w:t>This parallel report is organized as follows: It begins with a concise introduction to the RtFN situation and the legal framework in Indonesia. Subsequently, a brief history of the FE is provided. The main section outlines the significant impacts of the FE, highlighting how it jeopardizes and violates the RtFN of smallholders. The report concludes with a set of clear recommendations directed towards the CESCR.</w:t>
      </w:r>
    </w:p>
    <w:p w14:paraId="052EBEF1" w14:textId="77777777" w:rsidR="004D2802" w:rsidRDefault="004D2802">
      <w:pPr>
        <w:spacing w:line="276" w:lineRule="auto"/>
        <w:jc w:val="both"/>
        <w:rPr>
          <w:b/>
        </w:rPr>
      </w:pPr>
    </w:p>
    <w:p w14:paraId="6D5FD54D" w14:textId="77777777" w:rsidR="004D2802" w:rsidRDefault="004D2802">
      <w:pPr>
        <w:spacing w:line="276" w:lineRule="auto"/>
        <w:jc w:val="both"/>
        <w:rPr>
          <w:b/>
        </w:rPr>
      </w:pPr>
      <w:r>
        <w:rPr>
          <w:b/>
        </w:rPr>
        <w:t>The Right to Food and Nutrition in Indonesia</w:t>
      </w:r>
    </w:p>
    <w:p w14:paraId="1086DC31" w14:textId="77777777" w:rsidR="004D2802" w:rsidRDefault="004D2802">
      <w:pPr>
        <w:numPr>
          <w:ilvl w:val="0"/>
          <w:numId w:val="1"/>
        </w:numPr>
        <w:pBdr>
          <w:top w:val="nil"/>
          <w:left w:val="nil"/>
          <w:bottom w:val="nil"/>
          <w:right w:val="nil"/>
          <w:between w:val="nil"/>
        </w:pBdr>
        <w:spacing w:after="0" w:line="276" w:lineRule="auto"/>
        <w:jc w:val="both"/>
      </w:pPr>
      <w:r>
        <w:t>According to the Global Hunger Index (GHI),</w:t>
      </w:r>
      <w:r>
        <w:rPr>
          <w:vertAlign w:val="superscript"/>
        </w:rPr>
        <w:endnoteReference w:id="3"/>
      </w:r>
      <w:r>
        <w:t xml:space="preserve"> Indonesia has a moderate level (17,6 on a scale of 100 where 100 is the worst and 0 is the best) of hunger in 2023. The hunger rate has reduced compared to several years ago. During 2000-2015, the level of hunger in Indonesia was classified as “serious”, with a GHI score of above 20. Yet, Indonesia still ranks today at 50 highest (worst) among 124 countries in the world. Regionally, Indonesia has the second-highest GHI hunger score among the 9 Southeast Asian countries.</w:t>
      </w:r>
      <w:r>
        <w:rPr>
          <w:vertAlign w:val="superscript"/>
        </w:rPr>
        <w:endnoteReference w:id="4"/>
      </w:r>
      <w:r>
        <w:t xml:space="preserve"> In 2018, more than 30% of children under the age of five experienced stunting, indicating chronic undernutrition.</w:t>
      </w:r>
      <w:r>
        <w:rPr>
          <w:vertAlign w:val="superscript"/>
        </w:rPr>
        <w:endnoteReference w:id="5"/>
      </w:r>
      <w:r>
        <w:t xml:space="preserve"> Concurrently, the prevalence of overweight and obese Indonesian adults rose from 19.1% in 2007 to 35.4% in 2018. The occurrence of diet-related non-communicable diseases (e.g., strokes, diabetes, hypertension) also witnessed an increase.</w:t>
      </w:r>
      <w:r>
        <w:rPr>
          <w:vertAlign w:val="superscript"/>
        </w:rPr>
        <w:endnoteReference w:id="6"/>
      </w:r>
      <w:r>
        <w:t xml:space="preserve"> Indonesia has become the world's largest country grappling with the severe double burden of malnutrition, encompassing both under- and over-nutrition.</w:t>
      </w:r>
      <w:r>
        <w:rPr>
          <w:vertAlign w:val="superscript"/>
        </w:rPr>
        <w:endnoteReference w:id="7"/>
      </w:r>
    </w:p>
    <w:p w14:paraId="20BA08F6" w14:textId="77777777" w:rsidR="004D2802" w:rsidRDefault="004D2802">
      <w:pPr>
        <w:numPr>
          <w:ilvl w:val="0"/>
          <w:numId w:val="1"/>
        </w:numPr>
        <w:pBdr>
          <w:top w:val="nil"/>
          <w:left w:val="nil"/>
          <w:bottom w:val="nil"/>
          <w:right w:val="nil"/>
          <w:between w:val="nil"/>
        </w:pBdr>
        <w:spacing w:after="0" w:line="276" w:lineRule="auto"/>
        <w:jc w:val="both"/>
      </w:pPr>
      <w:r>
        <w:t xml:space="preserve">Since 1977, instances of famine in Papua, the region with the highest number of hungry people in Indonesia, have been consistently reported. The most recent case occurred on October 24, 2023, in Amuma District, Yahukimo Regency, Papua. Allegedly, extreme weather conditions </w:t>
      </w:r>
      <w:r>
        <w:lastRenderedPageBreak/>
        <w:t>led to the decay of local crops, including tubers, resulting in the depletion of local food supplies.</w:t>
      </w:r>
      <w:r>
        <w:rPr>
          <w:vertAlign w:val="superscript"/>
        </w:rPr>
        <w:endnoteReference w:id="8"/>
      </w:r>
      <w:r>
        <w:t xml:space="preserve"> In response, the Government distributed food aid to the communities in Amuma District, providing four tons of rice. However, this response is not a sustainable, long-term solution to the persistent hunger issues in Papua. Essentially, the government's approach to addressing hunger in Papua remains short-term and has not tackled the underlying causes of the problem.</w:t>
      </w:r>
    </w:p>
    <w:p w14:paraId="1BF691F2" w14:textId="77777777" w:rsidR="004D2802" w:rsidRDefault="004D2802">
      <w:pPr>
        <w:numPr>
          <w:ilvl w:val="0"/>
          <w:numId w:val="1"/>
        </w:numPr>
        <w:pBdr>
          <w:top w:val="nil"/>
          <w:left w:val="nil"/>
          <w:bottom w:val="nil"/>
          <w:right w:val="nil"/>
          <w:between w:val="nil"/>
        </w:pBdr>
        <w:spacing w:after="0" w:line="276" w:lineRule="auto"/>
        <w:jc w:val="both"/>
      </w:pPr>
      <w:r>
        <w:t>In accordance with Law Number 18 of 2012 on Food, it is established that food is a fundamental human need, and its fulfillment is recognized as a part of human rights. The law obliges the state to ensure the availability, accessibility, and consumption of food. However, the law does not explicitly and clearly articulate the recognition of people's RtFN, which should be respected, protected, and fulfilled by the state. None of the 41 laws and regulations related to food in Indonesia explicitly address the RtFN as a human right, with an emphasis on food security focusing on production ("availability") and adequacy. Moreover, the realization of the RtFN is potentially impeded by various national regulations.</w:t>
      </w:r>
      <w:r>
        <w:rPr>
          <w:vertAlign w:val="superscript"/>
        </w:rPr>
        <w:endnoteReference w:id="9"/>
      </w:r>
      <w:r>
        <w:t xml:space="preserve"> It is to be highlighted here that the Job Creation Law (also known as the Omnibus Law) and various laws introduced during the COVID pandemic related to the National Economic Recovery have the potential to undermine the diversity of local food sources. This risk arises from the adoption of a food liberalization agenda, increasing the vulnerability of small-scale food producers, fostering dependence on imported food, consolidating corporate monopolies in food supply chains, and contributing to environmental degradation through intensified agricultural industrialization and deforestation.</w:t>
      </w:r>
      <w:r>
        <w:rPr>
          <w:vertAlign w:val="superscript"/>
        </w:rPr>
        <w:endnoteReference w:id="10"/>
      </w:r>
    </w:p>
    <w:p w14:paraId="5D49BCD1" w14:textId="77777777" w:rsidR="004D2802" w:rsidRDefault="004D2802">
      <w:pPr>
        <w:numPr>
          <w:ilvl w:val="0"/>
          <w:numId w:val="1"/>
        </w:numPr>
        <w:pBdr>
          <w:top w:val="nil"/>
          <w:left w:val="nil"/>
          <w:bottom w:val="nil"/>
          <w:right w:val="nil"/>
          <w:between w:val="nil"/>
        </w:pBdr>
        <w:spacing w:after="0" w:line="276" w:lineRule="auto"/>
        <w:jc w:val="both"/>
      </w:pPr>
      <w:r>
        <w:t>Indonesia's current food systems are heavily influenced by global geopolitics, particularly dominated by the industrial food system, which perpetuates power imbalances and inequalities. This system contributes significantly to climate change, biodiversity loss, pollution, and environmental degradation, with about one-third of global greenhouse gas emissions originating from industrial food systems. The use of pesticides and chemical fertilizers in intensive agriculture results in poisoning an estimated 385 million peasants and agricultural workers annually.</w:t>
      </w:r>
      <w:r>
        <w:rPr>
          <w:vertAlign w:val="superscript"/>
        </w:rPr>
        <w:endnoteReference w:id="11"/>
      </w:r>
      <w:r>
        <w:t xml:space="preserve"> The Indonesian government consistently favors the agro-industrial food farming model, evident in initiatives like the FE. This approach employs extensive, technology-intensive, input-driven methods within a global system regulated by capitalist entrepreneurs, utilizing a top-down approach.</w:t>
      </w:r>
      <w:r>
        <w:rPr>
          <w:vertAlign w:val="superscript"/>
        </w:rPr>
        <w:endnoteReference w:id="12"/>
      </w:r>
      <w:r>
        <w:t xml:space="preserve"> Beyond its environmental impact, the FE undermines socio-cultural institutions and poses a significant threat to people's RtFN.</w:t>
      </w:r>
    </w:p>
    <w:p w14:paraId="70DD77D6" w14:textId="77777777" w:rsidR="004D2802" w:rsidRDefault="004D2802">
      <w:pPr>
        <w:pBdr>
          <w:top w:val="nil"/>
          <w:left w:val="nil"/>
          <w:bottom w:val="nil"/>
          <w:right w:val="nil"/>
          <w:between w:val="nil"/>
        </w:pBdr>
        <w:spacing w:after="0" w:line="276" w:lineRule="auto"/>
        <w:ind w:left="720"/>
        <w:jc w:val="both"/>
      </w:pPr>
    </w:p>
    <w:p w14:paraId="7B4B4BBE" w14:textId="77777777" w:rsidR="004D2802" w:rsidRDefault="004D2802">
      <w:pPr>
        <w:spacing w:line="276" w:lineRule="auto"/>
        <w:jc w:val="both"/>
        <w:rPr>
          <w:b/>
          <w:i/>
        </w:rPr>
      </w:pPr>
      <w:r>
        <w:rPr>
          <w:b/>
        </w:rPr>
        <w:t>Food Estate - Background</w:t>
      </w:r>
    </w:p>
    <w:p w14:paraId="12A5B3BC" w14:textId="77777777" w:rsidR="004D2802" w:rsidRDefault="004D2802">
      <w:pPr>
        <w:numPr>
          <w:ilvl w:val="0"/>
          <w:numId w:val="1"/>
        </w:numPr>
        <w:pBdr>
          <w:top w:val="nil"/>
          <w:left w:val="nil"/>
          <w:bottom w:val="nil"/>
          <w:right w:val="nil"/>
          <w:between w:val="nil"/>
        </w:pBdr>
        <w:spacing w:after="0" w:line="276" w:lineRule="auto"/>
        <w:jc w:val="both"/>
      </w:pPr>
      <w:r>
        <w:t>In April 2020, the UN Food and Agriculture Organization (FAO) released an official statement warning of the threat of a global food crisis due to the COVID-19 pandemic.</w:t>
      </w:r>
      <w:r>
        <w:rPr>
          <w:vertAlign w:val="superscript"/>
        </w:rPr>
        <w:endnoteReference w:id="13"/>
      </w:r>
      <w:r>
        <w:t xml:space="preserve"> Responding promptly to the FAO’s appeal, the Indonesian government anticipating the impact of the drought,</w:t>
      </w:r>
      <w:r>
        <w:rPr>
          <w:vertAlign w:val="superscript"/>
        </w:rPr>
        <w:endnoteReference w:id="14"/>
      </w:r>
      <w:r>
        <w:t xml:space="preserve"> aimed to increase rice production and establish new rice fields, even though the National Logistics Agency (BULOG) indicated that the national rice supply was adequate for 2020. During the National Limited Coordination Meeting, led by the president on September 23, 2020,</w:t>
      </w:r>
      <w:r>
        <w:rPr>
          <w:vertAlign w:val="superscript"/>
        </w:rPr>
        <w:endnoteReference w:id="15"/>
      </w:r>
      <w:r>
        <w:t xml:space="preserve"> the government initiated a large-scale FE in five provinces: Central Kalimantan, North Sumatra, South Sumatra, East Nusa Tenggara, and Papua. The initial focus was on Central Kalimantan for rice cultivation and North Sumatra for horticultural crops within the </w:t>
      </w:r>
      <w:r>
        <w:lastRenderedPageBreak/>
        <w:t>FE. Subsequently, the program was designated a National Strategic Project and became a key component of the National Economic Recovery Program.</w:t>
      </w:r>
    </w:p>
    <w:p w14:paraId="79ECE293" w14:textId="77777777" w:rsidR="004D2802" w:rsidRDefault="004D2802">
      <w:pPr>
        <w:pBdr>
          <w:top w:val="nil"/>
          <w:left w:val="nil"/>
          <w:bottom w:val="nil"/>
          <w:right w:val="nil"/>
          <w:between w:val="nil"/>
        </w:pBdr>
        <w:spacing w:after="0" w:line="276" w:lineRule="auto"/>
        <w:ind w:firstLine="720"/>
        <w:jc w:val="both"/>
      </w:pPr>
    </w:p>
    <w:p w14:paraId="0FBD12D9" w14:textId="77777777" w:rsidR="004D2802" w:rsidRDefault="004D2802">
      <w:pPr>
        <w:spacing w:after="0" w:line="276" w:lineRule="auto"/>
        <w:jc w:val="both"/>
        <w:rPr>
          <w:b/>
        </w:rPr>
      </w:pPr>
      <w:r>
        <w:rPr>
          <w:b/>
        </w:rPr>
        <w:t>Impact of the Food Estate on the RtFN of Local Rural Communities</w:t>
      </w:r>
    </w:p>
    <w:p w14:paraId="6388C29B" w14:textId="77777777" w:rsidR="004D2802" w:rsidRDefault="004D2802">
      <w:pPr>
        <w:spacing w:after="0" w:line="276" w:lineRule="auto"/>
        <w:jc w:val="both"/>
        <w:rPr>
          <w:b/>
          <w:i/>
        </w:rPr>
      </w:pPr>
      <w:r>
        <w:rPr>
          <w:b/>
          <w:i/>
        </w:rPr>
        <w:t>Corporate control over small-holders</w:t>
      </w:r>
    </w:p>
    <w:p w14:paraId="109EA1DB" w14:textId="77777777" w:rsidR="004D2802" w:rsidRDefault="004D2802">
      <w:pPr>
        <w:numPr>
          <w:ilvl w:val="0"/>
          <w:numId w:val="1"/>
        </w:numPr>
        <w:pBdr>
          <w:top w:val="nil"/>
          <w:left w:val="nil"/>
          <w:bottom w:val="nil"/>
          <w:right w:val="nil"/>
          <w:between w:val="nil"/>
        </w:pBdr>
        <w:spacing w:after="0" w:line="276" w:lineRule="auto"/>
        <w:jc w:val="both"/>
      </w:pPr>
      <w:r>
        <w:t>The President mandated the implementation of the FE through a farmers' cooperative scheme ("koperasi petani"). This approach utilizes closed-loop design and farmer corporations as the mechanism to orchestrate FE agriculture. The closed-loop model and farmer corporations aim to integrate farmers and agribusiness throughout the entire agricultural process, including input procurement, cultivation, post-harvest activities, processing, and the marketing of agricultural products.</w:t>
      </w:r>
      <w:r>
        <w:rPr>
          <w:b/>
          <w:vertAlign w:val="superscript"/>
        </w:rPr>
        <w:endnoteReference w:id="16"/>
      </w:r>
      <w:r>
        <w:t xml:space="preserve"> </w:t>
      </w:r>
    </w:p>
    <w:p w14:paraId="30B41777" w14:textId="77777777" w:rsidR="004D2802" w:rsidRDefault="004D2802">
      <w:pPr>
        <w:numPr>
          <w:ilvl w:val="0"/>
          <w:numId w:val="1"/>
        </w:numPr>
        <w:pBdr>
          <w:top w:val="nil"/>
          <w:left w:val="nil"/>
          <w:bottom w:val="nil"/>
          <w:right w:val="nil"/>
          <w:between w:val="nil"/>
        </w:pBdr>
        <w:spacing w:after="0" w:line="276" w:lineRule="auto"/>
        <w:jc w:val="both"/>
      </w:pPr>
      <w:r>
        <w:t>The FE in North Sumatra, the interaction between farmers and agribusiness took the form of contract farming. Contract farming is an organizational model where smallholder farmers, utilizing household labor, collaborate with contractors (agribusiness) through predetermined marketing production contracts. These contracts specify the production of horticultural commodities, including industrial potatoes, shallots, and garlic. The selection of these crops was not clear, and it is uncertain who was consulted, as they deviated from the usual crops grown by local communities, such as coffee, “andaliman” (Bataknese pepper), and frankincense in dry lands or forests, and rice and corn in paddy fields. Similar commodity-based approaches were employed in Central Kalimantan (lowland rice, cassava, and maize), Papua (maize), East Nusa Tenggara (beef cattle), and Bali (Vannamei shrimp).</w:t>
      </w:r>
      <w:r>
        <w:rPr>
          <w:vertAlign w:val="superscript"/>
        </w:rPr>
        <w:endnoteReference w:id="17"/>
      </w:r>
      <w:r>
        <w:t xml:space="preserve"> </w:t>
      </w:r>
    </w:p>
    <w:p w14:paraId="07F4FFF5" w14:textId="77777777" w:rsidR="004D2802" w:rsidRDefault="004D2802">
      <w:pPr>
        <w:numPr>
          <w:ilvl w:val="0"/>
          <w:numId w:val="1"/>
        </w:numPr>
        <w:pBdr>
          <w:top w:val="nil"/>
          <w:left w:val="nil"/>
          <w:bottom w:val="nil"/>
          <w:right w:val="nil"/>
          <w:between w:val="nil"/>
        </w:pBdr>
        <w:spacing w:after="0" w:line="276" w:lineRule="auto"/>
        <w:jc w:val="both"/>
      </w:pPr>
      <w:r>
        <w:t xml:space="preserve">Contract farming is a widespread practice in North Sumatra's horticultural sector, mainly employed for acquiring inputs in capital-intensive crops. Typically, it involves short-term contracts that provide an exit option for farmers if the arrangement proves unfavorable due to imbalances in power relations. However, the contract farming model in the FE </w:t>
      </w:r>
    </w:p>
    <w:p w14:paraId="5D0C17AB" w14:textId="77777777" w:rsidR="004D2802" w:rsidRDefault="004D2802">
      <w:pPr>
        <w:numPr>
          <w:ilvl w:val="0"/>
          <w:numId w:val="1"/>
        </w:numPr>
        <w:pBdr>
          <w:top w:val="nil"/>
          <w:left w:val="nil"/>
          <w:bottom w:val="nil"/>
          <w:right w:val="nil"/>
          <w:between w:val="nil"/>
        </w:pBdr>
        <w:spacing w:after="0" w:line="276" w:lineRule="auto"/>
        <w:jc w:val="both"/>
      </w:pPr>
      <w:r>
        <w:t>in North Sumatra was without a defined time frame, contingent on the state project's execution, and prioritized the interests of food business companies. This top-down policy raises concerns about the unequal power dynamics between agribusiness corporations</w:t>
      </w:r>
      <w:r>
        <w:rPr>
          <w:vertAlign w:val="superscript"/>
        </w:rPr>
        <w:endnoteReference w:id="18"/>
      </w:r>
      <w:r>
        <w:t xml:space="preserve"> and local farmers.</w:t>
      </w:r>
    </w:p>
    <w:p w14:paraId="33F4E7C5" w14:textId="77777777" w:rsidR="004D2802" w:rsidRDefault="004D2802">
      <w:pPr>
        <w:numPr>
          <w:ilvl w:val="0"/>
          <w:numId w:val="1"/>
        </w:numPr>
        <w:pBdr>
          <w:top w:val="nil"/>
          <w:left w:val="nil"/>
          <w:bottom w:val="nil"/>
          <w:right w:val="nil"/>
          <w:between w:val="nil"/>
        </w:pBdr>
        <w:spacing w:after="0" w:line="276" w:lineRule="auto"/>
        <w:jc w:val="both"/>
      </w:pPr>
      <w:r>
        <w:t>The execution of the FE in North Sumatra, utilizing the contract farming system, lacked transparency regarding contract discussions and agreements, notably in addressing the contract's content and the distribution of production assistance for peasant/farmer groups. Surprisingly, most of these groups were unaware of and did not receive a copy of the written contract with the off-taker (corporation). The government's program regarding land certification for peasants in FE locations contains a vested interest in controlling peasants’ land by stating that the ownership of the certificated land will not be transferred, and the land should be allocated for the FE (without a clear period of contract).</w:t>
      </w:r>
      <w:r>
        <w:rPr>
          <w:vertAlign w:val="superscript"/>
        </w:rPr>
        <w:endnoteReference w:id="19"/>
      </w:r>
      <w:r>
        <w:t xml:space="preserve"> Instead of being determined by both parties (farmers and company), clauses regarding costs and benefits in the agreement are only determined by the company; and there is no clear scheme to mitigate risk before the contracts were signed.</w:t>
      </w:r>
      <w:r>
        <w:rPr>
          <w:vertAlign w:val="superscript"/>
        </w:rPr>
        <w:endnoteReference w:id="20"/>
      </w:r>
      <w:r>
        <w:t xml:space="preserve"> Therefore, the legalization of land through certification can be used as an entry point for seizing farmers' control over their land by FE projects.</w:t>
      </w:r>
    </w:p>
    <w:p w14:paraId="556C3294" w14:textId="77777777" w:rsidR="004D2802" w:rsidRDefault="004D2802">
      <w:pPr>
        <w:pBdr>
          <w:top w:val="nil"/>
          <w:left w:val="nil"/>
          <w:bottom w:val="nil"/>
          <w:right w:val="nil"/>
          <w:between w:val="nil"/>
        </w:pBdr>
        <w:spacing w:after="0" w:line="276" w:lineRule="auto"/>
        <w:jc w:val="both"/>
        <w:rPr>
          <w:highlight w:val="yellow"/>
        </w:rPr>
      </w:pPr>
    </w:p>
    <w:p w14:paraId="32DD3294" w14:textId="77777777" w:rsidR="004D2802" w:rsidRDefault="004D2802">
      <w:pPr>
        <w:pBdr>
          <w:top w:val="nil"/>
          <w:left w:val="nil"/>
          <w:bottom w:val="nil"/>
          <w:right w:val="nil"/>
          <w:between w:val="nil"/>
        </w:pBdr>
        <w:spacing w:after="0" w:line="276" w:lineRule="auto"/>
        <w:jc w:val="both"/>
        <w:rPr>
          <w:b/>
        </w:rPr>
      </w:pPr>
      <w:r>
        <w:rPr>
          <w:b/>
        </w:rPr>
        <w:lastRenderedPageBreak/>
        <w:t>Loss of Local Agriculture System</w:t>
      </w:r>
    </w:p>
    <w:p w14:paraId="6AEA374C" w14:textId="77777777" w:rsidR="004D2802" w:rsidRDefault="004D2802">
      <w:pPr>
        <w:pBdr>
          <w:top w:val="nil"/>
          <w:left w:val="nil"/>
          <w:bottom w:val="nil"/>
          <w:right w:val="nil"/>
          <w:between w:val="nil"/>
        </w:pBdr>
        <w:spacing w:after="0" w:line="276" w:lineRule="auto"/>
        <w:jc w:val="both"/>
        <w:rPr>
          <w:b/>
        </w:rPr>
      </w:pPr>
    </w:p>
    <w:p w14:paraId="36584F27" w14:textId="77777777" w:rsidR="004D2802" w:rsidRDefault="004D2802">
      <w:pPr>
        <w:numPr>
          <w:ilvl w:val="0"/>
          <w:numId w:val="1"/>
        </w:numPr>
        <w:pBdr>
          <w:top w:val="nil"/>
          <w:left w:val="nil"/>
          <w:bottom w:val="nil"/>
          <w:right w:val="nil"/>
          <w:between w:val="nil"/>
        </w:pBdr>
        <w:spacing w:after="0" w:line="276" w:lineRule="auto"/>
        <w:jc w:val="both"/>
      </w:pPr>
      <w:r>
        <w:t xml:space="preserve">Around 2015, in Sepang Village, traditional </w:t>
      </w:r>
      <w:r>
        <w:rPr>
          <w:i/>
        </w:rPr>
        <w:t>manyeha tana</w:t>
      </w:r>
      <w:r>
        <w:t xml:space="preserve"> (slash and burn) ceased, leaving only 16 traditional farming families in Manuhing Raya due to Central Kalimantan Governor Regulation No. 49 of 2015.</w:t>
      </w:r>
      <w:r>
        <w:rPr>
          <w:vertAlign w:val="superscript"/>
        </w:rPr>
        <w:endnoteReference w:id="21"/>
      </w:r>
      <w:r>
        <w:t xml:space="preserve"> This shift was prompted by the scapegoating of traditional methods for land and forest fires in Kalimantan during 1997-1998 and 2015-2019. Despite the burning ban, the government took little action against companies engaging in large-scale land clearing through burning. The FE, introduced as an alternative, aimed to provide a modern agricultural system but faced challenges, intensifying the loss of autonomy for farmers and women who traditionally managed systems and preserved highland rice seeds. The lack of protection impacts the RtFN of local farming families, forcing many to buy the main food source (lowland rice) they once cultivated before the FE.</w:t>
      </w:r>
    </w:p>
    <w:p w14:paraId="74E15E69" w14:textId="77777777" w:rsidR="004D2802" w:rsidRDefault="004D2802">
      <w:pPr>
        <w:numPr>
          <w:ilvl w:val="0"/>
          <w:numId w:val="1"/>
        </w:numPr>
        <w:pBdr>
          <w:top w:val="nil"/>
          <w:left w:val="nil"/>
          <w:bottom w:val="nil"/>
          <w:right w:val="nil"/>
          <w:between w:val="nil"/>
        </w:pBdr>
        <w:spacing w:after="0" w:line="276" w:lineRule="auto"/>
        <w:jc w:val="both"/>
      </w:pPr>
      <w:r>
        <w:t>In Pargamanan-Bintang Maria, North Sumatra, the farming tradition blends subsistence food farming (rice) with commercial crops, primarily frankincense. Rice cultivation is mainly in village basins or valleys (</w:t>
      </w:r>
      <w:r>
        <w:rPr>
          <w:i/>
        </w:rPr>
        <w:t>huta</w:t>
      </w:r>
      <w:r>
        <w:t>), with additional crops like cayenne pepper and corn on dry land. Forest areas (tombak) at higher elevations are also utilized. These spatial categories (</w:t>
      </w:r>
      <w:r>
        <w:rPr>
          <w:i/>
        </w:rPr>
        <w:t>huta</w:t>
      </w:r>
      <w:r>
        <w:t xml:space="preserve">, rice fields, land, and </w:t>
      </w:r>
      <w:r>
        <w:rPr>
          <w:i/>
        </w:rPr>
        <w:t>tombak</w:t>
      </w:r>
      <w:r>
        <w:t>) serve as the community's sources of food and fulfill various needs like building materials and medicines. They are used for personal consumption and sale. However, since the introduction of the FE, which requires planting foreign crops like industrial potatoes and garlic, people lack time for traditional crops like corn and rice as most time is spent on FE land.</w:t>
      </w:r>
      <w:r>
        <w:rPr>
          <w:vertAlign w:val="superscript"/>
        </w:rPr>
        <w:endnoteReference w:id="22"/>
      </w:r>
    </w:p>
    <w:p w14:paraId="04EFDAC8" w14:textId="77777777" w:rsidR="004D2802" w:rsidRDefault="004D2802">
      <w:pPr>
        <w:spacing w:before="240" w:after="240" w:line="276" w:lineRule="auto"/>
        <w:jc w:val="both"/>
        <w:rPr>
          <w:b/>
        </w:rPr>
      </w:pPr>
      <w:r>
        <w:rPr>
          <w:b/>
        </w:rPr>
        <w:t>Violation of women’s rights (local knowledge, local seeds, health)</w:t>
      </w:r>
    </w:p>
    <w:p w14:paraId="00A8EF38" w14:textId="77777777" w:rsidR="004D2802" w:rsidRDefault="004D2802">
      <w:pPr>
        <w:numPr>
          <w:ilvl w:val="0"/>
          <w:numId w:val="1"/>
        </w:numPr>
        <w:pBdr>
          <w:top w:val="nil"/>
          <w:left w:val="nil"/>
          <w:bottom w:val="nil"/>
          <w:right w:val="nil"/>
          <w:between w:val="nil"/>
        </w:pBdr>
        <w:spacing w:after="0" w:line="276" w:lineRule="auto"/>
        <w:jc w:val="both"/>
      </w:pPr>
      <w:r>
        <w:t>Rural and indigenous women are among those who are most vulnerable, despite their significant role in agriculture. In the Dayak tradition (Central Kalimantan), women have a strong connection to seeds, symbolizing their role in providing family food. In Mantangai Hulu and Kalumpang village (Central Kalimantan), women traditionally handle seed-related tasks due to their perceived attentiveness, and their involvement extends to the cultivation of</w:t>
      </w:r>
      <w:r>
        <w:rPr>
          <w:i/>
        </w:rPr>
        <w:t xml:space="preserve"> padi gunung</w:t>
      </w:r>
      <w:r>
        <w:t xml:space="preserve"> (highland rice paddy), where men </w:t>
      </w:r>
      <w:r>
        <w:rPr>
          <w:i/>
        </w:rPr>
        <w:t xml:space="preserve">menugal </w:t>
      </w:r>
      <w:r>
        <w:t xml:space="preserve">(making some holes on the ground to put the seeds in), and women put the seeds into the hole of the </w:t>
      </w:r>
      <w:r>
        <w:rPr>
          <w:i/>
        </w:rPr>
        <w:t>tugal</w:t>
      </w:r>
      <w:r>
        <w:t xml:space="preserve"> and store the seeds. In Riaria (North Sumatera), women oversee rice fields, traditionally serving as household treasurers responsible for managing income and expenditures. Despite this, both men and women participate in rice cultivation. In Awyu and Wambon traditions (two of the indigenous tribes in Boven Digoel), women are obligated to perform various care tasks, including gathering food from the forest, harvesting and processing sago, and trapping wild animals. After these activities, they return home to care for children, cook, wash dishes, and gather water.</w:t>
      </w:r>
    </w:p>
    <w:p w14:paraId="6BEDF289" w14:textId="77777777" w:rsidR="004D2802" w:rsidRDefault="004D2802">
      <w:pPr>
        <w:numPr>
          <w:ilvl w:val="0"/>
          <w:numId w:val="1"/>
        </w:numPr>
        <w:pBdr>
          <w:top w:val="nil"/>
          <w:left w:val="nil"/>
          <w:bottom w:val="nil"/>
          <w:right w:val="nil"/>
          <w:between w:val="nil"/>
        </w:pBdr>
        <w:spacing w:after="0" w:line="276" w:lineRule="auto"/>
        <w:jc w:val="both"/>
      </w:pPr>
      <w:r>
        <w:t xml:space="preserve">The authority of women has deteriorated, compounding their existing challenges. In North Sumatra, women manage rice fields while men focus on the FE. However, women's roles in rice cultivation, aside from specific activities like plowing, are limited. Labor shortages disrupting wet rice farming disproportionately affect women, compelling them to seek additional wage work for income. In severe cases of field abandonment, women lose control over household rice supply, relying on the market and FE income controlled by husbands. The </w:t>
      </w:r>
      <w:r>
        <w:lastRenderedPageBreak/>
        <w:t>FE also reduces the time for women, particularly mothers, to prepare nutritious meals, as they must spend more time working in FE fields.</w:t>
      </w:r>
    </w:p>
    <w:p w14:paraId="227E5EA5" w14:textId="77777777" w:rsidR="004D2802" w:rsidRDefault="004D2802">
      <w:pPr>
        <w:pBdr>
          <w:top w:val="nil"/>
          <w:left w:val="nil"/>
          <w:bottom w:val="nil"/>
          <w:right w:val="nil"/>
          <w:between w:val="nil"/>
        </w:pBdr>
        <w:spacing w:after="0" w:line="276" w:lineRule="auto"/>
        <w:jc w:val="both"/>
        <w:rPr>
          <w:i/>
        </w:rPr>
      </w:pPr>
    </w:p>
    <w:p w14:paraId="65019C1B" w14:textId="77777777" w:rsidR="004D2802" w:rsidRDefault="004D2802">
      <w:pPr>
        <w:pBdr>
          <w:top w:val="nil"/>
          <w:left w:val="nil"/>
          <w:bottom w:val="nil"/>
          <w:right w:val="nil"/>
          <w:between w:val="nil"/>
        </w:pBdr>
        <w:spacing w:after="0" w:line="276" w:lineRule="auto"/>
        <w:jc w:val="both"/>
        <w:rPr>
          <w:b/>
        </w:rPr>
      </w:pPr>
      <w:r>
        <w:rPr>
          <w:b/>
          <w:i/>
        </w:rPr>
        <w:t>Intransparency and non-participation of women</w:t>
      </w:r>
      <w:r>
        <w:rPr>
          <w:b/>
        </w:rPr>
        <w:t xml:space="preserve"> </w:t>
      </w:r>
    </w:p>
    <w:p w14:paraId="09CEB28B" w14:textId="77777777" w:rsidR="004D2802" w:rsidRDefault="004D2802">
      <w:pPr>
        <w:numPr>
          <w:ilvl w:val="0"/>
          <w:numId w:val="1"/>
        </w:numPr>
        <w:pBdr>
          <w:top w:val="nil"/>
          <w:left w:val="nil"/>
          <w:bottom w:val="nil"/>
          <w:right w:val="nil"/>
          <w:between w:val="nil"/>
        </w:pBdr>
        <w:spacing w:after="0" w:line="276" w:lineRule="auto"/>
        <w:jc w:val="both"/>
      </w:pPr>
      <w:r>
        <w:t>The selection and execution of the FE are predominantly top-down, leading to minimal, if any, meaningful participation of peasants and farmer groups, particularly women. Farmers in Mantangai Hulu and Kalumpang villages, Central Kalimantan Province, indicated that the introduction of the FE to their villages was only communicated to a select few residents during socialization. The delivering party, presumed to be a company, did not clearly disclose its identity or purpose. Women farmers are notably excluded from the process, relying on information relayed by their husbands about the village's potential inclusion in the program. Socialization invitations are exclusively directed to male heads of families.</w:t>
      </w:r>
    </w:p>
    <w:p w14:paraId="59A44634" w14:textId="77777777" w:rsidR="004D2802" w:rsidRDefault="004D2802">
      <w:pPr>
        <w:pBdr>
          <w:top w:val="nil"/>
          <w:left w:val="nil"/>
          <w:bottom w:val="nil"/>
          <w:right w:val="nil"/>
          <w:between w:val="nil"/>
        </w:pBdr>
        <w:spacing w:after="0" w:line="276" w:lineRule="auto"/>
        <w:ind w:left="720"/>
        <w:jc w:val="both"/>
      </w:pPr>
    </w:p>
    <w:p w14:paraId="0E260C37" w14:textId="77777777" w:rsidR="004D2802" w:rsidRDefault="004D2802">
      <w:pPr>
        <w:pBdr>
          <w:top w:val="nil"/>
          <w:left w:val="nil"/>
          <w:bottom w:val="nil"/>
          <w:right w:val="nil"/>
          <w:between w:val="nil"/>
        </w:pBdr>
        <w:spacing w:after="0" w:line="276" w:lineRule="auto"/>
        <w:jc w:val="both"/>
        <w:rPr>
          <w:b/>
          <w:highlight w:val="yellow"/>
        </w:rPr>
      </w:pPr>
      <w:r>
        <w:rPr>
          <w:b/>
          <w:i/>
        </w:rPr>
        <w:t xml:space="preserve">Loss of local knowledge and local food sources </w:t>
      </w:r>
    </w:p>
    <w:p w14:paraId="64AF4CDB" w14:textId="77777777" w:rsidR="004D2802" w:rsidRDefault="004D2802">
      <w:pPr>
        <w:numPr>
          <w:ilvl w:val="0"/>
          <w:numId w:val="1"/>
        </w:numPr>
        <w:spacing w:after="0" w:line="276" w:lineRule="auto"/>
        <w:jc w:val="both"/>
      </w:pPr>
      <w:r>
        <w:t>In the customs of numerous Indonesian ethnic groups, there exists a strong connection between women and seeds, symbolizing women's responsibility for providing family sustenance. This association is evident among the Dayak ethnic group in Central Kalimantan, the Wambon and Awyu people in Papua, and the Riaria people in North Sumatra. Women are typically entrusted with tasks involving seeds as they are perceived as meticulous and attentive caretakers of small details, including the essential role of nurturing the family's food.</w:t>
      </w:r>
      <w:r>
        <w:rPr>
          <w:vertAlign w:val="superscript"/>
        </w:rPr>
        <w:endnoteReference w:id="23"/>
      </w:r>
    </w:p>
    <w:p w14:paraId="34245436" w14:textId="77777777" w:rsidR="004D2802" w:rsidRDefault="004D2802">
      <w:pPr>
        <w:numPr>
          <w:ilvl w:val="0"/>
          <w:numId w:val="1"/>
        </w:numPr>
        <w:spacing w:after="0" w:line="276" w:lineRule="auto"/>
        <w:jc w:val="both"/>
      </w:pPr>
      <w:r>
        <w:t>The FE jeopardizes the preservation of local seed knowledge by distributing aid packages containing seeds not native to the FE location, along with chemical inputs and local food sources (as discussed earlier). In 2021 it was discovered that eight out of eighteen local rice seeds in Mantangai Hulu and Mantangai, two villages in the FE concession in Central Kalimantan, have vanished.</w:t>
      </w:r>
      <w:r>
        <w:rPr>
          <w:vertAlign w:val="superscript"/>
        </w:rPr>
        <w:endnoteReference w:id="24"/>
      </w:r>
      <w:r>
        <w:t xml:space="preserve"> Additionally, the FE exacerbates the existing gap resulting from the patriarchal system, which marginalizes or dismisses women's involvement in land-related decisions. Furthermore, the FE program fails to offer opportunities for meaningful participation of women in decision-making processes, spanning from the socialization phase to determining the crops to be cultivated and the farming methods employed.</w:t>
      </w:r>
    </w:p>
    <w:p w14:paraId="70BF6F9C" w14:textId="77777777" w:rsidR="004D2802" w:rsidRDefault="004D2802">
      <w:pPr>
        <w:numPr>
          <w:ilvl w:val="0"/>
          <w:numId w:val="1"/>
        </w:numPr>
        <w:pBdr>
          <w:top w:val="nil"/>
          <w:left w:val="nil"/>
          <w:bottom w:val="nil"/>
          <w:right w:val="nil"/>
          <w:between w:val="nil"/>
        </w:pBdr>
        <w:spacing w:after="0" w:line="276" w:lineRule="auto"/>
        <w:jc w:val="both"/>
      </w:pPr>
      <w:r>
        <w:t>In Papua, overlaying license maps expose land allocations beyond the officially listed plantation areas.</w:t>
      </w:r>
      <w:r>
        <w:rPr>
          <w:vertAlign w:val="superscript"/>
        </w:rPr>
        <w:endnoteReference w:id="25"/>
      </w:r>
      <w:r>
        <w:t xml:space="preserve"> Calculations based on data from the Papua Province Environment Office indicate diverse FE locations across different districts, with Subur District in Boven Digoel having the largest allocation. Conversations with women in Subur Village and Metto Village, Kia District, underscore the lack of information about the FE plan in these communities, highlighting the limited awareness among women when there is a program to be established near their settlements.</w:t>
      </w:r>
    </w:p>
    <w:p w14:paraId="7B29A543" w14:textId="77777777" w:rsidR="004D2802" w:rsidRDefault="004D2802">
      <w:pPr>
        <w:numPr>
          <w:ilvl w:val="0"/>
          <w:numId w:val="1"/>
        </w:numPr>
        <w:pBdr>
          <w:top w:val="nil"/>
          <w:left w:val="nil"/>
          <w:bottom w:val="nil"/>
          <w:right w:val="nil"/>
          <w:between w:val="nil"/>
        </w:pBdr>
        <w:spacing w:after="0" w:line="276" w:lineRule="auto"/>
        <w:jc w:val="both"/>
      </w:pPr>
      <w:r>
        <w:t xml:space="preserve">The FE and the prohibition of land burning had contributed to the loss of local rice species. This is said to be due to the uniform seedling program in the FE so that people no longer use local rice seeds and also the absence of local women's participation in this decision-making, even though women are the ones who take care of the seeds.The rice seeds that are used are imported from Java and the people are not used to those seeds, which causes crop failures. The seeds are also only able to last for a year before they are damaged the community prefers </w:t>
      </w:r>
      <w:r>
        <w:lastRenderedPageBreak/>
        <w:t>to immediately grind them and consume them</w:t>
      </w:r>
      <w:r>
        <w:rPr>
          <w:vertAlign w:val="superscript"/>
        </w:rPr>
        <w:endnoteReference w:id="26"/>
      </w:r>
      <w:r>
        <w:t>. Thus, the people are more likely to buy rice from the market or another province, such as South Kalimantan</w:t>
      </w:r>
      <w:r>
        <w:rPr>
          <w:vertAlign w:val="superscript"/>
        </w:rPr>
        <w:endnoteReference w:id="27"/>
      </w:r>
      <w:r>
        <w:t>. In 2023, Solidaritas Perempuan Mamut Menteng mentioned that in Mantangai Hulu Village, 15 local rice seeds had already disappeared. In another concession area, such as Pilang Village, Pulang Pisau, at least seven types of grains disappeared as they were no longer planted. In Kalumpang, at least 13 local rice seeds, and In Tewai Baru, Gunung Mas, at least 14 local grains disappeared</w:t>
      </w:r>
      <w:r>
        <w:rPr>
          <w:vertAlign w:val="superscript"/>
        </w:rPr>
        <w:endnoteReference w:id="28"/>
      </w:r>
      <w:r>
        <w:t>. The FE program, coupled with the ban on land burning, has contributed to the depletion of local rice varieties. This is attributed to the uniform seedling approach in the FE, leading to the abandonment of local rice seeds. The decision-making process lacks the participation of local women, who traditionally care for seeds.</w:t>
      </w:r>
      <w:r>
        <w:rPr>
          <w:vertAlign w:val="superscript"/>
        </w:rPr>
        <w:endnoteReference w:id="29"/>
      </w:r>
      <w:r>
        <w:t xml:space="preserve"> Imported rice seeds from Java, unfamiliar to the local community, result in crop failures, as they only last a year before becoming unusable. Consequently, communities prefer to purchase rice from markets or other provinces, such as South Kalimantan.</w:t>
      </w:r>
      <w:r>
        <w:rPr>
          <w:vertAlign w:val="superscript"/>
        </w:rPr>
        <w:endnoteReference w:id="30"/>
      </w:r>
      <w:r>
        <w:t xml:space="preserve"> In 2023, Mantangai Hulu Village reported the disappearance of 15 local rice seeds. Pilang Village, Pulang Pisau, witnessed the loss of seven grain varieties, while Kalumpang faced the disappearance of at least 13 local rice seeds. In Tewai Baru, Gunung Mas, 14 local grains disappeared.</w:t>
      </w:r>
      <w:r>
        <w:rPr>
          <w:vertAlign w:val="superscript"/>
        </w:rPr>
        <w:endnoteReference w:id="31"/>
      </w:r>
    </w:p>
    <w:p w14:paraId="07B5E345" w14:textId="77777777" w:rsidR="004D2802" w:rsidRDefault="004D2802">
      <w:pPr>
        <w:pBdr>
          <w:top w:val="nil"/>
          <w:left w:val="nil"/>
          <w:bottom w:val="nil"/>
          <w:right w:val="nil"/>
          <w:between w:val="nil"/>
        </w:pBdr>
        <w:spacing w:after="0" w:line="276" w:lineRule="auto"/>
        <w:jc w:val="both"/>
      </w:pPr>
    </w:p>
    <w:p w14:paraId="67DC7F24" w14:textId="77777777" w:rsidR="004D2802" w:rsidRDefault="004D2802">
      <w:pPr>
        <w:pBdr>
          <w:top w:val="nil"/>
          <w:left w:val="nil"/>
          <w:bottom w:val="nil"/>
          <w:right w:val="nil"/>
          <w:between w:val="nil"/>
        </w:pBdr>
        <w:spacing w:after="0" w:line="276" w:lineRule="auto"/>
        <w:jc w:val="both"/>
        <w:rPr>
          <w:b/>
          <w:i/>
        </w:rPr>
      </w:pPr>
      <w:r>
        <w:rPr>
          <w:b/>
          <w:i/>
        </w:rPr>
        <w:t>Violation of the health of women</w:t>
      </w:r>
    </w:p>
    <w:p w14:paraId="1106874F" w14:textId="77777777" w:rsidR="004D2802" w:rsidRDefault="004D2802">
      <w:pPr>
        <w:numPr>
          <w:ilvl w:val="0"/>
          <w:numId w:val="1"/>
        </w:numPr>
        <w:spacing w:after="0" w:line="276" w:lineRule="auto"/>
        <w:jc w:val="both"/>
      </w:pPr>
      <w:r>
        <w:t>The Indonesian Constitution recognizes the right to health as a part of human rights in Article 28H paragraph (1), although it does not explicitly address women. Women's rights to healthcare and nutrition are specifically mentioned in Law No. 36/2009 concerning health, focusing on vulnerable groups such as women, girls, pregnant women, and lactating mothers.</w:t>
      </w:r>
      <w:r>
        <w:rPr>
          <w:vertAlign w:val="superscript"/>
        </w:rPr>
        <w:endnoteReference w:id="32"/>
      </w:r>
      <w:r>
        <w:t xml:space="preserve"> Besides impacting the loss of autonomy for farmers and women due to the decline of traditional farming systems and local seeds, the FE also directly or indirectly affects the health and nutritional conditions of the community, particularly women and children. FIAN Indonesia's monitoring report in Central Kalimantan and Papua reveals ongoing challenges in women's access to healthy and protected food, facing the encroachment of ultra-processed alternatives.</w:t>
      </w:r>
      <w:r>
        <w:rPr>
          <w:vertAlign w:val="superscript"/>
        </w:rPr>
        <w:endnoteReference w:id="33"/>
      </w:r>
    </w:p>
    <w:p w14:paraId="4281A582" w14:textId="77777777" w:rsidR="004D2802" w:rsidRDefault="004D2802">
      <w:pPr>
        <w:numPr>
          <w:ilvl w:val="0"/>
          <w:numId w:val="1"/>
        </w:numPr>
        <w:spacing w:after="0" w:line="276" w:lineRule="auto"/>
        <w:jc w:val="both"/>
      </w:pPr>
      <w:r>
        <w:t>In Central Kalimantan, before the ban on the slash-and-burn system was implemented, people still grew their food sources, such as highland paddy rice and local vegetables (sour eggplant, local chilies, white pumpkin, long beans, etc.). After the burning ban was implemented, people, especially women, had to buy rice at the market as well as vegetables that they could previously grow by themselves. Dependence on markets is also accompanied by increasingly massive consumption of ultra-processed foods such as instant noodles, canned fish, and synthetic flavorings (MSG).</w:t>
      </w:r>
      <w:r>
        <w:rPr>
          <w:vertAlign w:val="superscript"/>
        </w:rPr>
        <w:endnoteReference w:id="34"/>
      </w:r>
      <w:r>
        <w:t xml:space="preserve"> The FE which was predicted to produce food sources for the community also apparently did not work accordingly. Women's rights to obtain balanced information regarding the nutritional needs of themselves and their families is also something that has not received serious attention from the government.</w:t>
      </w:r>
    </w:p>
    <w:p w14:paraId="02B754D5" w14:textId="77777777" w:rsidR="004D2802" w:rsidRDefault="004D2802">
      <w:pPr>
        <w:numPr>
          <w:ilvl w:val="0"/>
          <w:numId w:val="1"/>
        </w:numPr>
        <w:pBdr>
          <w:top w:val="nil"/>
          <w:left w:val="nil"/>
          <w:bottom w:val="nil"/>
          <w:right w:val="nil"/>
          <w:between w:val="nil"/>
        </w:pBdr>
        <w:spacing w:after="0" w:line="276" w:lineRule="auto"/>
        <w:jc w:val="both"/>
      </w:pPr>
      <w:r>
        <w:t xml:space="preserve">In Boven Digoel, South Papua where the FE is planned, there will potentially be an exacerbation of gender-based nutritional inequality. Women are already burdened with caregiving responsibilities and struggle to meet dietary needs due to time-consuming tasks and limited resources. Men take priority in meals, and when food provided at home is insufficient, women are first to be blamed, and in some cases, domestic violence occurs. </w:t>
      </w:r>
    </w:p>
    <w:p w14:paraId="4E3E125F" w14:textId="77777777" w:rsidR="004D2802" w:rsidRDefault="004D2802">
      <w:pPr>
        <w:numPr>
          <w:ilvl w:val="0"/>
          <w:numId w:val="1"/>
        </w:numPr>
        <w:pBdr>
          <w:top w:val="nil"/>
          <w:left w:val="nil"/>
          <w:bottom w:val="nil"/>
          <w:right w:val="nil"/>
          <w:between w:val="nil"/>
        </w:pBdr>
        <w:spacing w:after="0" w:line="276" w:lineRule="auto"/>
        <w:jc w:val="both"/>
      </w:pPr>
      <w:r>
        <w:lastRenderedPageBreak/>
        <w:t>In Keerom, Papua, former oil palm plantations have been replaced by corn fields as part of the FE. Women who once worked in the palm oil industry now bear additional domestic responsibilities after their daily paid work. The transition from diverse crop cultivation to palm oil monoculture has led to dependence on packaged and instant foods from the market, affecting their nutrition. Women, facing a metabolic rift, contribute to palm oil production without reaping direct benefits. Profits do not directly improve their well-being, and reliance on market-bought food further detaches them from its source and preparation. Addressing the RtFN becomes intricate, entwined with women's rights amid domestic violence, limited food access, and rising commodity prices.</w:t>
      </w:r>
    </w:p>
    <w:p w14:paraId="3E5399AF" w14:textId="77777777" w:rsidR="004D2802" w:rsidRDefault="004D2802">
      <w:pPr>
        <w:spacing w:before="240" w:after="240" w:line="276" w:lineRule="auto"/>
        <w:jc w:val="both"/>
        <w:rPr>
          <w:b/>
        </w:rPr>
      </w:pPr>
      <w:r>
        <w:rPr>
          <w:b/>
        </w:rPr>
        <w:t>Environmental degradation</w:t>
      </w:r>
    </w:p>
    <w:p w14:paraId="283BB0E2" w14:textId="77777777" w:rsidR="004D2802" w:rsidRDefault="004D2802">
      <w:pPr>
        <w:numPr>
          <w:ilvl w:val="0"/>
          <w:numId w:val="1"/>
        </w:numPr>
        <w:pBdr>
          <w:top w:val="nil"/>
          <w:left w:val="nil"/>
          <w:bottom w:val="nil"/>
          <w:right w:val="nil"/>
          <w:between w:val="nil"/>
        </w:pBdr>
        <w:spacing w:after="0" w:line="276" w:lineRule="auto"/>
        <w:jc w:val="both"/>
      </w:pPr>
      <w:r>
        <w:t>In order to implement the FE, the government released several policies. One of these policies is on issuing permits for opening FE land in forest areas, including in the protection forests.</w:t>
      </w:r>
      <w:r>
        <w:rPr>
          <w:vertAlign w:val="superscript"/>
        </w:rPr>
        <w:endnoteReference w:id="35"/>
      </w:r>
    </w:p>
    <w:p w14:paraId="14FD8D92" w14:textId="77777777" w:rsidR="004D2802" w:rsidRDefault="004D2802">
      <w:pPr>
        <w:numPr>
          <w:ilvl w:val="0"/>
          <w:numId w:val="1"/>
        </w:numPr>
        <w:pBdr>
          <w:top w:val="nil"/>
          <w:left w:val="nil"/>
          <w:bottom w:val="nil"/>
          <w:right w:val="nil"/>
          <w:between w:val="nil"/>
        </w:pBdr>
        <w:spacing w:after="0" w:line="276" w:lineRule="auto"/>
        <w:jc w:val="both"/>
      </w:pPr>
      <w:r>
        <w:t>Massive exploitation of forests and peatlands by the FE can exacerbate the climate crisis.</w:t>
      </w:r>
      <w:r>
        <w:rPr>
          <w:vertAlign w:val="superscript"/>
        </w:rPr>
        <w:endnoteReference w:id="36"/>
      </w:r>
      <w:r>
        <w:t xml:space="preserve"> In Gunung Mas, Central Kalimantan, for example, the FE has already destroyed 700 hectares of forest and thus threatens indigenous territories and biodiversity. It is reported that this land clearing will perpetuate flooding to occur more frequently in several surrounding villages. There have already been 3 occurrences of flooding, especially in areas crossed by the Tambun and Tambakung Rivers. During heavy rains, the remains of land clearing and planting, such as wood debris, sand, and fertilizer, can be washed into nearby rivers, causing flooding and river pollution, which is detrimental to people who still use the river water for their household needs. This also reduces the amount of fish available as a food source. It is feared that an estimated 3 million hectares of forest in Indonesia will be lost if the FE project continues.</w:t>
      </w:r>
      <w:r>
        <w:rPr>
          <w:vertAlign w:val="superscript"/>
        </w:rPr>
        <w:endnoteReference w:id="37"/>
      </w:r>
    </w:p>
    <w:p w14:paraId="5E2CC7BE" w14:textId="77777777" w:rsidR="004D2802" w:rsidRDefault="004D2802">
      <w:pPr>
        <w:numPr>
          <w:ilvl w:val="0"/>
          <w:numId w:val="1"/>
        </w:numPr>
        <w:pBdr>
          <w:top w:val="nil"/>
          <w:left w:val="nil"/>
          <w:bottom w:val="nil"/>
          <w:right w:val="nil"/>
          <w:between w:val="nil"/>
        </w:pBdr>
        <w:spacing w:after="0" w:line="276" w:lineRule="auto"/>
        <w:jc w:val="both"/>
      </w:pPr>
      <w:r>
        <w:t>In Boven Digoel, Papua, the FE targets an area of 129,636.69 hectares.</w:t>
      </w:r>
      <w:r>
        <w:rPr>
          <w:vertAlign w:val="superscript"/>
        </w:rPr>
        <w:endnoteReference w:id="38"/>
      </w:r>
      <w:r>
        <w:t xml:space="preserve"> Nearly the entire area falls within the forest, as indicated by the Minister of Forestry's Decree No. SK.782/2012 and the Minister of Environment and Forestry's Decree No. SK.6632/2021, documenting the Progress of Forest Area Determination in Papua Province until 2020. The Papua Province Environment and Forestry Agency reports that the release of land from the Convertible Production Forest Area in Boven Digoel has amounted to 368,298 hectares. The implementation of the FE, which involves opening up forests, poses a threat to the reduction of forest areas in Boven Digoel that communities rely on for their needs.</w:t>
      </w:r>
    </w:p>
    <w:p w14:paraId="76F7BC94" w14:textId="77777777" w:rsidR="004D2802" w:rsidRDefault="004D2802">
      <w:pPr>
        <w:numPr>
          <w:ilvl w:val="0"/>
          <w:numId w:val="1"/>
        </w:numPr>
        <w:pBdr>
          <w:top w:val="nil"/>
          <w:left w:val="nil"/>
          <w:bottom w:val="nil"/>
          <w:right w:val="nil"/>
          <w:between w:val="nil"/>
        </w:pBdr>
        <w:spacing w:after="0" w:line="276" w:lineRule="auto"/>
        <w:jc w:val="both"/>
      </w:pPr>
      <w:r>
        <w:t>It is ironic that despite Indonesia's ambitious goal of reducing greenhouse gas emissions by 29% by 2030, aiming for zero emissions by 2060,</w:t>
      </w:r>
      <w:r>
        <w:rPr>
          <w:vertAlign w:val="superscript"/>
        </w:rPr>
        <w:endnoteReference w:id="39"/>
      </w:r>
      <w:r>
        <w:t xml:space="preserve"> the country is not respecting and preserving traditional farming systems. Instead, it is promoting monoculture and chemical-intensive agriculture, contributing to deforestation and significant carbon emissions.</w:t>
      </w:r>
    </w:p>
    <w:p w14:paraId="190A83F0" w14:textId="77777777" w:rsidR="004D2802" w:rsidRDefault="004D2802">
      <w:pPr>
        <w:spacing w:before="240" w:after="240" w:line="276" w:lineRule="auto"/>
        <w:jc w:val="both"/>
        <w:rPr>
          <w:b/>
        </w:rPr>
      </w:pPr>
      <w:r>
        <w:rPr>
          <w:b/>
        </w:rPr>
        <w:t xml:space="preserve">Militarization </w:t>
      </w:r>
    </w:p>
    <w:p w14:paraId="43743F91" w14:textId="77777777" w:rsidR="004D2802" w:rsidRDefault="004D2802">
      <w:pPr>
        <w:numPr>
          <w:ilvl w:val="0"/>
          <w:numId w:val="1"/>
        </w:numPr>
        <w:pBdr>
          <w:top w:val="nil"/>
          <w:left w:val="nil"/>
          <w:bottom w:val="nil"/>
          <w:right w:val="nil"/>
          <w:between w:val="nil"/>
        </w:pBdr>
        <w:spacing w:after="0" w:line="276" w:lineRule="auto"/>
        <w:jc w:val="both"/>
      </w:pPr>
      <w:r>
        <w:t xml:space="preserve">In addition to partnering with large companies to implement the FE, the Government of Indonesia also engages the military and security forces. Military involvement encompasses monitoring the land cultivated for the FE and directing farmers in tasks such as land clearance. The participation of soldiers in agriculture aligns with "Military Operations Other Than War," as stipulated in Republic of Indonesia Law no. 34 of 2004, which does not restrict soldiers to </w:t>
      </w:r>
      <w:r>
        <w:lastRenderedPageBreak/>
        <w:t>solely military duties. President Jokowi stated that the Ministry of Defense's participation in the FE project (in Central Kalimantan and Papua) was justified as food security is integral to national defense.</w:t>
      </w:r>
      <w:r>
        <w:rPr>
          <w:vertAlign w:val="superscript"/>
        </w:rPr>
        <w:endnoteReference w:id="40"/>
      </w:r>
    </w:p>
    <w:p w14:paraId="5DB76C0D" w14:textId="77777777" w:rsidR="004D2802" w:rsidRDefault="004D2802">
      <w:pPr>
        <w:numPr>
          <w:ilvl w:val="0"/>
          <w:numId w:val="1"/>
        </w:numPr>
        <w:pBdr>
          <w:top w:val="nil"/>
          <w:left w:val="nil"/>
          <w:bottom w:val="nil"/>
          <w:right w:val="nil"/>
          <w:between w:val="nil"/>
        </w:pBdr>
        <w:spacing w:after="0" w:line="276" w:lineRule="auto"/>
        <w:jc w:val="both"/>
      </w:pPr>
      <w:r>
        <w:t>When the FE was initiated in Central Kalimantan in 2021, residents reported that uniformed soldiers were assigned to supervise the operation of excavators to clear the land and they also mentioned that soldiers in uniform had been involved since the socialization phase, escorting the FE into the village. The military's involvement has made residents hesitant to openly express their aspirations regarding the FE. Village residents prefer to discuss concerns about the unequal distribution of agricultural production facilities (fertilizers, seeds, pesticides, dolomite lime, etc.) and their inability to cultivate lowland rice on FE land with fellow residents.</w:t>
      </w:r>
      <w:r>
        <w:rPr>
          <w:vertAlign w:val="superscript"/>
        </w:rPr>
        <w:endnoteReference w:id="41"/>
      </w:r>
      <w:r>
        <w:t xml:space="preserve"> Military and security force involvement is also evident in Papua, where the Ministry of Agriculture collaborates with the Indonesian National Army (TNI), establishing the Agricultural Machinery Brigade for modern agricultural tools and machinery. This collaboration with the regional government and military command (korem/kodim) oversees providing machinery to farmer groups. Furthermore, other security forces, including the State Intelligence Agency (BIN), intervene in managing the corn business by taking over Pemuda Papua Inspiratif (PMI - Inspirational Young Papuans) and the Keerom Police's role in establishing the Corn Education and Training Center.</w:t>
      </w:r>
      <w:r>
        <w:rPr>
          <w:vertAlign w:val="superscript"/>
        </w:rPr>
        <w:endnoteReference w:id="42"/>
      </w:r>
    </w:p>
    <w:p w14:paraId="60B90869" w14:textId="77777777" w:rsidR="004D2802" w:rsidRDefault="004D2802">
      <w:pPr>
        <w:numPr>
          <w:ilvl w:val="0"/>
          <w:numId w:val="1"/>
        </w:numPr>
        <w:pBdr>
          <w:top w:val="nil"/>
          <w:left w:val="nil"/>
          <w:bottom w:val="nil"/>
          <w:right w:val="nil"/>
          <w:between w:val="nil"/>
        </w:pBdr>
        <w:spacing w:after="0" w:line="276" w:lineRule="auto"/>
        <w:jc w:val="both"/>
      </w:pPr>
      <w:r>
        <w:t>The military and security forces' engagement in the Food Estate project exemplifies the growing intervention of these entities in the daily life of civil society. This military involvement in food security acts as a means to assert state control, enhance business ties, and sustain intimidation and violence in Papua. Beyond restraining those involved in the FE from expressing their aspirations, this engagement has the potential to profoundly shape future military-security forces/civilian relations.</w:t>
      </w:r>
      <w:r>
        <w:rPr>
          <w:vertAlign w:val="superscript"/>
        </w:rPr>
        <w:endnoteReference w:id="43"/>
      </w:r>
    </w:p>
    <w:p w14:paraId="35848E3E" w14:textId="77777777" w:rsidR="004D2802" w:rsidRDefault="004D2802">
      <w:pPr>
        <w:spacing w:before="240" w:after="240" w:line="276" w:lineRule="auto"/>
        <w:jc w:val="both"/>
        <w:rPr>
          <w:b/>
          <w:highlight w:val="yellow"/>
        </w:rPr>
      </w:pPr>
      <w:r>
        <w:rPr>
          <w:b/>
        </w:rPr>
        <w:t xml:space="preserve">Conclusion and recommendation </w:t>
      </w:r>
    </w:p>
    <w:p w14:paraId="3951C228" w14:textId="77777777" w:rsidR="006C1AD7" w:rsidRDefault="004D2802">
      <w:pPr>
        <w:spacing w:before="240" w:after="240" w:line="276" w:lineRule="auto"/>
        <w:jc w:val="both"/>
      </w:pPr>
      <w:r>
        <w:t>The FE, advocated by the Indonesian government as a response to the pandemic-induced food crisis, jeopardizes the RtfN of rural communities. It disregards community knowledge, lacks meaningful engagement of women, lacks transparency, ignores environmental concerns, and neglects local food and nutrition issues. The state's failure to prioritize the RtFN in policies and budgets, and its embrace of a multi-stakeholder approach controlled by food corporations,</w:t>
      </w:r>
      <w:r>
        <w:rPr>
          <w:vertAlign w:val="superscript"/>
        </w:rPr>
        <w:endnoteReference w:id="44"/>
      </w:r>
      <w:r>
        <w:t xml:space="preserve"> </w:t>
      </w:r>
      <w:r w:rsidR="00000000">
        <w:t xml:space="preserve">allows corporate interests to dominate, influencing agricultural production, distribution, and the proliferation of unhealthy ultra-processed foods. This indifference to societal interests hampers public awareness as rights holders, making it challenging to advocate for the realization of RtFN. On the basis of the above, FIAN Indonesia would like to make the following recommendations to the CESCR: </w:t>
      </w:r>
    </w:p>
    <w:p w14:paraId="10924603" w14:textId="77777777" w:rsidR="006C1AD7" w:rsidRDefault="00000000">
      <w:pPr>
        <w:numPr>
          <w:ilvl w:val="0"/>
          <w:numId w:val="3"/>
        </w:numPr>
        <w:spacing w:after="0" w:line="240" w:lineRule="auto"/>
        <w:jc w:val="both"/>
      </w:pPr>
      <w:r>
        <w:t>Stop the development of FE and implement RtFN-based food programs that are just and guarantee the welfare of the small-holders. Such programs should be in line with the socio-cultural and geographical conditions of the community concerned, recognize local farming systems, and fisheries, and protect local knowledge.</w:t>
      </w:r>
    </w:p>
    <w:p w14:paraId="56948D85" w14:textId="77777777" w:rsidR="006C1AD7" w:rsidRDefault="00000000">
      <w:pPr>
        <w:numPr>
          <w:ilvl w:val="0"/>
          <w:numId w:val="3"/>
        </w:numPr>
        <w:spacing w:after="0" w:line="240" w:lineRule="auto"/>
        <w:jc w:val="both"/>
      </w:pPr>
      <w:r>
        <w:t xml:space="preserve">Guarantee an explicit recognition of the RtFN by acknowledging the RtFN as a human right in  policies/laws concerning food. </w:t>
      </w:r>
    </w:p>
    <w:p w14:paraId="1C061C82" w14:textId="77777777" w:rsidR="006C1AD7" w:rsidRDefault="00000000">
      <w:pPr>
        <w:numPr>
          <w:ilvl w:val="0"/>
          <w:numId w:val="3"/>
        </w:numPr>
        <w:spacing w:after="0" w:line="240" w:lineRule="auto"/>
        <w:jc w:val="both"/>
      </w:pPr>
      <w:r>
        <w:lastRenderedPageBreak/>
        <w:t xml:space="preserve">Strengthen the RtFN accountability by establishing a clear complaint mechanism accessible to all communities – indigenous peoples, women, the elderly, young individuals, and people with disabilities. </w:t>
      </w:r>
    </w:p>
    <w:p w14:paraId="31805E00" w14:textId="77777777" w:rsidR="006C1AD7" w:rsidRDefault="00000000">
      <w:pPr>
        <w:numPr>
          <w:ilvl w:val="0"/>
          <w:numId w:val="3"/>
        </w:numPr>
        <w:spacing w:after="0" w:line="240" w:lineRule="auto"/>
        <w:jc w:val="both"/>
      </w:pPr>
      <w:r>
        <w:t>Fully take into account women’s rights in policy-making, budgeting, and implementation related to food and nutrition to prevent and overcome cases of malnutrition, hunger, and various forms of violence experienced by women due to unfair food systems and patriarchal values and norms that are still dominant in society and government programs.</w:t>
      </w:r>
    </w:p>
    <w:p w14:paraId="24A2F760" w14:textId="77777777" w:rsidR="006C1AD7" w:rsidRDefault="00000000">
      <w:pPr>
        <w:numPr>
          <w:ilvl w:val="0"/>
          <w:numId w:val="3"/>
        </w:numPr>
        <w:spacing w:after="0" w:line="240" w:lineRule="auto"/>
        <w:jc w:val="both"/>
      </w:pPr>
      <w:r>
        <w:t>Prevent violations of the RtFN by ensuring the preservation and non-expropriation of control over indigenous and local community lands, including food production, without any justifications, not even legal ones. In case of violations, the government should hold all accountable parties, including private corporations, responsible for such breaches.</w:t>
      </w:r>
    </w:p>
    <w:p w14:paraId="1AF8DB65" w14:textId="708781D7" w:rsidR="006C1AD7" w:rsidRDefault="006C1AD7">
      <w:pPr>
        <w:spacing w:after="0" w:line="240" w:lineRule="auto"/>
        <w:jc w:val="both"/>
      </w:pPr>
    </w:p>
    <w:sectPr w:rsidR="006C1AD7">
      <w:headerReference w:type="even" r:id="rId9"/>
      <w:headerReference w:type="default" r:id="rId10"/>
      <w:footerReference w:type="even" r:id="rId11"/>
      <w:footerReference w:type="default" r:id="rId12"/>
      <w:footerReference w:type="first" r:id="rId13"/>
      <w:pgSz w:w="11906" w:h="16838"/>
      <w:pgMar w:top="189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4B521" w14:textId="77777777" w:rsidR="00732565" w:rsidRDefault="00732565">
      <w:pPr>
        <w:spacing w:after="0" w:line="240" w:lineRule="auto"/>
      </w:pPr>
      <w:r>
        <w:separator/>
      </w:r>
    </w:p>
  </w:endnote>
  <w:endnote w:type="continuationSeparator" w:id="0">
    <w:p w14:paraId="04BF0A15" w14:textId="77777777" w:rsidR="00732565" w:rsidRDefault="00732565">
      <w:pPr>
        <w:spacing w:after="0" w:line="240" w:lineRule="auto"/>
      </w:pPr>
      <w:r>
        <w:continuationSeparator/>
      </w:r>
    </w:p>
  </w:endnote>
  <w:endnote w:id="1">
    <w:p w14:paraId="50AAE873" w14:textId="77777777" w:rsidR="004D2802" w:rsidRDefault="004D2802">
      <w:pPr>
        <w:spacing w:after="0" w:line="240" w:lineRule="auto"/>
        <w:rPr>
          <w:sz w:val="20"/>
          <w:szCs w:val="20"/>
        </w:rPr>
      </w:pPr>
      <w:r>
        <w:rPr>
          <w:vertAlign w:val="superscript"/>
        </w:rPr>
        <w:endnoteRef/>
      </w:r>
      <w:r>
        <w:rPr>
          <w:sz w:val="20"/>
          <w:szCs w:val="20"/>
        </w:rPr>
        <w:t xml:space="preserve"> E/C.12/IDN/Q/2</w:t>
      </w:r>
    </w:p>
  </w:endnote>
  <w:endnote w:id="2">
    <w:p w14:paraId="47A45FCA" w14:textId="77777777" w:rsidR="004D2802" w:rsidRDefault="004D2802">
      <w:pPr>
        <w:spacing w:after="0" w:line="240" w:lineRule="auto"/>
        <w:jc w:val="both"/>
        <w:rPr>
          <w:sz w:val="20"/>
          <w:szCs w:val="20"/>
        </w:rPr>
      </w:pPr>
      <w:r>
        <w:rPr>
          <w:vertAlign w:val="superscript"/>
        </w:rPr>
        <w:endnoteRef/>
      </w:r>
      <w:r>
        <w:rPr>
          <w:sz w:val="20"/>
          <w:szCs w:val="20"/>
        </w:rPr>
        <w:t xml:space="preserve"> FIAN Indonesia believes that these measures will not provide real solutions to ending hunger in Indonesia. This program has the potential in creating a new issue in regard of food and nutrition rights, however, it will not be elaborated on in this report. </w:t>
      </w:r>
    </w:p>
  </w:endnote>
  <w:endnote w:id="3">
    <w:p w14:paraId="07FBA453" w14:textId="77777777" w:rsidR="004D2802" w:rsidRDefault="004D2802">
      <w:pPr>
        <w:spacing w:after="0" w:line="240" w:lineRule="auto"/>
        <w:jc w:val="both"/>
        <w:rPr>
          <w:sz w:val="20"/>
          <w:szCs w:val="20"/>
        </w:rPr>
      </w:pPr>
      <w:r>
        <w:rPr>
          <w:vertAlign w:val="superscript"/>
        </w:rPr>
        <w:endnoteRef/>
      </w:r>
      <w:r>
        <w:rPr>
          <w:sz w:val="20"/>
          <w:szCs w:val="20"/>
        </w:rPr>
        <w:t xml:space="preserve"> This number was measured based on 4 indicators, namely the prevalence of undernourishment, child stunting, child wasting, and child mortality.</w:t>
      </w:r>
    </w:p>
  </w:endnote>
  <w:endnote w:id="4">
    <w:p w14:paraId="5BDBB2C2" w14:textId="77777777" w:rsidR="004D2802" w:rsidRPr="004D2802" w:rsidRDefault="004D2802">
      <w:pPr>
        <w:spacing w:after="0" w:line="240" w:lineRule="auto"/>
        <w:rPr>
          <w:color w:val="4F689A"/>
          <w:sz w:val="20"/>
          <w:szCs w:val="20"/>
          <w:lang w:val="nb-NO"/>
        </w:rPr>
      </w:pPr>
      <w:r>
        <w:rPr>
          <w:vertAlign w:val="superscript"/>
        </w:rPr>
        <w:endnoteRef/>
      </w:r>
      <w:r w:rsidRPr="004D2802">
        <w:rPr>
          <w:sz w:val="20"/>
          <w:szCs w:val="20"/>
          <w:lang w:val="nb-NO"/>
        </w:rPr>
        <w:t xml:space="preserve"> Databoks (2023)</w:t>
      </w:r>
      <w:hyperlink r:id="rId1" w:anchor=":~:text=Pada%202023%20Indonesia%20memiliki%20skor,kelaparan%20terendah%20sejak%20tahun%202000">
        <w:r w:rsidRPr="004D2802">
          <w:rPr>
            <w:sz w:val="20"/>
            <w:szCs w:val="20"/>
            <w:lang w:val="nb-NO"/>
          </w:rPr>
          <w:t xml:space="preserve"> </w:t>
        </w:r>
      </w:hyperlink>
      <w:hyperlink r:id="rId2" w:anchor=":~:text=Pada%202023%20Indonesia%20memiliki%20skor,kelaparan%20terendah%20sejak%20tahun%202000">
        <w:r w:rsidRPr="004D2802">
          <w:rPr>
            <w:color w:val="4F689A"/>
            <w:sz w:val="20"/>
            <w:szCs w:val="20"/>
            <w:u w:val="single"/>
            <w:lang w:val="nb-NO"/>
          </w:rPr>
          <w:t>https://databoks.katadata.co.id/datapublish/2024/01/12/kelaparan-indonesia-berkurang-pada-2023-rekor-terendah-baru#:~:text=Pada%202023%20Indonesia%20memiliki%20skor,kelaparan%20terendah%20sejak%20tahun%202000</w:t>
        </w:r>
      </w:hyperlink>
    </w:p>
  </w:endnote>
  <w:endnote w:id="5">
    <w:p w14:paraId="16659592" w14:textId="77777777" w:rsidR="004D2802" w:rsidRDefault="004D2802">
      <w:pPr>
        <w:spacing w:after="0" w:line="240" w:lineRule="auto"/>
        <w:rPr>
          <w:color w:val="4F689A"/>
          <w:sz w:val="20"/>
          <w:szCs w:val="20"/>
        </w:rPr>
      </w:pPr>
      <w:r>
        <w:rPr>
          <w:vertAlign w:val="superscript"/>
        </w:rPr>
        <w:endnoteRef/>
      </w:r>
      <w:r w:rsidRPr="004D2802">
        <w:rPr>
          <w:sz w:val="20"/>
          <w:szCs w:val="20"/>
          <w:lang w:val="nb-NO"/>
        </w:rPr>
        <w:t xml:space="preserve"> Riskesdas 2018 (Riset Kesehatan Dasar. 2018. Hasil utama Riskesdas 2018. </w:t>
      </w:r>
      <w:r>
        <w:rPr>
          <w:sz w:val="20"/>
          <w:szCs w:val="20"/>
        </w:rPr>
        <w:t xml:space="preserve">Jakarta: Health Research and Development Agency. </w:t>
      </w:r>
      <w:hyperlink r:id="rId3">
        <w:r>
          <w:rPr>
            <w:color w:val="4F689A"/>
            <w:sz w:val="20"/>
            <w:szCs w:val="20"/>
            <w:u w:val="single"/>
          </w:rPr>
          <w:t>https://www.litbang.kemkes.go.id/hasil-utama-riskesdas-2018/</w:t>
        </w:r>
      </w:hyperlink>
      <w:r>
        <w:rPr>
          <w:color w:val="4F689A"/>
          <w:sz w:val="20"/>
          <w:szCs w:val="20"/>
        </w:rPr>
        <w:t xml:space="preserve"> </w:t>
      </w:r>
    </w:p>
  </w:endnote>
  <w:endnote w:id="6">
    <w:p w14:paraId="5227B464" w14:textId="77777777" w:rsidR="004D2802" w:rsidRDefault="004D2802">
      <w:pPr>
        <w:spacing w:after="0" w:line="240" w:lineRule="auto"/>
        <w:rPr>
          <w:sz w:val="20"/>
          <w:szCs w:val="20"/>
        </w:rPr>
      </w:pPr>
      <w:r>
        <w:rPr>
          <w:vertAlign w:val="superscript"/>
        </w:rPr>
        <w:endnoteRef/>
      </w:r>
      <w:r>
        <w:rPr>
          <w:sz w:val="20"/>
          <w:szCs w:val="20"/>
        </w:rPr>
        <w:t xml:space="preserve"> Riskesdas 2018</w:t>
      </w:r>
    </w:p>
  </w:endnote>
  <w:endnote w:id="7">
    <w:p w14:paraId="58403C90" w14:textId="77777777" w:rsidR="004D2802" w:rsidRDefault="004D2802">
      <w:pPr>
        <w:spacing w:after="0" w:line="240" w:lineRule="auto"/>
        <w:rPr>
          <w:sz w:val="20"/>
          <w:szCs w:val="20"/>
        </w:rPr>
      </w:pPr>
      <w:r>
        <w:rPr>
          <w:vertAlign w:val="superscript"/>
        </w:rPr>
        <w:endnoteRef/>
      </w:r>
      <w:r>
        <w:rPr>
          <w:sz w:val="20"/>
          <w:szCs w:val="20"/>
        </w:rPr>
        <w:t xml:space="preserve"> Popkin BM, Corvalan C and Grummer-Strawn LM. 2020. Dynamics of the double burden of malnutrition and the changing nutrition reality. Lancet 395(10217):65–74. https://doi.org/10.1016/S0140-6736(19)32497-3</w:t>
      </w:r>
    </w:p>
  </w:endnote>
  <w:endnote w:id="8">
    <w:p w14:paraId="33605128" w14:textId="77777777" w:rsidR="004D2802" w:rsidRDefault="004D2802">
      <w:pPr>
        <w:spacing w:after="0" w:line="240" w:lineRule="auto"/>
        <w:jc w:val="both"/>
        <w:rPr>
          <w:color w:val="4F689A"/>
          <w:shd w:val="clear" w:color="auto" w:fill="F8F9FA"/>
        </w:rPr>
      </w:pPr>
      <w:r>
        <w:rPr>
          <w:vertAlign w:val="superscript"/>
        </w:rPr>
        <w:endnoteRef/>
      </w:r>
      <w:r>
        <w:rPr>
          <w:sz w:val="20"/>
          <w:szCs w:val="20"/>
        </w:rPr>
        <w:t xml:space="preserve"> </w:t>
      </w:r>
      <w:r>
        <w:rPr>
          <w:color w:val="202124"/>
          <w:sz w:val="20"/>
          <w:szCs w:val="20"/>
        </w:rPr>
        <w:t xml:space="preserve">According to sociologists from Cenderawasih University, there are two main problems causing recurring hunger in Papua. First, local government assistance has not been effective for the community, 80% of whom earn their living as farmers. Second, farmers in mountain valleys are unable to adapt to climate change. </w:t>
      </w:r>
      <w:r>
        <w:rPr>
          <w:sz w:val="20"/>
          <w:szCs w:val="20"/>
        </w:rPr>
        <w:t xml:space="preserve">Kompas.id (2023) “Ironi Bencana Kelaparan di Tanah Papua yang Terus Berulang” </w:t>
      </w:r>
      <w:hyperlink r:id="rId4">
        <w:r>
          <w:rPr>
            <w:color w:val="4F689A"/>
            <w:sz w:val="20"/>
            <w:szCs w:val="20"/>
            <w:u w:val="single"/>
            <w:shd w:val="clear" w:color="auto" w:fill="F8F9FA"/>
          </w:rPr>
          <w:t>https://www.kompas.id/baca/nusantara/2023/10/24/ironi-bencana-kelaparan-di-tanah-papua-yang-terus-berulang</w:t>
        </w:r>
      </w:hyperlink>
    </w:p>
  </w:endnote>
  <w:endnote w:id="9">
    <w:p w14:paraId="11163424" w14:textId="77777777" w:rsidR="004D2802" w:rsidRDefault="004D2802">
      <w:pPr>
        <w:spacing w:after="0" w:line="240" w:lineRule="auto"/>
        <w:jc w:val="both"/>
        <w:rPr>
          <w:sz w:val="20"/>
          <w:szCs w:val="20"/>
        </w:rPr>
      </w:pPr>
      <w:r>
        <w:rPr>
          <w:vertAlign w:val="superscript"/>
        </w:rPr>
        <w:endnoteRef/>
      </w:r>
      <w:r>
        <w:rPr>
          <w:sz w:val="20"/>
          <w:szCs w:val="20"/>
        </w:rPr>
        <w:t xml:space="preserve"> FIAN Indonesia's study (2018) on the legal framework of the right to food and nutrition shows that various regulations at the legislative level potentially violate the RfFN, namely: Law No. 39 of 2014 on Plantations (Art. 12 [1, 2], 27 [3], 29, 30 [1], 42, 55, 107), Law No. 18 of 2013 on the Prevention and Eradication of Forest Destruction (Art. 1 [2], 11 [1], 12, 16, 17, 19, 26), Law No. 2 of 2012 on Land Acquisition for the Benefit of the Land. 2 of 2012 on Land Acquisition for Public Interest (Art9 [1], 10, 14, 21, 40, 42)</w:t>
      </w:r>
      <w:r>
        <w:t xml:space="preserve">    </w:t>
      </w:r>
    </w:p>
  </w:endnote>
  <w:endnote w:id="10">
    <w:p w14:paraId="1BDAFCEE" w14:textId="77777777" w:rsidR="004D2802" w:rsidRDefault="004D2802">
      <w:pPr>
        <w:spacing w:after="0" w:line="240" w:lineRule="auto"/>
        <w:rPr>
          <w:sz w:val="20"/>
          <w:szCs w:val="20"/>
        </w:rPr>
      </w:pPr>
      <w:r>
        <w:rPr>
          <w:vertAlign w:val="superscript"/>
        </w:rPr>
        <w:endnoteRef/>
      </w:r>
      <w:r>
        <w:rPr>
          <w:sz w:val="20"/>
          <w:szCs w:val="20"/>
        </w:rPr>
        <w:t xml:space="preserve"> FIAN Indonesia (2022) https://fian-indonesia.org/wp-content/uploads/2023/01/LAPORAN.pdf</w:t>
      </w:r>
    </w:p>
  </w:endnote>
  <w:endnote w:id="11">
    <w:p w14:paraId="3B26049D" w14:textId="77777777" w:rsidR="004D2802" w:rsidRDefault="004D2802">
      <w:pPr>
        <w:spacing w:after="0" w:line="240" w:lineRule="auto"/>
        <w:rPr>
          <w:sz w:val="20"/>
          <w:szCs w:val="20"/>
        </w:rPr>
      </w:pPr>
      <w:r>
        <w:rPr>
          <w:vertAlign w:val="superscript"/>
        </w:rPr>
        <w:endnoteRef/>
      </w:r>
      <w:r>
        <w:rPr>
          <w:sz w:val="20"/>
          <w:szCs w:val="20"/>
        </w:rPr>
        <w:t xml:space="preserve"> </w:t>
      </w:r>
      <w:hyperlink r:id="rId5">
        <w:r>
          <w:rPr>
            <w:color w:val="4F689A"/>
            <w:sz w:val="20"/>
            <w:szCs w:val="20"/>
          </w:rPr>
          <w:t>https://www.fian.org/en/press-release/article/a-just-transition-to-agroecology-3176</w:t>
        </w:r>
      </w:hyperlink>
      <w:r>
        <w:rPr>
          <w:sz w:val="20"/>
          <w:szCs w:val="20"/>
        </w:rPr>
        <w:t xml:space="preserve"> (FIAN International, September 2023).</w:t>
      </w:r>
    </w:p>
  </w:endnote>
  <w:endnote w:id="12">
    <w:p w14:paraId="3C8BBFD2" w14:textId="77777777" w:rsidR="004D2802" w:rsidRDefault="004D2802">
      <w:pPr>
        <w:spacing w:after="0" w:line="240" w:lineRule="auto"/>
        <w:rPr>
          <w:sz w:val="20"/>
          <w:szCs w:val="20"/>
        </w:rPr>
      </w:pPr>
      <w:r>
        <w:rPr>
          <w:vertAlign w:val="superscript"/>
        </w:rPr>
        <w:endnoteRef/>
      </w:r>
      <w:r>
        <w:rPr>
          <w:sz w:val="20"/>
          <w:szCs w:val="20"/>
        </w:rPr>
        <w:t xml:space="preserve"> FIAN Indonesia in Warta Jaringan JKLPK 2024, </w:t>
      </w:r>
      <w:hyperlink r:id="rId6">
        <w:r>
          <w:rPr>
            <w:color w:val="4F689A"/>
            <w:sz w:val="20"/>
            <w:szCs w:val="20"/>
            <w:u w:val="single"/>
          </w:rPr>
          <w:t>https://www.jklpk-indonesia.org/download.html</w:t>
        </w:r>
      </w:hyperlink>
      <w:r>
        <w:rPr>
          <w:color w:val="4F689A"/>
          <w:sz w:val="20"/>
          <w:szCs w:val="20"/>
        </w:rPr>
        <w:t xml:space="preserve"> </w:t>
      </w:r>
      <w:r>
        <w:rPr>
          <w:sz w:val="20"/>
          <w:szCs w:val="20"/>
        </w:rPr>
        <w:t>.</w:t>
      </w:r>
    </w:p>
  </w:endnote>
  <w:endnote w:id="13">
    <w:p w14:paraId="584AAB63" w14:textId="77777777" w:rsidR="004D2802" w:rsidRDefault="004D2802">
      <w:pPr>
        <w:spacing w:after="0" w:line="240" w:lineRule="auto"/>
        <w:rPr>
          <w:sz w:val="20"/>
          <w:szCs w:val="20"/>
        </w:rPr>
      </w:pPr>
      <w:r>
        <w:rPr>
          <w:vertAlign w:val="superscript"/>
        </w:rPr>
        <w:endnoteRef/>
      </w:r>
      <w:r>
        <w:rPr>
          <w:sz w:val="20"/>
          <w:szCs w:val="20"/>
        </w:rPr>
        <w:t xml:space="preserve"> FAO (April-December 2020), “Addressing the impacts of COVID-19 in food crises”, https://www.fao.org/3/ca8497en/CA8497EN.pdf</w:t>
      </w:r>
    </w:p>
  </w:endnote>
  <w:endnote w:id="14">
    <w:p w14:paraId="439DD579" w14:textId="77777777" w:rsidR="004D2802" w:rsidRDefault="004D2802">
      <w:pPr>
        <w:spacing w:after="0" w:line="240" w:lineRule="auto"/>
        <w:jc w:val="both"/>
        <w:rPr>
          <w:sz w:val="20"/>
          <w:szCs w:val="20"/>
        </w:rPr>
      </w:pPr>
      <w:r>
        <w:rPr>
          <w:vertAlign w:val="superscript"/>
        </w:rPr>
        <w:endnoteRef/>
      </w:r>
      <w:r>
        <w:rPr>
          <w:sz w:val="20"/>
          <w:szCs w:val="20"/>
        </w:rPr>
        <w:t xml:space="preserve"> Republic of Indonesia Cabinet Secretariat (May 5, 2020)</w:t>
      </w:r>
    </w:p>
    <w:p w14:paraId="19135B00" w14:textId="77777777" w:rsidR="004D2802" w:rsidRDefault="004D2802">
      <w:pPr>
        <w:spacing w:after="0" w:line="240" w:lineRule="auto"/>
        <w:jc w:val="both"/>
        <w:rPr>
          <w:sz w:val="20"/>
          <w:szCs w:val="20"/>
        </w:rPr>
      </w:pPr>
      <w:r>
        <w:rPr>
          <w:sz w:val="20"/>
          <w:szCs w:val="20"/>
        </w:rPr>
        <w:t>Based on predictions from the BMKG (Meteorology, Climatology, and Geophysics Agency), 30 percent of areas in the monsoon zone in 2020 will experience a drier dry season than usual. Therefore, the President asked that anticipation and mitigation be really prepared so that the availability and stability of food prices is not disrupted (https://setkab.go.id/3-arahan-presiden-antisipasi-dampak-kekeringan-terhadap-stok-bahan-pokok/)</w:t>
      </w:r>
    </w:p>
  </w:endnote>
  <w:endnote w:id="15">
    <w:p w14:paraId="1696D2E3" w14:textId="77777777" w:rsidR="004D2802" w:rsidRPr="004D2802" w:rsidRDefault="004D2802">
      <w:pPr>
        <w:spacing w:after="0" w:line="240" w:lineRule="auto"/>
        <w:rPr>
          <w:color w:val="4F689A"/>
          <w:sz w:val="20"/>
          <w:szCs w:val="20"/>
          <w:lang w:val="nb-NO"/>
        </w:rPr>
      </w:pPr>
      <w:r>
        <w:rPr>
          <w:vertAlign w:val="superscript"/>
        </w:rPr>
        <w:endnoteRef/>
      </w:r>
      <w:r w:rsidRPr="004D2802">
        <w:rPr>
          <w:sz w:val="20"/>
          <w:szCs w:val="20"/>
          <w:lang w:val="nb-NO"/>
        </w:rPr>
        <w:t xml:space="preserve"> Transkrip Rapat Terbatas </w:t>
      </w:r>
      <w:hyperlink r:id="rId7">
        <w:r w:rsidRPr="004D2802">
          <w:rPr>
            <w:color w:val="4F689A"/>
            <w:sz w:val="20"/>
            <w:szCs w:val="20"/>
            <w:u w:val="single"/>
            <w:lang w:val="nb-NO"/>
          </w:rPr>
          <w:t>https://www.presidenri.go.id/transkrip/rapat-terbatas-mengenai-lanjutan-pembahasan-food-estate/</w:t>
        </w:r>
      </w:hyperlink>
      <w:r w:rsidRPr="004D2802">
        <w:rPr>
          <w:color w:val="4F689A"/>
          <w:sz w:val="20"/>
          <w:szCs w:val="20"/>
          <w:lang w:val="nb-NO"/>
        </w:rPr>
        <w:t xml:space="preserve"> </w:t>
      </w:r>
    </w:p>
  </w:endnote>
  <w:endnote w:id="16">
    <w:p w14:paraId="332517AC" w14:textId="77777777" w:rsidR="004D2802" w:rsidRPr="004D2802" w:rsidRDefault="004D2802">
      <w:pPr>
        <w:spacing w:after="0" w:line="240" w:lineRule="auto"/>
        <w:rPr>
          <w:sz w:val="20"/>
          <w:szCs w:val="20"/>
          <w:lang w:val="nb-NO"/>
        </w:rPr>
      </w:pPr>
      <w:r>
        <w:rPr>
          <w:vertAlign w:val="superscript"/>
        </w:rPr>
        <w:endnoteRef/>
      </w:r>
      <w:r w:rsidRPr="004D2802">
        <w:rPr>
          <w:sz w:val="20"/>
          <w:szCs w:val="20"/>
          <w:vertAlign w:val="superscript"/>
          <w:lang w:val="nb-NO"/>
        </w:rPr>
        <w:t xml:space="preserve">   </w:t>
      </w:r>
      <w:r w:rsidRPr="004D2802">
        <w:rPr>
          <w:sz w:val="20"/>
          <w:szCs w:val="20"/>
          <w:lang w:val="nb-NO"/>
        </w:rPr>
        <w:t>Suryana, A., et.al. (2021). “Pengembangan Kawasan Jagung Berbasis Korporasi Petani di Kabupaten Lebak, Banten,” dalam Analisis Kebijakan Pertanian 18(2): 89-103.</w:t>
      </w:r>
    </w:p>
  </w:endnote>
  <w:endnote w:id="17">
    <w:p w14:paraId="3109E6B8" w14:textId="77777777" w:rsidR="004D2802" w:rsidRPr="004D2802" w:rsidRDefault="004D2802">
      <w:pPr>
        <w:spacing w:after="0" w:line="240" w:lineRule="auto"/>
        <w:rPr>
          <w:color w:val="4F689A"/>
          <w:sz w:val="20"/>
          <w:szCs w:val="20"/>
          <w:lang w:val="nb-NO"/>
        </w:rPr>
      </w:pPr>
      <w:r>
        <w:rPr>
          <w:vertAlign w:val="superscript"/>
        </w:rPr>
        <w:endnoteRef/>
      </w:r>
      <w:r w:rsidRPr="004D2802">
        <w:rPr>
          <w:sz w:val="20"/>
          <w:szCs w:val="20"/>
          <w:lang w:val="nb-NO"/>
        </w:rPr>
        <w:t xml:space="preserve"> Abdulgani, F. &amp; L. Savitri (2022) </w:t>
      </w:r>
      <w:hyperlink r:id="rId8">
        <w:r w:rsidRPr="004D2802">
          <w:rPr>
            <w:color w:val="4F689A"/>
            <w:sz w:val="20"/>
            <w:szCs w:val="20"/>
            <w:u w:val="single"/>
            <w:lang w:val="nb-NO"/>
          </w:rPr>
          <w:t>https://www.mongabay.co.id/2022/04/05/menyoal-food-estate-dan-pemenuhan-hak-atas-pangan-2/</w:t>
        </w:r>
      </w:hyperlink>
      <w:r w:rsidRPr="004D2802">
        <w:rPr>
          <w:color w:val="4F689A"/>
          <w:sz w:val="20"/>
          <w:szCs w:val="20"/>
          <w:lang w:val="nb-NO"/>
        </w:rPr>
        <w:t xml:space="preserve"> </w:t>
      </w:r>
    </w:p>
  </w:endnote>
  <w:endnote w:id="18">
    <w:p w14:paraId="63E4F463" w14:textId="77777777" w:rsidR="004D2802" w:rsidRDefault="004D2802">
      <w:pPr>
        <w:spacing w:after="0" w:line="240" w:lineRule="auto"/>
        <w:rPr>
          <w:sz w:val="20"/>
          <w:szCs w:val="20"/>
        </w:rPr>
      </w:pPr>
      <w:r>
        <w:rPr>
          <w:vertAlign w:val="superscript"/>
        </w:rPr>
        <w:endnoteRef/>
      </w:r>
      <w:r>
        <w:rPr>
          <w:sz w:val="20"/>
          <w:szCs w:val="20"/>
        </w:rPr>
        <w:t xml:space="preserve"> Food industry enterprises affiliated with the Partnership for Indonesia's Sustainable Agriculture (PISAGro)# or the Indonesian Chamber of Commerce and Industry (KADIN) actively participates in the FE. </w:t>
      </w:r>
    </w:p>
  </w:endnote>
  <w:endnote w:id="19">
    <w:p w14:paraId="6180681C" w14:textId="77777777" w:rsidR="004D2802" w:rsidRDefault="004D2802">
      <w:pPr>
        <w:spacing w:after="0" w:line="240" w:lineRule="auto"/>
        <w:rPr>
          <w:sz w:val="20"/>
          <w:szCs w:val="20"/>
        </w:rPr>
      </w:pPr>
      <w:r>
        <w:rPr>
          <w:vertAlign w:val="superscript"/>
        </w:rPr>
        <w:endnoteRef/>
      </w:r>
      <w:r>
        <w:rPr>
          <w:sz w:val="20"/>
          <w:szCs w:val="20"/>
        </w:rPr>
        <w:t xml:space="preserve">  E/C.12/IDN/Q/2</w:t>
      </w:r>
    </w:p>
  </w:endnote>
  <w:endnote w:id="20">
    <w:p w14:paraId="1626D477" w14:textId="77777777" w:rsidR="004D2802" w:rsidRDefault="004D2802">
      <w:pPr>
        <w:spacing w:after="0" w:line="240" w:lineRule="auto"/>
        <w:rPr>
          <w:color w:val="4F689A"/>
          <w:sz w:val="20"/>
          <w:szCs w:val="20"/>
        </w:rPr>
      </w:pPr>
      <w:r>
        <w:rPr>
          <w:vertAlign w:val="superscript"/>
        </w:rPr>
        <w:endnoteRef/>
      </w:r>
      <w:r>
        <w:rPr>
          <w:sz w:val="20"/>
          <w:szCs w:val="20"/>
        </w:rPr>
        <w:t xml:space="preserve"> Mongabay (2022) “Menyoal Food Estate dan Pemenuhan Hakk Atas Pangan 1” </w:t>
      </w:r>
      <w:hyperlink r:id="rId9">
        <w:r>
          <w:rPr>
            <w:color w:val="4F689A"/>
            <w:sz w:val="20"/>
            <w:szCs w:val="20"/>
            <w:u w:val="single"/>
          </w:rPr>
          <w:t>https://www.mongabay.co.id/2022/04/03/menyoal-food-estate-dan-pemenuhan-hak-atas-pangan-1/</w:t>
        </w:r>
      </w:hyperlink>
      <w:r>
        <w:rPr>
          <w:color w:val="4F689A"/>
          <w:sz w:val="20"/>
          <w:szCs w:val="20"/>
        </w:rPr>
        <w:t xml:space="preserve"> </w:t>
      </w:r>
    </w:p>
  </w:endnote>
  <w:endnote w:id="21">
    <w:p w14:paraId="6AB187FC" w14:textId="77777777" w:rsidR="004D2802" w:rsidRDefault="004D2802">
      <w:pPr>
        <w:spacing w:after="0" w:line="240" w:lineRule="auto"/>
        <w:rPr>
          <w:sz w:val="20"/>
          <w:szCs w:val="20"/>
        </w:rPr>
      </w:pPr>
      <w:r>
        <w:rPr>
          <w:vertAlign w:val="superscript"/>
        </w:rPr>
        <w:endnoteRef/>
      </w:r>
      <w:r>
        <w:rPr>
          <w:sz w:val="20"/>
          <w:szCs w:val="20"/>
        </w:rPr>
        <w:t xml:space="preserve"> FIAN Indonesia &amp; Borneo Institute (2023) Policy Brief </w:t>
      </w:r>
      <w:hyperlink r:id="rId10">
        <w:r>
          <w:rPr>
            <w:color w:val="4F689A"/>
            <w:sz w:val="20"/>
            <w:szCs w:val="20"/>
            <w:u w:val="single"/>
          </w:rPr>
          <w:t>https://fian-indonesia.org/policy-brief-menyeha-tana-sistem-pertanian-lokal-dan-atau-adat-yang-belum-diakui-dan-dilindungi-oleh-negara/</w:t>
        </w:r>
      </w:hyperlink>
      <w:r>
        <w:rPr>
          <w:color w:val="4F689A"/>
          <w:sz w:val="20"/>
          <w:szCs w:val="20"/>
        </w:rPr>
        <w:t xml:space="preserve"> </w:t>
      </w:r>
    </w:p>
  </w:endnote>
  <w:endnote w:id="22">
    <w:p w14:paraId="37BAB593" w14:textId="77777777" w:rsidR="004D2802" w:rsidRDefault="004D2802">
      <w:pPr>
        <w:spacing w:after="0" w:line="240" w:lineRule="auto"/>
        <w:rPr>
          <w:color w:val="4F689A"/>
          <w:sz w:val="20"/>
          <w:szCs w:val="20"/>
        </w:rPr>
      </w:pPr>
      <w:r>
        <w:rPr>
          <w:vertAlign w:val="superscript"/>
        </w:rPr>
        <w:endnoteRef/>
      </w:r>
      <w:r>
        <w:rPr>
          <w:sz w:val="20"/>
          <w:szCs w:val="20"/>
        </w:rPr>
        <w:t xml:space="preserve"> FIAN Indonesia (2022) </w:t>
      </w:r>
      <w:hyperlink r:id="rId11">
        <w:r>
          <w:rPr>
            <w:color w:val="4F689A"/>
            <w:sz w:val="20"/>
            <w:szCs w:val="20"/>
            <w:u w:val="single"/>
          </w:rPr>
          <w:t>https://fian-indonesia.org/ringkasan-eksekutif-food-estate-sumatera-utara-fian-indonesia/</w:t>
        </w:r>
      </w:hyperlink>
      <w:r>
        <w:rPr>
          <w:color w:val="4F689A"/>
          <w:sz w:val="20"/>
          <w:szCs w:val="20"/>
        </w:rPr>
        <w:t xml:space="preserve"> </w:t>
      </w:r>
    </w:p>
  </w:endnote>
  <w:endnote w:id="23">
    <w:p w14:paraId="10D498E1" w14:textId="77777777" w:rsidR="004D2802" w:rsidRDefault="004D2802">
      <w:pPr>
        <w:spacing w:after="0" w:line="240" w:lineRule="auto"/>
        <w:rPr>
          <w:color w:val="4F689A"/>
          <w:sz w:val="20"/>
          <w:szCs w:val="20"/>
        </w:rPr>
      </w:pPr>
      <w:r>
        <w:rPr>
          <w:vertAlign w:val="superscript"/>
        </w:rPr>
        <w:endnoteRef/>
      </w:r>
      <w:r>
        <w:rPr>
          <w:sz w:val="20"/>
          <w:szCs w:val="20"/>
        </w:rPr>
        <w:t xml:space="preserve"> FIAN Indonesia (2022) </w:t>
      </w:r>
      <w:r>
        <w:rPr>
          <w:color w:val="4F689A"/>
          <w:sz w:val="20"/>
          <w:szCs w:val="20"/>
        </w:rPr>
        <w:t>https://fian-indonesia.org/rilis-laporan-memantau-hak-atas-pangan-dan-gizi-seputar-proyek-food-estate-di-kalimantan-tengah/</w:t>
      </w:r>
    </w:p>
  </w:endnote>
  <w:endnote w:id="24">
    <w:p w14:paraId="46F9A65C" w14:textId="77777777" w:rsidR="004D2802" w:rsidRDefault="004D2802">
      <w:pPr>
        <w:spacing w:after="0" w:line="240" w:lineRule="auto"/>
        <w:rPr>
          <w:sz w:val="20"/>
          <w:szCs w:val="20"/>
        </w:rPr>
      </w:pPr>
      <w:r>
        <w:rPr>
          <w:vertAlign w:val="superscript"/>
        </w:rPr>
        <w:endnoteRef/>
      </w:r>
      <w:r>
        <w:rPr>
          <w:sz w:val="20"/>
          <w:szCs w:val="20"/>
        </w:rPr>
        <w:t xml:space="preserve"> According to SP Mamut Menteng Kalteng Community Executive Board Chair Margaretha Winda Febiana Karotina.</w:t>
      </w:r>
    </w:p>
  </w:endnote>
  <w:endnote w:id="25">
    <w:p w14:paraId="72700138" w14:textId="77777777" w:rsidR="004D2802" w:rsidRDefault="004D2802">
      <w:pPr>
        <w:spacing w:after="0" w:line="240" w:lineRule="auto"/>
        <w:rPr>
          <w:color w:val="4F689A"/>
          <w:sz w:val="20"/>
          <w:szCs w:val="20"/>
        </w:rPr>
      </w:pPr>
      <w:r>
        <w:rPr>
          <w:vertAlign w:val="superscript"/>
        </w:rPr>
        <w:endnoteRef/>
      </w:r>
      <w:r>
        <w:rPr>
          <w:sz w:val="20"/>
          <w:szCs w:val="20"/>
        </w:rPr>
        <w:t xml:space="preserve"> Pusaka Bentala Rakyat and FIAN Indonesia (2023) “Biopolitik dan kerusakan Metabolik Alam Manusia Papua </w:t>
      </w:r>
      <w:r>
        <w:rPr>
          <w:color w:val="4F689A"/>
          <w:sz w:val="20"/>
          <w:szCs w:val="20"/>
        </w:rPr>
        <w:t>https://fian-indonesia.org/biopolitik-food-estate-dan-kerusakan-metabolik-alam-manusia-papua/</w:t>
      </w:r>
    </w:p>
  </w:endnote>
  <w:endnote w:id="26">
    <w:p w14:paraId="4DEBAD77" w14:textId="77777777" w:rsidR="004D2802" w:rsidRDefault="004D2802">
      <w:pPr>
        <w:spacing w:after="0" w:line="240" w:lineRule="auto"/>
        <w:rPr>
          <w:sz w:val="20"/>
          <w:szCs w:val="20"/>
        </w:rPr>
      </w:pPr>
      <w:r>
        <w:rPr>
          <w:vertAlign w:val="superscript"/>
        </w:rPr>
        <w:endnoteRef/>
      </w:r>
      <w:r>
        <w:rPr>
          <w:sz w:val="20"/>
          <w:szCs w:val="20"/>
        </w:rPr>
        <w:t xml:space="preserve"> Ibid.</w:t>
      </w:r>
    </w:p>
  </w:endnote>
  <w:endnote w:id="27">
    <w:p w14:paraId="656A8C43" w14:textId="77777777" w:rsidR="004D2802" w:rsidRDefault="004D2802">
      <w:pPr>
        <w:spacing w:after="0" w:line="240" w:lineRule="auto"/>
        <w:rPr>
          <w:sz w:val="20"/>
          <w:szCs w:val="20"/>
        </w:rPr>
      </w:pPr>
      <w:r>
        <w:rPr>
          <w:vertAlign w:val="superscript"/>
        </w:rPr>
        <w:endnoteRef/>
      </w:r>
      <w:r>
        <w:rPr>
          <w:sz w:val="20"/>
          <w:szCs w:val="20"/>
        </w:rPr>
        <w:t xml:space="preserve"> Kompas “Keterlibatan Perempuan Minim dalam FE, Bibit Lokal Pun Terancam” (Triwibowo 2021) </w:t>
      </w:r>
      <w:hyperlink r:id="rId12">
        <w:r>
          <w:rPr>
            <w:sz w:val="20"/>
            <w:szCs w:val="20"/>
          </w:rPr>
          <w:t xml:space="preserve"> </w:t>
        </w:r>
      </w:hyperlink>
      <w:hyperlink r:id="rId13">
        <w:r>
          <w:rPr>
            <w:color w:val="4F689A"/>
            <w:sz w:val="20"/>
            <w:szCs w:val="20"/>
            <w:u w:val="single"/>
          </w:rPr>
          <w:t>https://www.kompas.id/baca/ekonomi/2021/05/01/keterlibatan-perempuan-minim-dalam-food-estate-bibit-lokal-pun-terancam</w:t>
        </w:r>
      </w:hyperlink>
    </w:p>
  </w:endnote>
  <w:endnote w:id="28">
    <w:p w14:paraId="4393E4F8" w14:textId="77777777" w:rsidR="004D2802" w:rsidRDefault="004D2802">
      <w:pPr>
        <w:spacing w:after="0" w:line="240" w:lineRule="auto"/>
        <w:rPr>
          <w:sz w:val="20"/>
          <w:szCs w:val="20"/>
        </w:rPr>
      </w:pPr>
      <w:r>
        <w:rPr>
          <w:vertAlign w:val="superscript"/>
        </w:rPr>
        <w:endnoteRef/>
      </w:r>
      <w:r>
        <w:rPr>
          <w:sz w:val="20"/>
          <w:szCs w:val="20"/>
        </w:rPr>
        <w:t xml:space="preserve">  Kompas “Perempuan Menjaga Pangan” (Triwibowo 2023) </w:t>
      </w:r>
      <w:hyperlink r:id="rId14">
        <w:r>
          <w:rPr>
            <w:color w:val="4F689A"/>
            <w:sz w:val="20"/>
            <w:szCs w:val="20"/>
            <w:u w:val="single"/>
          </w:rPr>
          <w:t>https://www.kompas.id/baca/foto/2023/03/12/perempuan-menjaga-pangan</w:t>
        </w:r>
      </w:hyperlink>
      <w:r>
        <w:rPr>
          <w:color w:val="4F689A"/>
          <w:sz w:val="20"/>
          <w:szCs w:val="20"/>
        </w:rPr>
        <w:t xml:space="preserve"> </w:t>
      </w:r>
    </w:p>
  </w:endnote>
  <w:endnote w:id="29">
    <w:p w14:paraId="1BC3D6E3" w14:textId="77777777" w:rsidR="004D2802" w:rsidRDefault="004D2802">
      <w:pPr>
        <w:spacing w:after="0" w:line="240" w:lineRule="auto"/>
        <w:rPr>
          <w:color w:val="4F689A"/>
          <w:sz w:val="20"/>
          <w:szCs w:val="20"/>
          <w:highlight w:val="yellow"/>
        </w:rPr>
      </w:pPr>
      <w:r>
        <w:rPr>
          <w:vertAlign w:val="superscript"/>
        </w:rPr>
        <w:endnoteRef/>
      </w:r>
      <w:r>
        <w:rPr>
          <w:sz w:val="20"/>
          <w:szCs w:val="20"/>
        </w:rPr>
        <w:t xml:space="preserve"> Kompas “Keterlibatan Perempuan Minim dalam FE, Bibit Lokal Pun Terancam” (Triwibowo 2021) </w:t>
      </w:r>
      <w:hyperlink r:id="rId15">
        <w:r>
          <w:rPr>
            <w:sz w:val="20"/>
            <w:szCs w:val="20"/>
          </w:rPr>
          <w:t xml:space="preserve"> </w:t>
        </w:r>
      </w:hyperlink>
      <w:hyperlink r:id="rId16">
        <w:r>
          <w:rPr>
            <w:color w:val="4F689A"/>
            <w:sz w:val="20"/>
            <w:szCs w:val="20"/>
            <w:u w:val="single"/>
          </w:rPr>
          <w:t>https://www.kompas.id/baca/ekonomi/2021/05/01/keterlibatan-perempuan-minim-dalam-food-estate-bibit-lokal-pun-terancam</w:t>
        </w:r>
      </w:hyperlink>
      <w:r>
        <w:rPr>
          <w:sz w:val="20"/>
          <w:szCs w:val="20"/>
        </w:rPr>
        <w:t>.</w:t>
      </w:r>
    </w:p>
  </w:endnote>
  <w:endnote w:id="30">
    <w:p w14:paraId="43177F4F" w14:textId="77777777" w:rsidR="004D2802" w:rsidRDefault="004D2802">
      <w:pPr>
        <w:spacing w:after="0" w:line="240" w:lineRule="auto"/>
        <w:rPr>
          <w:color w:val="4F689A"/>
          <w:sz w:val="20"/>
          <w:szCs w:val="20"/>
          <w:highlight w:val="yellow"/>
        </w:rPr>
      </w:pPr>
      <w:r>
        <w:rPr>
          <w:vertAlign w:val="superscript"/>
        </w:rPr>
        <w:endnoteRef/>
      </w:r>
      <w:r>
        <w:rPr>
          <w:sz w:val="20"/>
          <w:szCs w:val="20"/>
        </w:rPr>
        <w:t xml:space="preserve"> Kompas “Keterlibatan Perempuan Minim dalam FE, Bibit Lokal Pun Terancam” (Triwibowo 2021) </w:t>
      </w:r>
      <w:hyperlink r:id="rId17">
        <w:r>
          <w:rPr>
            <w:sz w:val="20"/>
            <w:szCs w:val="20"/>
          </w:rPr>
          <w:t xml:space="preserve"> </w:t>
        </w:r>
      </w:hyperlink>
      <w:hyperlink r:id="rId18">
        <w:r>
          <w:rPr>
            <w:color w:val="4F689A"/>
            <w:sz w:val="20"/>
            <w:szCs w:val="20"/>
            <w:u w:val="single"/>
          </w:rPr>
          <w:t>https://www.kompas.id/baca/ekonomi/2021/05/01/keterlibatan-perempuan-minim-dalam-food-estate-bibit-lokal-pun-terancam</w:t>
        </w:r>
      </w:hyperlink>
    </w:p>
  </w:endnote>
  <w:endnote w:id="31">
    <w:p w14:paraId="777BC00E" w14:textId="77777777" w:rsidR="004D2802" w:rsidRDefault="004D2802">
      <w:pPr>
        <w:spacing w:after="0" w:line="240" w:lineRule="auto"/>
        <w:rPr>
          <w:color w:val="4F689A"/>
          <w:sz w:val="20"/>
          <w:szCs w:val="20"/>
          <w:highlight w:val="yellow"/>
        </w:rPr>
      </w:pPr>
      <w:r>
        <w:rPr>
          <w:vertAlign w:val="superscript"/>
        </w:rPr>
        <w:endnoteRef/>
      </w:r>
      <w:r>
        <w:rPr>
          <w:sz w:val="20"/>
          <w:szCs w:val="20"/>
        </w:rPr>
        <w:t xml:space="preserve"> Kompas “Perempuan Menjaga Pangan” (Triwibowo 2023) </w:t>
      </w:r>
      <w:hyperlink r:id="rId19">
        <w:r>
          <w:rPr>
            <w:color w:val="4F689A"/>
            <w:sz w:val="20"/>
            <w:szCs w:val="20"/>
            <w:u w:val="single"/>
          </w:rPr>
          <w:t>https://www.kompas.id/baca/foto/2023/03/12/perempuan-menjaga-pangan</w:t>
        </w:r>
      </w:hyperlink>
      <w:r>
        <w:rPr>
          <w:color w:val="4F689A"/>
          <w:sz w:val="20"/>
          <w:szCs w:val="20"/>
        </w:rPr>
        <w:t xml:space="preserve"> </w:t>
      </w:r>
    </w:p>
  </w:endnote>
  <w:endnote w:id="32">
    <w:p w14:paraId="6183C86D" w14:textId="77777777" w:rsidR="004D2802" w:rsidRDefault="004D2802">
      <w:pPr>
        <w:spacing w:after="0" w:line="240" w:lineRule="auto"/>
        <w:rPr>
          <w:color w:val="4F689A"/>
          <w:sz w:val="20"/>
          <w:szCs w:val="20"/>
        </w:rPr>
      </w:pPr>
      <w:r>
        <w:rPr>
          <w:vertAlign w:val="superscript"/>
        </w:rPr>
        <w:endnoteRef/>
      </w:r>
      <w:r>
        <w:rPr>
          <w:sz w:val="20"/>
          <w:szCs w:val="20"/>
        </w:rPr>
        <w:t xml:space="preserve"> FIAN Indonesia &amp; Solidaritas Perempuan, CEDAW Parallel Report (2021) </w:t>
      </w:r>
      <w:hyperlink r:id="rId20">
        <w:r>
          <w:rPr>
            <w:color w:val="4F689A"/>
            <w:sz w:val="20"/>
            <w:szCs w:val="20"/>
            <w:u w:val="single"/>
          </w:rPr>
          <w:t>https://tbinternet.ohchr.org/_layouts/15/treatybodyexternal/Download.aspx?symbolno=INT%2fCEDAW%2fNGO%2fIDN%2f46760&amp;Lang=en</w:t>
        </w:r>
      </w:hyperlink>
      <w:r>
        <w:rPr>
          <w:color w:val="4F689A"/>
          <w:sz w:val="20"/>
          <w:szCs w:val="20"/>
        </w:rPr>
        <w:t xml:space="preserve"> </w:t>
      </w:r>
    </w:p>
  </w:endnote>
  <w:endnote w:id="33">
    <w:p w14:paraId="17ACFACE" w14:textId="77777777" w:rsidR="004D2802" w:rsidRDefault="004D2802">
      <w:pPr>
        <w:spacing w:after="0" w:line="240" w:lineRule="auto"/>
        <w:jc w:val="both"/>
        <w:rPr>
          <w:sz w:val="20"/>
          <w:szCs w:val="20"/>
        </w:rPr>
      </w:pPr>
      <w:r>
        <w:rPr>
          <w:vertAlign w:val="superscript"/>
        </w:rPr>
        <w:endnoteRef/>
      </w:r>
      <w:r>
        <w:rPr>
          <w:sz w:val="20"/>
          <w:szCs w:val="20"/>
        </w:rPr>
        <w:t xml:space="preserve"> </w:t>
      </w:r>
      <w:r>
        <w:rPr>
          <w:sz w:val="20"/>
          <w:szCs w:val="20"/>
          <w:highlight w:val="white"/>
        </w:rPr>
        <w:t xml:space="preserve">The term ‘ultra-processed foods’ comes from the </w:t>
      </w:r>
      <w:hyperlink r:id="rId21">
        <w:r>
          <w:rPr>
            <w:sz w:val="20"/>
            <w:szCs w:val="20"/>
          </w:rPr>
          <w:t>NOVA food classification system</w:t>
        </w:r>
      </w:hyperlink>
      <w:r>
        <w:rPr>
          <w:sz w:val="20"/>
          <w:szCs w:val="20"/>
        </w:rPr>
        <w:t>. It refers to a food or drink product that is made through a series of industrial techniques and processes with ingredients that are processed only for industrial purposes, such as additives that make the taste very delicious and contain high levels of sugar, fat and salt.</w:t>
      </w:r>
    </w:p>
  </w:endnote>
  <w:endnote w:id="34">
    <w:p w14:paraId="621E7851" w14:textId="77777777" w:rsidR="004D2802" w:rsidRDefault="004D2802">
      <w:pPr>
        <w:spacing w:after="0" w:line="240" w:lineRule="auto"/>
        <w:rPr>
          <w:color w:val="4F689A"/>
          <w:sz w:val="20"/>
          <w:szCs w:val="20"/>
        </w:rPr>
      </w:pPr>
      <w:r>
        <w:rPr>
          <w:vertAlign w:val="superscript"/>
        </w:rPr>
        <w:endnoteRef/>
      </w:r>
      <w:r>
        <w:rPr>
          <w:sz w:val="20"/>
          <w:szCs w:val="20"/>
        </w:rPr>
        <w:t xml:space="preserve"> FIAN Indonesia and AIMI (2023) </w:t>
      </w:r>
      <w:hyperlink r:id="rId22">
        <w:r>
          <w:rPr>
            <w:color w:val="4F689A"/>
            <w:sz w:val="20"/>
            <w:szCs w:val="20"/>
            <w:u w:val="single"/>
          </w:rPr>
          <w:t>https://fian-indonesia.org/wp-content/uploads/2023/04/FIAN-X-AIMI-HAK-ATAS-PANGAN-1.pdf</w:t>
        </w:r>
      </w:hyperlink>
      <w:r>
        <w:rPr>
          <w:color w:val="4F689A"/>
          <w:sz w:val="20"/>
          <w:szCs w:val="20"/>
        </w:rPr>
        <w:t xml:space="preserve"> </w:t>
      </w:r>
    </w:p>
  </w:endnote>
  <w:endnote w:id="35">
    <w:p w14:paraId="45FAA034" w14:textId="77777777" w:rsidR="004D2802" w:rsidRDefault="004D2802">
      <w:pPr>
        <w:spacing w:after="0" w:line="240" w:lineRule="auto"/>
        <w:rPr>
          <w:sz w:val="20"/>
          <w:szCs w:val="20"/>
        </w:rPr>
      </w:pPr>
      <w:r>
        <w:rPr>
          <w:vertAlign w:val="superscript"/>
        </w:rPr>
        <w:endnoteRef/>
      </w:r>
      <w:r>
        <w:rPr>
          <w:sz w:val="20"/>
          <w:szCs w:val="20"/>
        </w:rPr>
        <w:t xml:space="preserve"> Ministry of Environmental and Forest regulation No, 7 of 2021 on Forestry Planning, Changes in Allotment of Forest Areas and Changes in Functions of Forest Areas, and Use of Forest Areas</w:t>
      </w:r>
    </w:p>
  </w:endnote>
  <w:endnote w:id="36">
    <w:p w14:paraId="3AE0D07E" w14:textId="77777777" w:rsidR="004D2802" w:rsidRDefault="004D2802">
      <w:pPr>
        <w:spacing w:after="0" w:line="240" w:lineRule="auto"/>
        <w:rPr>
          <w:color w:val="4F689A"/>
          <w:sz w:val="20"/>
          <w:szCs w:val="20"/>
        </w:rPr>
      </w:pPr>
      <w:r>
        <w:rPr>
          <w:vertAlign w:val="superscript"/>
        </w:rPr>
        <w:endnoteRef/>
      </w:r>
      <w:r>
        <w:rPr>
          <w:sz w:val="20"/>
          <w:szCs w:val="20"/>
        </w:rPr>
        <w:t xml:space="preserve">Greenpeace, 2022,  “Indonesia’s Food Estate Program: Feeding The Climate Crisis” </w:t>
      </w:r>
      <w:hyperlink r:id="rId23">
        <w:r>
          <w:rPr>
            <w:color w:val="4F689A"/>
            <w:sz w:val="20"/>
            <w:szCs w:val="20"/>
            <w:u w:val="single"/>
          </w:rPr>
          <w:t>a388b294-food-estate-report_english_new-2.pdf (greenpeace.org)</w:t>
        </w:r>
      </w:hyperlink>
      <w:r>
        <w:rPr>
          <w:color w:val="4F689A"/>
          <w:sz w:val="20"/>
          <w:szCs w:val="20"/>
        </w:rPr>
        <w:t xml:space="preserve"> </w:t>
      </w:r>
    </w:p>
  </w:endnote>
  <w:endnote w:id="37">
    <w:p w14:paraId="5DAB574D" w14:textId="77777777" w:rsidR="004D2802" w:rsidRDefault="004D2802">
      <w:pPr>
        <w:spacing w:after="0" w:line="240" w:lineRule="auto"/>
        <w:rPr>
          <w:rFonts w:ascii="Arial" w:eastAsia="Arial" w:hAnsi="Arial" w:cs="Arial"/>
          <w:color w:val="4F689A"/>
          <w:sz w:val="20"/>
          <w:szCs w:val="20"/>
        </w:rPr>
      </w:pPr>
      <w:r>
        <w:rPr>
          <w:vertAlign w:val="superscript"/>
        </w:rPr>
        <w:endnoteRef/>
      </w:r>
      <w:r>
        <w:rPr>
          <w:rFonts w:ascii="Arial" w:eastAsia="Arial" w:hAnsi="Arial" w:cs="Arial"/>
          <w:sz w:val="20"/>
          <w:szCs w:val="20"/>
        </w:rPr>
        <w:t xml:space="preserve"> </w:t>
      </w:r>
      <w:r>
        <w:rPr>
          <w:sz w:val="20"/>
          <w:szCs w:val="20"/>
        </w:rPr>
        <w:t xml:space="preserve">Greenpeace, 2022,  “Indonesia’s Food Estate Program: Feeding The Climate Crisis” </w:t>
      </w:r>
      <w:hyperlink r:id="rId24">
        <w:r>
          <w:rPr>
            <w:color w:val="4F689A"/>
            <w:sz w:val="20"/>
            <w:szCs w:val="20"/>
            <w:u w:val="single"/>
          </w:rPr>
          <w:t>a388b294-food-estate-report_english_new-2.pdf (greenpeace.org)</w:t>
        </w:r>
      </w:hyperlink>
      <w:r>
        <w:rPr>
          <w:rFonts w:ascii="Arial" w:eastAsia="Arial" w:hAnsi="Arial" w:cs="Arial"/>
          <w:color w:val="4F689A"/>
          <w:sz w:val="20"/>
          <w:szCs w:val="20"/>
        </w:rPr>
        <w:t xml:space="preserve"> </w:t>
      </w:r>
    </w:p>
  </w:endnote>
  <w:endnote w:id="38">
    <w:p w14:paraId="11410389" w14:textId="77777777" w:rsidR="004D2802" w:rsidRDefault="004D2802">
      <w:pPr>
        <w:spacing w:after="0" w:line="240" w:lineRule="auto"/>
        <w:rPr>
          <w:sz w:val="20"/>
          <w:szCs w:val="20"/>
        </w:rPr>
      </w:pPr>
      <w:r>
        <w:rPr>
          <w:vertAlign w:val="superscript"/>
        </w:rPr>
        <w:endnoteRef/>
      </w:r>
      <w:r>
        <w:rPr>
          <w:sz w:val="20"/>
          <w:szCs w:val="20"/>
        </w:rPr>
        <w:t xml:space="preserve"> Environment and Forestry Department, Papua Province, 2020).</w:t>
      </w:r>
      <w:r>
        <w:t xml:space="preserve"> </w:t>
      </w:r>
    </w:p>
  </w:endnote>
  <w:endnote w:id="39">
    <w:p w14:paraId="06315B17" w14:textId="77777777" w:rsidR="004D2802" w:rsidRDefault="004D2802">
      <w:pPr>
        <w:spacing w:after="0" w:line="240" w:lineRule="auto"/>
        <w:rPr>
          <w:sz w:val="20"/>
          <w:szCs w:val="20"/>
        </w:rPr>
      </w:pPr>
      <w:r>
        <w:rPr>
          <w:vertAlign w:val="superscript"/>
        </w:rPr>
        <w:endnoteRef/>
      </w:r>
      <w:r>
        <w:rPr>
          <w:sz w:val="20"/>
          <w:szCs w:val="20"/>
        </w:rPr>
        <w:t xml:space="preserve"> Ministry of Finance (2022) “Indonesia Pastikan Komitmen Terhadap Perubahan Iklim” </w:t>
      </w:r>
      <w:hyperlink r:id="rId25" w:anchor=":~:text=Jakarta%20(10%2F06)%3A%20Pemerintah,zero%20emissions%20pada%20tahun%202060">
        <w:r>
          <w:rPr>
            <w:color w:val="4F689A"/>
            <w:sz w:val="20"/>
            <w:szCs w:val="20"/>
            <w:u w:val="single"/>
          </w:rPr>
          <w:t>https://fiskal.kemenkeu.go.id/baca/2022/06/10/4350-indonesia-pastikan-komitmen-terhadap-perubahan-iklim#:~:text=Jakarta%20(10%2F06)%3A%20Pemerintah,zero%20emissions%20pada%20tahun%202060</w:t>
        </w:r>
      </w:hyperlink>
      <w:r>
        <w:rPr>
          <w:sz w:val="20"/>
          <w:szCs w:val="20"/>
        </w:rPr>
        <w:t xml:space="preserve"> .</w:t>
      </w:r>
    </w:p>
  </w:endnote>
  <w:endnote w:id="40">
    <w:p w14:paraId="2E803D4D" w14:textId="77777777" w:rsidR="004D2802" w:rsidRDefault="004D2802">
      <w:pPr>
        <w:spacing w:after="0" w:line="240" w:lineRule="auto"/>
        <w:rPr>
          <w:color w:val="4F689A"/>
          <w:sz w:val="20"/>
          <w:szCs w:val="20"/>
        </w:rPr>
      </w:pPr>
      <w:r>
        <w:rPr>
          <w:vertAlign w:val="superscript"/>
        </w:rPr>
        <w:endnoteRef/>
      </w:r>
      <w:r>
        <w:rPr>
          <w:sz w:val="20"/>
          <w:szCs w:val="20"/>
        </w:rPr>
        <w:t xml:space="preserve">  Jong, H.S., Mongabay (2020) </w:t>
      </w:r>
      <w:hyperlink r:id="rId26">
        <w:r>
          <w:rPr>
            <w:color w:val="4F689A"/>
            <w:sz w:val="20"/>
            <w:szCs w:val="20"/>
            <w:u w:val="single"/>
          </w:rPr>
          <w:t>https://news.mongabay.com/2020/10/indonesia-militarized-agriculture-food-estate-kalimantan-sumatra/</w:t>
        </w:r>
      </w:hyperlink>
      <w:r>
        <w:rPr>
          <w:color w:val="4F689A"/>
          <w:sz w:val="20"/>
          <w:szCs w:val="20"/>
        </w:rPr>
        <w:t xml:space="preserve"> </w:t>
      </w:r>
    </w:p>
  </w:endnote>
  <w:endnote w:id="41">
    <w:p w14:paraId="08BC7271" w14:textId="77777777" w:rsidR="004D2802" w:rsidRDefault="004D2802">
      <w:pPr>
        <w:spacing w:after="0" w:line="240" w:lineRule="auto"/>
        <w:rPr>
          <w:sz w:val="20"/>
          <w:szCs w:val="20"/>
        </w:rPr>
      </w:pPr>
      <w:r>
        <w:rPr>
          <w:vertAlign w:val="superscript"/>
        </w:rPr>
        <w:endnoteRef/>
      </w:r>
      <w:r>
        <w:rPr>
          <w:sz w:val="20"/>
          <w:szCs w:val="20"/>
        </w:rPr>
        <w:t xml:space="preserve"> FIAN Indonesia 2022, Central Kalimantan Report</w:t>
      </w:r>
    </w:p>
  </w:endnote>
  <w:endnote w:id="42">
    <w:p w14:paraId="407F06C2" w14:textId="77777777" w:rsidR="004D2802" w:rsidRDefault="004D2802">
      <w:pPr>
        <w:spacing w:after="0" w:line="240" w:lineRule="auto"/>
        <w:rPr>
          <w:sz w:val="20"/>
          <w:szCs w:val="20"/>
        </w:rPr>
      </w:pPr>
      <w:r>
        <w:rPr>
          <w:vertAlign w:val="superscript"/>
        </w:rPr>
        <w:endnoteRef/>
      </w:r>
      <w:r>
        <w:rPr>
          <w:sz w:val="20"/>
          <w:szCs w:val="20"/>
        </w:rPr>
        <w:t xml:space="preserve"> Pusaka Bentala Rakyat and FIAN Indonesia (2023) “Biopolitik dan kerusakan Metabolik Alam Manusia Papua </w:t>
      </w:r>
      <w:r>
        <w:rPr>
          <w:color w:val="4F689A"/>
          <w:sz w:val="20"/>
          <w:szCs w:val="20"/>
        </w:rPr>
        <w:t>https://fian-indonesia.org/biopolitik-food-estate-dan-kerusakan-metabolik-alam-manusia-papua/</w:t>
      </w:r>
    </w:p>
  </w:endnote>
  <w:endnote w:id="43">
    <w:p w14:paraId="643312AC" w14:textId="77777777" w:rsidR="004D2802" w:rsidRDefault="004D2802">
      <w:pPr>
        <w:spacing w:after="0" w:line="240" w:lineRule="auto"/>
        <w:rPr>
          <w:color w:val="4F689A"/>
          <w:sz w:val="20"/>
          <w:szCs w:val="20"/>
        </w:rPr>
      </w:pPr>
      <w:r>
        <w:rPr>
          <w:vertAlign w:val="superscript"/>
        </w:rPr>
        <w:endnoteRef/>
      </w:r>
      <w:r>
        <w:rPr>
          <w:sz w:val="20"/>
          <w:szCs w:val="20"/>
        </w:rPr>
        <w:t xml:space="preserve"> Afiff (2020) </w:t>
      </w:r>
      <w:hyperlink r:id="rId27">
        <w:r>
          <w:rPr>
            <w:color w:val="4F689A"/>
            <w:sz w:val="20"/>
            <w:szCs w:val="20"/>
            <w:u w:val="single"/>
          </w:rPr>
          <w:t>https://melbourneasiareview.edu.au/soehartos-legacies-in-jokowis-food-security-plans/</w:t>
        </w:r>
      </w:hyperlink>
      <w:r>
        <w:rPr>
          <w:color w:val="4F689A"/>
          <w:sz w:val="20"/>
          <w:szCs w:val="20"/>
        </w:rPr>
        <w:t xml:space="preserve"> </w:t>
      </w:r>
    </w:p>
  </w:endnote>
  <w:endnote w:id="44">
    <w:p w14:paraId="1660344B" w14:textId="77777777" w:rsidR="004D2802" w:rsidRDefault="004D2802">
      <w:pPr>
        <w:spacing w:after="0" w:line="240" w:lineRule="auto"/>
        <w:rPr>
          <w:color w:val="4F689A"/>
          <w:sz w:val="20"/>
          <w:szCs w:val="20"/>
        </w:rPr>
      </w:pPr>
      <w:r>
        <w:rPr>
          <w:vertAlign w:val="superscript"/>
        </w:rPr>
        <w:endnoteRef/>
      </w:r>
      <w:r>
        <w:rPr>
          <w:sz w:val="20"/>
          <w:szCs w:val="20"/>
        </w:rPr>
        <w:t xml:space="preserve"> FIAN Indonesia (2022) </w:t>
      </w:r>
      <w:hyperlink r:id="rId28">
        <w:r>
          <w:rPr>
            <w:color w:val="4F689A"/>
            <w:sz w:val="20"/>
            <w:szCs w:val="20"/>
            <w:u w:val="single"/>
          </w:rPr>
          <w:t>https://fian-indonesia.org/ringkasan-eksekutif-food-estate-sumatera-utara-fian-indonesia/</w:t>
        </w:r>
      </w:hyperlink>
      <w:r>
        <w:rPr>
          <w:color w:val="4F689A"/>
          <w:sz w:val="20"/>
          <w:szCs w:val="20"/>
        </w:rPr>
        <w:t xml:space="preserve"> </w:t>
      </w:r>
    </w:p>
    <w:p w14:paraId="52B9BD6A" w14:textId="77777777" w:rsidR="004D2802" w:rsidRDefault="004D2802">
      <w:pPr>
        <w:spacing w:after="0" w:line="240" w:lineRule="auto"/>
        <w:rPr>
          <w:color w:val="4F689A"/>
          <w:sz w:val="20"/>
          <w:szCs w:val="20"/>
        </w:rPr>
      </w:pPr>
    </w:p>
    <w:p w14:paraId="4C64F518" w14:textId="77777777" w:rsidR="004D2802" w:rsidRDefault="004D2802">
      <w:pPr>
        <w:spacing w:after="0" w:line="240" w:lineRule="auto"/>
        <w:rPr>
          <w:color w:val="4F689A"/>
          <w:sz w:val="20"/>
          <w:szCs w:val="20"/>
        </w:rPr>
      </w:pPr>
    </w:p>
    <w:p w14:paraId="313E1A56" w14:textId="77777777" w:rsidR="004D2802" w:rsidRDefault="004D2802">
      <w:pPr>
        <w:spacing w:after="0" w:line="240" w:lineRule="auto"/>
        <w:rPr>
          <w:color w:val="4F689A"/>
          <w:sz w:val="20"/>
          <w:szCs w:val="20"/>
        </w:rPr>
      </w:pPr>
    </w:p>
    <w:p w14:paraId="2D2CF8A8" w14:textId="77777777" w:rsidR="004D2802" w:rsidRDefault="004D2802">
      <w:pPr>
        <w:spacing w:after="0" w:line="240" w:lineRule="auto"/>
        <w:rPr>
          <w:color w:val="4F689A"/>
          <w:sz w:val="20"/>
          <w:szCs w:val="20"/>
        </w:rPr>
      </w:pPr>
    </w:p>
    <w:p w14:paraId="4FC7C881" w14:textId="77777777" w:rsidR="004D2802" w:rsidRDefault="004D2802">
      <w:pPr>
        <w:spacing w:after="0" w:line="240" w:lineRule="auto"/>
        <w:rPr>
          <w:color w:val="4F689A"/>
          <w:sz w:val="20"/>
          <w:szCs w:val="20"/>
        </w:rPr>
      </w:pPr>
    </w:p>
    <w:p w14:paraId="162AF4D6" w14:textId="77777777" w:rsidR="004D2802" w:rsidRDefault="004D2802">
      <w:pPr>
        <w:spacing w:after="0" w:line="240" w:lineRule="auto"/>
        <w:rPr>
          <w:color w:val="4F689A"/>
          <w:sz w:val="20"/>
          <w:szCs w:val="20"/>
        </w:rPr>
      </w:pPr>
    </w:p>
    <w:p w14:paraId="48188AAA" w14:textId="77777777" w:rsidR="004D2802" w:rsidRDefault="004D2802">
      <w:pPr>
        <w:spacing w:after="0" w:line="240" w:lineRule="auto"/>
        <w:rPr>
          <w:color w:val="4F689A"/>
          <w:sz w:val="20"/>
          <w:szCs w:val="20"/>
        </w:rPr>
      </w:pPr>
    </w:p>
    <w:p w14:paraId="57742128" w14:textId="77777777" w:rsidR="004D2802" w:rsidRDefault="004D2802">
      <w:pPr>
        <w:spacing w:after="0" w:line="240" w:lineRule="auto"/>
        <w:rPr>
          <w:color w:val="4F689A"/>
          <w:sz w:val="20"/>
          <w:szCs w:val="20"/>
        </w:rPr>
      </w:pPr>
    </w:p>
    <w:p w14:paraId="46D2BE0A" w14:textId="77777777" w:rsidR="004D2802" w:rsidRDefault="004D2802">
      <w:pPr>
        <w:spacing w:after="0" w:line="240" w:lineRule="auto"/>
        <w:rPr>
          <w:color w:val="4F689A"/>
          <w:sz w:val="20"/>
          <w:szCs w:val="20"/>
        </w:rPr>
      </w:pPr>
    </w:p>
    <w:p w14:paraId="053FAB83" w14:textId="77777777" w:rsidR="004D2802" w:rsidRDefault="004D2802">
      <w:pPr>
        <w:spacing w:after="0" w:line="240" w:lineRule="auto"/>
        <w:rPr>
          <w:color w:val="4F689A"/>
          <w:sz w:val="20"/>
          <w:szCs w:val="20"/>
        </w:rPr>
      </w:pPr>
    </w:p>
    <w:p w14:paraId="76389266" w14:textId="77777777" w:rsidR="004D2802" w:rsidRDefault="004D2802">
      <w:pPr>
        <w:spacing w:after="0" w:line="240" w:lineRule="auto"/>
        <w:rPr>
          <w:color w:val="4F689A"/>
          <w:sz w:val="20"/>
          <w:szCs w:val="20"/>
        </w:rPr>
      </w:pPr>
    </w:p>
    <w:p w14:paraId="29EC6DCC" w14:textId="77777777" w:rsidR="004D2802" w:rsidRDefault="004D2802">
      <w:pPr>
        <w:spacing w:after="0" w:line="240" w:lineRule="auto"/>
        <w:rPr>
          <w:color w:val="4F689A"/>
          <w:sz w:val="20"/>
          <w:szCs w:val="20"/>
        </w:rPr>
      </w:pPr>
    </w:p>
    <w:p w14:paraId="32395AE3" w14:textId="77777777" w:rsidR="004D2802" w:rsidRDefault="004D2802">
      <w:pPr>
        <w:spacing w:after="0" w:line="240" w:lineRule="auto"/>
        <w:rPr>
          <w:color w:val="4F689A"/>
          <w:sz w:val="20"/>
          <w:szCs w:val="20"/>
        </w:rPr>
      </w:pPr>
    </w:p>
    <w:p w14:paraId="5A92E8C5" w14:textId="77777777" w:rsidR="004D2802" w:rsidRDefault="004D2802">
      <w:pPr>
        <w:spacing w:after="0" w:line="240" w:lineRule="auto"/>
        <w:rPr>
          <w:color w:val="4F689A"/>
          <w:sz w:val="20"/>
          <w:szCs w:val="20"/>
        </w:rPr>
      </w:pPr>
    </w:p>
    <w:p w14:paraId="6D9FD96F" w14:textId="77777777" w:rsidR="004D2802" w:rsidRDefault="004D2802">
      <w:pPr>
        <w:spacing w:after="0" w:line="240" w:lineRule="auto"/>
        <w:rPr>
          <w:color w:val="4F689A"/>
          <w:sz w:val="20"/>
          <w:szCs w:val="20"/>
        </w:rPr>
      </w:pPr>
    </w:p>
    <w:p w14:paraId="5670D5C2" w14:textId="77777777" w:rsidR="004D2802" w:rsidRDefault="004D2802">
      <w:pPr>
        <w:spacing w:after="0" w:line="240" w:lineRule="auto"/>
        <w:rPr>
          <w:color w:val="4F689A"/>
          <w:sz w:val="20"/>
          <w:szCs w:val="20"/>
        </w:rPr>
      </w:pPr>
    </w:p>
    <w:p w14:paraId="47E39D3B" w14:textId="77777777" w:rsidR="004D2802" w:rsidRDefault="004D2802">
      <w:pPr>
        <w:spacing w:after="0" w:line="240" w:lineRule="auto"/>
        <w:rPr>
          <w:color w:val="4F689A"/>
          <w:sz w:val="20"/>
          <w:szCs w:val="20"/>
        </w:rPr>
      </w:pPr>
    </w:p>
    <w:p w14:paraId="47515E75" w14:textId="77777777" w:rsidR="004D2802" w:rsidRDefault="004D2802">
      <w:pPr>
        <w:spacing w:after="0" w:line="240" w:lineRule="auto"/>
        <w:rPr>
          <w:color w:val="4F689A"/>
          <w:sz w:val="20"/>
          <w:szCs w:val="20"/>
        </w:rPr>
      </w:pPr>
    </w:p>
    <w:p w14:paraId="2D1D87F2" w14:textId="77777777" w:rsidR="004D2802" w:rsidRDefault="004D2802">
      <w:pPr>
        <w:spacing w:after="0" w:line="240" w:lineRule="auto"/>
        <w:rPr>
          <w:color w:val="4F689A"/>
          <w:sz w:val="20"/>
          <w:szCs w:val="20"/>
        </w:rPr>
      </w:pPr>
    </w:p>
    <w:p w14:paraId="33C2787B" w14:textId="77777777" w:rsidR="004D2802" w:rsidRDefault="004D2802">
      <w:pPr>
        <w:spacing w:after="0" w:line="240" w:lineRule="auto"/>
        <w:rPr>
          <w:color w:val="4F689A"/>
          <w:sz w:val="20"/>
          <w:szCs w:val="20"/>
        </w:rPr>
      </w:pPr>
    </w:p>
    <w:p w14:paraId="5905FFE2" w14:textId="77777777" w:rsidR="004D2802" w:rsidRDefault="004D2802">
      <w:pPr>
        <w:spacing w:after="0" w:line="240" w:lineRule="auto"/>
        <w:rPr>
          <w:color w:val="4F689A"/>
          <w:sz w:val="20"/>
          <w:szCs w:val="20"/>
        </w:rPr>
      </w:pPr>
    </w:p>
    <w:p w14:paraId="01D7F85C" w14:textId="77777777" w:rsidR="004D2802" w:rsidRDefault="004D2802">
      <w:pPr>
        <w:spacing w:after="0" w:line="240" w:lineRule="auto"/>
        <w:rPr>
          <w:color w:val="4F689A"/>
          <w:sz w:val="20"/>
          <w:szCs w:val="20"/>
        </w:rPr>
      </w:pPr>
    </w:p>
    <w:p w14:paraId="4F1F4A62" w14:textId="77777777" w:rsidR="004D2802" w:rsidRDefault="004D2802">
      <w:pPr>
        <w:spacing w:after="0" w:line="240" w:lineRule="auto"/>
        <w:rPr>
          <w:color w:val="4F689A"/>
          <w:sz w:val="20"/>
          <w:szCs w:val="20"/>
        </w:rPr>
      </w:pPr>
    </w:p>
    <w:p w14:paraId="7AF230D9" w14:textId="77777777" w:rsidR="004D2802" w:rsidRDefault="004D2802">
      <w:pPr>
        <w:spacing w:after="0" w:line="240" w:lineRule="auto"/>
        <w:rPr>
          <w:color w:val="4F689A"/>
          <w:sz w:val="20"/>
          <w:szCs w:val="20"/>
        </w:rPr>
      </w:pPr>
    </w:p>
    <w:p w14:paraId="5FD68412" w14:textId="77777777" w:rsidR="004D2802" w:rsidRDefault="004D2802">
      <w:pPr>
        <w:spacing w:after="0" w:line="240" w:lineRule="auto"/>
        <w:rPr>
          <w:color w:val="4F689A"/>
          <w:sz w:val="20"/>
          <w:szCs w:val="20"/>
        </w:rPr>
      </w:pPr>
    </w:p>
    <w:p w14:paraId="5A4830F3" w14:textId="77777777" w:rsidR="004D2802" w:rsidRDefault="004D2802">
      <w:pPr>
        <w:spacing w:after="0" w:line="240" w:lineRule="auto"/>
        <w:rPr>
          <w:color w:val="4F689A"/>
          <w:sz w:val="20"/>
          <w:szCs w:val="20"/>
        </w:rPr>
      </w:pPr>
    </w:p>
    <w:p w14:paraId="4E4BA51B" w14:textId="77777777" w:rsidR="004D2802" w:rsidRDefault="004D2802">
      <w:pPr>
        <w:spacing w:after="0" w:line="240" w:lineRule="auto"/>
        <w:rPr>
          <w:color w:val="4F689A"/>
          <w:sz w:val="20"/>
          <w:szCs w:val="20"/>
        </w:rPr>
      </w:pPr>
    </w:p>
    <w:p w14:paraId="62BB2A99" w14:textId="77777777" w:rsidR="004D2802" w:rsidRDefault="004D2802">
      <w:pPr>
        <w:spacing w:after="0" w:line="240" w:lineRule="auto"/>
        <w:rPr>
          <w:color w:val="4F689A"/>
          <w:sz w:val="20"/>
          <w:szCs w:val="20"/>
        </w:rPr>
      </w:pPr>
    </w:p>
    <w:p w14:paraId="5508A771" w14:textId="77777777" w:rsidR="004D2802" w:rsidRDefault="004D2802">
      <w:pPr>
        <w:spacing w:after="0" w:line="240" w:lineRule="auto"/>
        <w:rPr>
          <w:color w:val="4F689A"/>
          <w:sz w:val="20"/>
          <w:szCs w:val="20"/>
        </w:rPr>
      </w:pPr>
    </w:p>
    <w:p w14:paraId="215F1CA6" w14:textId="77777777" w:rsidR="004D2802" w:rsidRDefault="004D2802">
      <w:pPr>
        <w:spacing w:after="0" w:line="240" w:lineRule="auto"/>
        <w:rPr>
          <w:color w:val="4F689A"/>
          <w:sz w:val="20"/>
          <w:szCs w:val="20"/>
        </w:rPr>
      </w:pPr>
    </w:p>
    <w:p w14:paraId="5CAE39CC" w14:textId="77777777" w:rsidR="004D2802" w:rsidRDefault="004D2802">
      <w:pPr>
        <w:spacing w:after="0" w:line="240" w:lineRule="auto"/>
        <w:rPr>
          <w:color w:val="4F689A"/>
          <w:sz w:val="20"/>
          <w:szCs w:val="20"/>
        </w:rPr>
      </w:pPr>
    </w:p>
    <w:p w14:paraId="5C22891F" w14:textId="77777777" w:rsidR="004D2802" w:rsidRDefault="004D2802">
      <w:pPr>
        <w:spacing w:after="0" w:line="240" w:lineRule="auto"/>
        <w:rPr>
          <w:color w:val="4F689A"/>
          <w:sz w:val="20"/>
          <w:szCs w:val="20"/>
        </w:rPr>
      </w:pPr>
    </w:p>
    <w:p w14:paraId="1AF7D809" w14:textId="77777777" w:rsidR="004D2802" w:rsidRDefault="004D2802">
      <w:pPr>
        <w:spacing w:after="0" w:line="240" w:lineRule="auto"/>
        <w:rPr>
          <w:color w:val="4F689A"/>
          <w:sz w:val="20"/>
          <w:szCs w:val="20"/>
        </w:rPr>
      </w:pPr>
    </w:p>
    <w:p w14:paraId="574FA033" w14:textId="77777777" w:rsidR="004D2802" w:rsidRDefault="004D2802">
      <w:pPr>
        <w:spacing w:after="0" w:line="240" w:lineRule="auto"/>
        <w:rPr>
          <w:color w:val="4F689A"/>
          <w:sz w:val="20"/>
          <w:szCs w:val="20"/>
        </w:rPr>
      </w:pPr>
    </w:p>
    <w:p w14:paraId="350A551F" w14:textId="77777777" w:rsidR="004D2802" w:rsidRDefault="004D2802">
      <w:pPr>
        <w:spacing w:after="0" w:line="240" w:lineRule="auto"/>
        <w:rPr>
          <w:color w:val="4F689A"/>
          <w:sz w:val="20"/>
          <w:szCs w:val="20"/>
        </w:rPr>
      </w:pPr>
    </w:p>
    <w:p w14:paraId="37189A2A" w14:textId="77777777" w:rsidR="004D2802" w:rsidRDefault="004D2802">
      <w:pPr>
        <w:spacing w:after="0" w:line="240" w:lineRule="auto"/>
        <w:rPr>
          <w:color w:val="4F689A"/>
          <w:sz w:val="20"/>
          <w:szCs w:val="20"/>
        </w:rPr>
      </w:pPr>
    </w:p>
    <w:p w14:paraId="1B188529" w14:textId="77777777" w:rsidR="004D2802" w:rsidRDefault="004D2802">
      <w:pPr>
        <w:spacing w:after="0" w:line="240" w:lineRule="auto"/>
        <w:rPr>
          <w:color w:val="4F689A"/>
          <w:sz w:val="20"/>
          <w:szCs w:val="20"/>
        </w:rPr>
      </w:pPr>
    </w:p>
    <w:p w14:paraId="5B63316E" w14:textId="77777777" w:rsidR="004D2802" w:rsidRDefault="004D2802">
      <w:pPr>
        <w:spacing w:after="0" w:line="240" w:lineRule="auto"/>
        <w:rPr>
          <w:color w:val="4F689A"/>
          <w:sz w:val="20"/>
          <w:szCs w:val="20"/>
        </w:rPr>
      </w:pPr>
    </w:p>
    <w:p w14:paraId="5A380760" w14:textId="77777777" w:rsidR="004D2802" w:rsidRDefault="004D2802">
      <w:pPr>
        <w:spacing w:after="0" w:line="240" w:lineRule="auto"/>
        <w:rPr>
          <w:color w:val="4F689A"/>
          <w:sz w:val="20"/>
          <w:szCs w:val="20"/>
        </w:rPr>
      </w:pPr>
    </w:p>
    <w:p w14:paraId="6EFD3C88" w14:textId="77777777" w:rsidR="004D2802" w:rsidRDefault="004D2802">
      <w:pPr>
        <w:spacing w:after="0" w:line="240" w:lineRule="auto"/>
        <w:rPr>
          <w:color w:val="4F689A"/>
          <w:sz w:val="20"/>
          <w:szCs w:val="20"/>
        </w:rPr>
      </w:pPr>
    </w:p>
    <w:p w14:paraId="48603047" w14:textId="77777777" w:rsidR="004D2802" w:rsidRDefault="004D2802">
      <w:pPr>
        <w:spacing w:after="0" w:line="240" w:lineRule="auto"/>
        <w:rPr>
          <w:color w:val="4F689A"/>
          <w:sz w:val="20"/>
          <w:szCs w:val="20"/>
        </w:rPr>
      </w:pPr>
    </w:p>
    <w:p w14:paraId="18113BEE" w14:textId="77777777" w:rsidR="004D2802" w:rsidRDefault="004D2802">
      <w:pPr>
        <w:spacing w:after="0" w:line="240" w:lineRule="auto"/>
        <w:rPr>
          <w:color w:val="4F689A"/>
          <w:sz w:val="20"/>
          <w:szCs w:val="20"/>
        </w:rPr>
      </w:pPr>
    </w:p>
    <w:p w14:paraId="4CEEC1A0" w14:textId="77777777" w:rsidR="004D2802" w:rsidRDefault="004D2802">
      <w:pPr>
        <w:spacing w:after="0" w:line="240" w:lineRule="auto"/>
        <w:rPr>
          <w:color w:val="4F689A"/>
          <w:sz w:val="20"/>
          <w:szCs w:val="20"/>
        </w:rPr>
      </w:pPr>
    </w:p>
    <w:p w14:paraId="1B94915C" w14:textId="2D9936F0" w:rsidR="004D2802" w:rsidRDefault="004D2802">
      <w:pPr>
        <w:spacing w:after="0" w:line="240" w:lineRule="auto"/>
        <w:rPr>
          <w:color w:val="4F689A"/>
          <w:sz w:val="20"/>
          <w:szCs w:val="20"/>
        </w:rPr>
      </w:pPr>
      <w:r>
        <w:rPr>
          <w:noProof/>
        </w:rPr>
        <w:drawing>
          <wp:inline distT="114300" distB="114300" distL="114300" distR="114300" wp14:anchorId="69DD57B9" wp14:editId="6B7B396F">
            <wp:extent cx="5731200" cy="81026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9"/>
                    <a:srcRect/>
                    <a:stretch>
                      <a:fillRect/>
                    </a:stretch>
                  </pic:blipFill>
                  <pic:spPr>
                    <a:xfrm>
                      <a:off x="0" y="0"/>
                      <a:ext cx="5731200" cy="8102600"/>
                    </a:xfrm>
                    <a:prstGeom prst="rect">
                      <a:avLst/>
                    </a:prstGeom>
                    <a:ln/>
                  </pic:spPr>
                </pic:pic>
              </a:graphicData>
            </a:graphic>
          </wp:inline>
        </w:drawing>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FDB91" w14:textId="10816EE6" w:rsidR="006C1AD7" w:rsidRDefault="00000000">
    <w:pPr>
      <w:jc w:val="right"/>
      <w:rPr>
        <w:b/>
        <w:color w:val="436B2E"/>
      </w:rPr>
    </w:pPr>
    <w:r>
      <w:rPr>
        <w:b/>
        <w:color w:val="436B2E"/>
      </w:rPr>
      <w:fldChar w:fldCharType="begin"/>
    </w:r>
    <w:r>
      <w:rPr>
        <w:b/>
        <w:color w:val="436B2E"/>
      </w:rPr>
      <w:instrText>PAGE</w:instrText>
    </w:r>
    <w:r>
      <w:rPr>
        <w:b/>
        <w:color w:val="436B2E"/>
      </w:rPr>
      <w:fldChar w:fldCharType="separate"/>
    </w:r>
    <w:r w:rsidR="004D2802">
      <w:rPr>
        <w:b/>
        <w:noProof/>
        <w:color w:val="436B2E"/>
      </w:rPr>
      <w:t>2</w:t>
    </w:r>
    <w:r>
      <w:rPr>
        <w:b/>
        <w:color w:val="436B2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F687B" w14:textId="77777777" w:rsidR="006C1AD7" w:rsidRDefault="006C1AD7">
    <w:pPr>
      <w:jc w:val="right"/>
      <w:rPr>
        <w:b/>
        <w:color w:val="D55933"/>
      </w:rPr>
    </w:pPr>
  </w:p>
  <w:p w14:paraId="12C7F2A1" w14:textId="77777777" w:rsidR="006C1AD7" w:rsidRDefault="00000000">
    <w:pPr>
      <w:jc w:val="right"/>
      <w:rPr>
        <w:b/>
        <w:color w:val="D55933"/>
      </w:rPr>
    </w:pPr>
    <w:r>
      <w:rPr>
        <w:b/>
        <w:color w:val="D55933"/>
      </w:rPr>
      <w:fldChar w:fldCharType="begin"/>
    </w:r>
    <w:r>
      <w:rPr>
        <w:b/>
        <w:color w:val="D55933"/>
      </w:rPr>
      <w:instrText>PAGE</w:instrText>
    </w:r>
    <w:r>
      <w:rPr>
        <w:b/>
        <w:color w:val="D55933"/>
      </w:rPr>
      <w:fldChar w:fldCharType="separate"/>
    </w:r>
    <w:r w:rsidR="00081A09">
      <w:rPr>
        <w:b/>
        <w:noProof/>
        <w:color w:val="D55933"/>
      </w:rPr>
      <w:t>1</w:t>
    </w:r>
    <w:r>
      <w:rPr>
        <w:b/>
        <w:color w:val="D5593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77536" w14:textId="77777777" w:rsidR="006C1AD7" w:rsidRDefault="006C1A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2A306" w14:textId="77777777" w:rsidR="00732565" w:rsidRDefault="00732565">
      <w:pPr>
        <w:spacing w:after="0" w:line="240" w:lineRule="auto"/>
      </w:pPr>
      <w:r>
        <w:separator/>
      </w:r>
    </w:p>
  </w:footnote>
  <w:footnote w:type="continuationSeparator" w:id="0">
    <w:p w14:paraId="53978EDF" w14:textId="77777777" w:rsidR="00732565" w:rsidRDefault="007325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D8CF7" w14:textId="77777777" w:rsidR="006C1AD7" w:rsidRDefault="00000000">
    <w:pPr>
      <w:jc w:val="right"/>
      <w:rPr>
        <w:b/>
        <w:color w:val="436B2E"/>
      </w:rPr>
    </w:pPr>
    <w:r>
      <w:rPr>
        <w:b/>
        <w:color w:val="436B2E"/>
      </w:rPr>
      <w:t>The Impact of the Food Estate on the Right to Food and Nutrition of Local Rural Communities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472C6" w14:textId="77777777" w:rsidR="006C1AD7" w:rsidRDefault="00000000">
    <w:pPr>
      <w:spacing w:after="0" w:line="276" w:lineRule="auto"/>
      <w:rPr>
        <w:b/>
        <w:color w:val="4F689A"/>
      </w:rPr>
    </w:pPr>
    <w:r>
      <w:rPr>
        <w:b/>
        <w:color w:val="4F689A"/>
      </w:rPr>
      <w:t>INDONESIA - SUBMISSION TO THE UN COMMITTEE ON ECONOMIC, SOCIAL AND CULTURAL RIGHTS, 75 Session (12 February - 1 March, 2024)</w:t>
    </w:r>
  </w:p>
  <w:p w14:paraId="3F03D458" w14:textId="77777777" w:rsidR="006C1AD7" w:rsidRDefault="006C1AD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A34E1"/>
    <w:multiLevelType w:val="multilevel"/>
    <w:tmpl w:val="A41408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6CD6C9F"/>
    <w:multiLevelType w:val="multilevel"/>
    <w:tmpl w:val="A14C6D5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7F996B76"/>
    <w:multiLevelType w:val="multilevel"/>
    <w:tmpl w:val="D56C3A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97139556">
    <w:abstractNumId w:val="1"/>
  </w:num>
  <w:num w:numId="2" w16cid:durableId="1739084845">
    <w:abstractNumId w:val="2"/>
  </w:num>
  <w:num w:numId="3" w16cid:durableId="226114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AD7"/>
    <w:rsid w:val="00081A09"/>
    <w:rsid w:val="004D2802"/>
    <w:rsid w:val="006C1AD7"/>
    <w:rsid w:val="0073256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9230"/>
  <w15:docId w15:val="{A072519B-45AE-4C2C-B5F5-C57530381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dnoteText">
    <w:name w:val="endnote text"/>
    <w:basedOn w:val="Normal"/>
    <w:link w:val="EndnoteTextChar"/>
    <w:uiPriority w:val="99"/>
    <w:semiHidden/>
    <w:unhideWhenUsed/>
    <w:rsid w:val="004D28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2802"/>
    <w:rPr>
      <w:sz w:val="20"/>
      <w:szCs w:val="20"/>
    </w:rPr>
  </w:style>
  <w:style w:type="paragraph" w:styleId="FootnoteText">
    <w:name w:val="footnote text"/>
    <w:basedOn w:val="Normal"/>
    <w:link w:val="FootnoteTextChar"/>
    <w:uiPriority w:val="99"/>
    <w:semiHidden/>
    <w:unhideWhenUsed/>
    <w:rsid w:val="004D28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2802"/>
    <w:rPr>
      <w:sz w:val="20"/>
      <w:szCs w:val="20"/>
    </w:rPr>
  </w:style>
  <w:style w:type="character" w:styleId="EndnoteReference">
    <w:name w:val="endnote reference"/>
    <w:basedOn w:val="DefaultParagraphFont"/>
    <w:uiPriority w:val="99"/>
    <w:semiHidden/>
    <w:unhideWhenUsed/>
    <w:rsid w:val="004D2802"/>
    <w:rPr>
      <w:vertAlign w:val="superscript"/>
    </w:rPr>
  </w:style>
  <w:style w:type="character" w:styleId="FootnoteReference">
    <w:name w:val="footnote reference"/>
    <w:basedOn w:val="DefaultParagraphFont"/>
    <w:uiPriority w:val="99"/>
    <w:semiHidden/>
    <w:unhideWhenUsed/>
    <w:rsid w:val="004D28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www.mongabay.co.id/2022/04/05/menyoal-food-estate-dan-pemenuhan-hak-atas-pangan-2/" TargetMode="External"/><Relationship Id="rId13" Type="http://schemas.openxmlformats.org/officeDocument/2006/relationships/hyperlink" Target="https://www.kompas.id/baca/ekonomi/2021/05/01/keterlibatan-perempuan-minim-dalam-food-estate-bibit-lokal-pun-terancam" TargetMode="External"/><Relationship Id="rId18" Type="http://schemas.openxmlformats.org/officeDocument/2006/relationships/hyperlink" Target="https://www.kompas.id/baca/ekonomi/2021/05/01/keterlibatan-perempuan-minim-dalam-food-estate-bibit-lokal-pun-terancam" TargetMode="External"/><Relationship Id="rId26" Type="http://schemas.openxmlformats.org/officeDocument/2006/relationships/hyperlink" Target="https://news.mongabay.com/2020/10/indonesia-militarized-agriculture-food-estate-kalimantan-sumatra/" TargetMode="External"/><Relationship Id="rId3" Type="http://schemas.openxmlformats.org/officeDocument/2006/relationships/hyperlink" Target="https://www.litbang.kemkes.go.id/hasil-utama-riskesdas-2018/" TargetMode="External"/><Relationship Id="rId21" Type="http://schemas.openxmlformats.org/officeDocument/2006/relationships/hyperlink" Target="https://archive.wphna.org/wp-content/uploads/2016/01/WN-2016-7-1-3-28-38-Monteiro-Cannon-Levy-et-al-NOVA.pdf" TargetMode="External"/><Relationship Id="rId7" Type="http://schemas.openxmlformats.org/officeDocument/2006/relationships/hyperlink" Target="https://www.presidenri.go.id/transkrip/rapat-terbatas-mengenai-lanjutan-pembahasan-food-estate/" TargetMode="External"/><Relationship Id="rId12" Type="http://schemas.openxmlformats.org/officeDocument/2006/relationships/hyperlink" Target="https://www.kompas.id/baca/ekonomi/2021/05/01/keterlibatan-perempuan-minim-dalam-food-estate-bibit-lokal-pun-terancam" TargetMode="External"/><Relationship Id="rId17" Type="http://schemas.openxmlformats.org/officeDocument/2006/relationships/hyperlink" Target="https://www.kompas.id/baca/ekonomi/2021/05/01/keterlibatan-perempuan-minim-dalam-food-estate-bibit-lokal-pun-terancam" TargetMode="External"/><Relationship Id="rId25" Type="http://schemas.openxmlformats.org/officeDocument/2006/relationships/hyperlink" Target="https://fiskal.kemenkeu.go.id/baca/2022/06/10/4350-indonesia-pastikan-komitmen-terhadap-perubahan-iklim" TargetMode="External"/><Relationship Id="rId2" Type="http://schemas.openxmlformats.org/officeDocument/2006/relationships/hyperlink" Target="https://databoks.katadata.co.id/datapublish/2024/01/12/kelaparan-indonesia-berkurang-pada-2023-rekor-terendah-baru" TargetMode="External"/><Relationship Id="rId16" Type="http://schemas.openxmlformats.org/officeDocument/2006/relationships/hyperlink" Target="https://www.kompas.id/baca/ekonomi/2021/05/01/keterlibatan-perempuan-minim-dalam-food-estate-bibit-lokal-pun-terancam" TargetMode="External"/><Relationship Id="rId20" Type="http://schemas.openxmlformats.org/officeDocument/2006/relationships/hyperlink" Target="https://tbinternet.ohchr.org/_layouts/15/treatybodyexternal/Download.aspx?symbolno=INT%2fCEDAW%2fNGO%2fIDN%2f46760&amp;Lang=en" TargetMode="External"/><Relationship Id="rId29" Type="http://schemas.openxmlformats.org/officeDocument/2006/relationships/image" Target="media/image2.png"/><Relationship Id="rId1" Type="http://schemas.openxmlformats.org/officeDocument/2006/relationships/hyperlink" Target="https://databoks.katadata.co.id/datapublish/2024/01/12/kelaparan-indonesia-berkurang-pada-2023-rekor-terendah-baru" TargetMode="External"/><Relationship Id="rId6" Type="http://schemas.openxmlformats.org/officeDocument/2006/relationships/hyperlink" Target="https://www.jklpk-indonesia.org/download.html" TargetMode="External"/><Relationship Id="rId11" Type="http://schemas.openxmlformats.org/officeDocument/2006/relationships/hyperlink" Target="https://fian-indonesia.org/ringkasan-eksekutif-food-estate-sumatera-utara-fian-indonesia/" TargetMode="External"/><Relationship Id="rId24" Type="http://schemas.openxmlformats.org/officeDocument/2006/relationships/hyperlink" Target="https://www.greenpeace.org/static/planet4-indonesia-stateless/2022/11/a388b294-food-estate-report_english_new-2.pdf" TargetMode="External"/><Relationship Id="rId5" Type="http://schemas.openxmlformats.org/officeDocument/2006/relationships/hyperlink" Target="https://www.fian.org/en/press-release/article/a-just-transition-to-agroecology-3176" TargetMode="External"/><Relationship Id="rId15" Type="http://schemas.openxmlformats.org/officeDocument/2006/relationships/hyperlink" Target="https://www.kompas.id/baca/ekonomi/2021/05/01/keterlibatan-perempuan-minim-dalam-food-estate-bibit-lokal-pun-terancam" TargetMode="External"/><Relationship Id="rId23" Type="http://schemas.openxmlformats.org/officeDocument/2006/relationships/hyperlink" Target="https://www.greenpeace.org/static/planet4-indonesia-stateless/2022/11/a388b294-food-estate-report_english_new-2.pdf" TargetMode="External"/><Relationship Id="rId28" Type="http://schemas.openxmlformats.org/officeDocument/2006/relationships/hyperlink" Target="https://fian-indonesia.org/ringkasan-eksekutif-food-estate-sumatera-utara-fian-indonesia/" TargetMode="External"/><Relationship Id="rId10" Type="http://schemas.openxmlformats.org/officeDocument/2006/relationships/hyperlink" Target="https://fian-indonesia.org/policy-brief-menyeha-tana-sistem-pertanian-lokal-dan-atau-adat-yang-belum-diakui-dan-dilindungi-oleh-negara/" TargetMode="External"/><Relationship Id="rId19" Type="http://schemas.openxmlformats.org/officeDocument/2006/relationships/hyperlink" Target="https://www.kompas.id/baca/foto/2023/03/12/perempuan-menjaga-pangan" TargetMode="External"/><Relationship Id="rId4" Type="http://schemas.openxmlformats.org/officeDocument/2006/relationships/hyperlink" Target="https://www.kompas.id/baca/nusantara/2023/10/24/ironi-bencana-kelaparan-di-tanah-papua-yang-terus-berulang" TargetMode="External"/><Relationship Id="rId9" Type="http://schemas.openxmlformats.org/officeDocument/2006/relationships/hyperlink" Target="https://www.mongabay.co.id/2022/04/03/menyoal-food-estate-dan-pemenuhan-hak-atas-pangan-1/" TargetMode="External"/><Relationship Id="rId14" Type="http://schemas.openxmlformats.org/officeDocument/2006/relationships/hyperlink" Target="https://www.kompas.id/baca/foto/2023/03/12/perempuan-menjaga-pangan" TargetMode="External"/><Relationship Id="rId22" Type="http://schemas.openxmlformats.org/officeDocument/2006/relationships/hyperlink" Target="https://fian-indonesia.org/wp-content/uploads/2023/04/FIAN-X-AIMI-HAK-ATAS-PANGAN-1.pdf" TargetMode="External"/><Relationship Id="rId27" Type="http://schemas.openxmlformats.org/officeDocument/2006/relationships/hyperlink" Target="https://melbourneasiareview.edu.au/soehartos-legacies-in-jokowis-food-security-pl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kyCp4gFxIDiCIiw9A7O2AdiB6Q==">CgMxLjAyDmguYnFlNDlwMXUwemdtOAByITFYdmNMMWpGQldJYnkwQXBhcU9iRHc3RjlpaVBFSWhwTQ==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4255</Words>
  <Characters>24258</Characters>
  <Application>Microsoft Office Word</Application>
  <DocSecurity>0</DocSecurity>
  <Lines>202</Lines>
  <Paragraphs>56</Paragraphs>
  <ScaleCrop>false</ScaleCrop>
  <Company/>
  <LinksUpToDate>false</LinksUpToDate>
  <CharactersWithSpaces>28457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FIAN-SHABIA</dc:creator>
  <cp:lastModifiedBy>Indraini Hapsari</cp:lastModifiedBy>
  <cp:revision>3</cp:revision>
  <dcterms:created xsi:type="dcterms:W3CDTF">2024-01-15T12:18:00Z</dcterms:created>
  <dcterms:modified xsi:type="dcterms:W3CDTF">2024-01-15T12:19:00Z</dcterms:modified>
</cp:coreProperties>
</file>