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45F" w:rsidRPr="00643EEC" w:rsidRDefault="009A145F" w:rsidP="009A145F">
      <w:pPr>
        <w:rPr>
          <w:rFonts w:ascii="Times New Roman" w:hAnsi="Times New Roman" w:cs="Times New Roman"/>
          <w:sz w:val="24"/>
          <w:szCs w:val="24"/>
        </w:rPr>
      </w:pPr>
      <w:r w:rsidRPr="00643EEC">
        <w:rPr>
          <w:rFonts w:ascii="Times New Roman" w:hAnsi="Times New Roman" w:cs="Times New Roman"/>
          <w:noProof/>
          <w:sz w:val="24"/>
          <w:szCs w:val="24"/>
          <w:cs/>
          <w:lang w:val="en-US"/>
        </w:rPr>
        <w:drawing>
          <wp:inline distT="0" distB="0" distL="0" distR="0" wp14:anchorId="0492ED43" wp14:editId="13A4E8E0">
            <wp:extent cx="3098488" cy="1183005"/>
            <wp:effectExtent l="0" t="0" r="6985" b="0"/>
            <wp:docPr id="1" name="Picture 1" descr="C:\Users\speng-in\Nextcloud\Logos &amp; Templates\PI's Logos\global\RGB_Digital use\pi_global_color_rgb\pi_logo_RGB_color_horizontal_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ng-in\Nextcloud\Logos &amp; Templates\PI's Logos\global\RGB_Digital use\pi_global_color_rgb\pi_logo_RGB_color_horizontal_7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799" cy="1188087"/>
                    </a:xfrm>
                    <a:prstGeom prst="rect">
                      <a:avLst/>
                    </a:prstGeom>
                    <a:noFill/>
                    <a:ln>
                      <a:noFill/>
                    </a:ln>
                  </pic:spPr>
                </pic:pic>
              </a:graphicData>
            </a:graphic>
          </wp:inline>
        </w:drawing>
      </w:r>
    </w:p>
    <w:p w:rsidR="009A145F" w:rsidRPr="009C4D4F" w:rsidRDefault="009A145F" w:rsidP="009C4D4F">
      <w:pPr>
        <w:rPr>
          <w:rFonts w:ascii="Times New Roman" w:hAnsi="Times New Roman" w:cs="Times New Roman"/>
          <w:sz w:val="24"/>
          <w:szCs w:val="24"/>
        </w:rPr>
      </w:pPr>
      <w:r w:rsidRPr="009C4D4F">
        <w:rPr>
          <w:rFonts w:ascii="Times New Roman" w:hAnsi="Times New Roman" w:cs="Times New Roman"/>
          <w:sz w:val="24"/>
          <w:szCs w:val="24"/>
        </w:rPr>
        <w:t>Shadow Report to the 91s</w:t>
      </w:r>
      <w:r w:rsidR="00921B07" w:rsidRPr="009C4D4F">
        <w:rPr>
          <w:rFonts w:ascii="Times New Roman" w:hAnsi="Times New Roman" w:cs="Times New Roman"/>
          <w:sz w:val="24"/>
          <w:szCs w:val="24"/>
        </w:rPr>
        <w:t xml:space="preserve">t Session of the Committee of CEDAW </w:t>
      </w:r>
      <w:r w:rsidRPr="009C4D4F">
        <w:rPr>
          <w:rFonts w:ascii="Times New Roman" w:hAnsi="Times New Roman" w:cs="Times New Roman"/>
          <w:sz w:val="24"/>
          <w:szCs w:val="24"/>
        </w:rPr>
        <w:br/>
        <w:t>by: Protection International T</w:t>
      </w:r>
      <w:r w:rsidR="00921B07" w:rsidRPr="009C4D4F">
        <w:rPr>
          <w:rFonts w:ascii="Times New Roman" w:hAnsi="Times New Roman" w:cs="Times New Roman"/>
          <w:sz w:val="24"/>
          <w:szCs w:val="24"/>
        </w:rPr>
        <w:t>hailand</w:t>
      </w:r>
      <w:r w:rsidRPr="009C4D4F">
        <w:rPr>
          <w:rFonts w:ascii="Times New Roman" w:hAnsi="Times New Roman" w:cs="Times New Roman"/>
          <w:sz w:val="24"/>
          <w:szCs w:val="24"/>
        </w:rPr>
        <w:br/>
      </w:r>
      <w:r w:rsidRPr="009C4D4F">
        <w:rPr>
          <w:rFonts w:ascii="Times New Roman" w:hAnsi="Times New Roman" w:cs="Times New Roman"/>
          <w:sz w:val="24"/>
          <w:szCs w:val="24"/>
        </w:rPr>
        <w:br/>
        <w:t xml:space="preserve">Title: In Their Own Right: Protecting the Rights of Women and </w:t>
      </w:r>
      <w:r w:rsidR="007D4C1C" w:rsidRPr="009C4D4F">
        <w:rPr>
          <w:rFonts w:ascii="Times New Roman" w:hAnsi="Times New Roman" w:cs="Times New Roman"/>
          <w:sz w:val="24"/>
          <w:szCs w:val="24"/>
        </w:rPr>
        <w:t xml:space="preserve">HRDs </w:t>
      </w:r>
      <w:r w:rsidRPr="009C4D4F">
        <w:rPr>
          <w:rFonts w:ascii="Times New Roman" w:hAnsi="Times New Roman" w:cs="Times New Roman"/>
          <w:sz w:val="24"/>
          <w:szCs w:val="24"/>
        </w:rPr>
        <w:t>in Thailand</w:t>
      </w:r>
    </w:p>
    <w:p w:rsidR="009A145F" w:rsidRPr="009C4D4F" w:rsidRDefault="009A145F" w:rsidP="009C4D4F">
      <w:pPr>
        <w:rPr>
          <w:rFonts w:ascii="Times New Roman" w:hAnsi="Times New Roman" w:cs="Times New Roman"/>
          <w:sz w:val="24"/>
          <w:szCs w:val="24"/>
        </w:rPr>
      </w:pPr>
      <w:r w:rsidRPr="009C4D4F">
        <w:rPr>
          <w:rFonts w:ascii="Times New Roman" w:hAnsi="Times New Roman" w:cs="Times New Roman"/>
          <w:sz w:val="24"/>
          <w:szCs w:val="24"/>
        </w:rPr>
        <w:t>Executive Summary</w:t>
      </w:r>
    </w:p>
    <w:p w:rsidR="00F7098B" w:rsidRPr="009C4D4F" w:rsidRDefault="00F7098B" w:rsidP="009C4D4F">
      <w:pPr>
        <w:rPr>
          <w:rFonts w:ascii="Times New Roman" w:hAnsi="Times New Roman" w:cs="Times New Roman"/>
          <w:sz w:val="24"/>
          <w:szCs w:val="24"/>
        </w:rPr>
      </w:pPr>
      <w:r w:rsidRPr="009C4D4F">
        <w:rPr>
          <w:rFonts w:ascii="Times New Roman" w:hAnsi="Times New Roman" w:cs="Times New Roman"/>
          <w:sz w:val="24"/>
          <w:szCs w:val="24"/>
        </w:rPr>
        <w:t>Despite Thailand’s CEDAW commitments, community-based WHRDs still face violence, judicial harassment, and systemic exclusion. The Gender Equality Act and military-led 20-Year National Strategy have failed to protect them. Critical gaps persist in legal recognition and meaningful participation, especially in land, environmental, social, economic, and political decision-making.</w:t>
      </w:r>
    </w:p>
    <w:p w:rsidR="00B75216" w:rsidRPr="009C4D4F" w:rsidRDefault="00B75216" w:rsidP="009C4D4F">
      <w:pPr>
        <w:rPr>
          <w:rFonts w:ascii="Times New Roman" w:hAnsi="Times New Roman" w:cs="Times New Roman"/>
          <w:sz w:val="24"/>
          <w:szCs w:val="24"/>
        </w:rPr>
      </w:pPr>
      <w:r w:rsidRPr="009C4D4F">
        <w:rPr>
          <w:rFonts w:ascii="Times New Roman" w:hAnsi="Times New Roman" w:cs="Times New Roman"/>
          <w:sz w:val="24"/>
          <w:szCs w:val="24"/>
        </w:rPr>
        <w:t>Frontline WHRDs in Thailand are essential to grassroots rights work but face relentless crises—unpaid care, funding cuts, COVID-19 fallout, and state repression. With shrinking resources, they are overstretched, forced to choose between urgent protection and sustaining community-based, women-led gender justice efforts.</w:t>
      </w:r>
    </w:p>
    <w:p w:rsidR="008874A4" w:rsidRPr="009C4D4F" w:rsidRDefault="008874A4" w:rsidP="009C4D4F">
      <w:pPr>
        <w:rPr>
          <w:rFonts w:ascii="Times New Roman" w:hAnsi="Times New Roman" w:cs="Times New Roman"/>
          <w:sz w:val="24"/>
          <w:szCs w:val="24"/>
        </w:rPr>
      </w:pPr>
      <w:r w:rsidRPr="009C4D4F">
        <w:rPr>
          <w:rFonts w:ascii="Times New Roman" w:hAnsi="Times New Roman" w:cs="Times New Roman"/>
          <w:sz w:val="24"/>
          <w:szCs w:val="24"/>
        </w:rPr>
        <w:t>Thailand’s climate policies—backed by actors like the World Bank—prioritize carbon offsetting and ‘green’ expansion over human rights. These top-down approaches displace rural and Indigenous communities without Free, Prior, and Informed Consent. Women and Indigenous Peoples face land loss, livelihood threats, and cultural erasure, while fossil fuel reliance continues. This is climate colonialism: extractive, greenwashed, and unaccountable.</w:t>
      </w:r>
    </w:p>
    <w:p w:rsidR="0071602F" w:rsidRPr="009C4D4F" w:rsidRDefault="0071602F" w:rsidP="009C4D4F">
      <w:pPr>
        <w:rPr>
          <w:rFonts w:ascii="Times New Roman" w:hAnsi="Times New Roman" w:cs="Times New Roman"/>
          <w:sz w:val="24"/>
          <w:szCs w:val="24"/>
        </w:rPr>
      </w:pPr>
      <w:r w:rsidRPr="009C4D4F">
        <w:rPr>
          <w:rFonts w:ascii="Times New Roman" w:hAnsi="Times New Roman" w:cs="Times New Roman"/>
          <w:sz w:val="24"/>
          <w:szCs w:val="24"/>
        </w:rPr>
        <w:t>The CEDAW Committee must urge Thailand to end the criminalization of WHRDs resisting extractive industries and defending land, water, clean air, and ecosystems. This includes recognizing Indigenous land rights and establishing transparent, accessible grievance mechanisms co-designed with affected communities. A just transition depends on protecting those who defend the Earth—especially women and grassroots environmental defenders advancing care-</w:t>
      </w:r>
      <w:proofErr w:type="spellStart"/>
      <w:r w:rsidRPr="009C4D4F">
        <w:rPr>
          <w:rFonts w:ascii="Times New Roman" w:hAnsi="Times New Roman" w:cs="Times New Roman"/>
          <w:sz w:val="24"/>
          <w:szCs w:val="24"/>
        </w:rPr>
        <w:t>centered</w:t>
      </w:r>
      <w:proofErr w:type="spellEnd"/>
      <w:r w:rsidRPr="009C4D4F">
        <w:rPr>
          <w:rFonts w:ascii="Times New Roman" w:hAnsi="Times New Roman" w:cs="Times New Roman"/>
          <w:sz w:val="24"/>
          <w:szCs w:val="24"/>
        </w:rPr>
        <w:t xml:space="preserve"> climate justice. It must also guarantee a care income</w:t>
      </w:r>
      <w:r w:rsidR="00CD6202" w:rsidRPr="009C4D4F">
        <w:rPr>
          <w:rFonts w:ascii="Times New Roman" w:hAnsi="Times New Roman" w:cs="Times New Roman"/>
          <w:sz w:val="24"/>
          <w:szCs w:val="24"/>
        </w:rPr>
        <w:t xml:space="preserve"> </w:t>
      </w:r>
      <w:r w:rsidR="00CD6202" w:rsidRPr="009C4D4F">
        <w:rPr>
          <w:rFonts w:ascii="Times New Roman" w:hAnsi="Times New Roman" w:cs="Times New Roman"/>
          <w:sz w:val="24"/>
          <w:szCs w:val="24"/>
        </w:rPr>
        <w:footnoteReference w:id="1"/>
      </w:r>
      <w:r w:rsidRPr="009C4D4F">
        <w:rPr>
          <w:rFonts w:ascii="Times New Roman" w:hAnsi="Times New Roman" w:cs="Times New Roman"/>
          <w:sz w:val="24"/>
          <w:szCs w:val="24"/>
        </w:rPr>
        <w:t xml:space="preserve"> for mothers and carers who sustain communities, ecosystems, and social movements. This is the only sustainable path to truly care for people and the planet.</w:t>
      </w:r>
    </w:p>
    <w:p w:rsidR="00921B07" w:rsidRPr="009C4D4F" w:rsidRDefault="00921B07" w:rsidP="009C4D4F">
      <w:pPr>
        <w:rPr>
          <w:rFonts w:ascii="Times New Roman" w:hAnsi="Times New Roman" w:cs="Times New Roman"/>
          <w:sz w:val="24"/>
          <w:szCs w:val="24"/>
        </w:rPr>
      </w:pPr>
      <w:r w:rsidRPr="009C4D4F">
        <w:rPr>
          <w:rFonts w:ascii="Times New Roman" w:hAnsi="Times New Roman" w:cs="Times New Roman"/>
          <w:sz w:val="24"/>
          <w:szCs w:val="24"/>
        </w:rPr>
        <w:t xml:space="preserve">Legal Discrimination </w:t>
      </w:r>
      <w:proofErr w:type="gramStart"/>
      <w:r w:rsidRPr="009C4D4F">
        <w:rPr>
          <w:rFonts w:ascii="Times New Roman" w:hAnsi="Times New Roman" w:cs="Times New Roman"/>
          <w:sz w:val="24"/>
          <w:szCs w:val="24"/>
        </w:rPr>
        <w:t>Against</w:t>
      </w:r>
      <w:proofErr w:type="gramEnd"/>
      <w:r w:rsidRPr="009C4D4F">
        <w:rPr>
          <w:rFonts w:ascii="Times New Roman" w:hAnsi="Times New Roman" w:cs="Times New Roman"/>
          <w:sz w:val="24"/>
          <w:szCs w:val="24"/>
        </w:rPr>
        <w:t xml:space="preserve"> Sex Workers</w:t>
      </w:r>
    </w:p>
    <w:p w:rsidR="009A145F" w:rsidRPr="009C4D4F" w:rsidRDefault="009E6CD4" w:rsidP="009C4D4F">
      <w:pPr>
        <w:rPr>
          <w:rFonts w:ascii="Times New Roman" w:hAnsi="Times New Roman" w:cs="Times New Roman"/>
          <w:sz w:val="24"/>
          <w:szCs w:val="24"/>
        </w:rPr>
      </w:pPr>
      <w:r w:rsidRPr="009C4D4F">
        <w:rPr>
          <w:rFonts w:ascii="Times New Roman" w:hAnsi="Times New Roman" w:cs="Times New Roman"/>
          <w:sz w:val="24"/>
          <w:szCs w:val="24"/>
        </w:rPr>
        <w:t xml:space="preserve">Sex workers in Thailand remain criminalized under the outdated 1996 Prostitution Act, violating multiple CEDAW articles and General Recommendations. The law treats sex work as a moral issue, </w:t>
      </w:r>
      <w:proofErr w:type="spellStart"/>
      <w:r w:rsidRPr="009C4D4F">
        <w:rPr>
          <w:rFonts w:ascii="Times New Roman" w:hAnsi="Times New Roman" w:cs="Times New Roman"/>
          <w:sz w:val="24"/>
          <w:szCs w:val="24"/>
        </w:rPr>
        <w:t>fueling</w:t>
      </w:r>
      <w:proofErr w:type="spellEnd"/>
      <w:r w:rsidRPr="009C4D4F">
        <w:rPr>
          <w:rFonts w:ascii="Times New Roman" w:hAnsi="Times New Roman" w:cs="Times New Roman"/>
          <w:sz w:val="24"/>
          <w:szCs w:val="24"/>
        </w:rPr>
        <w:t xml:space="preserve"> stigma, police abuse, and denial of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rights. The Department of Women’s </w:t>
      </w:r>
      <w:r w:rsidRPr="009C4D4F">
        <w:rPr>
          <w:rFonts w:ascii="Times New Roman" w:hAnsi="Times New Roman" w:cs="Times New Roman"/>
          <w:sz w:val="24"/>
          <w:szCs w:val="24"/>
        </w:rPr>
        <w:lastRenderedPageBreak/>
        <w:t xml:space="preserve">Affairs once collaborated with Empower Foundation on a progressive draft law but has since abandoned the effort. Empower </w:t>
      </w:r>
      <w:r w:rsidR="00563ACE" w:rsidRPr="009C4D4F">
        <w:rPr>
          <w:rFonts w:ascii="Times New Roman" w:hAnsi="Times New Roman" w:cs="Times New Roman"/>
          <w:sz w:val="24"/>
          <w:szCs w:val="24"/>
        </w:rPr>
        <w:t>foundation’s</w:t>
      </w:r>
      <w:r w:rsidRPr="009C4D4F">
        <w:rPr>
          <w:rFonts w:ascii="Times New Roman" w:hAnsi="Times New Roman" w:cs="Times New Roman"/>
          <w:sz w:val="24"/>
          <w:szCs w:val="24"/>
        </w:rPr>
        <w:t xml:space="preserve"> sex worker-led bill ensures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protections and safety. CEDAW must urge Thailand to decriminalize sex work, adopt rights-based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laws, and end structural discrimination.</w:t>
      </w:r>
    </w:p>
    <w:p w:rsidR="009E6CD4" w:rsidRPr="009C4D4F" w:rsidRDefault="009E6CD4" w:rsidP="009C4D4F">
      <w:pPr>
        <w:rPr>
          <w:rFonts w:ascii="Times New Roman" w:hAnsi="Times New Roman" w:cs="Times New Roman"/>
          <w:sz w:val="24"/>
          <w:szCs w:val="24"/>
        </w:rPr>
      </w:pPr>
    </w:p>
    <w:p w:rsidR="009A145F" w:rsidRPr="009C4D4F" w:rsidRDefault="009A145F" w:rsidP="009C4D4F">
      <w:pPr>
        <w:rPr>
          <w:rFonts w:ascii="Times New Roman" w:hAnsi="Times New Roman" w:cs="Times New Roman"/>
          <w:sz w:val="24"/>
          <w:szCs w:val="24"/>
        </w:rPr>
      </w:pPr>
      <w:r w:rsidRPr="009C4D4F">
        <w:rPr>
          <w:rFonts w:ascii="Times New Roman" w:hAnsi="Times New Roman" w:cs="Times New Roman"/>
          <w:sz w:val="24"/>
          <w:szCs w:val="24"/>
        </w:rPr>
        <w:t>Key Issues</w:t>
      </w:r>
    </w:p>
    <w:p w:rsidR="00935DCC" w:rsidRPr="009C4D4F" w:rsidRDefault="00935DCC" w:rsidP="009C4D4F">
      <w:pPr>
        <w:rPr>
          <w:rFonts w:ascii="Times New Roman" w:hAnsi="Times New Roman" w:cs="Times New Roman"/>
          <w:sz w:val="24"/>
          <w:szCs w:val="24"/>
        </w:rPr>
      </w:pPr>
      <w:r w:rsidRPr="009C4D4F">
        <w:rPr>
          <w:rFonts w:ascii="Times New Roman" w:hAnsi="Times New Roman" w:cs="Times New Roman"/>
          <w:sz w:val="24"/>
          <w:szCs w:val="24"/>
        </w:rPr>
        <w:t>Judicial Harassment and SLAPPs (Articles 3, 14, GR 34)</w:t>
      </w:r>
      <w:proofErr w:type="gramStart"/>
      <w:r w:rsidRPr="009C4D4F">
        <w:rPr>
          <w:rFonts w:ascii="Times New Roman" w:hAnsi="Times New Roman" w:cs="Times New Roman"/>
          <w:sz w:val="24"/>
          <w:szCs w:val="24"/>
        </w:rPr>
        <w:t>:</w:t>
      </w:r>
      <w:proofErr w:type="gramEnd"/>
      <w:r w:rsidRPr="009C4D4F">
        <w:rPr>
          <w:rFonts w:ascii="Times New Roman" w:hAnsi="Times New Roman" w:cs="Times New Roman"/>
          <w:sz w:val="24"/>
          <w:szCs w:val="24"/>
        </w:rPr>
        <w:br/>
        <w:t>WHRDs in Thailand face escalating SLAPPs aimed at silencing resistance to harmful development. From 2014 to February 2025, at least 595 cases were recorded by Protection International Thailand</w:t>
      </w:r>
      <w:r w:rsidRPr="009C4D4F">
        <w:rPr>
          <w:rFonts w:ascii="Times New Roman" w:hAnsi="Times New Roman" w:cs="Times New Roman"/>
          <w:sz w:val="24"/>
          <w:szCs w:val="24"/>
        </w:rPr>
        <w:footnoteReference w:id="2"/>
      </w:r>
      <w:r w:rsidRPr="009C4D4F">
        <w:rPr>
          <w:rFonts w:ascii="Times New Roman" w:hAnsi="Times New Roman" w:cs="Times New Roman"/>
          <w:sz w:val="24"/>
          <w:szCs w:val="24"/>
        </w:rPr>
        <w:t>, targeting rural, Indigenous, and urban poor women defending land and rights. While the State cites access to justice and the Justice Fund, it ignores systemic barriers—like proof-of-poverty requirements and bureaucratic delays—that exclude community-based WHRDs.</w:t>
      </w:r>
    </w:p>
    <w:p w:rsidR="003C68F6" w:rsidRPr="009C4D4F" w:rsidRDefault="003C68F6" w:rsidP="009C4D4F">
      <w:pPr>
        <w:rPr>
          <w:rFonts w:ascii="Times New Roman" w:hAnsi="Times New Roman" w:cs="Times New Roman"/>
          <w:sz w:val="24"/>
          <w:szCs w:val="24"/>
        </w:rPr>
      </w:pPr>
      <w:r w:rsidRPr="009C4D4F">
        <w:rPr>
          <w:rFonts w:ascii="Times New Roman" w:hAnsi="Times New Roman" w:cs="Times New Roman"/>
          <w:sz w:val="24"/>
          <w:szCs w:val="24"/>
        </w:rPr>
        <w:t xml:space="preserve">Lack of Legal Recognition and Protection </w:t>
      </w:r>
      <w:r w:rsidR="004D2386" w:rsidRPr="009C4D4F">
        <w:rPr>
          <w:rFonts w:ascii="Times New Roman" w:hAnsi="Times New Roman" w:cs="Times New Roman"/>
          <w:sz w:val="24"/>
          <w:szCs w:val="24"/>
        </w:rPr>
        <w:t xml:space="preserve">Mechanisms </w:t>
      </w:r>
      <w:r w:rsidRPr="009C4D4F">
        <w:rPr>
          <w:rFonts w:ascii="Times New Roman" w:hAnsi="Times New Roman" w:cs="Times New Roman"/>
          <w:sz w:val="24"/>
          <w:szCs w:val="24"/>
        </w:rPr>
        <w:br/>
        <w:t>(Articles 1, 2, 3; General Recommendation No. 33)</w:t>
      </w:r>
    </w:p>
    <w:p w:rsidR="003C68F6" w:rsidRPr="009C4D4F" w:rsidRDefault="003C68F6" w:rsidP="009C4D4F">
      <w:pPr>
        <w:rPr>
          <w:rFonts w:ascii="Times New Roman" w:hAnsi="Times New Roman" w:cs="Times New Roman"/>
          <w:sz w:val="24"/>
          <w:szCs w:val="24"/>
        </w:rPr>
      </w:pPr>
      <w:r w:rsidRPr="009C4D4F">
        <w:rPr>
          <w:rFonts w:ascii="Times New Roman" w:hAnsi="Times New Roman" w:cs="Times New Roman"/>
          <w:sz w:val="24"/>
          <w:szCs w:val="24"/>
        </w:rPr>
        <w:t>Thailand still fails to legally recognize WHRDs or HRDs, leaving them exposed to violence, surveillance, and reprisals without meaningful protection. While the state report refers to gender mechanisms and funds (paras. 39–41), it ignores the systematic intimidation faced by defenders, including smear campaigns against former NHRCT A.N. and peace and justice activist A.H. in the Deep South.</w:t>
      </w:r>
    </w:p>
    <w:p w:rsidR="003C68F6" w:rsidRPr="009C4D4F" w:rsidRDefault="003C68F6" w:rsidP="009C4D4F">
      <w:pPr>
        <w:rPr>
          <w:rFonts w:ascii="Times New Roman" w:hAnsi="Times New Roman" w:cs="Times New Roman"/>
          <w:sz w:val="24"/>
          <w:szCs w:val="24"/>
        </w:rPr>
      </w:pPr>
      <w:r w:rsidRPr="009C4D4F">
        <w:rPr>
          <w:rFonts w:ascii="Times New Roman" w:hAnsi="Times New Roman" w:cs="Times New Roman"/>
          <w:sz w:val="24"/>
          <w:szCs w:val="24"/>
        </w:rPr>
        <w:t>Officials from the Ministry of Justice have openly stated in meetings with WHRDs that “HRDs are not recognized in Thai law,” and have accused community-based HRDs—some of whom face death threats—of being uncooperative with authorities. This reflects a hostile and punitive stance, reinforcing an environment of impunity and undermining any meaningful protection for WHRDs. Legal recognition and institutional accountability are urgently required.</w:t>
      </w:r>
    </w:p>
    <w:p w:rsidR="00CE14F3" w:rsidRPr="009C4D4F" w:rsidRDefault="00CE14F3" w:rsidP="009C4D4F">
      <w:pPr>
        <w:rPr>
          <w:rFonts w:ascii="Times New Roman" w:hAnsi="Times New Roman" w:cs="Times New Roman"/>
          <w:sz w:val="24"/>
          <w:szCs w:val="24"/>
        </w:rPr>
      </w:pPr>
      <w:r w:rsidRPr="009C4D4F">
        <w:rPr>
          <w:rFonts w:ascii="Times New Roman" w:hAnsi="Times New Roman" w:cs="Times New Roman"/>
          <w:sz w:val="24"/>
          <w:szCs w:val="24"/>
        </w:rPr>
        <w:t xml:space="preserve">WHRDs and Environmental/Climate </w:t>
      </w:r>
      <w:proofErr w:type="gramStart"/>
      <w:r w:rsidRPr="009C4D4F">
        <w:rPr>
          <w:rFonts w:ascii="Times New Roman" w:hAnsi="Times New Roman" w:cs="Times New Roman"/>
          <w:sz w:val="24"/>
          <w:szCs w:val="24"/>
        </w:rPr>
        <w:t>Justice</w:t>
      </w:r>
      <w:proofErr w:type="gramEnd"/>
      <w:r w:rsidRPr="009C4D4F">
        <w:rPr>
          <w:rFonts w:ascii="Times New Roman" w:hAnsi="Times New Roman" w:cs="Times New Roman"/>
          <w:sz w:val="24"/>
          <w:szCs w:val="24"/>
        </w:rPr>
        <w:br/>
        <w:t>(Articles 14, 7; General Recommendation No. 34)</w:t>
      </w:r>
    </w:p>
    <w:p w:rsidR="00CE14F3" w:rsidRPr="009C4D4F" w:rsidRDefault="00CE14F3" w:rsidP="009C4D4F">
      <w:pPr>
        <w:rPr>
          <w:rFonts w:ascii="Times New Roman" w:hAnsi="Times New Roman" w:cs="Times New Roman"/>
          <w:sz w:val="24"/>
          <w:szCs w:val="24"/>
        </w:rPr>
      </w:pPr>
      <w:r w:rsidRPr="009C4D4F">
        <w:rPr>
          <w:rFonts w:ascii="Times New Roman" w:hAnsi="Times New Roman" w:cs="Times New Roman"/>
          <w:sz w:val="24"/>
          <w:szCs w:val="24"/>
        </w:rPr>
        <w:t xml:space="preserve">WHRDs resisting destructive development—such as the </w:t>
      </w:r>
      <w:proofErr w:type="spellStart"/>
      <w:r w:rsidR="004D2386" w:rsidRPr="009C4D4F">
        <w:rPr>
          <w:rFonts w:ascii="Times New Roman" w:hAnsi="Times New Roman" w:cs="Times New Roman"/>
          <w:sz w:val="24"/>
          <w:szCs w:val="24"/>
        </w:rPr>
        <w:t>Khon</w:t>
      </w:r>
      <w:proofErr w:type="spellEnd"/>
      <w:r w:rsidR="004D2386" w:rsidRPr="009C4D4F">
        <w:rPr>
          <w:rFonts w:ascii="Times New Roman" w:hAnsi="Times New Roman" w:cs="Times New Roman"/>
          <w:sz w:val="24"/>
          <w:szCs w:val="24"/>
        </w:rPr>
        <w:t xml:space="preserve"> </w:t>
      </w:r>
      <w:proofErr w:type="spellStart"/>
      <w:r w:rsidR="004D2386" w:rsidRPr="009C4D4F">
        <w:rPr>
          <w:rFonts w:ascii="Times New Roman" w:hAnsi="Times New Roman" w:cs="Times New Roman"/>
          <w:sz w:val="24"/>
          <w:szCs w:val="24"/>
        </w:rPr>
        <w:t>Rak</w:t>
      </w:r>
      <w:proofErr w:type="spellEnd"/>
      <w:r w:rsidR="004D2386" w:rsidRPr="009C4D4F">
        <w:rPr>
          <w:rFonts w:ascii="Times New Roman" w:hAnsi="Times New Roman" w:cs="Times New Roman"/>
          <w:sz w:val="24"/>
          <w:szCs w:val="24"/>
        </w:rPr>
        <w:t xml:space="preserve"> Ban </w:t>
      </w:r>
      <w:proofErr w:type="spellStart"/>
      <w:r w:rsidR="004D2386" w:rsidRPr="009C4D4F">
        <w:rPr>
          <w:rFonts w:ascii="Times New Roman" w:hAnsi="Times New Roman" w:cs="Times New Roman"/>
          <w:sz w:val="24"/>
          <w:szCs w:val="24"/>
        </w:rPr>
        <w:t>Kerd</w:t>
      </w:r>
      <w:proofErr w:type="spellEnd"/>
      <w:r w:rsidR="004D2386" w:rsidRPr="009C4D4F">
        <w:rPr>
          <w:rFonts w:ascii="Times New Roman" w:hAnsi="Times New Roman" w:cs="Times New Roman"/>
          <w:sz w:val="24"/>
          <w:szCs w:val="24"/>
        </w:rPr>
        <w:t xml:space="preserve"> </w:t>
      </w:r>
      <w:r w:rsidRPr="009C4D4F">
        <w:rPr>
          <w:rFonts w:ascii="Times New Roman" w:hAnsi="Times New Roman" w:cs="Times New Roman"/>
          <w:sz w:val="24"/>
          <w:szCs w:val="24"/>
        </w:rPr>
        <w:t xml:space="preserve">Group opposing potash mining in Dan </w:t>
      </w:r>
      <w:proofErr w:type="spellStart"/>
      <w:r w:rsidRPr="009C4D4F">
        <w:rPr>
          <w:rFonts w:ascii="Times New Roman" w:hAnsi="Times New Roman" w:cs="Times New Roman"/>
          <w:sz w:val="24"/>
          <w:szCs w:val="24"/>
        </w:rPr>
        <w:t>Khun</w:t>
      </w:r>
      <w:proofErr w:type="spellEnd"/>
      <w:r w:rsidRPr="009C4D4F">
        <w:rPr>
          <w:rFonts w:ascii="Times New Roman" w:hAnsi="Times New Roman" w:cs="Times New Roman"/>
          <w:sz w:val="24"/>
          <w:szCs w:val="24"/>
        </w:rPr>
        <w:t xml:space="preserve"> Thot—face harassment from local officials, land dispossession, and exclusion from environmental decision-making. Despite the State’s claims of inclusive participation (paras. 32–34), WHRDs remain systematically excluded from key bodies such as the Provincial Mining Committees.</w:t>
      </w:r>
    </w:p>
    <w:p w:rsidR="00CE14F3" w:rsidRPr="009C4D4F" w:rsidRDefault="00CE14F3" w:rsidP="009C4D4F">
      <w:pPr>
        <w:rPr>
          <w:rFonts w:ascii="Times New Roman" w:hAnsi="Times New Roman" w:cs="Times New Roman"/>
          <w:sz w:val="24"/>
          <w:szCs w:val="24"/>
        </w:rPr>
      </w:pPr>
      <w:r w:rsidRPr="009C4D4F">
        <w:rPr>
          <w:rFonts w:ascii="Times New Roman" w:hAnsi="Times New Roman" w:cs="Times New Roman"/>
          <w:sz w:val="24"/>
          <w:szCs w:val="24"/>
        </w:rPr>
        <w:t xml:space="preserve">When KRBK organized a peaceful protest at the Ministry of Industry, members were threatened with SLAPP lawsuits—even after successfully securing representation in a joint provincial committee meant to address the mining’s impact. Yet authorities, including the provincial </w:t>
      </w:r>
      <w:r w:rsidRPr="009C4D4F">
        <w:rPr>
          <w:rFonts w:ascii="Times New Roman" w:hAnsi="Times New Roman" w:cs="Times New Roman"/>
          <w:sz w:val="24"/>
          <w:szCs w:val="24"/>
        </w:rPr>
        <w:lastRenderedPageBreak/>
        <w:t>governor and high-level officials—up to the Minister of Industry and the Prime Minister—continue to delay convening the committee and have failed to address community demands.</w:t>
      </w:r>
    </w:p>
    <w:p w:rsidR="00AB464F" w:rsidRPr="009C4D4F" w:rsidRDefault="00AB464F" w:rsidP="009C4D4F">
      <w:pPr>
        <w:rPr>
          <w:rFonts w:ascii="Times New Roman" w:hAnsi="Times New Roman" w:cs="Times New Roman"/>
          <w:sz w:val="24"/>
          <w:szCs w:val="24"/>
        </w:rPr>
      </w:pPr>
      <w:r w:rsidRPr="009C4D4F">
        <w:rPr>
          <w:rFonts w:ascii="Times New Roman" w:hAnsi="Times New Roman" w:cs="Times New Roman"/>
          <w:sz w:val="24"/>
          <w:szCs w:val="24"/>
        </w:rPr>
        <w:t xml:space="preserve">Environmental harm associated with salinization from potash mining has intensified, raising concerns about the role of corporate actors involved in these projects. This includes reported investments by </w:t>
      </w:r>
      <w:proofErr w:type="spellStart"/>
      <w:r w:rsidRPr="009C4D4F">
        <w:rPr>
          <w:rFonts w:ascii="Times New Roman" w:hAnsi="Times New Roman" w:cs="Times New Roman"/>
          <w:sz w:val="24"/>
          <w:szCs w:val="24"/>
        </w:rPr>
        <w:t>Bangchak</w:t>
      </w:r>
      <w:proofErr w:type="spellEnd"/>
      <w:r w:rsidRPr="009C4D4F">
        <w:rPr>
          <w:rFonts w:ascii="Times New Roman" w:hAnsi="Times New Roman" w:cs="Times New Roman"/>
          <w:sz w:val="24"/>
          <w:szCs w:val="24"/>
        </w:rPr>
        <w:t xml:space="preserve"> Corporation and a mining company in partnership with a Chinese state-owned enterprise under the State-owned Assets Supervision and Administration Commission (SASAC).</w:t>
      </w:r>
    </w:p>
    <w:p w:rsidR="00CE14F3" w:rsidRPr="009C4D4F" w:rsidRDefault="00CE14F3" w:rsidP="009C4D4F">
      <w:pPr>
        <w:rPr>
          <w:rFonts w:ascii="Times New Roman" w:hAnsi="Times New Roman" w:cs="Times New Roman"/>
          <w:sz w:val="24"/>
          <w:szCs w:val="24"/>
        </w:rPr>
      </w:pPr>
      <w:r w:rsidRPr="009C4D4F">
        <w:rPr>
          <w:rFonts w:ascii="Times New Roman" w:hAnsi="Times New Roman" w:cs="Times New Roman"/>
          <w:sz w:val="24"/>
          <w:szCs w:val="24"/>
        </w:rPr>
        <w:t>The State’s failure to regulate corporate conduct and ensure accountability enables further harm, while putting women environmental defenders at serious risk.</w:t>
      </w:r>
    </w:p>
    <w:p w:rsidR="009F4D0A" w:rsidRPr="009C4D4F" w:rsidRDefault="009F4D0A" w:rsidP="009C4D4F">
      <w:pPr>
        <w:rPr>
          <w:rFonts w:ascii="Times New Roman" w:hAnsi="Times New Roman" w:cs="Times New Roman"/>
          <w:sz w:val="24"/>
          <w:szCs w:val="24"/>
        </w:rPr>
      </w:pPr>
      <w:r w:rsidRPr="009C4D4F">
        <w:rPr>
          <w:rFonts w:ascii="Times New Roman" w:hAnsi="Times New Roman" w:cs="Times New Roman"/>
          <w:sz w:val="24"/>
          <w:szCs w:val="24"/>
        </w:rPr>
        <w:t>The CEDAW Committee must urge Thailand to guarantee WHRDs’ meaningful participation in environmental and climate decision-making, end reprisals, and establish robust accountability mechanisms for both State and corporate actors involved in rights-violating extractive projects.</w:t>
      </w:r>
    </w:p>
    <w:p w:rsidR="00563ACE" w:rsidRPr="009C4D4F" w:rsidRDefault="00563ACE" w:rsidP="009C4D4F">
      <w:pPr>
        <w:rPr>
          <w:rFonts w:ascii="Times New Roman" w:hAnsi="Times New Roman" w:cs="Times New Roman"/>
          <w:sz w:val="24"/>
          <w:szCs w:val="24"/>
        </w:rPr>
      </w:pP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Women, Environmental Justice, and the Struggle for Water in Thailand’s </w:t>
      </w:r>
      <w:r w:rsidR="004D2386" w:rsidRPr="009C4D4F">
        <w:rPr>
          <w:rFonts w:ascii="Times New Roman" w:hAnsi="Times New Roman" w:cs="Times New Roman"/>
          <w:sz w:val="24"/>
          <w:szCs w:val="24"/>
        </w:rPr>
        <w:t>deep</w:t>
      </w:r>
      <w:r w:rsidRPr="009C4D4F">
        <w:rPr>
          <w:rFonts w:ascii="Times New Roman" w:hAnsi="Times New Roman" w:cs="Times New Roman"/>
          <w:sz w:val="24"/>
          <w:szCs w:val="24"/>
        </w:rPr>
        <w:t xml:space="preserve"> </w:t>
      </w:r>
      <w:r w:rsidR="004D2386" w:rsidRPr="009C4D4F">
        <w:rPr>
          <w:rFonts w:ascii="Times New Roman" w:hAnsi="Times New Roman" w:cs="Times New Roman"/>
          <w:sz w:val="24"/>
          <w:szCs w:val="24"/>
        </w:rPr>
        <w:t>south</w:t>
      </w:r>
    </w:p>
    <w:p w:rsidR="00563ACE" w:rsidRPr="009C4D4F" w:rsidRDefault="00563ACE" w:rsidP="009C4D4F">
      <w:pPr>
        <w:rPr>
          <w:rFonts w:ascii="Times New Roman" w:hAnsi="Times New Roman" w:cs="Times New Roman"/>
          <w:sz w:val="24"/>
          <w:szCs w:val="24"/>
        </w:rPr>
      </w:pPr>
      <w:r w:rsidRPr="009C4D4F">
        <w:rPr>
          <w:rFonts w:ascii="Times New Roman" w:hAnsi="Times New Roman" w:cs="Times New Roman"/>
          <w:sz w:val="24"/>
          <w:szCs w:val="24"/>
        </w:rPr>
        <w:t>(CEDAW Articles 2, 7, 14; GRs 23, 34)</w:t>
      </w:r>
    </w:p>
    <w:p w:rsidR="00563ACE" w:rsidRPr="009C4D4F" w:rsidRDefault="00563ACE" w:rsidP="009C4D4F">
      <w:pPr>
        <w:rPr>
          <w:rFonts w:ascii="Times New Roman" w:hAnsi="Times New Roman" w:cs="Times New Roman"/>
          <w:sz w:val="24"/>
          <w:szCs w:val="24"/>
        </w:rPr>
      </w:pPr>
      <w:r w:rsidRPr="009C4D4F">
        <w:rPr>
          <w:rFonts w:ascii="Times New Roman" w:hAnsi="Times New Roman" w:cs="Times New Roman"/>
          <w:sz w:val="24"/>
          <w:szCs w:val="24"/>
        </w:rPr>
        <w:t xml:space="preserve">In Thailand’s Deep South,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women human rights defenders (WHRDs) are leading a courageous struggle to protect the </w:t>
      </w:r>
      <w:proofErr w:type="spellStart"/>
      <w:r w:rsidRPr="009C4D4F">
        <w:rPr>
          <w:rFonts w:ascii="Times New Roman" w:hAnsi="Times New Roman" w:cs="Times New Roman"/>
          <w:sz w:val="24"/>
          <w:szCs w:val="24"/>
        </w:rPr>
        <w:t>Pattani</w:t>
      </w:r>
      <w:proofErr w:type="spellEnd"/>
      <w:r w:rsidRPr="009C4D4F">
        <w:rPr>
          <w:rFonts w:ascii="Times New Roman" w:hAnsi="Times New Roman" w:cs="Times New Roman"/>
          <w:sz w:val="24"/>
          <w:szCs w:val="24"/>
        </w:rPr>
        <w:t xml:space="preserve"> River, their way of life, and the ecological heritage of their communities. In </w:t>
      </w:r>
      <w:proofErr w:type="spellStart"/>
      <w:r w:rsidRPr="009C4D4F">
        <w:rPr>
          <w:rFonts w:ascii="Times New Roman" w:hAnsi="Times New Roman" w:cs="Times New Roman"/>
          <w:sz w:val="24"/>
          <w:szCs w:val="24"/>
        </w:rPr>
        <w:t>Krong</w:t>
      </w:r>
      <w:proofErr w:type="spellEnd"/>
      <w:r w:rsidRPr="009C4D4F">
        <w:rPr>
          <w:rFonts w:ascii="Times New Roman" w:hAnsi="Times New Roman" w:cs="Times New Roman"/>
          <w:sz w:val="24"/>
          <w:szCs w:val="24"/>
        </w:rPr>
        <w:t xml:space="preserve"> Pinang District, </w:t>
      </w:r>
      <w:proofErr w:type="spellStart"/>
      <w:r w:rsidRPr="009C4D4F">
        <w:rPr>
          <w:rFonts w:ascii="Times New Roman" w:hAnsi="Times New Roman" w:cs="Times New Roman"/>
          <w:sz w:val="24"/>
          <w:szCs w:val="24"/>
        </w:rPr>
        <w:t>Yala</w:t>
      </w:r>
      <w:proofErr w:type="spellEnd"/>
      <w:r w:rsidRPr="009C4D4F">
        <w:rPr>
          <w:rFonts w:ascii="Times New Roman" w:hAnsi="Times New Roman" w:cs="Times New Roman"/>
          <w:sz w:val="24"/>
          <w:szCs w:val="24"/>
        </w:rPr>
        <w:t xml:space="preserve"> Province, the </w:t>
      </w:r>
      <w:proofErr w:type="spellStart"/>
      <w:r w:rsidRPr="009C4D4F">
        <w:rPr>
          <w:rFonts w:ascii="Times New Roman" w:hAnsi="Times New Roman" w:cs="Times New Roman"/>
          <w:sz w:val="24"/>
          <w:szCs w:val="24"/>
        </w:rPr>
        <w:t>Pattani</w:t>
      </w:r>
      <w:proofErr w:type="spellEnd"/>
      <w:r w:rsidRPr="009C4D4F">
        <w:rPr>
          <w:rFonts w:ascii="Times New Roman" w:hAnsi="Times New Roman" w:cs="Times New Roman"/>
          <w:sz w:val="24"/>
          <w:szCs w:val="24"/>
        </w:rPr>
        <w:t xml:space="preserve"> River Protection Network, composed of women, youth, and local WHRDs, is resisting the construction of the </w:t>
      </w:r>
      <w:proofErr w:type="spellStart"/>
      <w:r w:rsidRPr="009C4D4F">
        <w:rPr>
          <w:rFonts w:ascii="Times New Roman" w:hAnsi="Times New Roman" w:cs="Times New Roman"/>
          <w:sz w:val="24"/>
          <w:szCs w:val="24"/>
        </w:rPr>
        <w:t>Krong</w:t>
      </w:r>
      <w:proofErr w:type="spellEnd"/>
      <w:r w:rsidRPr="009C4D4F">
        <w:rPr>
          <w:rFonts w:ascii="Times New Roman" w:hAnsi="Times New Roman" w:cs="Times New Roman"/>
          <w:sz w:val="24"/>
          <w:szCs w:val="24"/>
        </w:rPr>
        <w:t xml:space="preserve"> Pinang floodgate—an extension of top-down water infrastructure planning that disregards local voices.</w:t>
      </w:r>
    </w:p>
    <w:p w:rsidR="00563ACE" w:rsidRPr="009C4D4F" w:rsidRDefault="00563ACE" w:rsidP="009C4D4F">
      <w:pPr>
        <w:rPr>
          <w:rFonts w:ascii="Times New Roman" w:hAnsi="Times New Roman" w:cs="Times New Roman"/>
          <w:sz w:val="24"/>
          <w:szCs w:val="24"/>
        </w:rPr>
      </w:pPr>
      <w:r w:rsidRPr="009C4D4F">
        <w:rPr>
          <w:rFonts w:ascii="Times New Roman" w:hAnsi="Times New Roman" w:cs="Times New Roman"/>
          <w:sz w:val="24"/>
          <w:szCs w:val="24"/>
        </w:rPr>
        <w:t>The project, pushed without meaningful consultation, threatens to destroy community livelihoods, cultural sites, aquatic biodiversity, and spaces where children gather and women farm. For these women, defending the river is not just environmental work—it is about defending life, memory, and collective survival in a region already burdened by protracted conflict and state neglect.</w:t>
      </w:r>
    </w:p>
    <w:p w:rsidR="00563ACE" w:rsidRPr="009C4D4F" w:rsidRDefault="00563ACE" w:rsidP="009C4D4F">
      <w:pPr>
        <w:rPr>
          <w:rFonts w:ascii="Times New Roman" w:hAnsi="Times New Roman" w:cs="Times New Roman"/>
          <w:sz w:val="24"/>
          <w:szCs w:val="24"/>
        </w:rPr>
      </w:pPr>
      <w:r w:rsidRPr="009C4D4F">
        <w:rPr>
          <w:rFonts w:ascii="Times New Roman" w:hAnsi="Times New Roman" w:cs="Times New Roman"/>
          <w:sz w:val="24"/>
          <w:szCs w:val="24"/>
        </w:rPr>
        <w:t xml:space="preserve">The network’s resistance reflects broader patterns of exclusion, where development policies imposed in the Deep South ignore Indigenous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identity, violate the right to Free, Prior and Informed Consent (FPIC), and erode gender and environmental rights.</w:t>
      </w:r>
    </w:p>
    <w:p w:rsidR="00563ACE" w:rsidRPr="009C4D4F" w:rsidRDefault="00563ACE" w:rsidP="009C4D4F">
      <w:pPr>
        <w:rPr>
          <w:rFonts w:ascii="Times New Roman" w:hAnsi="Times New Roman" w:cs="Times New Roman"/>
          <w:sz w:val="24"/>
          <w:szCs w:val="24"/>
        </w:rPr>
      </w:pPr>
    </w:p>
    <w:p w:rsidR="00563ACE" w:rsidRPr="009C4D4F" w:rsidRDefault="00563ACE" w:rsidP="009C4D4F">
      <w:pPr>
        <w:rPr>
          <w:rFonts w:ascii="Times New Roman" w:hAnsi="Times New Roman" w:cs="Times New Roman"/>
          <w:sz w:val="24"/>
          <w:szCs w:val="24"/>
        </w:rPr>
      </w:pPr>
    </w:p>
    <w:p w:rsidR="00535997" w:rsidRPr="0089009A" w:rsidRDefault="00535997" w:rsidP="0089009A">
      <w:pPr>
        <w:rPr>
          <w:rFonts w:ascii="Times New Roman" w:hAnsi="Times New Roman" w:cs="Times New Roman"/>
          <w:sz w:val="24"/>
          <w:szCs w:val="24"/>
        </w:rPr>
      </w:pPr>
      <w:r w:rsidRPr="0089009A">
        <w:rPr>
          <w:rFonts w:ascii="Times New Roman" w:hAnsi="Times New Roman" w:cs="Times New Roman"/>
          <w:sz w:val="24"/>
          <w:szCs w:val="24"/>
        </w:rPr>
        <w:t xml:space="preserve">Access to Justice and the Justice </w:t>
      </w:r>
      <w:r w:rsidR="009F4D0A" w:rsidRPr="0089009A">
        <w:rPr>
          <w:rFonts w:ascii="Times New Roman" w:hAnsi="Times New Roman" w:cs="Times New Roman"/>
          <w:sz w:val="24"/>
          <w:szCs w:val="24"/>
        </w:rPr>
        <w:t xml:space="preserve">Fund </w:t>
      </w:r>
      <w:r w:rsidR="0089009A" w:rsidRPr="0089009A">
        <w:rPr>
          <w:rFonts w:ascii="Times New Roman" w:hAnsi="Times New Roman" w:cs="Times New Roman"/>
          <w:sz w:val="24"/>
          <w:szCs w:val="24"/>
        </w:rPr>
        <w:t>(a government-managed legal aid fund for individuals facing legal proceedings</w:t>
      </w:r>
      <w:proofErr w:type="gramStart"/>
      <w:r w:rsidR="0089009A" w:rsidRPr="0089009A">
        <w:rPr>
          <w:rFonts w:ascii="Times New Roman" w:hAnsi="Times New Roman" w:cs="Times New Roman"/>
          <w:sz w:val="24"/>
          <w:szCs w:val="24"/>
        </w:rPr>
        <w:t>)</w:t>
      </w:r>
      <w:proofErr w:type="gramEnd"/>
      <w:r w:rsidRPr="0089009A">
        <w:rPr>
          <w:rFonts w:ascii="Times New Roman" w:hAnsi="Times New Roman" w:cs="Times New Roman"/>
          <w:sz w:val="24"/>
          <w:szCs w:val="24"/>
        </w:rPr>
        <w:br/>
        <w:t>(Article 15; GR 33)</w:t>
      </w:r>
      <w:bookmarkStart w:id="0" w:name="_GoBack"/>
      <w:bookmarkEnd w:id="0"/>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 xml:space="preserve">Despite State claims of support (para. 17), WHRDs face severe barriers in accessing the Justice Fund—forced to prove poverty, find guarantors, and often denied travel costs. These discretionary and delayed processes violate CEDAW’s principles of accessible justice. </w:t>
      </w:r>
      <w:r w:rsidRPr="009C4D4F">
        <w:rPr>
          <w:rFonts w:ascii="Times New Roman" w:hAnsi="Times New Roman" w:cs="Times New Roman"/>
          <w:sz w:val="24"/>
          <w:szCs w:val="24"/>
        </w:rPr>
        <w:lastRenderedPageBreak/>
        <w:t>Protection International Thailand found that fewer than 30 WHRDs accessed justice out of 595 judicial harassment cases.</w:t>
      </w:r>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Case Examples:</w:t>
      </w:r>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 xml:space="preserve">KRBK Group: Sued after exposing gold mining misconduct; Justice Fund rejected their application, </w:t>
      </w:r>
      <w:proofErr w:type="spellStart"/>
      <w:r w:rsidRPr="009C4D4F">
        <w:rPr>
          <w:rFonts w:ascii="Times New Roman" w:hAnsi="Times New Roman" w:cs="Times New Roman"/>
          <w:sz w:val="24"/>
          <w:szCs w:val="24"/>
        </w:rPr>
        <w:t>labeling</w:t>
      </w:r>
      <w:proofErr w:type="spellEnd"/>
      <w:r w:rsidRPr="009C4D4F">
        <w:rPr>
          <w:rFonts w:ascii="Times New Roman" w:hAnsi="Times New Roman" w:cs="Times New Roman"/>
          <w:sz w:val="24"/>
          <w:szCs w:val="24"/>
        </w:rPr>
        <w:t xml:space="preserve"> them “disruptive.”</w:t>
      </w:r>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KLY–PCD Forest Group: Faced SLAPPs for opposing limestone mining; support was delayed for three months and limited to the final hearing.</w:t>
      </w:r>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 xml:space="preserve">T.W.: A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rights WHRD supporting migrant workers; her 2022 application was delayed nine months and remains unpaid.</w:t>
      </w:r>
    </w:p>
    <w:p w:rsidR="00535997" w:rsidRPr="009C4D4F" w:rsidRDefault="00535997" w:rsidP="009C4D4F">
      <w:pPr>
        <w:rPr>
          <w:rFonts w:ascii="Times New Roman" w:hAnsi="Times New Roman" w:cs="Times New Roman"/>
          <w:sz w:val="24"/>
          <w:szCs w:val="24"/>
        </w:rPr>
      </w:pPr>
      <w:r w:rsidRPr="009C4D4F">
        <w:rPr>
          <w:rFonts w:ascii="Times New Roman" w:hAnsi="Times New Roman" w:cs="Times New Roman"/>
          <w:sz w:val="24"/>
          <w:szCs w:val="24"/>
        </w:rPr>
        <w:t>The State’s failure to recognize and protect WHRDs continues to deny them meaningful access to justice.</w:t>
      </w:r>
    </w:p>
    <w:p w:rsidR="00625E91" w:rsidRPr="009C4D4F" w:rsidRDefault="00625E91" w:rsidP="009C4D4F">
      <w:pPr>
        <w:rPr>
          <w:rFonts w:ascii="Times New Roman" w:hAnsi="Times New Roman" w:cs="Times New Roman"/>
          <w:sz w:val="24"/>
          <w:szCs w:val="24"/>
        </w:rPr>
      </w:pPr>
      <w:r w:rsidRPr="009C4D4F">
        <w:rPr>
          <w:rFonts w:ascii="Times New Roman" w:hAnsi="Times New Roman" w:cs="Times New Roman"/>
          <w:sz w:val="24"/>
          <w:szCs w:val="24"/>
        </w:rPr>
        <w:t xml:space="preserve">Gendered Violence and </w:t>
      </w:r>
      <w:r w:rsidR="009F4D0A" w:rsidRPr="009C4D4F">
        <w:rPr>
          <w:rFonts w:ascii="Times New Roman" w:hAnsi="Times New Roman" w:cs="Times New Roman"/>
          <w:sz w:val="24"/>
          <w:szCs w:val="24"/>
        </w:rPr>
        <w:t xml:space="preserve">Impunity </w:t>
      </w:r>
      <w:r w:rsidRPr="009C4D4F">
        <w:rPr>
          <w:rFonts w:ascii="Times New Roman" w:hAnsi="Times New Roman" w:cs="Times New Roman"/>
          <w:sz w:val="24"/>
          <w:szCs w:val="24"/>
        </w:rPr>
        <w:br/>
        <w:t>(Articles 2, 5; GR 35)</w:t>
      </w:r>
    </w:p>
    <w:p w:rsidR="00625E91" w:rsidRPr="009C4D4F" w:rsidRDefault="00625E91" w:rsidP="009C4D4F">
      <w:pPr>
        <w:rPr>
          <w:rFonts w:ascii="Times New Roman" w:hAnsi="Times New Roman" w:cs="Times New Roman"/>
          <w:sz w:val="24"/>
          <w:szCs w:val="24"/>
        </w:rPr>
      </w:pPr>
      <w:r w:rsidRPr="009C4D4F">
        <w:rPr>
          <w:rFonts w:ascii="Times New Roman" w:hAnsi="Times New Roman" w:cs="Times New Roman"/>
          <w:sz w:val="24"/>
          <w:szCs w:val="24"/>
        </w:rPr>
        <w:t xml:space="preserve">The killings of M.C. and P.B. (SPFT) and the 2020 assassination of K.W. in </w:t>
      </w:r>
      <w:proofErr w:type="spellStart"/>
      <w:r w:rsidRPr="009C4D4F">
        <w:rPr>
          <w:rFonts w:ascii="Times New Roman" w:hAnsi="Times New Roman" w:cs="Times New Roman"/>
          <w:sz w:val="24"/>
          <w:szCs w:val="24"/>
        </w:rPr>
        <w:t>Nong</w:t>
      </w:r>
      <w:proofErr w:type="spellEnd"/>
      <w:r w:rsidRPr="009C4D4F">
        <w:rPr>
          <w:rFonts w:ascii="Times New Roman" w:hAnsi="Times New Roman" w:cs="Times New Roman"/>
          <w:sz w:val="24"/>
          <w:szCs w:val="24"/>
        </w:rPr>
        <w:t xml:space="preserve"> </w:t>
      </w:r>
      <w:proofErr w:type="spellStart"/>
      <w:r w:rsidRPr="009C4D4F">
        <w:rPr>
          <w:rFonts w:ascii="Times New Roman" w:hAnsi="Times New Roman" w:cs="Times New Roman"/>
          <w:sz w:val="24"/>
          <w:szCs w:val="24"/>
        </w:rPr>
        <w:t>Khai</w:t>
      </w:r>
      <w:proofErr w:type="spellEnd"/>
      <w:r w:rsidRPr="009C4D4F">
        <w:rPr>
          <w:rFonts w:ascii="Times New Roman" w:hAnsi="Times New Roman" w:cs="Times New Roman"/>
          <w:sz w:val="24"/>
          <w:szCs w:val="24"/>
        </w:rPr>
        <w:t xml:space="preserve"> highlight the deadly risks WHRDs face in Thailand. Despite state claims (para. 34), no perpetrator has been held accountable in any WHRD-related killing, disappearance, or attack since 2017. Survivors and families endure trauma, threats, and forced silence, while mothers and wives of the disappeared face systemic obstruction. This ongoing impunity exposes the State’s failure to protect WHRDs and uphold their right to life and justice.</w:t>
      </w:r>
    </w:p>
    <w:p w:rsidR="00863270" w:rsidRPr="009C4D4F" w:rsidRDefault="00863270" w:rsidP="009C4D4F">
      <w:pPr>
        <w:rPr>
          <w:rFonts w:ascii="Times New Roman" w:hAnsi="Times New Roman" w:cs="Times New Roman"/>
          <w:sz w:val="24"/>
          <w:szCs w:val="24"/>
        </w:rPr>
      </w:pPr>
      <w:r w:rsidRPr="009C4D4F">
        <w:rPr>
          <w:rFonts w:ascii="Times New Roman" w:hAnsi="Times New Roman" w:cs="Times New Roman"/>
          <w:sz w:val="24"/>
          <w:szCs w:val="24"/>
        </w:rPr>
        <w:t xml:space="preserve">Structural Exclusion from Political </w:t>
      </w:r>
      <w:r w:rsidR="009F4D0A" w:rsidRPr="009C4D4F">
        <w:rPr>
          <w:rFonts w:ascii="Times New Roman" w:hAnsi="Times New Roman" w:cs="Times New Roman"/>
          <w:sz w:val="24"/>
          <w:szCs w:val="24"/>
        </w:rPr>
        <w:t xml:space="preserve">Participation </w:t>
      </w:r>
      <w:r w:rsidRPr="009C4D4F">
        <w:rPr>
          <w:rFonts w:ascii="Times New Roman" w:hAnsi="Times New Roman" w:cs="Times New Roman"/>
          <w:sz w:val="24"/>
          <w:szCs w:val="24"/>
        </w:rPr>
        <w:br/>
        <w:t>(Article 7; GR 23)</w:t>
      </w:r>
    </w:p>
    <w:p w:rsidR="00863270" w:rsidRPr="009C4D4F" w:rsidRDefault="00863270" w:rsidP="009C4D4F">
      <w:pPr>
        <w:rPr>
          <w:rFonts w:ascii="Times New Roman" w:hAnsi="Times New Roman" w:cs="Times New Roman"/>
          <w:sz w:val="24"/>
          <w:szCs w:val="24"/>
        </w:rPr>
      </w:pPr>
      <w:r w:rsidRPr="009C4D4F">
        <w:rPr>
          <w:rFonts w:ascii="Times New Roman" w:hAnsi="Times New Roman" w:cs="Times New Roman"/>
          <w:sz w:val="24"/>
          <w:szCs w:val="24"/>
        </w:rPr>
        <w:t xml:space="preserve">While the State highlights women’s participation rates (para. 8), it fails to address the systematic exclusion of WHRDs—particularly those from environmental, Indigenous,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and rural sectors—from policymaking spaces. State mechanisms like SBPAC (para. 33) have actively excluded community-based WHRDs from peace, land, and development dialogues—including the deliberate refusal to engage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women from the Deep South. This reinforces structural marginalization and erases the voices of those most affected.</w:t>
      </w:r>
    </w:p>
    <w:p w:rsidR="00625E91" w:rsidRPr="009C4D4F" w:rsidRDefault="00625E91" w:rsidP="009C4D4F">
      <w:pPr>
        <w:rPr>
          <w:rFonts w:ascii="Times New Roman" w:hAnsi="Times New Roman" w:cs="Times New Roman"/>
          <w:sz w:val="24"/>
          <w:szCs w:val="24"/>
        </w:rPr>
      </w:pPr>
    </w:p>
    <w:p w:rsidR="00C75C5E" w:rsidRPr="009C4D4F" w:rsidRDefault="00C75C5E" w:rsidP="009C4D4F">
      <w:pPr>
        <w:rPr>
          <w:rFonts w:ascii="Times New Roman" w:hAnsi="Times New Roman" w:cs="Times New Roman"/>
          <w:sz w:val="24"/>
          <w:szCs w:val="24"/>
        </w:rPr>
      </w:pPr>
      <w:r w:rsidRPr="009C4D4F">
        <w:rPr>
          <w:rFonts w:ascii="Times New Roman" w:hAnsi="Times New Roman" w:cs="Times New Roman"/>
          <w:sz w:val="24"/>
          <w:szCs w:val="24"/>
        </w:rPr>
        <w:t xml:space="preserve">WHRDs, Care Work, and Structural Inequality in </w:t>
      </w:r>
      <w:r w:rsidR="009C4D4F" w:rsidRPr="009C4D4F">
        <w:rPr>
          <w:rFonts w:ascii="Times New Roman" w:hAnsi="Times New Roman" w:cs="Times New Roman"/>
          <w:sz w:val="24"/>
          <w:szCs w:val="24"/>
        </w:rPr>
        <w:t xml:space="preserve">Crisis </w:t>
      </w:r>
      <w:r w:rsidRPr="009C4D4F">
        <w:rPr>
          <w:rFonts w:ascii="Times New Roman" w:hAnsi="Times New Roman" w:cs="Times New Roman"/>
          <w:sz w:val="24"/>
          <w:szCs w:val="24"/>
        </w:rPr>
        <w:br/>
        <w:t>(Article 11; GR 28)</w:t>
      </w:r>
    </w:p>
    <w:p w:rsidR="00C75C5E" w:rsidRPr="009C4D4F" w:rsidRDefault="00C75C5E" w:rsidP="009C4D4F">
      <w:pPr>
        <w:rPr>
          <w:rFonts w:ascii="Times New Roman" w:hAnsi="Times New Roman" w:cs="Times New Roman"/>
          <w:sz w:val="24"/>
          <w:szCs w:val="24"/>
        </w:rPr>
      </w:pPr>
      <w:r w:rsidRPr="009C4D4F">
        <w:rPr>
          <w:rFonts w:ascii="Times New Roman" w:hAnsi="Times New Roman" w:cs="Times New Roman"/>
          <w:sz w:val="24"/>
          <w:szCs w:val="24"/>
        </w:rPr>
        <w:t>The State report (paras. 10–12) overlooks the disproportionate burden shouldered by WHRDs during COVID-19. In rural, Indigenous, and environmental sectors, WHRDs acted as unpaid caregivers, first responders, and community mobilizers—working over 12 hours daily without recognition or support. Under patriarcha</w:t>
      </w:r>
      <w:r w:rsidR="007D01DD" w:rsidRPr="009C4D4F">
        <w:rPr>
          <w:rFonts w:ascii="Times New Roman" w:hAnsi="Times New Roman" w:cs="Times New Roman"/>
          <w:sz w:val="24"/>
          <w:szCs w:val="24"/>
        </w:rPr>
        <w:t>l norms, alongside civil space repression</w:t>
      </w:r>
      <w:r w:rsidRPr="009C4D4F">
        <w:rPr>
          <w:rFonts w:ascii="Times New Roman" w:hAnsi="Times New Roman" w:cs="Times New Roman"/>
          <w:sz w:val="24"/>
          <w:szCs w:val="24"/>
        </w:rPr>
        <w:t xml:space="preserve"> and restrictive laws (e.g. the NPO Bill and the Ministry of Interior’s draft law on associations), their risks and exclusion deepened.</w:t>
      </w:r>
    </w:p>
    <w:p w:rsidR="00C75C5E" w:rsidRPr="009C4D4F" w:rsidRDefault="00C75C5E"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 xml:space="preserve">In 2022, the WHRDs Collective of Thailand, representing 19 grassroots sectors, launched a national campaign demanding constitutional recognition of care income to value care work as essential political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The State has failed to respond. WHRDs defending land, food, and ecosystems continue to face surveillance, threats, and exclusion—while sustaining communities through unwaged caregiving, seed saving, and resistance.</w:t>
      </w:r>
    </w:p>
    <w:p w:rsidR="00C75C5E" w:rsidRPr="009C4D4F" w:rsidRDefault="00C75C5E" w:rsidP="009C4D4F">
      <w:pPr>
        <w:rPr>
          <w:rFonts w:ascii="Times New Roman" w:hAnsi="Times New Roman" w:cs="Times New Roman"/>
          <w:sz w:val="24"/>
          <w:szCs w:val="24"/>
        </w:rPr>
      </w:pPr>
      <w:r w:rsidRPr="009C4D4F">
        <w:rPr>
          <w:rFonts w:ascii="Times New Roman" w:hAnsi="Times New Roman" w:cs="Times New Roman"/>
          <w:sz w:val="24"/>
          <w:szCs w:val="24"/>
        </w:rPr>
        <w:t xml:space="preserve">The State must urgently recognize care work as political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and guarantee WHRDs the protection, resources, and compensation they are owed.</w:t>
      </w:r>
    </w:p>
    <w:p w:rsidR="007E6D60" w:rsidRPr="009C4D4F" w:rsidRDefault="007E6D60" w:rsidP="009C4D4F">
      <w:pPr>
        <w:rPr>
          <w:rFonts w:ascii="Times New Roman" w:hAnsi="Times New Roman" w:cs="Times New Roman"/>
          <w:sz w:val="24"/>
          <w:szCs w:val="24"/>
        </w:rPr>
      </w:pPr>
      <w:r w:rsidRPr="009C4D4F">
        <w:rPr>
          <w:rFonts w:ascii="Times New Roman" w:hAnsi="Times New Roman" w:cs="Times New Roman"/>
          <w:sz w:val="24"/>
          <w:szCs w:val="24"/>
        </w:rPr>
        <w:t>The Role of WHRDs in Filling State Gaps</w:t>
      </w:r>
      <w:r w:rsidRPr="009C4D4F">
        <w:rPr>
          <w:rFonts w:ascii="Times New Roman" w:hAnsi="Times New Roman" w:cs="Times New Roman"/>
          <w:sz w:val="24"/>
          <w:szCs w:val="24"/>
        </w:rPr>
        <w:br/>
        <w:t xml:space="preserve">In Thailand, WHRDs have filled critical gaps left by the State—feeding families, sharing lifesaving information, and protecting children. Their unpaid, unrecognized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sustains entire communities. CEDAW must urge Thailand to recognize, protect, and fund WHRDs as essential frontline defenders, not substitutes for state failure.</w:t>
      </w:r>
    </w:p>
    <w:p w:rsidR="00116947" w:rsidRPr="009C4D4F" w:rsidRDefault="00116947" w:rsidP="009C4D4F">
      <w:pPr>
        <w:rPr>
          <w:rFonts w:ascii="Times New Roman" w:hAnsi="Times New Roman" w:cs="Times New Roman"/>
          <w:sz w:val="24"/>
          <w:szCs w:val="24"/>
        </w:rPr>
      </w:pPr>
    </w:p>
    <w:p w:rsidR="00643EEC" w:rsidRPr="009C4D4F" w:rsidRDefault="00643EEC" w:rsidP="009C4D4F">
      <w:pPr>
        <w:rPr>
          <w:rFonts w:ascii="Times New Roman" w:hAnsi="Times New Roman" w:cs="Times New Roman"/>
          <w:sz w:val="24"/>
          <w:szCs w:val="24"/>
        </w:rPr>
      </w:pPr>
      <w:r w:rsidRPr="009C4D4F">
        <w:rPr>
          <w:rFonts w:ascii="Times New Roman" w:hAnsi="Times New Roman" w:cs="Times New Roman"/>
          <w:sz w:val="24"/>
          <w:szCs w:val="24"/>
        </w:rPr>
        <w:t xml:space="preserve">Criminalization of Women in the Deep </w:t>
      </w:r>
      <w:r w:rsidR="002552F7" w:rsidRPr="009C4D4F">
        <w:rPr>
          <w:rFonts w:ascii="Times New Roman" w:hAnsi="Times New Roman" w:cs="Times New Roman"/>
          <w:sz w:val="24"/>
          <w:szCs w:val="24"/>
        </w:rPr>
        <w:t xml:space="preserve">South </w:t>
      </w:r>
      <w:r w:rsidRPr="009C4D4F">
        <w:rPr>
          <w:rFonts w:ascii="Times New Roman" w:hAnsi="Times New Roman" w:cs="Times New Roman"/>
          <w:sz w:val="24"/>
          <w:szCs w:val="24"/>
        </w:rPr>
        <w:br/>
        <w:t>(Articles 2, 14; General Recommendations Nos. 28 &amp; 33)</w:t>
      </w:r>
    </w:p>
    <w:p w:rsidR="00643EEC" w:rsidRPr="009C4D4F" w:rsidRDefault="00643EEC" w:rsidP="009C4D4F">
      <w:pPr>
        <w:rPr>
          <w:rFonts w:ascii="Times New Roman" w:hAnsi="Times New Roman" w:cs="Times New Roman"/>
          <w:sz w:val="24"/>
          <w:szCs w:val="24"/>
        </w:rPr>
      </w:pPr>
      <w:r w:rsidRPr="009C4D4F">
        <w:rPr>
          <w:rFonts w:ascii="Times New Roman" w:hAnsi="Times New Roman" w:cs="Times New Roman"/>
          <w:sz w:val="24"/>
          <w:szCs w:val="24"/>
        </w:rPr>
        <w:t xml:space="preserve">The criminalization of Malay Muslim WHRDs in Thailand’s Deep South reflects entrenched discrimination in the justice system. On 24 February 2025, the </w:t>
      </w:r>
      <w:proofErr w:type="spellStart"/>
      <w:r w:rsidRPr="009C4D4F">
        <w:rPr>
          <w:rFonts w:ascii="Times New Roman" w:hAnsi="Times New Roman" w:cs="Times New Roman"/>
          <w:sz w:val="24"/>
          <w:szCs w:val="24"/>
        </w:rPr>
        <w:t>Pattani</w:t>
      </w:r>
      <w:proofErr w:type="spellEnd"/>
      <w:r w:rsidRPr="009C4D4F">
        <w:rPr>
          <w:rFonts w:ascii="Times New Roman" w:hAnsi="Times New Roman" w:cs="Times New Roman"/>
          <w:sz w:val="24"/>
          <w:szCs w:val="24"/>
        </w:rPr>
        <w:t xml:space="preserve"> Provincial Court issued its verdict in case No. A 0464/2024 against M.S. and A.B.</w:t>
      </w:r>
    </w:p>
    <w:p w:rsidR="00643EEC" w:rsidRPr="009C4D4F" w:rsidRDefault="00643EEC" w:rsidP="009C4D4F">
      <w:pPr>
        <w:rPr>
          <w:rFonts w:ascii="Times New Roman" w:hAnsi="Times New Roman" w:cs="Times New Roman"/>
          <w:sz w:val="24"/>
          <w:szCs w:val="24"/>
        </w:rPr>
      </w:pPr>
      <w:r w:rsidRPr="009C4D4F">
        <w:rPr>
          <w:rFonts w:ascii="Times New Roman" w:hAnsi="Times New Roman" w:cs="Times New Roman"/>
          <w:sz w:val="24"/>
          <w:szCs w:val="24"/>
        </w:rPr>
        <w:t xml:space="preserve">M.S.—whose son was killed </w:t>
      </w:r>
      <w:proofErr w:type="spellStart"/>
      <w:r w:rsidRPr="009C4D4F">
        <w:rPr>
          <w:rFonts w:ascii="Times New Roman" w:hAnsi="Times New Roman" w:cs="Times New Roman"/>
          <w:sz w:val="24"/>
          <w:szCs w:val="24"/>
        </w:rPr>
        <w:t>extrajudicially</w:t>
      </w:r>
      <w:proofErr w:type="spellEnd"/>
      <w:r w:rsidRPr="009C4D4F">
        <w:rPr>
          <w:rFonts w:ascii="Times New Roman" w:hAnsi="Times New Roman" w:cs="Times New Roman"/>
          <w:sz w:val="24"/>
          <w:szCs w:val="24"/>
        </w:rPr>
        <w:t xml:space="preserve"> by security forces—was charged simply for attempting to retrieve his body for an Islamic burial. Despite her full cooperation and lack of prior record, she was convicted and handed a suspended sentence. A.B., a human rights defender and citizen journalist documenting the case, was acquitted for lack of evidence.</w:t>
      </w:r>
    </w:p>
    <w:p w:rsidR="00643EEC" w:rsidRPr="009C4D4F" w:rsidRDefault="00643EEC" w:rsidP="009C4D4F">
      <w:pPr>
        <w:rPr>
          <w:rFonts w:ascii="Times New Roman" w:hAnsi="Times New Roman" w:cs="Times New Roman"/>
          <w:sz w:val="24"/>
          <w:szCs w:val="24"/>
        </w:rPr>
      </w:pPr>
      <w:r w:rsidRPr="009C4D4F">
        <w:rPr>
          <w:rFonts w:ascii="Times New Roman" w:hAnsi="Times New Roman" w:cs="Times New Roman"/>
          <w:sz w:val="24"/>
          <w:szCs w:val="24"/>
        </w:rPr>
        <w:t>This is not an isolated case. Mothers of victims of state violence, along with HRDs who accompany them in seeking truth, routinely face criminal prosecution. Their grief is not met with justice—but with intimidation and legal retaliation.</w:t>
      </w:r>
    </w:p>
    <w:p w:rsidR="00643EEC" w:rsidRPr="009C4D4F" w:rsidRDefault="00643EEC" w:rsidP="009C4D4F">
      <w:pPr>
        <w:rPr>
          <w:rFonts w:ascii="Times New Roman" w:hAnsi="Times New Roman" w:cs="Times New Roman"/>
          <w:sz w:val="24"/>
          <w:szCs w:val="24"/>
        </w:rPr>
      </w:pPr>
      <w:r w:rsidRPr="009C4D4F">
        <w:rPr>
          <w:rFonts w:ascii="Times New Roman" w:hAnsi="Times New Roman" w:cs="Times New Roman"/>
          <w:sz w:val="24"/>
          <w:szCs w:val="24"/>
        </w:rPr>
        <w:t>The Thai State has repeatedly demonstrated a lack of political will to engage in meaningful peace dialogue in the Deep South. Under the current government, the situation has further deteriorated—marked by an alarming rise in the killing of civilians, including women and children. The ongoing use of criminal law to silence WHRDs and survivors obstructs justice and reinforces structural impunity in security-related cases.</w:t>
      </w:r>
    </w:p>
    <w:p w:rsidR="009A145F" w:rsidRPr="009C4D4F" w:rsidRDefault="009A145F" w:rsidP="009C4D4F">
      <w:pPr>
        <w:rPr>
          <w:rFonts w:ascii="Times New Roman" w:hAnsi="Times New Roman" w:cs="Times New Roman"/>
          <w:sz w:val="24"/>
          <w:szCs w:val="24"/>
        </w:rPr>
      </w:pPr>
    </w:p>
    <w:p w:rsidR="00AA4626" w:rsidRPr="009C4D4F" w:rsidRDefault="00AA4626" w:rsidP="009C4D4F">
      <w:pPr>
        <w:rPr>
          <w:rFonts w:ascii="Times New Roman" w:hAnsi="Times New Roman" w:cs="Times New Roman"/>
          <w:sz w:val="24"/>
          <w:szCs w:val="24"/>
        </w:rPr>
      </w:pPr>
      <w:r w:rsidRPr="009C4D4F">
        <w:rPr>
          <w:rFonts w:ascii="Times New Roman" w:hAnsi="Times New Roman" w:cs="Times New Roman"/>
          <w:sz w:val="24"/>
          <w:szCs w:val="24"/>
        </w:rPr>
        <w:t xml:space="preserve">Indigenous Women and Climate </w:t>
      </w:r>
      <w:proofErr w:type="gramStart"/>
      <w:r w:rsidRPr="009C4D4F">
        <w:rPr>
          <w:rFonts w:ascii="Times New Roman" w:hAnsi="Times New Roman" w:cs="Times New Roman"/>
          <w:sz w:val="24"/>
          <w:szCs w:val="24"/>
        </w:rPr>
        <w:t>Colonialism</w:t>
      </w:r>
      <w:proofErr w:type="gramEnd"/>
      <w:r w:rsidRPr="009C4D4F">
        <w:rPr>
          <w:rFonts w:ascii="Times New Roman" w:hAnsi="Times New Roman" w:cs="Times New Roman"/>
          <w:sz w:val="24"/>
          <w:szCs w:val="24"/>
        </w:rPr>
        <w:br/>
        <w:t>(Articles 2, 7, 14; GR 28, 33, 34)</w:t>
      </w:r>
    </w:p>
    <w:p w:rsidR="00AA4626" w:rsidRPr="009C4D4F" w:rsidRDefault="00AA4626" w:rsidP="009C4D4F">
      <w:pPr>
        <w:rPr>
          <w:rFonts w:ascii="Times New Roman" w:hAnsi="Times New Roman" w:cs="Times New Roman"/>
          <w:sz w:val="24"/>
          <w:szCs w:val="24"/>
        </w:rPr>
      </w:pPr>
      <w:r w:rsidRPr="009C4D4F">
        <w:rPr>
          <w:rFonts w:ascii="Times New Roman" w:hAnsi="Times New Roman" w:cs="Times New Roman"/>
          <w:sz w:val="24"/>
          <w:szCs w:val="24"/>
        </w:rPr>
        <w:t>Thailand’s climate policies—focused on carbon offsets and “green zones”—displace rural and Indigenous communities, erasing their rights while enabling land grabs and corporate greenwashing. Without legal recognition, Indigenous women are denied Free, Prior, and Informed Consent (FPIC) and excluded from decisions affecting their land, culture, and survival.</w:t>
      </w:r>
    </w:p>
    <w:p w:rsidR="00AA4626" w:rsidRPr="009C4D4F" w:rsidRDefault="00AA4626"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The State’s refusal to acknowledge “Indigenous Peoples” contradicts international norms and reinforces gendered, racialized exclusion. These policies reflect climate colonialism and deepen exploitation without accountability.</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 xml:space="preserve">Women with Disabilities and Access to </w:t>
      </w:r>
      <w:proofErr w:type="gramStart"/>
      <w:r w:rsidRPr="009C4D4F">
        <w:rPr>
          <w:rFonts w:ascii="Times New Roman" w:hAnsi="Times New Roman" w:cs="Times New Roman"/>
          <w:sz w:val="24"/>
          <w:szCs w:val="24"/>
        </w:rPr>
        <w:t>Justice</w:t>
      </w:r>
      <w:proofErr w:type="gramEnd"/>
      <w:r w:rsidRPr="009C4D4F">
        <w:rPr>
          <w:rFonts w:ascii="Times New Roman" w:hAnsi="Times New Roman" w:cs="Times New Roman"/>
          <w:sz w:val="24"/>
          <w:szCs w:val="24"/>
        </w:rPr>
        <w:br/>
        <w:t>(Articles 5, 11, 13, 15; GR 18, 33)</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 xml:space="preserve">Women with disabilities in Thailand face systemic discrimination and barriers to justice, education, healthcare, and public services. Despite existing laws, implementation remains weak and </w:t>
      </w:r>
      <w:proofErr w:type="spellStart"/>
      <w:r w:rsidRPr="009C4D4F">
        <w:rPr>
          <w:rFonts w:ascii="Times New Roman" w:hAnsi="Times New Roman" w:cs="Times New Roman"/>
          <w:sz w:val="24"/>
          <w:szCs w:val="24"/>
        </w:rPr>
        <w:t>ableist</w:t>
      </w:r>
      <w:proofErr w:type="spellEnd"/>
      <w:r w:rsidRPr="009C4D4F">
        <w:rPr>
          <w:rFonts w:ascii="Times New Roman" w:hAnsi="Times New Roman" w:cs="Times New Roman"/>
          <w:sz w:val="24"/>
          <w:szCs w:val="24"/>
        </w:rPr>
        <w:t xml:space="preserve"> structures persist. Sexual violence is underreported due to stigma and lack of support.</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CEDAW must urge Thailand to shift from charity-based to rights-based approaches, ensure decentralization, and establish an independent disability rights body with real authority.</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 xml:space="preserve">Protection of WHRDs in Business and Human </w:t>
      </w:r>
      <w:proofErr w:type="gramStart"/>
      <w:r w:rsidRPr="009C4D4F">
        <w:rPr>
          <w:rFonts w:ascii="Times New Roman" w:hAnsi="Times New Roman" w:cs="Times New Roman"/>
          <w:sz w:val="24"/>
          <w:szCs w:val="24"/>
        </w:rPr>
        <w:t>Rights</w:t>
      </w:r>
      <w:proofErr w:type="gramEnd"/>
      <w:r w:rsidRPr="009C4D4F">
        <w:rPr>
          <w:rFonts w:ascii="Times New Roman" w:hAnsi="Times New Roman" w:cs="Times New Roman"/>
          <w:sz w:val="24"/>
          <w:szCs w:val="24"/>
        </w:rPr>
        <w:br/>
        <w:t>(Articles 2, 3, 6, 7, 11; GRs 28, 33)</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Thailand’s National Action Plan on Business and Human Rights (NAP) names HRD protection as a pillar but remains non-binding, with no enforcement or redress. WHRDs defending land, environment, and rights face SLAPPs and reprisals by state and corporate actors. The Ministry of Justice must align NAP implementation with CEDAW obligations and ensure legal protection for WHRDs in high-risk sectors like mining, energy, and agribusiness.</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 xml:space="preserve">Gender-Based Violence and Legal </w:t>
      </w:r>
      <w:proofErr w:type="gramStart"/>
      <w:r w:rsidRPr="009C4D4F">
        <w:rPr>
          <w:rFonts w:ascii="Times New Roman" w:hAnsi="Times New Roman" w:cs="Times New Roman"/>
          <w:sz w:val="24"/>
          <w:szCs w:val="24"/>
        </w:rPr>
        <w:t>Reform</w:t>
      </w:r>
      <w:proofErr w:type="gramEnd"/>
      <w:r w:rsidRPr="009C4D4F">
        <w:rPr>
          <w:rFonts w:ascii="Times New Roman" w:hAnsi="Times New Roman" w:cs="Times New Roman"/>
          <w:sz w:val="24"/>
          <w:szCs w:val="24"/>
        </w:rPr>
        <w:br/>
        <w:t>(Articles 2, 5; GRs 19, 35)</w:t>
      </w:r>
    </w:p>
    <w:p w:rsidR="0000286A" w:rsidRPr="009C4D4F" w:rsidRDefault="0000286A" w:rsidP="009C4D4F">
      <w:pPr>
        <w:rPr>
          <w:rFonts w:ascii="Times New Roman" w:hAnsi="Times New Roman" w:cs="Times New Roman"/>
          <w:sz w:val="24"/>
          <w:szCs w:val="24"/>
        </w:rPr>
      </w:pPr>
      <w:r w:rsidRPr="009C4D4F">
        <w:rPr>
          <w:rFonts w:ascii="Times New Roman" w:hAnsi="Times New Roman" w:cs="Times New Roman"/>
          <w:sz w:val="24"/>
          <w:szCs w:val="24"/>
        </w:rPr>
        <w:t xml:space="preserve">Thailand’s 2007 domestic violence law prioritizes reconciliation over survivor safety, enabling impunity. A 2025 survivor-led bill calls for criminalization of abuse, an end to forced mediation, and real protections. Services like One Stop Crisis Centres remain inaccessible to many. CEDAW must urge Thailand to </w:t>
      </w:r>
      <w:proofErr w:type="spellStart"/>
      <w:r w:rsidRPr="009C4D4F">
        <w:rPr>
          <w:rFonts w:ascii="Times New Roman" w:hAnsi="Times New Roman" w:cs="Times New Roman"/>
          <w:sz w:val="24"/>
          <w:szCs w:val="24"/>
        </w:rPr>
        <w:t>center</w:t>
      </w:r>
      <w:proofErr w:type="spellEnd"/>
      <w:r w:rsidRPr="009C4D4F">
        <w:rPr>
          <w:rFonts w:ascii="Times New Roman" w:hAnsi="Times New Roman" w:cs="Times New Roman"/>
          <w:sz w:val="24"/>
          <w:szCs w:val="24"/>
        </w:rPr>
        <w:t xml:space="preserve"> survivor rights, not reconciliation, and reform laws to meet GRs 19 and 35.</w:t>
      </w:r>
    </w:p>
    <w:p w:rsidR="00753359" w:rsidRPr="009C4D4F" w:rsidRDefault="00753359" w:rsidP="009C4D4F">
      <w:pPr>
        <w:rPr>
          <w:rFonts w:ascii="Times New Roman" w:hAnsi="Times New Roman" w:cs="Times New Roman"/>
          <w:sz w:val="24"/>
          <w:szCs w:val="24"/>
        </w:rPr>
      </w:pPr>
      <w:r w:rsidRPr="009C4D4F">
        <w:rPr>
          <w:rFonts w:ascii="Times New Roman" w:hAnsi="Times New Roman" w:cs="Times New Roman"/>
          <w:sz w:val="24"/>
          <w:szCs w:val="24"/>
        </w:rPr>
        <w:t>Refugee Women in Thailand</w:t>
      </w:r>
      <w:r w:rsidRPr="009C4D4F">
        <w:rPr>
          <w:rFonts w:ascii="Times New Roman" w:hAnsi="Times New Roman" w:cs="Times New Roman"/>
          <w:sz w:val="24"/>
          <w:szCs w:val="24"/>
        </w:rPr>
        <w:br/>
        <w:t>Refugee women in Thailand face severe food insecurity and systemic neglect. Children under five receive only 53 Baht ($1.50) per month—just 5 cents a day—while others get 87 Baht ($2.40), far below survival needs. These cuts worsen already inadequate rations. Women, as primary caregivers, shoulder the burden of hunger, malnutrition, and care work without legal protection or the right to work. Thailand must urgently allow refugees to work legally, lift restrictions on cross-border aid to areas outside Burmese military control, and donors must restore and increase long-term funding to refugee and IDP communities.</w:t>
      </w:r>
    </w:p>
    <w:p w:rsidR="00283784" w:rsidRPr="009C4D4F" w:rsidRDefault="00283784" w:rsidP="009C4D4F">
      <w:pPr>
        <w:rPr>
          <w:rFonts w:ascii="Times New Roman" w:hAnsi="Times New Roman" w:cs="Times New Roman"/>
          <w:sz w:val="24"/>
          <w:szCs w:val="24"/>
        </w:rPr>
      </w:pPr>
      <w:r w:rsidRPr="009C4D4F">
        <w:rPr>
          <w:rFonts w:ascii="Times New Roman" w:hAnsi="Times New Roman" w:cs="Times New Roman"/>
          <w:sz w:val="24"/>
          <w:szCs w:val="24"/>
        </w:rPr>
        <w:t>Transboundary Pollution and Environmental Injustice Against Women</w:t>
      </w:r>
      <w:r w:rsidRPr="009C4D4F">
        <w:rPr>
          <w:rFonts w:ascii="Times New Roman" w:hAnsi="Times New Roman" w:cs="Times New Roman"/>
          <w:sz w:val="24"/>
          <w:szCs w:val="24"/>
        </w:rPr>
        <w:br/>
        <w:t xml:space="preserve">WHRDs and local communities in northern Thailand—especially women—are facing a worsening environmental crisis from suspected gold mining activities upstream in Myanmar, reportedly backed by Chinese investment. Recent Thai government tests confirmed arsenic contamination in the </w:t>
      </w:r>
      <w:proofErr w:type="spellStart"/>
      <w:r w:rsidRPr="009C4D4F">
        <w:rPr>
          <w:rFonts w:ascii="Times New Roman" w:hAnsi="Times New Roman" w:cs="Times New Roman"/>
          <w:sz w:val="24"/>
          <w:szCs w:val="24"/>
        </w:rPr>
        <w:t>Kok</w:t>
      </w:r>
      <w:proofErr w:type="spellEnd"/>
      <w:r w:rsidRPr="009C4D4F">
        <w:rPr>
          <w:rFonts w:ascii="Times New Roman" w:hAnsi="Times New Roman" w:cs="Times New Roman"/>
          <w:sz w:val="24"/>
          <w:szCs w:val="24"/>
        </w:rPr>
        <w:t xml:space="preserve"> River above legal limits, prompting warnings in Chiang Mai and Chiang Rai. Toxic waste—including heavy metals and possibly cyanide—flows into Thailand, </w:t>
      </w:r>
      <w:r w:rsidRPr="009C4D4F">
        <w:rPr>
          <w:rFonts w:ascii="Times New Roman" w:hAnsi="Times New Roman" w:cs="Times New Roman"/>
          <w:sz w:val="24"/>
          <w:szCs w:val="24"/>
        </w:rPr>
        <w:lastRenderedPageBreak/>
        <w:t>threatening health, water, and livelihoods. Women, as caregivers, farmers, and water users, bear the heaviest burden without protection or remedy. Thai authorities continue to delay action, citing cross-border limitations. CEDAW must urge Thailand to address transboundary pollution, protect affected women, and ensure environmental accountability.</w:t>
      </w:r>
    </w:p>
    <w:p w:rsidR="0011564E" w:rsidRPr="009C4D4F" w:rsidRDefault="0011564E" w:rsidP="009C4D4F">
      <w:pPr>
        <w:rPr>
          <w:rFonts w:ascii="Times New Roman" w:hAnsi="Times New Roman" w:cs="Times New Roman"/>
          <w:sz w:val="24"/>
          <w:szCs w:val="24"/>
        </w:rPr>
      </w:pPr>
      <w:r w:rsidRPr="009C4D4F">
        <w:rPr>
          <w:rFonts w:ascii="Times New Roman" w:hAnsi="Times New Roman" w:cs="Times New Roman"/>
          <w:sz w:val="24"/>
          <w:szCs w:val="24"/>
        </w:rPr>
        <w:t>Corporate Power, SLAPPs, and Gendered Reprisals in Thailand</w:t>
      </w:r>
    </w:p>
    <w:p w:rsidR="0011564E" w:rsidRPr="009C4D4F" w:rsidRDefault="0011564E" w:rsidP="009C4D4F">
      <w:pPr>
        <w:rPr>
          <w:rFonts w:ascii="Times New Roman" w:hAnsi="Times New Roman" w:cs="Times New Roman"/>
          <w:sz w:val="24"/>
          <w:szCs w:val="24"/>
        </w:rPr>
      </w:pPr>
      <w:r w:rsidRPr="009C4D4F">
        <w:rPr>
          <w:rFonts w:ascii="Times New Roman" w:hAnsi="Times New Roman" w:cs="Times New Roman"/>
          <w:sz w:val="24"/>
          <w:szCs w:val="24"/>
        </w:rPr>
        <w:t>(CEDAW Articles 2, 3, 7, 11; GRs 23, 33, 34)</w:t>
      </w:r>
    </w:p>
    <w:p w:rsidR="000A203A" w:rsidRPr="009C4D4F" w:rsidRDefault="000A203A" w:rsidP="009C4D4F">
      <w:pPr>
        <w:rPr>
          <w:rFonts w:ascii="Times New Roman" w:hAnsi="Times New Roman" w:cs="Times New Roman"/>
          <w:sz w:val="24"/>
          <w:szCs w:val="24"/>
        </w:rPr>
      </w:pPr>
      <w:r w:rsidRPr="009C4D4F">
        <w:rPr>
          <w:rFonts w:ascii="Times New Roman" w:hAnsi="Times New Roman" w:cs="Times New Roman"/>
          <w:sz w:val="24"/>
          <w:szCs w:val="24"/>
        </w:rPr>
        <w:t>SLAPPs, Corporate Power, and Shrinking Civic Space</w:t>
      </w:r>
      <w:r w:rsidRPr="009C4D4F">
        <w:rPr>
          <w:rFonts w:ascii="Times New Roman" w:hAnsi="Times New Roman" w:cs="Times New Roman"/>
          <w:sz w:val="24"/>
          <w:szCs w:val="24"/>
        </w:rPr>
        <w:br/>
        <w:t>WHRDs and HRDs in Thailand face growing threats from SLAPPs weaponized by corporate actors to silence public advocacy. After a biodiversity NGO exposed environmental harm linked to aquaculture, its male leader was hit with lawsuits aimed at suppressing transparency and civic action. In a media landscape dominated by corporate control, WHRDs—especially in food, health, and biodiversity sectors—are disproportionately silenced, deepening gender inequality and shrinking democratic space.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Recommendations to the CEDAW Committee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In light of Thailand’s continued failure to protect </w:t>
      </w:r>
      <w:r w:rsidR="000A7475" w:rsidRPr="009C4D4F">
        <w:rPr>
          <w:rFonts w:ascii="Times New Roman" w:hAnsi="Times New Roman" w:cs="Times New Roman"/>
          <w:sz w:val="24"/>
          <w:szCs w:val="24"/>
        </w:rPr>
        <w:t xml:space="preserve">WHRDs </w:t>
      </w:r>
      <w:r w:rsidRPr="009C4D4F">
        <w:rPr>
          <w:rFonts w:ascii="Times New Roman" w:hAnsi="Times New Roman" w:cs="Times New Roman"/>
          <w:sz w:val="24"/>
          <w:szCs w:val="24"/>
        </w:rPr>
        <w:t xml:space="preserve"> and marginalized groups—and in reference to Articles 1–16 of the Convention and General Recommendations Nos. 18, 19, 23, 28, 33, 34, and 35—the CEDAW Committee is urged to recommend that the Thai government:</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 Legally Recognize and Protect WHRDs and HRDs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Enact binding legislation recognizing WHRDs and HRDs as rights-holders under international human rights law.</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Guarantee their protection from retaliation, ensure access to justice, and enable full participation in public and political life.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Institutionalize WHRD recognition across gender, justice, environment, and business laws, with dedicated resources, oversight, and implementation mechanisms.</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2. Criminalize SLAPPs and End Judicial Harassment</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Enact anti-SLAPP legislation with clear provisions for dismissal and sanctions against malicious use of the legal system.</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Mandate courts to apply Criminal Procedure</w:t>
      </w:r>
      <w:r w:rsidR="00964AC8" w:rsidRPr="009C4D4F">
        <w:rPr>
          <w:rFonts w:ascii="Times New Roman" w:hAnsi="Times New Roman" w:cs="Times New Roman"/>
          <w:sz w:val="24"/>
          <w:szCs w:val="24"/>
        </w:rPr>
        <w:t xml:space="preserve"> Code Article 161/1 to protect </w:t>
      </w:r>
      <w:r w:rsidRPr="009C4D4F">
        <w:rPr>
          <w:rFonts w:ascii="Times New Roman" w:hAnsi="Times New Roman" w:cs="Times New Roman"/>
          <w:sz w:val="24"/>
          <w:szCs w:val="24"/>
        </w:rPr>
        <w:t>HRDs from bad-faith prosecutions.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Establish independent monitoring and reparations mechanisms for victims of judicial harassment.</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3. Ensure Rights-Based Access to Justice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Reform the Justice Fund by removing discriminatory criteria such as poverty verification, guarantors, and moral screening.</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Establish gender-sensitive and rights-based eligibility criteria in line with GR 33.</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Ensure WHRD representation in the governance and oversight of the Justice Fund to promote transparency and accountability.</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4. Enforce Corporate Accountability and Human Rights Due Diligence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Legally require all companies to conduct gender-sensitive human rights due diligence in line with the UN Guiding Principles on Busine</w:t>
      </w:r>
      <w:r w:rsidR="005C2020" w:rsidRPr="009C4D4F">
        <w:rPr>
          <w:rFonts w:ascii="Times New Roman" w:hAnsi="Times New Roman" w:cs="Times New Roman"/>
          <w:sz w:val="24"/>
          <w:szCs w:val="24"/>
        </w:rPr>
        <w:t xml:space="preserve">ss and </w:t>
      </w:r>
      <w:proofErr w:type="spellStart"/>
      <w:r w:rsidR="005C2020" w:rsidRPr="009C4D4F">
        <w:rPr>
          <w:rFonts w:ascii="Times New Roman" w:hAnsi="Times New Roman" w:cs="Times New Roman"/>
          <w:sz w:val="24"/>
          <w:szCs w:val="24"/>
        </w:rPr>
        <w:t>HRs.</w:t>
      </w:r>
      <w:proofErr w:type="spellEnd"/>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Penalize companies involved in reprisals or environmental harm.</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Transform Thailand’s </w:t>
      </w:r>
      <w:r w:rsidR="005C2020" w:rsidRPr="009C4D4F">
        <w:rPr>
          <w:rFonts w:ascii="Times New Roman" w:hAnsi="Times New Roman" w:cs="Times New Roman"/>
          <w:sz w:val="24"/>
          <w:szCs w:val="24"/>
        </w:rPr>
        <w:t>NAP on Business and HRs</w:t>
      </w:r>
      <w:r w:rsidRPr="009C4D4F">
        <w:rPr>
          <w:rFonts w:ascii="Times New Roman" w:hAnsi="Times New Roman" w:cs="Times New Roman"/>
          <w:sz w:val="24"/>
          <w:szCs w:val="24"/>
        </w:rPr>
        <w:t xml:space="preserve"> into binding law with enforceable remedies.</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5. Address Corporate Power and Media Capture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Criminalize SLAPPs used by corporate actors to silence defenders and public participation.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Guarantee freedom of expression and protect access to public interest information.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Regulate media concentration to prevent corporate influence over public discourse and civic space.</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6. Ensure WHRD Leadership in Environmental and Land Governance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Guarantee WHRD representation in national and subnational climate, mining, and land policy bodies.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Enforce Free, Prior, and Informed Consent (FPIC), especially for Indigenous, rural, and conflict-affected women.</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7. Recognize and Compensate Unpaid Care Work</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Constitutionally recognize care work as essential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Guarantee a care income through national protection schemes and feminist economic policies.</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8. Decriminalize Sex Work and Uphold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Rights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Repeal the 1996 Prostitution Act.</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Enact the Protection of Sex Workers Bill to secure rights, safety, and protections against abuse and discrimination.</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9. Recognize Indigenous Peoples and End Climate Colonialism</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Legally recognize Indigenous Peoples and uphold their land, identity, and cultural rights.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End carbon offset projects that displace Indigenous women and deny FPIC.</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Establish grievance mechanisms co-designed with Indigenous WHRDs and affected communities.</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10. Advance Disability Justice</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Ensure all ministries and infrastructure adopt disability-inclusive policies and practices.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Legally recognize psychosocial and mental disabilities.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Establish an independent, rights-based disability agency with support for localized governance and feminist accountability.</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11. Reform Domestic Violence Laws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Replace the 2007 Domestic Violence Act with survivor-</w:t>
      </w:r>
      <w:proofErr w:type="spellStart"/>
      <w:r w:rsidRPr="009C4D4F">
        <w:rPr>
          <w:rFonts w:ascii="Times New Roman" w:hAnsi="Times New Roman" w:cs="Times New Roman"/>
          <w:sz w:val="24"/>
          <w:szCs w:val="24"/>
        </w:rPr>
        <w:t>centered</w:t>
      </w:r>
      <w:proofErr w:type="spellEnd"/>
      <w:r w:rsidRPr="009C4D4F">
        <w:rPr>
          <w:rFonts w:ascii="Times New Roman" w:hAnsi="Times New Roman" w:cs="Times New Roman"/>
          <w:sz w:val="24"/>
          <w:szCs w:val="24"/>
        </w:rPr>
        <w:t xml:space="preserve"> legislation that criminalizes abuse and prohibits forced mediation.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Fully implement the survivor-led bill submitted in April 2025 in line with GRs 19 and 35.</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12. Restore Independence and Feminist Mandate of the NHRCT</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End collaboration between the NHRCT and state security forces.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Equip the NHRCT with the authority and capacity to monitor reprisals against WHRDs using a feminist, intersectional lens.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Sustain long-term engagement with grassroots defenders, including the Community-Based WHRDs Collective of Thailand.</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13. Respond to Transboundary Environmental Harm</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Recognize and protect women’s environmental and water rights across borders.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Ensure affected communities are prioritized in bilateral negotiations.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Monitor and prevent toxic pollution in line with women’s rights to health, safety, and a clean environment.</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14. Protect Refugee Women’s Rights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Ensure refugee women’s equal access to food, healthcare, legal aid, education, and reproductive rights.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Grant formal work rights to refugees with strong safeguards against gender-based exploitation.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Urge international donors to restore funding for refugee and internally displaced communities.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Lift cross-border aid restrictions to ensure humanitarian assistance reaches women in non-state-controlled areas.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Include refugee women in national development, protection, and climate adaptation plans.</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15. Stop the </w:t>
      </w:r>
      <w:proofErr w:type="spellStart"/>
      <w:r w:rsidRPr="009C4D4F">
        <w:rPr>
          <w:rFonts w:ascii="Times New Roman" w:hAnsi="Times New Roman" w:cs="Times New Roman"/>
          <w:sz w:val="24"/>
          <w:szCs w:val="24"/>
        </w:rPr>
        <w:t>Krong</w:t>
      </w:r>
      <w:proofErr w:type="spellEnd"/>
      <w:r w:rsidRPr="009C4D4F">
        <w:rPr>
          <w:rFonts w:ascii="Times New Roman" w:hAnsi="Times New Roman" w:cs="Times New Roman"/>
          <w:sz w:val="24"/>
          <w:szCs w:val="24"/>
        </w:rPr>
        <w:t xml:space="preserve"> Pinang Floodgate and Uphold the Rights of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Women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CEDAW should urge Thailand to:</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Immediately suspend the </w:t>
      </w:r>
      <w:proofErr w:type="spellStart"/>
      <w:r w:rsidRPr="009C4D4F">
        <w:rPr>
          <w:rFonts w:ascii="Times New Roman" w:hAnsi="Times New Roman" w:cs="Times New Roman"/>
          <w:sz w:val="24"/>
          <w:szCs w:val="24"/>
        </w:rPr>
        <w:t>Krong</w:t>
      </w:r>
      <w:proofErr w:type="spellEnd"/>
      <w:r w:rsidRPr="009C4D4F">
        <w:rPr>
          <w:rFonts w:ascii="Times New Roman" w:hAnsi="Times New Roman" w:cs="Times New Roman"/>
          <w:sz w:val="24"/>
          <w:szCs w:val="24"/>
        </w:rPr>
        <w:t xml:space="preserve"> Pinang floodgate project until transparent, gender-sensitive consultations are conducted.</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Recognize and protect the rights of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xml:space="preserve"> WHRDs defending rivers, land, and cultural identity.</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Apply FPIC and environmental justice frameworks equally in conflict-affected and Muslim-majority regions.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Ensure women’s voices guide all water governance and infrastructure planning in the Deep South.</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This is not only a fight for a river. It is a fight for memory, dignity, and justice.</w:t>
      </w:r>
    </w:p>
    <w:p w:rsidR="009356D8" w:rsidRPr="009C4D4F" w:rsidRDefault="009356D8" w:rsidP="009C4D4F">
      <w:pPr>
        <w:rPr>
          <w:rFonts w:ascii="Times New Roman" w:hAnsi="Times New Roman" w:cs="Times New Roman"/>
          <w:sz w:val="24"/>
          <w:szCs w:val="24"/>
        </w:rPr>
      </w:pP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A Call to Action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WHRDs in Thailand—whether defending land, </w:t>
      </w:r>
      <w:proofErr w:type="spellStart"/>
      <w:r w:rsidRPr="009C4D4F">
        <w:rPr>
          <w:rFonts w:ascii="Times New Roman" w:hAnsi="Times New Roman" w:cs="Times New Roman"/>
          <w:sz w:val="24"/>
          <w:szCs w:val="24"/>
        </w:rPr>
        <w:t>labor</w:t>
      </w:r>
      <w:proofErr w:type="spellEnd"/>
      <w:r w:rsidRPr="009C4D4F">
        <w:rPr>
          <w:rFonts w:ascii="Times New Roman" w:hAnsi="Times New Roman" w:cs="Times New Roman"/>
          <w:sz w:val="24"/>
          <w:szCs w:val="24"/>
        </w:rPr>
        <w:t xml:space="preserve">, rivers, care, or democracy—are building a future rooted in justice, solidarity, and survival. Their struggles must not be silenced or </w:t>
      </w:r>
      <w:proofErr w:type="spellStart"/>
      <w:r w:rsidRPr="009C4D4F">
        <w:rPr>
          <w:rFonts w:ascii="Times New Roman" w:hAnsi="Times New Roman" w:cs="Times New Roman"/>
          <w:sz w:val="24"/>
          <w:szCs w:val="24"/>
        </w:rPr>
        <w:t>sidelined</w:t>
      </w:r>
      <w:proofErr w:type="spellEnd"/>
      <w:r w:rsidRPr="009C4D4F">
        <w:rPr>
          <w:rFonts w:ascii="Times New Roman" w:hAnsi="Times New Roman" w:cs="Times New Roman"/>
          <w:sz w:val="24"/>
          <w:szCs w:val="24"/>
        </w:rPr>
        <w:t>.</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The CEDAW Committee must urge Thailand to:</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Enact binding protections for WHRDs and HRDs;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Ensure equal, rights-based access to justice and end all forms of retaliation;</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Regulate corporate and state abuse of power;</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lastRenderedPageBreak/>
        <w:t>Deliver gender-sensitive remedies for environmental, economic, and political harm;</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 xml:space="preserve">Protect the rights of refugee, Indigenous, </w:t>
      </w:r>
      <w:proofErr w:type="spellStart"/>
      <w:r w:rsidRPr="009C4D4F">
        <w:rPr>
          <w:rFonts w:ascii="Times New Roman" w:hAnsi="Times New Roman" w:cs="Times New Roman"/>
          <w:sz w:val="24"/>
          <w:szCs w:val="24"/>
        </w:rPr>
        <w:t>Malayu</w:t>
      </w:r>
      <w:proofErr w:type="spellEnd"/>
      <w:r w:rsidRPr="009C4D4F">
        <w:rPr>
          <w:rFonts w:ascii="Times New Roman" w:hAnsi="Times New Roman" w:cs="Times New Roman"/>
          <w:sz w:val="24"/>
          <w:szCs w:val="24"/>
        </w:rPr>
        <w:t>, disabled, and marginalized women in all policies and programs.</w:t>
      </w:r>
    </w:p>
    <w:p w:rsidR="009356D8" w:rsidRPr="009C4D4F" w:rsidRDefault="009356D8" w:rsidP="009C4D4F">
      <w:pPr>
        <w:rPr>
          <w:rFonts w:ascii="Times New Roman" w:hAnsi="Times New Roman" w:cs="Times New Roman"/>
          <w:sz w:val="24"/>
          <w:szCs w:val="24"/>
        </w:rPr>
      </w:pPr>
      <w:r w:rsidRPr="009C4D4F">
        <w:rPr>
          <w:rFonts w:ascii="Times New Roman" w:hAnsi="Times New Roman" w:cs="Times New Roman"/>
          <w:sz w:val="24"/>
          <w:szCs w:val="24"/>
        </w:rPr>
        <w:t>Justice cannot wait. Silence is not safety. WHRDs must be safeguarded in their own right.</w:t>
      </w:r>
      <w:r w:rsidRPr="009C4D4F">
        <w:rPr>
          <w:rFonts w:ascii="Times New Roman" w:hAnsi="Times New Roman" w:cs="Times New Roman"/>
          <w:sz w:val="24"/>
          <w:szCs w:val="24"/>
        </w:rPr>
        <w:br/>
        <w:t>Protecting them is not only a legal obligation—it is a moral imperative.</w:t>
      </w:r>
    </w:p>
    <w:p w:rsidR="00F315B4" w:rsidRPr="009C4D4F" w:rsidRDefault="00F315B4" w:rsidP="009C4D4F">
      <w:pPr>
        <w:rPr>
          <w:rFonts w:ascii="Times New Roman" w:hAnsi="Times New Roman" w:cs="Times New Roman"/>
          <w:sz w:val="24"/>
          <w:szCs w:val="24"/>
        </w:rPr>
      </w:pPr>
    </w:p>
    <w:sectPr w:rsidR="00F315B4" w:rsidRPr="009C4D4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4B2" w:rsidRDefault="007E04B2" w:rsidP="008E1E72">
      <w:pPr>
        <w:spacing w:after="0" w:line="240" w:lineRule="auto"/>
      </w:pPr>
      <w:r>
        <w:separator/>
      </w:r>
    </w:p>
  </w:endnote>
  <w:endnote w:type="continuationSeparator" w:id="0">
    <w:p w:rsidR="007E04B2" w:rsidRDefault="007E04B2" w:rsidP="008E1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2294385"/>
      <w:docPartObj>
        <w:docPartGallery w:val="Page Numbers (Bottom of Page)"/>
        <w:docPartUnique/>
      </w:docPartObj>
    </w:sdtPr>
    <w:sdtEndPr>
      <w:rPr>
        <w:noProof/>
      </w:rPr>
    </w:sdtEndPr>
    <w:sdtContent>
      <w:p w:rsidR="002D7ABE" w:rsidRDefault="002D7ABE">
        <w:pPr>
          <w:pStyle w:val="Footer"/>
          <w:jc w:val="right"/>
        </w:pPr>
        <w:r>
          <w:fldChar w:fldCharType="begin"/>
        </w:r>
        <w:r>
          <w:instrText xml:space="preserve"> PAGE   \* MERGEFORMAT </w:instrText>
        </w:r>
        <w:r>
          <w:fldChar w:fldCharType="separate"/>
        </w:r>
        <w:r w:rsidR="0089009A">
          <w:rPr>
            <w:noProof/>
          </w:rPr>
          <w:t>4</w:t>
        </w:r>
        <w:r>
          <w:rPr>
            <w:noProof/>
          </w:rPr>
          <w:fldChar w:fldCharType="end"/>
        </w:r>
      </w:p>
    </w:sdtContent>
  </w:sdt>
  <w:p w:rsidR="002D7ABE" w:rsidRDefault="002D7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4B2" w:rsidRDefault="007E04B2" w:rsidP="008E1E72">
      <w:pPr>
        <w:spacing w:after="0" w:line="240" w:lineRule="auto"/>
      </w:pPr>
      <w:r>
        <w:separator/>
      </w:r>
    </w:p>
  </w:footnote>
  <w:footnote w:type="continuationSeparator" w:id="0">
    <w:p w:rsidR="007E04B2" w:rsidRDefault="007E04B2" w:rsidP="008E1E72">
      <w:pPr>
        <w:spacing w:after="0" w:line="240" w:lineRule="auto"/>
      </w:pPr>
      <w:r>
        <w:continuationSeparator/>
      </w:r>
    </w:p>
  </w:footnote>
  <w:footnote w:id="1">
    <w:p w:rsidR="00CD6202" w:rsidRPr="00CD6202" w:rsidRDefault="00CD6202">
      <w:pPr>
        <w:pStyle w:val="FootnoteText"/>
      </w:pPr>
      <w:r>
        <w:rPr>
          <w:rStyle w:val="FootnoteReference"/>
        </w:rPr>
        <w:footnoteRef/>
      </w:r>
      <w:r>
        <w:t xml:space="preserve"> </w:t>
      </w:r>
      <w:r w:rsidRPr="00CD6202">
        <w:t>https://globalwomenstrike.net/careincomenow/</w:t>
      </w:r>
    </w:p>
  </w:footnote>
  <w:footnote w:id="2">
    <w:p w:rsidR="00935DCC" w:rsidRPr="00935DCC" w:rsidRDefault="00935DCC">
      <w:pPr>
        <w:pStyle w:val="FootnoteText"/>
        <w:rPr>
          <w:lang w:val="en-US"/>
        </w:rPr>
      </w:pPr>
      <w:r>
        <w:rPr>
          <w:rStyle w:val="FootnoteReference"/>
        </w:rPr>
        <w:footnoteRef/>
      </w:r>
      <w:r>
        <w:t xml:space="preserve"> </w:t>
      </w:r>
      <w:r w:rsidRPr="00F361C6">
        <w:rPr>
          <w:rStyle w:val="Strong"/>
          <w:b w:val="0"/>
          <w:bCs w:val="0"/>
          <w:sz w:val="16"/>
          <w:szCs w:val="16"/>
        </w:rPr>
        <w:t xml:space="preserve">Report: Resistance is Power – Strengthening Protection Mechanisms for Women Human Rights Defenders in Thailand </w:t>
      </w:r>
      <w:r w:rsidRPr="00F361C6">
        <w:rPr>
          <w:b/>
          <w:bCs/>
          <w:sz w:val="16"/>
          <w:szCs w:val="16"/>
        </w:rPr>
        <w:t xml:space="preserve">By </w:t>
      </w:r>
      <w:r w:rsidRPr="00F361C6">
        <w:rPr>
          <w:rStyle w:val="Strong"/>
          <w:b w:val="0"/>
          <w:bCs w:val="0"/>
          <w:sz w:val="16"/>
          <w:szCs w:val="16"/>
        </w:rPr>
        <w:t>Protection International Thailand</w:t>
      </w:r>
      <w:r w:rsidRPr="00F361C6">
        <w:rPr>
          <w:b/>
          <w:bCs/>
          <w:sz w:val="16"/>
          <w:szCs w:val="16"/>
        </w:rPr>
        <w:t xml:space="preserve">, </w:t>
      </w:r>
      <w:r w:rsidRPr="00F361C6">
        <w:rPr>
          <w:sz w:val="16"/>
          <w:szCs w:val="16"/>
        </w:rPr>
        <w:t>supported by the</w:t>
      </w:r>
      <w:r w:rsidRPr="00F361C6">
        <w:rPr>
          <w:b/>
          <w:bCs/>
          <w:sz w:val="16"/>
          <w:szCs w:val="16"/>
        </w:rPr>
        <w:t xml:space="preserve"> </w:t>
      </w:r>
      <w:r w:rsidRPr="00F361C6">
        <w:rPr>
          <w:rStyle w:val="Strong"/>
          <w:b w:val="0"/>
          <w:bCs w:val="0"/>
          <w:sz w:val="16"/>
          <w:szCs w:val="16"/>
        </w:rPr>
        <w:t xml:space="preserve"> British Embassy Bangkok https://drive.google.com/drive/folders/1UOVWsH4ITkS6SJEdwZpXapkO3ZyswiXn?usp=sharing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45F"/>
    <w:rsid w:val="0000286A"/>
    <w:rsid w:val="000231C1"/>
    <w:rsid w:val="000460A8"/>
    <w:rsid w:val="00057B27"/>
    <w:rsid w:val="00084718"/>
    <w:rsid w:val="000A0A93"/>
    <w:rsid w:val="000A203A"/>
    <w:rsid w:val="000A4D57"/>
    <w:rsid w:val="000A7475"/>
    <w:rsid w:val="000B2BC8"/>
    <w:rsid w:val="000E160F"/>
    <w:rsid w:val="0011564E"/>
    <w:rsid w:val="00116947"/>
    <w:rsid w:val="001208ED"/>
    <w:rsid w:val="001414AB"/>
    <w:rsid w:val="00182932"/>
    <w:rsid w:val="00185F8F"/>
    <w:rsid w:val="00192D08"/>
    <w:rsid w:val="001A74A2"/>
    <w:rsid w:val="001B2B3D"/>
    <w:rsid w:val="002552F7"/>
    <w:rsid w:val="00264D77"/>
    <w:rsid w:val="00283784"/>
    <w:rsid w:val="002B003E"/>
    <w:rsid w:val="002D5390"/>
    <w:rsid w:val="002D7ABE"/>
    <w:rsid w:val="00326087"/>
    <w:rsid w:val="003462A6"/>
    <w:rsid w:val="0039326F"/>
    <w:rsid w:val="003B661B"/>
    <w:rsid w:val="003C68F6"/>
    <w:rsid w:val="00405CA8"/>
    <w:rsid w:val="00420DEC"/>
    <w:rsid w:val="004338DA"/>
    <w:rsid w:val="00483941"/>
    <w:rsid w:val="004D2386"/>
    <w:rsid w:val="00535447"/>
    <w:rsid w:val="00535997"/>
    <w:rsid w:val="00554247"/>
    <w:rsid w:val="00563ACE"/>
    <w:rsid w:val="005C2020"/>
    <w:rsid w:val="005E20F0"/>
    <w:rsid w:val="005F6D19"/>
    <w:rsid w:val="00625E91"/>
    <w:rsid w:val="00643EEC"/>
    <w:rsid w:val="006501D9"/>
    <w:rsid w:val="006B135A"/>
    <w:rsid w:val="006B2531"/>
    <w:rsid w:val="006C1D9F"/>
    <w:rsid w:val="0071602F"/>
    <w:rsid w:val="00723C82"/>
    <w:rsid w:val="00753359"/>
    <w:rsid w:val="007D01DD"/>
    <w:rsid w:val="007D4C1C"/>
    <w:rsid w:val="007E04B2"/>
    <w:rsid w:val="007E6D60"/>
    <w:rsid w:val="007F48AC"/>
    <w:rsid w:val="0080526F"/>
    <w:rsid w:val="0081700A"/>
    <w:rsid w:val="00823226"/>
    <w:rsid w:val="00823BB5"/>
    <w:rsid w:val="00824021"/>
    <w:rsid w:val="00832D2D"/>
    <w:rsid w:val="008361B9"/>
    <w:rsid w:val="00842C00"/>
    <w:rsid w:val="00862011"/>
    <w:rsid w:val="00863270"/>
    <w:rsid w:val="00870B24"/>
    <w:rsid w:val="00871D69"/>
    <w:rsid w:val="008874A4"/>
    <w:rsid w:val="0089009A"/>
    <w:rsid w:val="008B22A2"/>
    <w:rsid w:val="008B6BC7"/>
    <w:rsid w:val="008C382F"/>
    <w:rsid w:val="008D46F3"/>
    <w:rsid w:val="008E1E72"/>
    <w:rsid w:val="008E2FB4"/>
    <w:rsid w:val="008E4ABB"/>
    <w:rsid w:val="008E629C"/>
    <w:rsid w:val="00921B07"/>
    <w:rsid w:val="009356D8"/>
    <w:rsid w:val="00935DCC"/>
    <w:rsid w:val="00940E15"/>
    <w:rsid w:val="00964AC8"/>
    <w:rsid w:val="009A145F"/>
    <w:rsid w:val="009C4D4F"/>
    <w:rsid w:val="009E6CD4"/>
    <w:rsid w:val="009F4D0A"/>
    <w:rsid w:val="009F637F"/>
    <w:rsid w:val="00A0643B"/>
    <w:rsid w:val="00A2217A"/>
    <w:rsid w:val="00A320E1"/>
    <w:rsid w:val="00A357CA"/>
    <w:rsid w:val="00A74121"/>
    <w:rsid w:val="00A81D92"/>
    <w:rsid w:val="00AA4626"/>
    <w:rsid w:val="00AB201F"/>
    <w:rsid w:val="00AB464F"/>
    <w:rsid w:val="00B27288"/>
    <w:rsid w:val="00B45B82"/>
    <w:rsid w:val="00B747EC"/>
    <w:rsid w:val="00B75216"/>
    <w:rsid w:val="00B976CB"/>
    <w:rsid w:val="00B97C4F"/>
    <w:rsid w:val="00BA3E49"/>
    <w:rsid w:val="00BE0CD3"/>
    <w:rsid w:val="00C744BE"/>
    <w:rsid w:val="00C75C5E"/>
    <w:rsid w:val="00C85C04"/>
    <w:rsid w:val="00CD6202"/>
    <w:rsid w:val="00CE14F3"/>
    <w:rsid w:val="00D02359"/>
    <w:rsid w:val="00D3492E"/>
    <w:rsid w:val="00D75C3D"/>
    <w:rsid w:val="00D945C7"/>
    <w:rsid w:val="00DA3C3F"/>
    <w:rsid w:val="00DD4E9C"/>
    <w:rsid w:val="00DF6560"/>
    <w:rsid w:val="00E5695D"/>
    <w:rsid w:val="00E75992"/>
    <w:rsid w:val="00E8759B"/>
    <w:rsid w:val="00EA76F3"/>
    <w:rsid w:val="00EE7EBA"/>
    <w:rsid w:val="00F04362"/>
    <w:rsid w:val="00F11009"/>
    <w:rsid w:val="00F315B4"/>
    <w:rsid w:val="00F361C6"/>
    <w:rsid w:val="00F7098B"/>
    <w:rsid w:val="00FF726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383D1"/>
  <w15:chartTrackingRefBased/>
  <w15:docId w15:val="{B10B1F0A-E9B5-4835-A7E4-4533CB22D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DD4E9C"/>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link w:val="Heading3Char"/>
    <w:uiPriority w:val="9"/>
    <w:qFormat/>
    <w:rsid w:val="00563ACE"/>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1E7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E1E72"/>
    <w:rPr>
      <w:sz w:val="20"/>
      <w:szCs w:val="25"/>
      <w:lang w:val="en-GB"/>
    </w:rPr>
  </w:style>
  <w:style w:type="character" w:styleId="FootnoteReference">
    <w:name w:val="footnote reference"/>
    <w:basedOn w:val="DefaultParagraphFont"/>
    <w:uiPriority w:val="99"/>
    <w:semiHidden/>
    <w:unhideWhenUsed/>
    <w:rsid w:val="008E1E72"/>
    <w:rPr>
      <w:vertAlign w:val="superscript"/>
    </w:rPr>
  </w:style>
  <w:style w:type="paragraph" w:styleId="NormalWeb">
    <w:name w:val="Normal (Web)"/>
    <w:basedOn w:val="Normal"/>
    <w:uiPriority w:val="99"/>
    <w:unhideWhenUsed/>
    <w:rsid w:val="008E1E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E1E72"/>
    <w:rPr>
      <w:b/>
      <w:bCs/>
    </w:rPr>
  </w:style>
  <w:style w:type="character" w:styleId="Hyperlink">
    <w:name w:val="Hyperlink"/>
    <w:basedOn w:val="DefaultParagraphFont"/>
    <w:uiPriority w:val="99"/>
    <w:unhideWhenUsed/>
    <w:rsid w:val="008E2FB4"/>
    <w:rPr>
      <w:color w:val="0000FF"/>
      <w:u w:val="single"/>
    </w:rPr>
  </w:style>
  <w:style w:type="paragraph" w:styleId="ListParagraph">
    <w:name w:val="List Paragraph"/>
    <w:basedOn w:val="Normal"/>
    <w:uiPriority w:val="34"/>
    <w:qFormat/>
    <w:rsid w:val="00DD4E9C"/>
    <w:pPr>
      <w:ind w:left="720"/>
      <w:contextualSpacing/>
    </w:pPr>
    <w:rPr>
      <w:szCs w:val="22"/>
      <w:lang w:val="en-US" w:bidi="ar-SA"/>
    </w:rPr>
  </w:style>
  <w:style w:type="character" w:customStyle="1" w:styleId="Heading2Char">
    <w:name w:val="Heading 2 Char"/>
    <w:basedOn w:val="DefaultParagraphFont"/>
    <w:link w:val="Heading2"/>
    <w:uiPriority w:val="9"/>
    <w:rsid w:val="00DD4E9C"/>
    <w:rPr>
      <w:rFonts w:asciiTheme="majorHAnsi" w:eastAsiaTheme="majorEastAsia" w:hAnsiTheme="majorHAnsi" w:cstheme="majorBidi"/>
      <w:color w:val="2F5496" w:themeColor="accent1" w:themeShade="BF"/>
      <w:sz w:val="26"/>
      <w:szCs w:val="33"/>
      <w:lang w:val="en-GB"/>
    </w:rPr>
  </w:style>
  <w:style w:type="paragraph" w:styleId="Header">
    <w:name w:val="header"/>
    <w:basedOn w:val="Normal"/>
    <w:link w:val="HeaderChar"/>
    <w:uiPriority w:val="99"/>
    <w:unhideWhenUsed/>
    <w:rsid w:val="002D7A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7ABE"/>
    <w:rPr>
      <w:lang w:val="en-GB"/>
    </w:rPr>
  </w:style>
  <w:style w:type="paragraph" w:styleId="Footer">
    <w:name w:val="footer"/>
    <w:basedOn w:val="Normal"/>
    <w:link w:val="FooterChar"/>
    <w:uiPriority w:val="99"/>
    <w:unhideWhenUsed/>
    <w:rsid w:val="002D7A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ABE"/>
    <w:rPr>
      <w:lang w:val="en-GB"/>
    </w:rPr>
  </w:style>
  <w:style w:type="character" w:styleId="Emphasis">
    <w:name w:val="Emphasis"/>
    <w:basedOn w:val="DefaultParagraphFont"/>
    <w:uiPriority w:val="20"/>
    <w:qFormat/>
    <w:rsid w:val="00643EEC"/>
    <w:rPr>
      <w:i/>
      <w:iCs/>
    </w:rPr>
  </w:style>
  <w:style w:type="character" w:customStyle="1" w:styleId="Heading3Char">
    <w:name w:val="Heading 3 Char"/>
    <w:basedOn w:val="DefaultParagraphFont"/>
    <w:link w:val="Heading3"/>
    <w:uiPriority w:val="9"/>
    <w:rsid w:val="00563ACE"/>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7844">
      <w:bodyDiv w:val="1"/>
      <w:marLeft w:val="0"/>
      <w:marRight w:val="0"/>
      <w:marTop w:val="0"/>
      <w:marBottom w:val="0"/>
      <w:divBdr>
        <w:top w:val="none" w:sz="0" w:space="0" w:color="auto"/>
        <w:left w:val="none" w:sz="0" w:space="0" w:color="auto"/>
        <w:bottom w:val="none" w:sz="0" w:space="0" w:color="auto"/>
        <w:right w:val="none" w:sz="0" w:space="0" w:color="auto"/>
      </w:divBdr>
    </w:div>
    <w:div w:id="58090356">
      <w:bodyDiv w:val="1"/>
      <w:marLeft w:val="0"/>
      <w:marRight w:val="0"/>
      <w:marTop w:val="0"/>
      <w:marBottom w:val="0"/>
      <w:divBdr>
        <w:top w:val="none" w:sz="0" w:space="0" w:color="auto"/>
        <w:left w:val="none" w:sz="0" w:space="0" w:color="auto"/>
        <w:bottom w:val="none" w:sz="0" w:space="0" w:color="auto"/>
        <w:right w:val="none" w:sz="0" w:space="0" w:color="auto"/>
      </w:divBdr>
    </w:div>
    <w:div w:id="95560918">
      <w:bodyDiv w:val="1"/>
      <w:marLeft w:val="0"/>
      <w:marRight w:val="0"/>
      <w:marTop w:val="0"/>
      <w:marBottom w:val="0"/>
      <w:divBdr>
        <w:top w:val="none" w:sz="0" w:space="0" w:color="auto"/>
        <w:left w:val="none" w:sz="0" w:space="0" w:color="auto"/>
        <w:bottom w:val="none" w:sz="0" w:space="0" w:color="auto"/>
        <w:right w:val="none" w:sz="0" w:space="0" w:color="auto"/>
      </w:divBdr>
    </w:div>
    <w:div w:id="106048489">
      <w:bodyDiv w:val="1"/>
      <w:marLeft w:val="0"/>
      <w:marRight w:val="0"/>
      <w:marTop w:val="0"/>
      <w:marBottom w:val="0"/>
      <w:divBdr>
        <w:top w:val="none" w:sz="0" w:space="0" w:color="auto"/>
        <w:left w:val="none" w:sz="0" w:space="0" w:color="auto"/>
        <w:bottom w:val="none" w:sz="0" w:space="0" w:color="auto"/>
        <w:right w:val="none" w:sz="0" w:space="0" w:color="auto"/>
      </w:divBdr>
    </w:div>
    <w:div w:id="140387364">
      <w:bodyDiv w:val="1"/>
      <w:marLeft w:val="0"/>
      <w:marRight w:val="0"/>
      <w:marTop w:val="0"/>
      <w:marBottom w:val="0"/>
      <w:divBdr>
        <w:top w:val="none" w:sz="0" w:space="0" w:color="auto"/>
        <w:left w:val="none" w:sz="0" w:space="0" w:color="auto"/>
        <w:bottom w:val="none" w:sz="0" w:space="0" w:color="auto"/>
        <w:right w:val="none" w:sz="0" w:space="0" w:color="auto"/>
      </w:divBdr>
    </w:div>
    <w:div w:id="164395304">
      <w:bodyDiv w:val="1"/>
      <w:marLeft w:val="0"/>
      <w:marRight w:val="0"/>
      <w:marTop w:val="0"/>
      <w:marBottom w:val="0"/>
      <w:divBdr>
        <w:top w:val="none" w:sz="0" w:space="0" w:color="auto"/>
        <w:left w:val="none" w:sz="0" w:space="0" w:color="auto"/>
        <w:bottom w:val="none" w:sz="0" w:space="0" w:color="auto"/>
        <w:right w:val="none" w:sz="0" w:space="0" w:color="auto"/>
      </w:divBdr>
    </w:div>
    <w:div w:id="284703125">
      <w:bodyDiv w:val="1"/>
      <w:marLeft w:val="0"/>
      <w:marRight w:val="0"/>
      <w:marTop w:val="0"/>
      <w:marBottom w:val="0"/>
      <w:divBdr>
        <w:top w:val="none" w:sz="0" w:space="0" w:color="auto"/>
        <w:left w:val="none" w:sz="0" w:space="0" w:color="auto"/>
        <w:bottom w:val="none" w:sz="0" w:space="0" w:color="auto"/>
        <w:right w:val="none" w:sz="0" w:space="0" w:color="auto"/>
      </w:divBdr>
    </w:div>
    <w:div w:id="286089704">
      <w:bodyDiv w:val="1"/>
      <w:marLeft w:val="0"/>
      <w:marRight w:val="0"/>
      <w:marTop w:val="0"/>
      <w:marBottom w:val="0"/>
      <w:divBdr>
        <w:top w:val="none" w:sz="0" w:space="0" w:color="auto"/>
        <w:left w:val="none" w:sz="0" w:space="0" w:color="auto"/>
        <w:bottom w:val="none" w:sz="0" w:space="0" w:color="auto"/>
        <w:right w:val="none" w:sz="0" w:space="0" w:color="auto"/>
      </w:divBdr>
    </w:div>
    <w:div w:id="300160565">
      <w:bodyDiv w:val="1"/>
      <w:marLeft w:val="0"/>
      <w:marRight w:val="0"/>
      <w:marTop w:val="0"/>
      <w:marBottom w:val="0"/>
      <w:divBdr>
        <w:top w:val="none" w:sz="0" w:space="0" w:color="auto"/>
        <w:left w:val="none" w:sz="0" w:space="0" w:color="auto"/>
        <w:bottom w:val="none" w:sz="0" w:space="0" w:color="auto"/>
        <w:right w:val="none" w:sz="0" w:space="0" w:color="auto"/>
      </w:divBdr>
    </w:div>
    <w:div w:id="556748437">
      <w:bodyDiv w:val="1"/>
      <w:marLeft w:val="0"/>
      <w:marRight w:val="0"/>
      <w:marTop w:val="0"/>
      <w:marBottom w:val="0"/>
      <w:divBdr>
        <w:top w:val="none" w:sz="0" w:space="0" w:color="auto"/>
        <w:left w:val="none" w:sz="0" w:space="0" w:color="auto"/>
        <w:bottom w:val="none" w:sz="0" w:space="0" w:color="auto"/>
        <w:right w:val="none" w:sz="0" w:space="0" w:color="auto"/>
      </w:divBdr>
    </w:div>
    <w:div w:id="571163977">
      <w:bodyDiv w:val="1"/>
      <w:marLeft w:val="0"/>
      <w:marRight w:val="0"/>
      <w:marTop w:val="0"/>
      <w:marBottom w:val="0"/>
      <w:divBdr>
        <w:top w:val="none" w:sz="0" w:space="0" w:color="auto"/>
        <w:left w:val="none" w:sz="0" w:space="0" w:color="auto"/>
        <w:bottom w:val="none" w:sz="0" w:space="0" w:color="auto"/>
        <w:right w:val="none" w:sz="0" w:space="0" w:color="auto"/>
      </w:divBdr>
    </w:div>
    <w:div w:id="578253400">
      <w:bodyDiv w:val="1"/>
      <w:marLeft w:val="0"/>
      <w:marRight w:val="0"/>
      <w:marTop w:val="0"/>
      <w:marBottom w:val="0"/>
      <w:divBdr>
        <w:top w:val="none" w:sz="0" w:space="0" w:color="auto"/>
        <w:left w:val="none" w:sz="0" w:space="0" w:color="auto"/>
        <w:bottom w:val="none" w:sz="0" w:space="0" w:color="auto"/>
        <w:right w:val="none" w:sz="0" w:space="0" w:color="auto"/>
      </w:divBdr>
      <w:divsChild>
        <w:div w:id="518929256">
          <w:marLeft w:val="0"/>
          <w:marRight w:val="0"/>
          <w:marTop w:val="0"/>
          <w:marBottom w:val="0"/>
          <w:divBdr>
            <w:top w:val="none" w:sz="0" w:space="0" w:color="auto"/>
            <w:left w:val="none" w:sz="0" w:space="0" w:color="auto"/>
            <w:bottom w:val="none" w:sz="0" w:space="0" w:color="auto"/>
            <w:right w:val="none" w:sz="0" w:space="0" w:color="auto"/>
          </w:divBdr>
          <w:divsChild>
            <w:div w:id="1946957348">
              <w:marLeft w:val="0"/>
              <w:marRight w:val="0"/>
              <w:marTop w:val="0"/>
              <w:marBottom w:val="0"/>
              <w:divBdr>
                <w:top w:val="none" w:sz="0" w:space="0" w:color="auto"/>
                <w:left w:val="none" w:sz="0" w:space="0" w:color="auto"/>
                <w:bottom w:val="none" w:sz="0" w:space="0" w:color="auto"/>
                <w:right w:val="none" w:sz="0" w:space="0" w:color="auto"/>
              </w:divBdr>
              <w:divsChild>
                <w:div w:id="996572432">
                  <w:marLeft w:val="0"/>
                  <w:marRight w:val="0"/>
                  <w:marTop w:val="0"/>
                  <w:marBottom w:val="0"/>
                  <w:divBdr>
                    <w:top w:val="none" w:sz="0" w:space="0" w:color="auto"/>
                    <w:left w:val="none" w:sz="0" w:space="0" w:color="auto"/>
                    <w:bottom w:val="none" w:sz="0" w:space="0" w:color="auto"/>
                    <w:right w:val="none" w:sz="0" w:space="0" w:color="auto"/>
                  </w:divBdr>
                  <w:divsChild>
                    <w:div w:id="16776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132679">
      <w:bodyDiv w:val="1"/>
      <w:marLeft w:val="0"/>
      <w:marRight w:val="0"/>
      <w:marTop w:val="0"/>
      <w:marBottom w:val="0"/>
      <w:divBdr>
        <w:top w:val="none" w:sz="0" w:space="0" w:color="auto"/>
        <w:left w:val="none" w:sz="0" w:space="0" w:color="auto"/>
        <w:bottom w:val="none" w:sz="0" w:space="0" w:color="auto"/>
        <w:right w:val="none" w:sz="0" w:space="0" w:color="auto"/>
      </w:divBdr>
    </w:div>
    <w:div w:id="620889940">
      <w:bodyDiv w:val="1"/>
      <w:marLeft w:val="0"/>
      <w:marRight w:val="0"/>
      <w:marTop w:val="0"/>
      <w:marBottom w:val="0"/>
      <w:divBdr>
        <w:top w:val="none" w:sz="0" w:space="0" w:color="auto"/>
        <w:left w:val="none" w:sz="0" w:space="0" w:color="auto"/>
        <w:bottom w:val="none" w:sz="0" w:space="0" w:color="auto"/>
        <w:right w:val="none" w:sz="0" w:space="0" w:color="auto"/>
      </w:divBdr>
      <w:divsChild>
        <w:div w:id="1381788717">
          <w:marLeft w:val="0"/>
          <w:marRight w:val="0"/>
          <w:marTop w:val="0"/>
          <w:marBottom w:val="0"/>
          <w:divBdr>
            <w:top w:val="none" w:sz="0" w:space="0" w:color="auto"/>
            <w:left w:val="none" w:sz="0" w:space="0" w:color="auto"/>
            <w:bottom w:val="none" w:sz="0" w:space="0" w:color="auto"/>
            <w:right w:val="none" w:sz="0" w:space="0" w:color="auto"/>
          </w:divBdr>
          <w:divsChild>
            <w:div w:id="1017776187">
              <w:marLeft w:val="0"/>
              <w:marRight w:val="0"/>
              <w:marTop w:val="0"/>
              <w:marBottom w:val="0"/>
              <w:divBdr>
                <w:top w:val="none" w:sz="0" w:space="0" w:color="auto"/>
                <w:left w:val="none" w:sz="0" w:space="0" w:color="auto"/>
                <w:bottom w:val="none" w:sz="0" w:space="0" w:color="auto"/>
                <w:right w:val="none" w:sz="0" w:space="0" w:color="auto"/>
              </w:divBdr>
              <w:divsChild>
                <w:div w:id="1155754386">
                  <w:marLeft w:val="0"/>
                  <w:marRight w:val="0"/>
                  <w:marTop w:val="0"/>
                  <w:marBottom w:val="0"/>
                  <w:divBdr>
                    <w:top w:val="none" w:sz="0" w:space="0" w:color="auto"/>
                    <w:left w:val="none" w:sz="0" w:space="0" w:color="auto"/>
                    <w:bottom w:val="none" w:sz="0" w:space="0" w:color="auto"/>
                    <w:right w:val="none" w:sz="0" w:space="0" w:color="auto"/>
                  </w:divBdr>
                  <w:divsChild>
                    <w:div w:id="213398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05302">
      <w:bodyDiv w:val="1"/>
      <w:marLeft w:val="0"/>
      <w:marRight w:val="0"/>
      <w:marTop w:val="0"/>
      <w:marBottom w:val="0"/>
      <w:divBdr>
        <w:top w:val="none" w:sz="0" w:space="0" w:color="auto"/>
        <w:left w:val="none" w:sz="0" w:space="0" w:color="auto"/>
        <w:bottom w:val="none" w:sz="0" w:space="0" w:color="auto"/>
        <w:right w:val="none" w:sz="0" w:space="0" w:color="auto"/>
      </w:divBdr>
    </w:div>
    <w:div w:id="729574911">
      <w:bodyDiv w:val="1"/>
      <w:marLeft w:val="0"/>
      <w:marRight w:val="0"/>
      <w:marTop w:val="0"/>
      <w:marBottom w:val="0"/>
      <w:divBdr>
        <w:top w:val="none" w:sz="0" w:space="0" w:color="auto"/>
        <w:left w:val="none" w:sz="0" w:space="0" w:color="auto"/>
        <w:bottom w:val="none" w:sz="0" w:space="0" w:color="auto"/>
        <w:right w:val="none" w:sz="0" w:space="0" w:color="auto"/>
      </w:divBdr>
      <w:divsChild>
        <w:div w:id="1163203603">
          <w:marLeft w:val="0"/>
          <w:marRight w:val="0"/>
          <w:marTop w:val="0"/>
          <w:marBottom w:val="0"/>
          <w:divBdr>
            <w:top w:val="none" w:sz="0" w:space="0" w:color="auto"/>
            <w:left w:val="none" w:sz="0" w:space="0" w:color="auto"/>
            <w:bottom w:val="none" w:sz="0" w:space="0" w:color="auto"/>
            <w:right w:val="none" w:sz="0" w:space="0" w:color="auto"/>
          </w:divBdr>
          <w:divsChild>
            <w:div w:id="326134286">
              <w:marLeft w:val="0"/>
              <w:marRight w:val="0"/>
              <w:marTop w:val="0"/>
              <w:marBottom w:val="0"/>
              <w:divBdr>
                <w:top w:val="none" w:sz="0" w:space="0" w:color="auto"/>
                <w:left w:val="none" w:sz="0" w:space="0" w:color="auto"/>
                <w:bottom w:val="none" w:sz="0" w:space="0" w:color="auto"/>
                <w:right w:val="none" w:sz="0" w:space="0" w:color="auto"/>
              </w:divBdr>
              <w:divsChild>
                <w:div w:id="1671786995">
                  <w:marLeft w:val="0"/>
                  <w:marRight w:val="0"/>
                  <w:marTop w:val="0"/>
                  <w:marBottom w:val="0"/>
                  <w:divBdr>
                    <w:top w:val="none" w:sz="0" w:space="0" w:color="auto"/>
                    <w:left w:val="none" w:sz="0" w:space="0" w:color="auto"/>
                    <w:bottom w:val="none" w:sz="0" w:space="0" w:color="auto"/>
                    <w:right w:val="none" w:sz="0" w:space="0" w:color="auto"/>
                  </w:divBdr>
                  <w:divsChild>
                    <w:div w:id="130655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056812">
      <w:bodyDiv w:val="1"/>
      <w:marLeft w:val="0"/>
      <w:marRight w:val="0"/>
      <w:marTop w:val="0"/>
      <w:marBottom w:val="0"/>
      <w:divBdr>
        <w:top w:val="none" w:sz="0" w:space="0" w:color="auto"/>
        <w:left w:val="none" w:sz="0" w:space="0" w:color="auto"/>
        <w:bottom w:val="none" w:sz="0" w:space="0" w:color="auto"/>
        <w:right w:val="none" w:sz="0" w:space="0" w:color="auto"/>
      </w:divBdr>
    </w:div>
    <w:div w:id="736973269">
      <w:bodyDiv w:val="1"/>
      <w:marLeft w:val="0"/>
      <w:marRight w:val="0"/>
      <w:marTop w:val="0"/>
      <w:marBottom w:val="0"/>
      <w:divBdr>
        <w:top w:val="none" w:sz="0" w:space="0" w:color="auto"/>
        <w:left w:val="none" w:sz="0" w:space="0" w:color="auto"/>
        <w:bottom w:val="none" w:sz="0" w:space="0" w:color="auto"/>
        <w:right w:val="none" w:sz="0" w:space="0" w:color="auto"/>
      </w:divBdr>
    </w:div>
    <w:div w:id="737629326">
      <w:bodyDiv w:val="1"/>
      <w:marLeft w:val="0"/>
      <w:marRight w:val="0"/>
      <w:marTop w:val="0"/>
      <w:marBottom w:val="0"/>
      <w:divBdr>
        <w:top w:val="none" w:sz="0" w:space="0" w:color="auto"/>
        <w:left w:val="none" w:sz="0" w:space="0" w:color="auto"/>
        <w:bottom w:val="none" w:sz="0" w:space="0" w:color="auto"/>
        <w:right w:val="none" w:sz="0" w:space="0" w:color="auto"/>
      </w:divBdr>
      <w:divsChild>
        <w:div w:id="2112966980">
          <w:marLeft w:val="0"/>
          <w:marRight w:val="0"/>
          <w:marTop w:val="0"/>
          <w:marBottom w:val="0"/>
          <w:divBdr>
            <w:top w:val="none" w:sz="0" w:space="0" w:color="auto"/>
            <w:left w:val="none" w:sz="0" w:space="0" w:color="auto"/>
            <w:bottom w:val="none" w:sz="0" w:space="0" w:color="auto"/>
            <w:right w:val="none" w:sz="0" w:space="0" w:color="auto"/>
          </w:divBdr>
          <w:divsChild>
            <w:div w:id="478692360">
              <w:marLeft w:val="0"/>
              <w:marRight w:val="0"/>
              <w:marTop w:val="0"/>
              <w:marBottom w:val="0"/>
              <w:divBdr>
                <w:top w:val="none" w:sz="0" w:space="0" w:color="auto"/>
                <w:left w:val="none" w:sz="0" w:space="0" w:color="auto"/>
                <w:bottom w:val="none" w:sz="0" w:space="0" w:color="auto"/>
                <w:right w:val="none" w:sz="0" w:space="0" w:color="auto"/>
              </w:divBdr>
              <w:divsChild>
                <w:div w:id="1255241587">
                  <w:marLeft w:val="0"/>
                  <w:marRight w:val="0"/>
                  <w:marTop w:val="0"/>
                  <w:marBottom w:val="0"/>
                  <w:divBdr>
                    <w:top w:val="none" w:sz="0" w:space="0" w:color="auto"/>
                    <w:left w:val="none" w:sz="0" w:space="0" w:color="auto"/>
                    <w:bottom w:val="none" w:sz="0" w:space="0" w:color="auto"/>
                    <w:right w:val="none" w:sz="0" w:space="0" w:color="auto"/>
                  </w:divBdr>
                  <w:divsChild>
                    <w:div w:id="211065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092246">
      <w:bodyDiv w:val="1"/>
      <w:marLeft w:val="0"/>
      <w:marRight w:val="0"/>
      <w:marTop w:val="0"/>
      <w:marBottom w:val="0"/>
      <w:divBdr>
        <w:top w:val="none" w:sz="0" w:space="0" w:color="auto"/>
        <w:left w:val="none" w:sz="0" w:space="0" w:color="auto"/>
        <w:bottom w:val="none" w:sz="0" w:space="0" w:color="auto"/>
        <w:right w:val="none" w:sz="0" w:space="0" w:color="auto"/>
      </w:divBdr>
    </w:div>
    <w:div w:id="794981162">
      <w:bodyDiv w:val="1"/>
      <w:marLeft w:val="0"/>
      <w:marRight w:val="0"/>
      <w:marTop w:val="0"/>
      <w:marBottom w:val="0"/>
      <w:divBdr>
        <w:top w:val="none" w:sz="0" w:space="0" w:color="auto"/>
        <w:left w:val="none" w:sz="0" w:space="0" w:color="auto"/>
        <w:bottom w:val="none" w:sz="0" w:space="0" w:color="auto"/>
        <w:right w:val="none" w:sz="0" w:space="0" w:color="auto"/>
      </w:divBdr>
    </w:div>
    <w:div w:id="832719750">
      <w:bodyDiv w:val="1"/>
      <w:marLeft w:val="0"/>
      <w:marRight w:val="0"/>
      <w:marTop w:val="0"/>
      <w:marBottom w:val="0"/>
      <w:divBdr>
        <w:top w:val="none" w:sz="0" w:space="0" w:color="auto"/>
        <w:left w:val="none" w:sz="0" w:space="0" w:color="auto"/>
        <w:bottom w:val="none" w:sz="0" w:space="0" w:color="auto"/>
        <w:right w:val="none" w:sz="0" w:space="0" w:color="auto"/>
      </w:divBdr>
      <w:divsChild>
        <w:div w:id="1149782423">
          <w:marLeft w:val="0"/>
          <w:marRight w:val="0"/>
          <w:marTop w:val="0"/>
          <w:marBottom w:val="0"/>
          <w:divBdr>
            <w:top w:val="none" w:sz="0" w:space="0" w:color="auto"/>
            <w:left w:val="none" w:sz="0" w:space="0" w:color="auto"/>
            <w:bottom w:val="none" w:sz="0" w:space="0" w:color="auto"/>
            <w:right w:val="none" w:sz="0" w:space="0" w:color="auto"/>
          </w:divBdr>
          <w:divsChild>
            <w:div w:id="374619199">
              <w:marLeft w:val="0"/>
              <w:marRight w:val="0"/>
              <w:marTop w:val="0"/>
              <w:marBottom w:val="0"/>
              <w:divBdr>
                <w:top w:val="none" w:sz="0" w:space="0" w:color="auto"/>
                <w:left w:val="none" w:sz="0" w:space="0" w:color="auto"/>
                <w:bottom w:val="none" w:sz="0" w:space="0" w:color="auto"/>
                <w:right w:val="none" w:sz="0" w:space="0" w:color="auto"/>
              </w:divBdr>
              <w:divsChild>
                <w:div w:id="499851644">
                  <w:marLeft w:val="0"/>
                  <w:marRight w:val="0"/>
                  <w:marTop w:val="0"/>
                  <w:marBottom w:val="0"/>
                  <w:divBdr>
                    <w:top w:val="none" w:sz="0" w:space="0" w:color="auto"/>
                    <w:left w:val="none" w:sz="0" w:space="0" w:color="auto"/>
                    <w:bottom w:val="none" w:sz="0" w:space="0" w:color="auto"/>
                    <w:right w:val="none" w:sz="0" w:space="0" w:color="auto"/>
                  </w:divBdr>
                  <w:divsChild>
                    <w:div w:id="144287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963514">
      <w:bodyDiv w:val="1"/>
      <w:marLeft w:val="0"/>
      <w:marRight w:val="0"/>
      <w:marTop w:val="0"/>
      <w:marBottom w:val="0"/>
      <w:divBdr>
        <w:top w:val="none" w:sz="0" w:space="0" w:color="auto"/>
        <w:left w:val="none" w:sz="0" w:space="0" w:color="auto"/>
        <w:bottom w:val="none" w:sz="0" w:space="0" w:color="auto"/>
        <w:right w:val="none" w:sz="0" w:space="0" w:color="auto"/>
      </w:divBdr>
    </w:div>
    <w:div w:id="894776662">
      <w:bodyDiv w:val="1"/>
      <w:marLeft w:val="0"/>
      <w:marRight w:val="0"/>
      <w:marTop w:val="0"/>
      <w:marBottom w:val="0"/>
      <w:divBdr>
        <w:top w:val="none" w:sz="0" w:space="0" w:color="auto"/>
        <w:left w:val="none" w:sz="0" w:space="0" w:color="auto"/>
        <w:bottom w:val="none" w:sz="0" w:space="0" w:color="auto"/>
        <w:right w:val="none" w:sz="0" w:space="0" w:color="auto"/>
      </w:divBdr>
    </w:div>
    <w:div w:id="973482926">
      <w:bodyDiv w:val="1"/>
      <w:marLeft w:val="0"/>
      <w:marRight w:val="0"/>
      <w:marTop w:val="0"/>
      <w:marBottom w:val="0"/>
      <w:divBdr>
        <w:top w:val="none" w:sz="0" w:space="0" w:color="auto"/>
        <w:left w:val="none" w:sz="0" w:space="0" w:color="auto"/>
        <w:bottom w:val="none" w:sz="0" w:space="0" w:color="auto"/>
        <w:right w:val="none" w:sz="0" w:space="0" w:color="auto"/>
      </w:divBdr>
    </w:div>
    <w:div w:id="1020087420">
      <w:bodyDiv w:val="1"/>
      <w:marLeft w:val="0"/>
      <w:marRight w:val="0"/>
      <w:marTop w:val="0"/>
      <w:marBottom w:val="0"/>
      <w:divBdr>
        <w:top w:val="none" w:sz="0" w:space="0" w:color="auto"/>
        <w:left w:val="none" w:sz="0" w:space="0" w:color="auto"/>
        <w:bottom w:val="none" w:sz="0" w:space="0" w:color="auto"/>
        <w:right w:val="none" w:sz="0" w:space="0" w:color="auto"/>
      </w:divBdr>
    </w:div>
    <w:div w:id="1063258021">
      <w:bodyDiv w:val="1"/>
      <w:marLeft w:val="0"/>
      <w:marRight w:val="0"/>
      <w:marTop w:val="0"/>
      <w:marBottom w:val="0"/>
      <w:divBdr>
        <w:top w:val="none" w:sz="0" w:space="0" w:color="auto"/>
        <w:left w:val="none" w:sz="0" w:space="0" w:color="auto"/>
        <w:bottom w:val="none" w:sz="0" w:space="0" w:color="auto"/>
        <w:right w:val="none" w:sz="0" w:space="0" w:color="auto"/>
      </w:divBdr>
      <w:divsChild>
        <w:div w:id="1447193486">
          <w:marLeft w:val="0"/>
          <w:marRight w:val="0"/>
          <w:marTop w:val="0"/>
          <w:marBottom w:val="0"/>
          <w:divBdr>
            <w:top w:val="none" w:sz="0" w:space="0" w:color="auto"/>
            <w:left w:val="none" w:sz="0" w:space="0" w:color="auto"/>
            <w:bottom w:val="none" w:sz="0" w:space="0" w:color="auto"/>
            <w:right w:val="none" w:sz="0" w:space="0" w:color="auto"/>
          </w:divBdr>
          <w:divsChild>
            <w:div w:id="1908031942">
              <w:marLeft w:val="0"/>
              <w:marRight w:val="0"/>
              <w:marTop w:val="0"/>
              <w:marBottom w:val="0"/>
              <w:divBdr>
                <w:top w:val="none" w:sz="0" w:space="0" w:color="auto"/>
                <w:left w:val="none" w:sz="0" w:space="0" w:color="auto"/>
                <w:bottom w:val="none" w:sz="0" w:space="0" w:color="auto"/>
                <w:right w:val="none" w:sz="0" w:space="0" w:color="auto"/>
              </w:divBdr>
              <w:divsChild>
                <w:div w:id="1007439867">
                  <w:marLeft w:val="0"/>
                  <w:marRight w:val="0"/>
                  <w:marTop w:val="0"/>
                  <w:marBottom w:val="0"/>
                  <w:divBdr>
                    <w:top w:val="none" w:sz="0" w:space="0" w:color="auto"/>
                    <w:left w:val="none" w:sz="0" w:space="0" w:color="auto"/>
                    <w:bottom w:val="none" w:sz="0" w:space="0" w:color="auto"/>
                    <w:right w:val="none" w:sz="0" w:space="0" w:color="auto"/>
                  </w:divBdr>
                  <w:divsChild>
                    <w:div w:id="79378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644119">
      <w:bodyDiv w:val="1"/>
      <w:marLeft w:val="0"/>
      <w:marRight w:val="0"/>
      <w:marTop w:val="0"/>
      <w:marBottom w:val="0"/>
      <w:divBdr>
        <w:top w:val="none" w:sz="0" w:space="0" w:color="auto"/>
        <w:left w:val="none" w:sz="0" w:space="0" w:color="auto"/>
        <w:bottom w:val="none" w:sz="0" w:space="0" w:color="auto"/>
        <w:right w:val="none" w:sz="0" w:space="0" w:color="auto"/>
      </w:divBdr>
      <w:divsChild>
        <w:div w:id="564990865">
          <w:marLeft w:val="0"/>
          <w:marRight w:val="0"/>
          <w:marTop w:val="0"/>
          <w:marBottom w:val="0"/>
          <w:divBdr>
            <w:top w:val="none" w:sz="0" w:space="0" w:color="auto"/>
            <w:left w:val="none" w:sz="0" w:space="0" w:color="auto"/>
            <w:bottom w:val="none" w:sz="0" w:space="0" w:color="auto"/>
            <w:right w:val="none" w:sz="0" w:space="0" w:color="auto"/>
          </w:divBdr>
          <w:divsChild>
            <w:div w:id="1850948293">
              <w:marLeft w:val="0"/>
              <w:marRight w:val="0"/>
              <w:marTop w:val="0"/>
              <w:marBottom w:val="0"/>
              <w:divBdr>
                <w:top w:val="none" w:sz="0" w:space="0" w:color="auto"/>
                <w:left w:val="none" w:sz="0" w:space="0" w:color="auto"/>
                <w:bottom w:val="none" w:sz="0" w:space="0" w:color="auto"/>
                <w:right w:val="none" w:sz="0" w:space="0" w:color="auto"/>
              </w:divBdr>
              <w:divsChild>
                <w:div w:id="876771453">
                  <w:marLeft w:val="0"/>
                  <w:marRight w:val="0"/>
                  <w:marTop w:val="0"/>
                  <w:marBottom w:val="0"/>
                  <w:divBdr>
                    <w:top w:val="none" w:sz="0" w:space="0" w:color="auto"/>
                    <w:left w:val="none" w:sz="0" w:space="0" w:color="auto"/>
                    <w:bottom w:val="none" w:sz="0" w:space="0" w:color="auto"/>
                    <w:right w:val="none" w:sz="0" w:space="0" w:color="auto"/>
                  </w:divBdr>
                  <w:divsChild>
                    <w:div w:id="136898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105066">
      <w:bodyDiv w:val="1"/>
      <w:marLeft w:val="0"/>
      <w:marRight w:val="0"/>
      <w:marTop w:val="0"/>
      <w:marBottom w:val="0"/>
      <w:divBdr>
        <w:top w:val="none" w:sz="0" w:space="0" w:color="auto"/>
        <w:left w:val="none" w:sz="0" w:space="0" w:color="auto"/>
        <w:bottom w:val="none" w:sz="0" w:space="0" w:color="auto"/>
        <w:right w:val="none" w:sz="0" w:space="0" w:color="auto"/>
      </w:divBdr>
    </w:div>
    <w:div w:id="1258054936">
      <w:bodyDiv w:val="1"/>
      <w:marLeft w:val="0"/>
      <w:marRight w:val="0"/>
      <w:marTop w:val="0"/>
      <w:marBottom w:val="0"/>
      <w:divBdr>
        <w:top w:val="none" w:sz="0" w:space="0" w:color="auto"/>
        <w:left w:val="none" w:sz="0" w:space="0" w:color="auto"/>
        <w:bottom w:val="none" w:sz="0" w:space="0" w:color="auto"/>
        <w:right w:val="none" w:sz="0" w:space="0" w:color="auto"/>
      </w:divBdr>
      <w:divsChild>
        <w:div w:id="1985696445">
          <w:marLeft w:val="0"/>
          <w:marRight w:val="0"/>
          <w:marTop w:val="0"/>
          <w:marBottom w:val="0"/>
          <w:divBdr>
            <w:top w:val="none" w:sz="0" w:space="0" w:color="auto"/>
            <w:left w:val="none" w:sz="0" w:space="0" w:color="auto"/>
            <w:bottom w:val="none" w:sz="0" w:space="0" w:color="auto"/>
            <w:right w:val="none" w:sz="0" w:space="0" w:color="auto"/>
          </w:divBdr>
          <w:divsChild>
            <w:div w:id="656761986">
              <w:marLeft w:val="0"/>
              <w:marRight w:val="0"/>
              <w:marTop w:val="0"/>
              <w:marBottom w:val="0"/>
              <w:divBdr>
                <w:top w:val="none" w:sz="0" w:space="0" w:color="auto"/>
                <w:left w:val="none" w:sz="0" w:space="0" w:color="auto"/>
                <w:bottom w:val="none" w:sz="0" w:space="0" w:color="auto"/>
                <w:right w:val="none" w:sz="0" w:space="0" w:color="auto"/>
              </w:divBdr>
              <w:divsChild>
                <w:div w:id="1515991882">
                  <w:marLeft w:val="0"/>
                  <w:marRight w:val="0"/>
                  <w:marTop w:val="0"/>
                  <w:marBottom w:val="0"/>
                  <w:divBdr>
                    <w:top w:val="none" w:sz="0" w:space="0" w:color="auto"/>
                    <w:left w:val="none" w:sz="0" w:space="0" w:color="auto"/>
                    <w:bottom w:val="none" w:sz="0" w:space="0" w:color="auto"/>
                    <w:right w:val="none" w:sz="0" w:space="0" w:color="auto"/>
                  </w:divBdr>
                  <w:divsChild>
                    <w:div w:id="16420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10896">
      <w:bodyDiv w:val="1"/>
      <w:marLeft w:val="0"/>
      <w:marRight w:val="0"/>
      <w:marTop w:val="0"/>
      <w:marBottom w:val="0"/>
      <w:divBdr>
        <w:top w:val="none" w:sz="0" w:space="0" w:color="auto"/>
        <w:left w:val="none" w:sz="0" w:space="0" w:color="auto"/>
        <w:bottom w:val="none" w:sz="0" w:space="0" w:color="auto"/>
        <w:right w:val="none" w:sz="0" w:space="0" w:color="auto"/>
      </w:divBdr>
    </w:div>
    <w:div w:id="1275820742">
      <w:bodyDiv w:val="1"/>
      <w:marLeft w:val="0"/>
      <w:marRight w:val="0"/>
      <w:marTop w:val="0"/>
      <w:marBottom w:val="0"/>
      <w:divBdr>
        <w:top w:val="none" w:sz="0" w:space="0" w:color="auto"/>
        <w:left w:val="none" w:sz="0" w:space="0" w:color="auto"/>
        <w:bottom w:val="none" w:sz="0" w:space="0" w:color="auto"/>
        <w:right w:val="none" w:sz="0" w:space="0" w:color="auto"/>
      </w:divBdr>
    </w:div>
    <w:div w:id="1310011590">
      <w:bodyDiv w:val="1"/>
      <w:marLeft w:val="0"/>
      <w:marRight w:val="0"/>
      <w:marTop w:val="0"/>
      <w:marBottom w:val="0"/>
      <w:divBdr>
        <w:top w:val="none" w:sz="0" w:space="0" w:color="auto"/>
        <w:left w:val="none" w:sz="0" w:space="0" w:color="auto"/>
        <w:bottom w:val="none" w:sz="0" w:space="0" w:color="auto"/>
        <w:right w:val="none" w:sz="0" w:space="0" w:color="auto"/>
      </w:divBdr>
    </w:div>
    <w:div w:id="1377855203">
      <w:bodyDiv w:val="1"/>
      <w:marLeft w:val="0"/>
      <w:marRight w:val="0"/>
      <w:marTop w:val="0"/>
      <w:marBottom w:val="0"/>
      <w:divBdr>
        <w:top w:val="none" w:sz="0" w:space="0" w:color="auto"/>
        <w:left w:val="none" w:sz="0" w:space="0" w:color="auto"/>
        <w:bottom w:val="none" w:sz="0" w:space="0" w:color="auto"/>
        <w:right w:val="none" w:sz="0" w:space="0" w:color="auto"/>
      </w:divBdr>
    </w:div>
    <w:div w:id="1420560248">
      <w:bodyDiv w:val="1"/>
      <w:marLeft w:val="0"/>
      <w:marRight w:val="0"/>
      <w:marTop w:val="0"/>
      <w:marBottom w:val="0"/>
      <w:divBdr>
        <w:top w:val="none" w:sz="0" w:space="0" w:color="auto"/>
        <w:left w:val="none" w:sz="0" w:space="0" w:color="auto"/>
        <w:bottom w:val="none" w:sz="0" w:space="0" w:color="auto"/>
        <w:right w:val="none" w:sz="0" w:space="0" w:color="auto"/>
      </w:divBdr>
    </w:div>
    <w:div w:id="1474758937">
      <w:bodyDiv w:val="1"/>
      <w:marLeft w:val="0"/>
      <w:marRight w:val="0"/>
      <w:marTop w:val="0"/>
      <w:marBottom w:val="0"/>
      <w:divBdr>
        <w:top w:val="none" w:sz="0" w:space="0" w:color="auto"/>
        <w:left w:val="none" w:sz="0" w:space="0" w:color="auto"/>
        <w:bottom w:val="none" w:sz="0" w:space="0" w:color="auto"/>
        <w:right w:val="none" w:sz="0" w:space="0" w:color="auto"/>
      </w:divBdr>
    </w:div>
    <w:div w:id="1496724747">
      <w:bodyDiv w:val="1"/>
      <w:marLeft w:val="0"/>
      <w:marRight w:val="0"/>
      <w:marTop w:val="0"/>
      <w:marBottom w:val="0"/>
      <w:divBdr>
        <w:top w:val="none" w:sz="0" w:space="0" w:color="auto"/>
        <w:left w:val="none" w:sz="0" w:space="0" w:color="auto"/>
        <w:bottom w:val="none" w:sz="0" w:space="0" w:color="auto"/>
        <w:right w:val="none" w:sz="0" w:space="0" w:color="auto"/>
      </w:divBdr>
      <w:divsChild>
        <w:div w:id="873928494">
          <w:marLeft w:val="0"/>
          <w:marRight w:val="0"/>
          <w:marTop w:val="0"/>
          <w:marBottom w:val="0"/>
          <w:divBdr>
            <w:top w:val="none" w:sz="0" w:space="0" w:color="auto"/>
            <w:left w:val="none" w:sz="0" w:space="0" w:color="auto"/>
            <w:bottom w:val="none" w:sz="0" w:space="0" w:color="auto"/>
            <w:right w:val="none" w:sz="0" w:space="0" w:color="auto"/>
          </w:divBdr>
          <w:divsChild>
            <w:div w:id="162474769">
              <w:marLeft w:val="0"/>
              <w:marRight w:val="0"/>
              <w:marTop w:val="0"/>
              <w:marBottom w:val="0"/>
              <w:divBdr>
                <w:top w:val="none" w:sz="0" w:space="0" w:color="auto"/>
                <w:left w:val="none" w:sz="0" w:space="0" w:color="auto"/>
                <w:bottom w:val="none" w:sz="0" w:space="0" w:color="auto"/>
                <w:right w:val="none" w:sz="0" w:space="0" w:color="auto"/>
              </w:divBdr>
              <w:divsChild>
                <w:div w:id="1172187139">
                  <w:marLeft w:val="0"/>
                  <w:marRight w:val="0"/>
                  <w:marTop w:val="0"/>
                  <w:marBottom w:val="0"/>
                  <w:divBdr>
                    <w:top w:val="none" w:sz="0" w:space="0" w:color="auto"/>
                    <w:left w:val="none" w:sz="0" w:space="0" w:color="auto"/>
                    <w:bottom w:val="none" w:sz="0" w:space="0" w:color="auto"/>
                    <w:right w:val="none" w:sz="0" w:space="0" w:color="auto"/>
                  </w:divBdr>
                  <w:divsChild>
                    <w:div w:id="20401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552901">
      <w:bodyDiv w:val="1"/>
      <w:marLeft w:val="0"/>
      <w:marRight w:val="0"/>
      <w:marTop w:val="0"/>
      <w:marBottom w:val="0"/>
      <w:divBdr>
        <w:top w:val="none" w:sz="0" w:space="0" w:color="auto"/>
        <w:left w:val="none" w:sz="0" w:space="0" w:color="auto"/>
        <w:bottom w:val="none" w:sz="0" w:space="0" w:color="auto"/>
        <w:right w:val="none" w:sz="0" w:space="0" w:color="auto"/>
      </w:divBdr>
    </w:div>
    <w:div w:id="1597523128">
      <w:bodyDiv w:val="1"/>
      <w:marLeft w:val="0"/>
      <w:marRight w:val="0"/>
      <w:marTop w:val="0"/>
      <w:marBottom w:val="0"/>
      <w:divBdr>
        <w:top w:val="none" w:sz="0" w:space="0" w:color="auto"/>
        <w:left w:val="none" w:sz="0" w:space="0" w:color="auto"/>
        <w:bottom w:val="none" w:sz="0" w:space="0" w:color="auto"/>
        <w:right w:val="none" w:sz="0" w:space="0" w:color="auto"/>
      </w:divBdr>
    </w:div>
    <w:div w:id="1611204540">
      <w:bodyDiv w:val="1"/>
      <w:marLeft w:val="0"/>
      <w:marRight w:val="0"/>
      <w:marTop w:val="0"/>
      <w:marBottom w:val="0"/>
      <w:divBdr>
        <w:top w:val="none" w:sz="0" w:space="0" w:color="auto"/>
        <w:left w:val="none" w:sz="0" w:space="0" w:color="auto"/>
        <w:bottom w:val="none" w:sz="0" w:space="0" w:color="auto"/>
        <w:right w:val="none" w:sz="0" w:space="0" w:color="auto"/>
      </w:divBdr>
    </w:div>
    <w:div w:id="1620911035">
      <w:bodyDiv w:val="1"/>
      <w:marLeft w:val="0"/>
      <w:marRight w:val="0"/>
      <w:marTop w:val="0"/>
      <w:marBottom w:val="0"/>
      <w:divBdr>
        <w:top w:val="none" w:sz="0" w:space="0" w:color="auto"/>
        <w:left w:val="none" w:sz="0" w:space="0" w:color="auto"/>
        <w:bottom w:val="none" w:sz="0" w:space="0" w:color="auto"/>
        <w:right w:val="none" w:sz="0" w:space="0" w:color="auto"/>
      </w:divBdr>
    </w:div>
    <w:div w:id="1637490351">
      <w:bodyDiv w:val="1"/>
      <w:marLeft w:val="0"/>
      <w:marRight w:val="0"/>
      <w:marTop w:val="0"/>
      <w:marBottom w:val="0"/>
      <w:divBdr>
        <w:top w:val="none" w:sz="0" w:space="0" w:color="auto"/>
        <w:left w:val="none" w:sz="0" w:space="0" w:color="auto"/>
        <w:bottom w:val="none" w:sz="0" w:space="0" w:color="auto"/>
        <w:right w:val="none" w:sz="0" w:space="0" w:color="auto"/>
      </w:divBdr>
    </w:div>
    <w:div w:id="1687441602">
      <w:bodyDiv w:val="1"/>
      <w:marLeft w:val="0"/>
      <w:marRight w:val="0"/>
      <w:marTop w:val="0"/>
      <w:marBottom w:val="0"/>
      <w:divBdr>
        <w:top w:val="none" w:sz="0" w:space="0" w:color="auto"/>
        <w:left w:val="none" w:sz="0" w:space="0" w:color="auto"/>
        <w:bottom w:val="none" w:sz="0" w:space="0" w:color="auto"/>
        <w:right w:val="none" w:sz="0" w:space="0" w:color="auto"/>
      </w:divBdr>
    </w:div>
    <w:div w:id="1762218384">
      <w:bodyDiv w:val="1"/>
      <w:marLeft w:val="0"/>
      <w:marRight w:val="0"/>
      <w:marTop w:val="0"/>
      <w:marBottom w:val="0"/>
      <w:divBdr>
        <w:top w:val="none" w:sz="0" w:space="0" w:color="auto"/>
        <w:left w:val="none" w:sz="0" w:space="0" w:color="auto"/>
        <w:bottom w:val="none" w:sz="0" w:space="0" w:color="auto"/>
        <w:right w:val="none" w:sz="0" w:space="0" w:color="auto"/>
      </w:divBdr>
    </w:div>
    <w:div w:id="1876768008">
      <w:bodyDiv w:val="1"/>
      <w:marLeft w:val="0"/>
      <w:marRight w:val="0"/>
      <w:marTop w:val="0"/>
      <w:marBottom w:val="0"/>
      <w:divBdr>
        <w:top w:val="none" w:sz="0" w:space="0" w:color="auto"/>
        <w:left w:val="none" w:sz="0" w:space="0" w:color="auto"/>
        <w:bottom w:val="none" w:sz="0" w:space="0" w:color="auto"/>
        <w:right w:val="none" w:sz="0" w:space="0" w:color="auto"/>
      </w:divBdr>
    </w:div>
    <w:div w:id="1889413408">
      <w:bodyDiv w:val="1"/>
      <w:marLeft w:val="0"/>
      <w:marRight w:val="0"/>
      <w:marTop w:val="0"/>
      <w:marBottom w:val="0"/>
      <w:divBdr>
        <w:top w:val="none" w:sz="0" w:space="0" w:color="auto"/>
        <w:left w:val="none" w:sz="0" w:space="0" w:color="auto"/>
        <w:bottom w:val="none" w:sz="0" w:space="0" w:color="auto"/>
        <w:right w:val="none" w:sz="0" w:space="0" w:color="auto"/>
      </w:divBdr>
      <w:divsChild>
        <w:div w:id="1074426858">
          <w:marLeft w:val="0"/>
          <w:marRight w:val="0"/>
          <w:marTop w:val="0"/>
          <w:marBottom w:val="0"/>
          <w:divBdr>
            <w:top w:val="none" w:sz="0" w:space="0" w:color="auto"/>
            <w:left w:val="none" w:sz="0" w:space="0" w:color="auto"/>
            <w:bottom w:val="none" w:sz="0" w:space="0" w:color="auto"/>
            <w:right w:val="none" w:sz="0" w:space="0" w:color="auto"/>
          </w:divBdr>
          <w:divsChild>
            <w:div w:id="456534190">
              <w:marLeft w:val="0"/>
              <w:marRight w:val="0"/>
              <w:marTop w:val="0"/>
              <w:marBottom w:val="0"/>
              <w:divBdr>
                <w:top w:val="none" w:sz="0" w:space="0" w:color="auto"/>
                <w:left w:val="none" w:sz="0" w:space="0" w:color="auto"/>
                <w:bottom w:val="none" w:sz="0" w:space="0" w:color="auto"/>
                <w:right w:val="none" w:sz="0" w:space="0" w:color="auto"/>
              </w:divBdr>
              <w:divsChild>
                <w:div w:id="354775956">
                  <w:marLeft w:val="0"/>
                  <w:marRight w:val="0"/>
                  <w:marTop w:val="0"/>
                  <w:marBottom w:val="0"/>
                  <w:divBdr>
                    <w:top w:val="none" w:sz="0" w:space="0" w:color="auto"/>
                    <w:left w:val="none" w:sz="0" w:space="0" w:color="auto"/>
                    <w:bottom w:val="none" w:sz="0" w:space="0" w:color="auto"/>
                    <w:right w:val="none" w:sz="0" w:space="0" w:color="auto"/>
                  </w:divBdr>
                  <w:divsChild>
                    <w:div w:id="1455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741458">
      <w:bodyDiv w:val="1"/>
      <w:marLeft w:val="0"/>
      <w:marRight w:val="0"/>
      <w:marTop w:val="0"/>
      <w:marBottom w:val="0"/>
      <w:divBdr>
        <w:top w:val="none" w:sz="0" w:space="0" w:color="auto"/>
        <w:left w:val="none" w:sz="0" w:space="0" w:color="auto"/>
        <w:bottom w:val="none" w:sz="0" w:space="0" w:color="auto"/>
        <w:right w:val="none" w:sz="0" w:space="0" w:color="auto"/>
      </w:divBdr>
    </w:div>
    <w:div w:id="2035958912">
      <w:bodyDiv w:val="1"/>
      <w:marLeft w:val="0"/>
      <w:marRight w:val="0"/>
      <w:marTop w:val="0"/>
      <w:marBottom w:val="0"/>
      <w:divBdr>
        <w:top w:val="none" w:sz="0" w:space="0" w:color="auto"/>
        <w:left w:val="none" w:sz="0" w:space="0" w:color="auto"/>
        <w:bottom w:val="none" w:sz="0" w:space="0" w:color="auto"/>
        <w:right w:val="none" w:sz="0" w:space="0" w:color="auto"/>
      </w:divBdr>
    </w:div>
    <w:div w:id="2057074248">
      <w:bodyDiv w:val="1"/>
      <w:marLeft w:val="0"/>
      <w:marRight w:val="0"/>
      <w:marTop w:val="0"/>
      <w:marBottom w:val="0"/>
      <w:divBdr>
        <w:top w:val="none" w:sz="0" w:space="0" w:color="auto"/>
        <w:left w:val="none" w:sz="0" w:space="0" w:color="auto"/>
        <w:bottom w:val="none" w:sz="0" w:space="0" w:color="auto"/>
        <w:right w:val="none" w:sz="0" w:space="0" w:color="auto"/>
      </w:divBdr>
    </w:div>
    <w:div w:id="2070685166">
      <w:bodyDiv w:val="1"/>
      <w:marLeft w:val="0"/>
      <w:marRight w:val="0"/>
      <w:marTop w:val="0"/>
      <w:marBottom w:val="0"/>
      <w:divBdr>
        <w:top w:val="none" w:sz="0" w:space="0" w:color="auto"/>
        <w:left w:val="none" w:sz="0" w:space="0" w:color="auto"/>
        <w:bottom w:val="none" w:sz="0" w:space="0" w:color="auto"/>
        <w:right w:val="none" w:sz="0" w:space="0" w:color="auto"/>
      </w:divBdr>
    </w:div>
    <w:div w:id="2079670834">
      <w:bodyDiv w:val="1"/>
      <w:marLeft w:val="0"/>
      <w:marRight w:val="0"/>
      <w:marTop w:val="0"/>
      <w:marBottom w:val="0"/>
      <w:divBdr>
        <w:top w:val="none" w:sz="0" w:space="0" w:color="auto"/>
        <w:left w:val="none" w:sz="0" w:space="0" w:color="auto"/>
        <w:bottom w:val="none" w:sz="0" w:space="0" w:color="auto"/>
        <w:right w:val="none" w:sz="0" w:space="0" w:color="auto"/>
      </w:divBdr>
    </w:div>
    <w:div w:id="2123837977">
      <w:bodyDiv w:val="1"/>
      <w:marLeft w:val="0"/>
      <w:marRight w:val="0"/>
      <w:marTop w:val="0"/>
      <w:marBottom w:val="0"/>
      <w:divBdr>
        <w:top w:val="none" w:sz="0" w:space="0" w:color="auto"/>
        <w:left w:val="none" w:sz="0" w:space="0" w:color="auto"/>
        <w:bottom w:val="none" w:sz="0" w:space="0" w:color="auto"/>
        <w:right w:val="none" w:sz="0" w:space="0" w:color="auto"/>
      </w:divBdr>
      <w:divsChild>
        <w:div w:id="1156919269">
          <w:marLeft w:val="0"/>
          <w:marRight w:val="0"/>
          <w:marTop w:val="0"/>
          <w:marBottom w:val="0"/>
          <w:divBdr>
            <w:top w:val="none" w:sz="0" w:space="0" w:color="auto"/>
            <w:left w:val="none" w:sz="0" w:space="0" w:color="auto"/>
            <w:bottom w:val="none" w:sz="0" w:space="0" w:color="auto"/>
            <w:right w:val="none" w:sz="0" w:space="0" w:color="auto"/>
          </w:divBdr>
          <w:divsChild>
            <w:div w:id="1372223174">
              <w:marLeft w:val="0"/>
              <w:marRight w:val="0"/>
              <w:marTop w:val="0"/>
              <w:marBottom w:val="0"/>
              <w:divBdr>
                <w:top w:val="none" w:sz="0" w:space="0" w:color="auto"/>
                <w:left w:val="none" w:sz="0" w:space="0" w:color="auto"/>
                <w:bottom w:val="none" w:sz="0" w:space="0" w:color="auto"/>
                <w:right w:val="none" w:sz="0" w:space="0" w:color="auto"/>
              </w:divBdr>
              <w:divsChild>
                <w:div w:id="657196491">
                  <w:marLeft w:val="0"/>
                  <w:marRight w:val="0"/>
                  <w:marTop w:val="0"/>
                  <w:marBottom w:val="0"/>
                  <w:divBdr>
                    <w:top w:val="none" w:sz="0" w:space="0" w:color="auto"/>
                    <w:left w:val="none" w:sz="0" w:space="0" w:color="auto"/>
                    <w:bottom w:val="none" w:sz="0" w:space="0" w:color="auto"/>
                    <w:right w:val="none" w:sz="0" w:space="0" w:color="auto"/>
                  </w:divBdr>
                  <w:divsChild>
                    <w:div w:id="1639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44002-9A31-47D5-9533-588A1AE0B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11</Pages>
  <Words>3402</Words>
  <Characters>19396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dc:creator>
  <cp:keywords/>
  <dc:description/>
  <cp:lastModifiedBy>Bee</cp:lastModifiedBy>
  <cp:revision>85</cp:revision>
  <cp:lastPrinted>2025-05-19T08:36:00Z</cp:lastPrinted>
  <dcterms:created xsi:type="dcterms:W3CDTF">2025-05-31T01:34:00Z</dcterms:created>
  <dcterms:modified xsi:type="dcterms:W3CDTF">2025-05-31T04:39:00Z</dcterms:modified>
</cp:coreProperties>
</file>