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166" w:rsidRDefault="00A46166" w:rsidP="009F7380">
      <w:pPr>
        <w:spacing w:line="360" w:lineRule="auto"/>
        <w:jc w:val="center"/>
        <w:rPr>
          <w:b/>
        </w:rPr>
      </w:pPr>
      <w:r>
        <w:rPr>
          <w:b/>
        </w:rPr>
        <w:t xml:space="preserve">Anexos </w:t>
      </w:r>
    </w:p>
    <w:p w:rsidR="00A46166" w:rsidRDefault="00A46166" w:rsidP="009F7380">
      <w:pPr>
        <w:spacing w:line="360" w:lineRule="auto"/>
        <w:ind w:left="1134"/>
        <w:rPr>
          <w:b/>
        </w:rPr>
      </w:pPr>
      <w:r>
        <w:rPr>
          <w:b/>
        </w:rPr>
        <w:t>III. Información complementaria.</w:t>
      </w:r>
    </w:p>
    <w:p w:rsidR="00A46166" w:rsidRDefault="00A46166" w:rsidP="000F58A7">
      <w:pPr>
        <w:spacing w:line="360" w:lineRule="auto"/>
        <w:rPr>
          <w:b/>
        </w:rPr>
      </w:pPr>
    </w:p>
    <w:p w:rsidR="00A46166" w:rsidRPr="00F770B8" w:rsidRDefault="00A46166" w:rsidP="000F58A7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 w:rsidRPr="000F58A7">
        <w:rPr>
          <w:b/>
        </w:rPr>
        <w:t>Leyes provinciales</w:t>
      </w:r>
      <w:r>
        <w:t xml:space="preserve">: legislación provincial de protección de niñez y autoridades de aplicación. </w:t>
      </w:r>
    </w:p>
    <w:p w:rsidR="00A46166" w:rsidRPr="000F58A7" w:rsidRDefault="00A46166" w:rsidP="000F58A7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 xml:space="preserve">P. 22 Anexo Hacienda: </w:t>
      </w:r>
      <w:r w:rsidRPr="00C372A1">
        <w:t>Anexo con información de Ministerio de Hacienda sobre Inversión y Gasto Público.</w:t>
      </w:r>
      <w:r>
        <w:rPr>
          <w:b/>
        </w:rPr>
        <w:t xml:space="preserve"> </w:t>
      </w:r>
    </w:p>
    <w:p w:rsidR="00A46166" w:rsidRDefault="00A46166" w:rsidP="000F58A7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 xml:space="preserve">P. 35 Anexo MPF I: </w:t>
      </w:r>
      <w:r>
        <w:t>Instituto Médico Antártida s/ Quiebra - S.C.I. 344, L. XLVII.  Corresponde a Párrafo 35.</w:t>
      </w:r>
    </w:p>
    <w:p w:rsidR="00A46166" w:rsidRDefault="00A46166" w:rsidP="00C372A1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>P. 35 Anexo MPF II:</w:t>
      </w:r>
      <w:r w:rsidRPr="00C372A1">
        <w:t xml:space="preserve"> G., M. A s/ causa n° 15.896 – S.C. G. 524; L. L.</w:t>
      </w:r>
      <w:r>
        <w:t xml:space="preserve"> Corresponde a Párrafo 35.</w:t>
      </w:r>
    </w:p>
    <w:p w:rsidR="00A46166" w:rsidRDefault="00A46166" w:rsidP="000F58A7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 xml:space="preserve">P. 35 Resolución MPF 8-09: </w:t>
      </w:r>
      <w:r>
        <w:rPr>
          <w:iCs/>
          <w:color w:val="000000"/>
          <w:lang w:val="es-AR" w:eastAsia="es-AR"/>
        </w:rPr>
        <w:t xml:space="preserve">Corresponde a </w:t>
      </w:r>
      <w:r w:rsidRPr="00EA23C3">
        <w:t>Párrafo 35</w:t>
      </w:r>
      <w:r>
        <w:t>.</w:t>
      </w:r>
    </w:p>
    <w:p w:rsidR="00A46166" w:rsidRDefault="00A46166" w:rsidP="000F58A7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 xml:space="preserve">P. </w:t>
      </w:r>
      <w:r w:rsidRPr="000F58A7">
        <w:rPr>
          <w:b/>
        </w:rPr>
        <w:t xml:space="preserve">35 Resolución MPF </w:t>
      </w:r>
      <w:r>
        <w:rPr>
          <w:b/>
        </w:rPr>
        <w:t>35-12</w:t>
      </w:r>
      <w:r w:rsidRPr="00EA23C3">
        <w:t xml:space="preserve"> </w:t>
      </w:r>
      <w:r>
        <w:rPr>
          <w:iCs/>
          <w:color w:val="000000"/>
          <w:lang w:val="es-AR" w:eastAsia="es-AR"/>
        </w:rPr>
        <w:t xml:space="preserve">Corresponde a </w:t>
      </w:r>
      <w:r w:rsidRPr="00EA23C3">
        <w:t>Párrafo 35</w:t>
      </w:r>
      <w:r>
        <w:t>.</w:t>
      </w:r>
    </w:p>
    <w:p w:rsidR="00A46166" w:rsidRDefault="00A46166" w:rsidP="000F58A7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 xml:space="preserve">P. </w:t>
      </w:r>
      <w:r w:rsidRPr="000F58A7">
        <w:rPr>
          <w:b/>
        </w:rPr>
        <w:t xml:space="preserve">35 Resolución MPF </w:t>
      </w:r>
      <w:r>
        <w:rPr>
          <w:b/>
        </w:rPr>
        <w:t>59</w:t>
      </w:r>
      <w:r w:rsidRPr="000F58A7">
        <w:rPr>
          <w:b/>
        </w:rPr>
        <w:t>-09</w:t>
      </w:r>
      <w:r w:rsidRPr="00EA23C3">
        <w:t xml:space="preserve"> </w:t>
      </w:r>
      <w:r>
        <w:rPr>
          <w:iCs/>
          <w:color w:val="000000"/>
          <w:lang w:val="es-AR" w:eastAsia="es-AR"/>
        </w:rPr>
        <w:t xml:space="preserve">Corresponde a </w:t>
      </w:r>
      <w:r w:rsidRPr="00EA23C3">
        <w:t>Párrafo 35</w:t>
      </w:r>
      <w:r>
        <w:t>.</w:t>
      </w:r>
    </w:p>
    <w:p w:rsidR="00A46166" w:rsidRPr="00EA23C3" w:rsidRDefault="00A46166" w:rsidP="00EA23C3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 xml:space="preserve">P. 43 Regla UN: </w:t>
      </w:r>
      <w:r w:rsidRPr="00EA23C3">
        <w:t>Reglas de Naciones Unidas para la protección de los menores privados de libertas. Regla 67</w:t>
      </w:r>
      <w:r>
        <w:t xml:space="preserve">. </w:t>
      </w:r>
      <w:r>
        <w:rPr>
          <w:iCs/>
          <w:color w:val="000000"/>
          <w:lang w:val="es-AR" w:eastAsia="es-AR"/>
        </w:rPr>
        <w:t xml:space="preserve">Corresponde a </w:t>
      </w:r>
      <w:r>
        <w:t>Párrafo 43</w:t>
      </w:r>
    </w:p>
    <w:p w:rsidR="00A46166" w:rsidRPr="00EA23C3" w:rsidRDefault="00A46166" w:rsidP="00EA23C3">
      <w:pPr>
        <w:pStyle w:val="ListParagraph"/>
        <w:numPr>
          <w:ilvl w:val="0"/>
          <w:numId w:val="2"/>
        </w:numPr>
        <w:spacing w:line="360" w:lineRule="auto"/>
        <w:jc w:val="both"/>
        <w:rPr>
          <w:b/>
        </w:rPr>
      </w:pPr>
      <w:r>
        <w:rPr>
          <w:b/>
        </w:rPr>
        <w:t xml:space="preserve">P. 43 Res. 991-09: </w:t>
      </w:r>
      <w:r w:rsidRPr="00EA23C3">
        <w:t>Protocolo de Procedimiento para Denuncias de Malos Tratos y Protocolo de Procedimiento para incidentes entre jóvenes alojados en centros de régimen cerrado</w:t>
      </w:r>
      <w:r>
        <w:t xml:space="preserve"> de la SENAF. Párrafo 43</w:t>
      </w:r>
      <w:r w:rsidRPr="00EA23C3">
        <w:t>.</w:t>
      </w:r>
    </w:p>
    <w:p w:rsidR="00A46166" w:rsidRPr="00EA23C3" w:rsidRDefault="00A46166" w:rsidP="00EA23C3">
      <w:pPr>
        <w:pStyle w:val="ListParagraph"/>
        <w:numPr>
          <w:ilvl w:val="0"/>
          <w:numId w:val="2"/>
        </w:numPr>
        <w:spacing w:line="360" w:lineRule="auto"/>
        <w:jc w:val="both"/>
        <w:rPr>
          <w:b/>
        </w:rPr>
      </w:pPr>
      <w:r>
        <w:rPr>
          <w:b/>
        </w:rPr>
        <w:t xml:space="preserve">P. 43 Estadísticas MPD: </w:t>
      </w:r>
      <w:r w:rsidRPr="00EA23C3">
        <w:t>Estadísticas de la Unidad de Registro</w:t>
      </w:r>
      <w:r w:rsidRPr="00EA23C3">
        <w:rPr>
          <w:iCs/>
          <w:color w:val="000000"/>
          <w:lang w:val="es-AR" w:eastAsia="es-AR"/>
        </w:rPr>
        <w:t>, Sistematización y Seguimiento de Hechos de Tortura y Otras Formas de Violencia Institucional</w:t>
      </w:r>
      <w:r w:rsidRPr="00EA7FCA">
        <w:rPr>
          <w:iCs/>
          <w:color w:val="000000"/>
          <w:lang w:val="es-AR" w:eastAsia="es-AR"/>
        </w:rPr>
        <w:t xml:space="preserve"> </w:t>
      </w:r>
      <w:r>
        <w:rPr>
          <w:iCs/>
          <w:color w:val="000000"/>
          <w:lang w:val="es-AR" w:eastAsia="es-AR"/>
        </w:rPr>
        <w:t>del MPD. Corresponde a Párrafo 43.</w:t>
      </w:r>
    </w:p>
    <w:p w:rsidR="00A46166" w:rsidRPr="00F770B8" w:rsidRDefault="00A46166" w:rsidP="00EA23C3">
      <w:pPr>
        <w:pStyle w:val="ListParagraph"/>
        <w:numPr>
          <w:ilvl w:val="0"/>
          <w:numId w:val="2"/>
        </w:numPr>
        <w:spacing w:line="360" w:lineRule="auto"/>
        <w:jc w:val="both"/>
        <w:rPr>
          <w:b/>
        </w:rPr>
      </w:pPr>
      <w:bookmarkStart w:id="0" w:name="_GoBack"/>
      <w:bookmarkEnd w:id="0"/>
      <w:r>
        <w:rPr>
          <w:b/>
        </w:rPr>
        <w:t xml:space="preserve">P. 63 Campañas y spot SEDRONAR: </w:t>
      </w:r>
      <w:r>
        <w:t>compendio de spot de campañas realizadas por la SEDRONAR, desde el año 2010. Corresponde a Párrafo 63.</w:t>
      </w:r>
    </w:p>
    <w:p w:rsidR="00A46166" w:rsidRPr="00F770B8" w:rsidRDefault="00A46166" w:rsidP="00F770B8">
      <w:pPr>
        <w:pStyle w:val="ListParagraph"/>
        <w:numPr>
          <w:ilvl w:val="0"/>
          <w:numId w:val="2"/>
        </w:numPr>
        <w:spacing w:line="360" w:lineRule="auto"/>
        <w:jc w:val="both"/>
        <w:rPr>
          <w:b/>
        </w:rPr>
      </w:pPr>
      <w:r>
        <w:rPr>
          <w:b/>
        </w:rPr>
        <w:t>P. 63 Folletos SEDRONAR:</w:t>
      </w:r>
      <w:r w:rsidRPr="00F770B8">
        <w:t xml:space="preserve"> </w:t>
      </w:r>
      <w:r>
        <w:t>compendio de folletos y afiches de campañas realizadas por la SEDRONAR, desde el año 2010. Corresponde a Párrafo 63.</w:t>
      </w:r>
    </w:p>
    <w:p w:rsidR="00A46166" w:rsidRPr="00F770B8" w:rsidRDefault="00A46166" w:rsidP="00F770B8">
      <w:pPr>
        <w:pStyle w:val="ListParagraph"/>
        <w:numPr>
          <w:ilvl w:val="0"/>
          <w:numId w:val="2"/>
        </w:numPr>
        <w:spacing w:line="360" w:lineRule="auto"/>
        <w:jc w:val="both"/>
        <w:rPr>
          <w:b/>
        </w:rPr>
      </w:pPr>
      <w:r>
        <w:rPr>
          <w:b/>
        </w:rPr>
        <w:t xml:space="preserve">P. 70. Res. 217-14 CFE: </w:t>
      </w:r>
      <w:r w:rsidRPr="00F770B8">
        <w:t xml:space="preserve">Resolución Nº 217/14 del CFE con la Guía Federal de Orientaciones para la Intervención Educativa en situaciones complejas relacionadas con la Vida Escolar. </w:t>
      </w:r>
      <w:r>
        <w:t>Corresponde a Párrafo 70.</w:t>
      </w:r>
    </w:p>
    <w:p w:rsidR="00A46166" w:rsidRPr="00F770B8" w:rsidRDefault="00A46166" w:rsidP="00F770B8">
      <w:pPr>
        <w:pStyle w:val="ListParagraph"/>
        <w:numPr>
          <w:ilvl w:val="0"/>
          <w:numId w:val="2"/>
        </w:numPr>
        <w:spacing w:line="360" w:lineRule="auto"/>
        <w:jc w:val="both"/>
        <w:rPr>
          <w:b/>
        </w:rPr>
      </w:pPr>
      <w:r>
        <w:rPr>
          <w:b/>
        </w:rPr>
        <w:t xml:space="preserve">P. 76 Integridad Sexual: </w:t>
      </w:r>
      <w:r>
        <w:t xml:space="preserve">Anexo con datos estadísticos sobre sumarios en trámite ante la Unidad Fiscal para la investigación de Delitos contra la Integridad Sexual de Niñas, Niños del MPF. Corresponde a Párrafo 76. </w:t>
      </w:r>
    </w:p>
    <w:p w:rsidR="00A46166" w:rsidRDefault="00A46166" w:rsidP="00F770B8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b/>
        </w:rPr>
        <w:t xml:space="preserve">Programa Salud Sexual: </w:t>
      </w:r>
      <w:r>
        <w:t xml:space="preserve">Información específica sobre el </w:t>
      </w:r>
      <w:r w:rsidRPr="00F770B8">
        <w:t>Programa Nacional de Salud Sexual y Procreación Responsable</w:t>
      </w:r>
      <w:r>
        <w:t>.</w:t>
      </w:r>
    </w:p>
    <w:p w:rsidR="00A46166" w:rsidRDefault="00A46166" w:rsidP="00F770B8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b/>
        </w:rPr>
        <w:t>Programa SUMAR</w:t>
      </w:r>
      <w:r w:rsidRPr="00F770B8">
        <w:t xml:space="preserve"> </w:t>
      </w:r>
      <w:r>
        <w:t xml:space="preserve">Información específica sobre el </w:t>
      </w:r>
      <w:r w:rsidRPr="00F770B8">
        <w:t xml:space="preserve">Programa </w:t>
      </w:r>
      <w:r>
        <w:t xml:space="preserve">SUMAR es más Salud Pública. </w:t>
      </w:r>
    </w:p>
    <w:p w:rsidR="00A46166" w:rsidRPr="00F770B8" w:rsidRDefault="00A46166" w:rsidP="005F2C5A">
      <w:pPr>
        <w:pStyle w:val="ListParagraph"/>
        <w:spacing w:line="360" w:lineRule="auto"/>
        <w:jc w:val="both"/>
      </w:pPr>
    </w:p>
    <w:p w:rsidR="00A46166" w:rsidRPr="00EA23C3" w:rsidRDefault="00A46166" w:rsidP="00EA23C3">
      <w:pPr>
        <w:spacing w:line="360" w:lineRule="auto"/>
        <w:jc w:val="both"/>
        <w:rPr>
          <w:b/>
        </w:rPr>
      </w:pPr>
    </w:p>
    <w:p w:rsidR="00A46166" w:rsidRDefault="00A46166" w:rsidP="009F7380">
      <w:pPr>
        <w:spacing w:line="360" w:lineRule="auto"/>
        <w:ind w:left="1134"/>
        <w:rPr>
          <w:b/>
        </w:rPr>
      </w:pPr>
    </w:p>
    <w:p w:rsidR="00A46166" w:rsidRDefault="00A46166"/>
    <w:sectPr w:rsidR="00A46166" w:rsidSect="004904C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166" w:rsidRDefault="00A46166" w:rsidP="009F7380">
      <w:r>
        <w:separator/>
      </w:r>
    </w:p>
  </w:endnote>
  <w:endnote w:type="continuationSeparator" w:id="0">
    <w:p w:rsidR="00A46166" w:rsidRDefault="00A46166" w:rsidP="009F73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166" w:rsidRDefault="00A46166" w:rsidP="009F7380">
      <w:r>
        <w:separator/>
      </w:r>
    </w:p>
  </w:footnote>
  <w:footnote w:type="continuationSeparator" w:id="0">
    <w:p w:rsidR="00A46166" w:rsidRDefault="00A46166" w:rsidP="009F73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166" w:rsidRDefault="00A46166" w:rsidP="009F7380">
    <w:pPr>
      <w:pStyle w:val="Header"/>
      <w:tabs>
        <w:tab w:val="right" w:pos="9000"/>
      </w:tabs>
      <w:ind w:right="-81"/>
      <w:jc w:val="right"/>
      <w:rPr>
        <w:lang w:val="es-AR"/>
      </w:rPr>
    </w:pPr>
    <w:r>
      <w:rPr>
        <w:lang w:val="es-AR"/>
      </w:rPr>
      <w:t>CRC/C/ARG/5-6</w:t>
    </w:r>
  </w:p>
  <w:p w:rsidR="00A46166" w:rsidRDefault="00A46166">
    <w:pPr>
      <w:pStyle w:val="Header"/>
    </w:pPr>
  </w:p>
  <w:p w:rsidR="00A46166" w:rsidRDefault="00A4616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17D8D"/>
    <w:multiLevelType w:val="hybridMultilevel"/>
    <w:tmpl w:val="7F3A33CA"/>
    <w:lvl w:ilvl="0" w:tplc="509607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595964"/>
    <w:multiLevelType w:val="hybridMultilevel"/>
    <w:tmpl w:val="AA249248"/>
    <w:lvl w:ilvl="0" w:tplc="28B065F4">
      <w:numFmt w:val="bullet"/>
      <w:lvlText w:val="-"/>
      <w:lvlJc w:val="left"/>
      <w:pPr>
        <w:ind w:left="644" w:hanging="360"/>
      </w:pPr>
      <w:rPr>
        <w:rFonts w:ascii="Arial" w:eastAsia="Times New Roman" w:hAnsi="Arial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584"/>
    <w:rsid w:val="000F58A7"/>
    <w:rsid w:val="00252F81"/>
    <w:rsid w:val="003F5174"/>
    <w:rsid w:val="004904C8"/>
    <w:rsid w:val="00567CA7"/>
    <w:rsid w:val="005F2C5A"/>
    <w:rsid w:val="009166AC"/>
    <w:rsid w:val="009F7380"/>
    <w:rsid w:val="00A167C0"/>
    <w:rsid w:val="00A46166"/>
    <w:rsid w:val="00BD5584"/>
    <w:rsid w:val="00C372A1"/>
    <w:rsid w:val="00E51F3C"/>
    <w:rsid w:val="00E65531"/>
    <w:rsid w:val="00EA23C3"/>
    <w:rsid w:val="00EA7FCA"/>
    <w:rsid w:val="00F77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584"/>
    <w:rPr>
      <w:rFonts w:ascii="Times New Roman" w:eastAsia="Times New Roman" w:hAnsi="Times New Roman"/>
      <w:sz w:val="24"/>
      <w:szCs w:val="24"/>
      <w:lang w:val="es-E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BD5584"/>
    <w:rPr>
      <w:rFonts w:cs="Times New Roman"/>
      <w:i/>
    </w:rPr>
  </w:style>
  <w:style w:type="paragraph" w:styleId="NormalWeb">
    <w:name w:val="Normal (Web)"/>
    <w:basedOn w:val="Normal"/>
    <w:uiPriority w:val="99"/>
    <w:rsid w:val="00BD5584"/>
    <w:pPr>
      <w:spacing w:before="100" w:beforeAutospacing="1" w:after="100" w:afterAutospacing="1"/>
    </w:pPr>
    <w:rPr>
      <w:lang w:val="es-AR" w:eastAsia="es-AR"/>
    </w:rPr>
  </w:style>
  <w:style w:type="paragraph" w:styleId="Header">
    <w:name w:val="header"/>
    <w:basedOn w:val="Normal"/>
    <w:link w:val="HeaderChar"/>
    <w:uiPriority w:val="99"/>
    <w:rsid w:val="009F7380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F7380"/>
    <w:rPr>
      <w:rFonts w:ascii="Times New Roman" w:hAnsi="Times New Roman" w:cs="Times New Roman"/>
      <w:sz w:val="24"/>
      <w:szCs w:val="24"/>
      <w:lang w:val="es-ES"/>
    </w:rPr>
  </w:style>
  <w:style w:type="paragraph" w:styleId="Footer">
    <w:name w:val="footer"/>
    <w:basedOn w:val="Normal"/>
    <w:link w:val="FooterChar"/>
    <w:uiPriority w:val="99"/>
    <w:rsid w:val="009F7380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F7380"/>
    <w:rPr>
      <w:rFonts w:ascii="Times New Roman" w:hAnsi="Times New Roman" w:cs="Times New Roman"/>
      <w:sz w:val="24"/>
      <w:szCs w:val="24"/>
      <w:lang w:val="es-ES"/>
    </w:rPr>
  </w:style>
  <w:style w:type="paragraph" w:styleId="ListParagraph">
    <w:name w:val="List Paragraph"/>
    <w:basedOn w:val="Normal"/>
    <w:uiPriority w:val="99"/>
    <w:qFormat/>
    <w:rsid w:val="000F58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7F0462-2829-4D22-B611-6348D8D7C785}"/>
</file>

<file path=customXml/itemProps2.xml><?xml version="1.0" encoding="utf-8"?>
<ds:datastoreItem xmlns:ds="http://schemas.openxmlformats.org/officeDocument/2006/customXml" ds:itemID="{13C3B03B-D94C-41BE-8680-BB6B54608694}"/>
</file>

<file path=customXml/itemProps3.xml><?xml version="1.0" encoding="utf-8"?>
<ds:datastoreItem xmlns:ds="http://schemas.openxmlformats.org/officeDocument/2006/customXml" ds:itemID="{B12D822E-3488-4905-B135-5844D3D35C20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312</Words>
  <Characters>1719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</dc:title>
  <dc:subject/>
  <dc:creator>Alejo Torres de la Puerta</dc:creator>
  <cp:keywords/>
  <dc:description/>
  <cp:lastModifiedBy>MRECIC</cp:lastModifiedBy>
  <cp:revision>2</cp:revision>
  <dcterms:created xsi:type="dcterms:W3CDTF">2016-12-13T19:09:00Z</dcterms:created>
  <dcterms:modified xsi:type="dcterms:W3CDTF">2016-12-13T19:09:00Z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