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877" w:rsidRDefault="00FF6877" w:rsidP="00FF6877">
      <w:pPr>
        <w:autoSpaceDE w:val="0"/>
        <w:autoSpaceDN w:val="0"/>
        <w:adjustRightInd w:val="0"/>
        <w:jc w:val="center"/>
        <w:rPr>
          <w:rFonts w:ascii="Cambria" w:eastAsia="SimSun" w:hAnsi="Cambria" w:cs="Cambria"/>
          <w:b/>
          <w:bCs/>
          <w:color w:val="000000"/>
          <w:sz w:val="26"/>
          <w:szCs w:val="26"/>
          <w:lang w:val="en-GB" w:eastAsia="en-GB"/>
        </w:rPr>
      </w:pPr>
    </w:p>
    <w:p w:rsidR="00FF6877" w:rsidRDefault="00FF6877" w:rsidP="00FF6877">
      <w:pPr>
        <w:autoSpaceDE w:val="0"/>
        <w:autoSpaceDN w:val="0"/>
        <w:adjustRightInd w:val="0"/>
        <w:jc w:val="center"/>
        <w:rPr>
          <w:rFonts w:ascii="Cambria" w:eastAsia="SimSun" w:hAnsi="Cambria" w:cs="Cambria"/>
          <w:b/>
          <w:bCs/>
          <w:color w:val="000000"/>
          <w:sz w:val="26"/>
          <w:szCs w:val="26"/>
          <w:lang w:val="en-GB" w:eastAsia="en-GB"/>
        </w:rPr>
      </w:pPr>
    </w:p>
    <w:p w:rsidR="00FF6877" w:rsidRPr="00FF6877" w:rsidRDefault="00FF6877" w:rsidP="00FF6877">
      <w:pPr>
        <w:autoSpaceDE w:val="0"/>
        <w:autoSpaceDN w:val="0"/>
        <w:adjustRightInd w:val="0"/>
        <w:jc w:val="center"/>
        <w:rPr>
          <w:rFonts w:ascii="Cambria" w:eastAsiaTheme="minorEastAsia" w:hAnsi="Cambria" w:cs="Cambria"/>
          <w:b/>
          <w:color w:val="000000"/>
          <w:sz w:val="28"/>
          <w:szCs w:val="28"/>
          <w:lang w:val="en-GB" w:eastAsia="en-GB"/>
        </w:rPr>
      </w:pPr>
      <w:r w:rsidRPr="00FF6877">
        <w:rPr>
          <w:rFonts w:ascii="Cambria" w:eastAsiaTheme="minorEastAsia" w:hAnsi="Cambria" w:cs="Cambria"/>
          <w:b/>
          <w:color w:val="000000"/>
          <w:sz w:val="28"/>
          <w:szCs w:val="28"/>
          <w:lang w:val="en-GB" w:eastAsia="en-GB"/>
        </w:rPr>
        <w:t>CEDAW TASK FORCE - ARMENIA</w:t>
      </w:r>
    </w:p>
    <w:p w:rsidR="00FF6877" w:rsidRDefault="00FF6877" w:rsidP="004951D8">
      <w:pPr>
        <w:spacing w:before="240" w:after="240"/>
        <w:jc w:val="center"/>
        <w:rPr>
          <w:rFonts w:ascii="Cambria" w:hAnsi="Cambria" w:cs="Times New Roman"/>
          <w:b/>
          <w:bCs/>
          <w:sz w:val="28"/>
          <w:szCs w:val="28"/>
        </w:rPr>
      </w:pPr>
    </w:p>
    <w:p w:rsidR="004951D8" w:rsidRPr="00FF6877" w:rsidRDefault="00277B50" w:rsidP="00FF6877">
      <w:pPr>
        <w:spacing w:before="240" w:after="240" w:line="360" w:lineRule="auto"/>
        <w:jc w:val="center"/>
        <w:rPr>
          <w:rFonts w:ascii="Cambria" w:eastAsiaTheme="minorEastAsia" w:hAnsi="Cambria" w:cs="Cambria"/>
          <w:b/>
          <w:color w:val="000000"/>
          <w:sz w:val="28"/>
          <w:szCs w:val="28"/>
          <w:lang w:val="en-GB" w:eastAsia="en-GB"/>
        </w:rPr>
      </w:pPr>
      <w:r w:rsidRPr="00FF6877">
        <w:rPr>
          <w:rFonts w:ascii="Cambria" w:eastAsiaTheme="minorEastAsia" w:hAnsi="Cambria" w:cs="Cambria"/>
          <w:b/>
          <w:color w:val="000000"/>
          <w:sz w:val="28"/>
          <w:szCs w:val="28"/>
          <w:lang w:val="en-GB" w:eastAsia="en-GB"/>
        </w:rPr>
        <w:t xml:space="preserve">Submission to </w:t>
      </w:r>
      <w:r w:rsidR="004951D8" w:rsidRPr="00FF6877">
        <w:rPr>
          <w:rFonts w:ascii="Cambria" w:eastAsiaTheme="minorEastAsia" w:hAnsi="Cambria" w:cs="Cambria"/>
          <w:b/>
          <w:color w:val="000000"/>
          <w:sz w:val="28"/>
          <w:szCs w:val="28"/>
          <w:lang w:val="en-GB" w:eastAsia="en-GB"/>
        </w:rPr>
        <w:t>the 83rd Session of the Committee on the Elimination of Discrimination against Women on the implementation of the Convention on the Elimination of All Forms of Discrimination against Women</w:t>
      </w:r>
    </w:p>
    <w:p w:rsidR="00A07862" w:rsidRPr="00A07862" w:rsidRDefault="00A07862" w:rsidP="00A07862">
      <w:pPr>
        <w:autoSpaceDE w:val="0"/>
        <w:autoSpaceDN w:val="0"/>
        <w:adjustRightInd w:val="0"/>
        <w:rPr>
          <w:rFonts w:ascii="Cambria" w:eastAsia="SimSun" w:hAnsi="Cambria" w:cs="Cambria"/>
          <w:color w:val="000000"/>
          <w:lang w:val="en-GB" w:eastAsia="en-GB"/>
        </w:rPr>
      </w:pPr>
    </w:p>
    <w:p w:rsidR="00CD11D8" w:rsidRDefault="00CD11D8">
      <w:pPr>
        <w:autoSpaceDE w:val="0"/>
        <w:autoSpaceDN w:val="0"/>
        <w:adjustRightInd w:val="0"/>
        <w:spacing w:line="360" w:lineRule="auto"/>
        <w:jc w:val="center"/>
        <w:rPr>
          <w:rFonts w:ascii="Cambria" w:eastAsiaTheme="minorEastAsia" w:hAnsi="Cambria" w:cs="Cambria"/>
          <w:color w:val="000000"/>
          <w:lang w:val="en-GB" w:eastAsia="en-GB"/>
        </w:rPr>
      </w:pPr>
    </w:p>
    <w:p w:rsidR="00CD11D8" w:rsidRPr="00FF6877" w:rsidRDefault="00277B50">
      <w:p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val="en-GB" w:eastAsia="en-GB"/>
        </w:rPr>
        <w:t xml:space="preserve">This written submission is prepared by the </w:t>
      </w:r>
      <w:r w:rsidRPr="00A6545C">
        <w:rPr>
          <w:rFonts w:ascii="Cambria" w:eastAsiaTheme="minorEastAsia" w:hAnsi="Cambria" w:cs="Cambria"/>
          <w:color w:val="000000"/>
          <w:sz w:val="28"/>
          <w:szCs w:val="28"/>
          <w:lang w:val="en-GB" w:eastAsia="en-GB"/>
        </w:rPr>
        <w:t>CEDAW Task Force - Armenia</w:t>
      </w:r>
      <w:r w:rsidRPr="00FF6877">
        <w:rPr>
          <w:rFonts w:ascii="Cambria" w:eastAsiaTheme="minorEastAsia" w:hAnsi="Cambria" w:cs="Cambria"/>
          <w:color w:val="000000"/>
          <w:sz w:val="28"/>
          <w:szCs w:val="28"/>
          <w:lang w:val="en-GB" w:eastAsia="en-GB"/>
        </w:rPr>
        <w:t xml:space="preserve"> </w:t>
      </w:r>
      <w:r w:rsidR="00A6545C">
        <w:rPr>
          <w:rFonts w:ascii="Cambria" w:eastAsiaTheme="minorEastAsia" w:hAnsi="Cambria" w:cs="Cambria"/>
          <w:color w:val="000000"/>
          <w:sz w:val="28"/>
          <w:szCs w:val="28"/>
          <w:lang w:val="en-GB" w:eastAsia="en-GB"/>
        </w:rPr>
        <w:t xml:space="preserve">representing a </w:t>
      </w:r>
      <w:r w:rsidRPr="00FF6877">
        <w:rPr>
          <w:rFonts w:ascii="Cambria" w:eastAsiaTheme="minorEastAsia" w:hAnsi="Cambria" w:cs="Cambria"/>
          <w:color w:val="000000"/>
          <w:sz w:val="28"/>
          <w:szCs w:val="28"/>
          <w:lang w:val="en-GB" w:eastAsia="en-GB"/>
        </w:rPr>
        <w:t>group of NGOs and experts</w:t>
      </w:r>
      <w:r w:rsidRPr="00FF6877">
        <w:rPr>
          <w:rStyle w:val="FootnoteReference"/>
          <w:rFonts w:ascii="Cambria" w:eastAsiaTheme="minorEastAsia" w:hAnsi="Cambria" w:cs="Cambria"/>
          <w:color w:val="000000"/>
          <w:sz w:val="28"/>
          <w:szCs w:val="28"/>
          <w:lang w:val="en-GB" w:eastAsia="en-GB"/>
        </w:rPr>
        <w:footnoteReference w:id="1"/>
      </w:r>
      <w:r w:rsidRPr="00FF6877">
        <w:rPr>
          <w:rFonts w:ascii="Cambria" w:eastAsiaTheme="minorEastAsia" w:hAnsi="Cambria" w:cs="Cambria"/>
          <w:color w:val="000000"/>
          <w:sz w:val="28"/>
          <w:szCs w:val="28"/>
          <w:lang w:val="en-GB" w:eastAsia="en-GB"/>
        </w:rPr>
        <w:t xml:space="preserve">: </w:t>
      </w:r>
    </w:p>
    <w:p w:rsidR="00CD11D8" w:rsidRPr="00FF6877" w:rsidRDefault="00277B50">
      <w:pPr>
        <w:pStyle w:val="ListParagraph"/>
        <w:numPr>
          <w:ilvl w:val="0"/>
          <w:numId w:val="1"/>
        </w:num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eastAsia="en-GB"/>
        </w:rPr>
        <w:t>“</w:t>
      </w:r>
      <w:r w:rsidRPr="00FF6877">
        <w:rPr>
          <w:rFonts w:ascii="Cambria" w:eastAsiaTheme="minorEastAsia" w:hAnsi="Cambria" w:cs="Cambria"/>
          <w:color w:val="000000"/>
          <w:sz w:val="28"/>
          <w:szCs w:val="28"/>
          <w:lang w:val="en-GB" w:eastAsia="en-GB"/>
        </w:rPr>
        <w:t>Democracy Today</w:t>
      </w:r>
      <w:r w:rsidRPr="00FF6877">
        <w:rPr>
          <w:rFonts w:ascii="Cambria" w:eastAsiaTheme="minorEastAsia" w:hAnsi="Cambria" w:cs="Cambria"/>
          <w:color w:val="000000"/>
          <w:sz w:val="28"/>
          <w:szCs w:val="28"/>
          <w:lang w:eastAsia="en-GB"/>
        </w:rPr>
        <w:t>”</w:t>
      </w:r>
      <w:r w:rsidRPr="00FF6877">
        <w:rPr>
          <w:rFonts w:ascii="Cambria" w:eastAsiaTheme="minorEastAsia" w:hAnsi="Cambria" w:cs="Cambria"/>
          <w:color w:val="000000"/>
          <w:sz w:val="28"/>
          <w:szCs w:val="28"/>
          <w:lang w:val="en-GB" w:eastAsia="en-GB"/>
        </w:rPr>
        <w:t xml:space="preserve"> NGO</w:t>
      </w:r>
      <w:r w:rsidRPr="00FF6877">
        <w:rPr>
          <w:rFonts w:ascii="Cambria" w:eastAsiaTheme="minorEastAsia" w:hAnsi="Cambria" w:cs="Cambria"/>
          <w:color w:val="000000"/>
          <w:sz w:val="28"/>
          <w:szCs w:val="28"/>
          <w:lang w:val="en-GB" w:eastAsia="en-GB"/>
        </w:rPr>
        <w:fldChar w:fldCharType="begin"/>
      </w:r>
      <w:r w:rsidRPr="00FF6877">
        <w:rPr>
          <w:rFonts w:ascii="Cambria" w:eastAsiaTheme="minorEastAsia" w:hAnsi="Cambria" w:cs="Cambria"/>
          <w:color w:val="000000"/>
          <w:sz w:val="28"/>
          <w:szCs w:val="28"/>
          <w:lang w:val="en-GB" w:eastAsia="en-GB"/>
        </w:rPr>
        <w:instrText xml:space="preserve"> HYPERLINK "https://www.spyur.am/en/companies/sinjar-yezidi-national-union/27092" </w:instrText>
      </w:r>
      <w:r w:rsidRPr="00FF6877">
        <w:rPr>
          <w:rFonts w:ascii="Cambria" w:eastAsiaTheme="minorEastAsia" w:hAnsi="Cambria" w:cs="Cambria"/>
          <w:color w:val="000000"/>
          <w:sz w:val="28"/>
          <w:szCs w:val="28"/>
          <w:lang w:val="en-GB" w:eastAsia="en-GB"/>
        </w:rPr>
        <w:fldChar w:fldCharType="separate"/>
      </w:r>
    </w:p>
    <w:p w:rsidR="00CD11D8" w:rsidRPr="00FF6877" w:rsidRDefault="00277B50">
      <w:pPr>
        <w:pStyle w:val="ListParagraph"/>
        <w:numPr>
          <w:ilvl w:val="0"/>
          <w:numId w:val="1"/>
        </w:num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eastAsia="en-GB"/>
        </w:rPr>
        <w:t>"Armavir Development Center" NGO</w:t>
      </w:r>
    </w:p>
    <w:p w:rsidR="00CD11D8" w:rsidRPr="00FF6877" w:rsidRDefault="004951D8">
      <w:pPr>
        <w:pStyle w:val="ListParagraph"/>
        <w:numPr>
          <w:ilvl w:val="0"/>
          <w:numId w:val="1"/>
        </w:num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eastAsia="en-GB"/>
        </w:rPr>
        <w:t>"</w:t>
      </w:r>
      <w:proofErr w:type="spellStart"/>
      <w:r w:rsidRPr="00FF6877">
        <w:rPr>
          <w:rFonts w:ascii="Cambria" w:eastAsiaTheme="minorEastAsia" w:hAnsi="Cambria" w:cs="Cambria"/>
          <w:color w:val="000000"/>
          <w:sz w:val="28"/>
          <w:szCs w:val="28"/>
          <w:lang w:eastAsia="en-GB"/>
        </w:rPr>
        <w:t>Arpi</w:t>
      </w:r>
      <w:proofErr w:type="spellEnd"/>
      <w:r w:rsidRPr="00FF6877">
        <w:rPr>
          <w:rFonts w:ascii="Cambria" w:eastAsiaTheme="minorEastAsia" w:hAnsi="Cambria" w:cs="Cambria"/>
          <w:color w:val="000000"/>
          <w:sz w:val="28"/>
          <w:szCs w:val="28"/>
          <w:lang w:eastAsia="en-GB"/>
        </w:rPr>
        <w:t>"</w:t>
      </w:r>
      <w:r w:rsidR="00277B50" w:rsidRPr="00FF6877">
        <w:rPr>
          <w:rFonts w:ascii="Cambria" w:eastAsiaTheme="minorEastAsia" w:hAnsi="Cambria" w:cs="Cambria"/>
          <w:color w:val="000000"/>
          <w:sz w:val="28"/>
          <w:szCs w:val="28"/>
          <w:lang w:eastAsia="en-GB"/>
        </w:rPr>
        <w:t xml:space="preserve"> NGO</w:t>
      </w:r>
    </w:p>
    <w:p w:rsidR="00CD11D8" w:rsidRPr="00FF6877" w:rsidRDefault="00277B50">
      <w:pPr>
        <w:pStyle w:val="ListParagraph"/>
        <w:numPr>
          <w:ilvl w:val="0"/>
          <w:numId w:val="1"/>
        </w:num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val="en-GB" w:eastAsia="en-GB"/>
        </w:rPr>
        <w:t>“Sinjar" Yezidi National Union</w:t>
      </w:r>
    </w:p>
    <w:p w:rsidR="00CD11D8" w:rsidRPr="00FF6877" w:rsidRDefault="00277B50">
      <w:pPr>
        <w:pStyle w:val="ListParagraph"/>
        <w:numPr>
          <w:ilvl w:val="0"/>
          <w:numId w:val="1"/>
        </w:numPr>
        <w:autoSpaceDE w:val="0"/>
        <w:autoSpaceDN w:val="0"/>
        <w:adjustRightInd w:val="0"/>
        <w:spacing w:line="360" w:lineRule="auto"/>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eastAsia="en-GB"/>
        </w:rPr>
        <w:t>"Green Lane" NGO</w:t>
      </w:r>
    </w:p>
    <w:p w:rsidR="00CD11D8" w:rsidRPr="00FF6877" w:rsidRDefault="00277B50">
      <w:pPr>
        <w:pStyle w:val="ListParagraph"/>
        <w:spacing w:before="240" w:line="360" w:lineRule="auto"/>
        <w:ind w:left="360"/>
        <w:jc w:val="both"/>
        <w:rPr>
          <w:rFonts w:ascii="Cambria" w:eastAsiaTheme="minorEastAsia" w:hAnsi="Cambria" w:cs="Cambria"/>
          <w:color w:val="000000"/>
          <w:sz w:val="28"/>
          <w:szCs w:val="28"/>
          <w:lang w:val="en-GB" w:eastAsia="en-GB"/>
        </w:rPr>
      </w:pPr>
      <w:r w:rsidRPr="00FF6877">
        <w:rPr>
          <w:rFonts w:ascii="Cambria" w:eastAsiaTheme="minorEastAsia" w:hAnsi="Cambria" w:cs="Cambria"/>
          <w:color w:val="000000"/>
          <w:sz w:val="28"/>
          <w:szCs w:val="28"/>
          <w:lang w:val="en-GB" w:eastAsia="en-GB"/>
        </w:rPr>
        <w:fldChar w:fldCharType="end"/>
      </w:r>
      <w:r w:rsidRPr="00FF6877">
        <w:rPr>
          <w:rFonts w:ascii="Cambria" w:eastAsiaTheme="minorEastAsia" w:hAnsi="Cambria" w:cs="Cambria"/>
          <w:color w:val="000000"/>
          <w:sz w:val="28"/>
          <w:szCs w:val="28"/>
          <w:lang w:val="en-GB" w:eastAsia="en-GB"/>
        </w:rPr>
        <w:t> </w:t>
      </w: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CD11D8" w:rsidRDefault="00CD11D8">
      <w:pPr>
        <w:pStyle w:val="ListParagraph"/>
        <w:spacing w:before="240" w:line="360" w:lineRule="auto"/>
        <w:ind w:left="360"/>
        <w:jc w:val="both"/>
        <w:rPr>
          <w:rFonts w:ascii="Cambria" w:eastAsiaTheme="minorEastAsia" w:hAnsi="Cambria" w:cs="Cambria"/>
          <w:color w:val="000000"/>
          <w:lang w:val="en-GB" w:eastAsia="en-GB"/>
        </w:rPr>
      </w:pPr>
    </w:p>
    <w:p w:rsidR="001906AD" w:rsidRDefault="001906AD">
      <w:pPr>
        <w:jc w:val="both"/>
        <w:rPr>
          <w:rFonts w:ascii="Cambria" w:hAnsi="Cambria" w:cs="Times New Roman"/>
        </w:rPr>
      </w:pPr>
    </w:p>
    <w:p w:rsidR="00CD11D8" w:rsidRDefault="00AF6802">
      <w:pPr>
        <w:jc w:val="both"/>
        <w:rPr>
          <w:rFonts w:ascii="Cambria" w:hAnsi="Cambria" w:cs="Times New Roman"/>
        </w:rPr>
      </w:pPr>
      <w:r w:rsidRPr="00AF6802">
        <w:rPr>
          <w:rFonts w:ascii="Cambria" w:hAnsi="Cambria" w:cs="Times New Roman"/>
        </w:rPr>
        <w:t xml:space="preserve">CEDAW Task Force-Armenia welcomes the government efforts put in the 7th periodic report submitted by Armenia. It stands out from previous ones by its comprehensive presentation of the cooperation between state and civil society work conducted in the advancement of CEDAW implementation in Armenia. Specifically, the highlights of state-civil society cooperation in the field of gender education, awareness raising and fight against stereotypes are outstanding. However, there are issues of concern that we would like to bring to the attention of the CEDAW Committee.  </w:t>
      </w:r>
      <w:r w:rsidR="00277B50">
        <w:rPr>
          <w:rFonts w:ascii="Cambria" w:hAnsi="Cambria" w:cs="Times New Roman"/>
        </w:rPr>
        <w:t xml:space="preserve"> </w:t>
      </w:r>
    </w:p>
    <w:p w:rsidR="00CD11D8" w:rsidRDefault="00CD11D8">
      <w:pPr>
        <w:jc w:val="both"/>
        <w:rPr>
          <w:rFonts w:ascii="Cambria" w:hAnsi="Cambria" w:cs="Times New Roman"/>
        </w:rPr>
      </w:pPr>
    </w:p>
    <w:p w:rsidR="001906AD" w:rsidRDefault="001906AD">
      <w:pPr>
        <w:jc w:val="both"/>
        <w:rPr>
          <w:rFonts w:ascii="Cambria" w:eastAsia="Cambria" w:hAnsi="Cambria" w:cs="Cambria"/>
          <w:b/>
          <w:bCs/>
        </w:rPr>
      </w:pPr>
    </w:p>
    <w:p w:rsidR="00CD11D8" w:rsidRDefault="00277B50">
      <w:pPr>
        <w:jc w:val="both"/>
        <w:rPr>
          <w:rFonts w:ascii="Cambria" w:eastAsia="Cambria" w:hAnsi="Cambria" w:cs="Cambria"/>
        </w:rPr>
      </w:pPr>
      <w:r>
        <w:rPr>
          <w:rFonts w:ascii="Cambria" w:eastAsia="Cambria" w:hAnsi="Cambria" w:cs="Cambria"/>
          <w:b/>
          <w:bCs/>
        </w:rPr>
        <w:t>TRAFFICKING AND EXPLOITATION OF PROSTITUTION</w:t>
      </w:r>
      <w:r>
        <w:rPr>
          <w:rFonts w:ascii="Cambria" w:eastAsia="Cambria" w:hAnsi="Cambria" w:cs="Cambria"/>
        </w:rPr>
        <w:t xml:space="preserve"> </w:t>
      </w:r>
    </w:p>
    <w:p w:rsidR="00CD11D8" w:rsidRDefault="00CD11D8">
      <w:pPr>
        <w:pStyle w:val="Default"/>
      </w:pPr>
    </w:p>
    <w:p w:rsidR="00CD11D8" w:rsidRDefault="00AF6802" w:rsidP="00AF6802">
      <w:pPr>
        <w:pStyle w:val="NormalWeb"/>
        <w:spacing w:before="0" w:beforeAutospacing="0" w:after="0" w:afterAutospacing="0"/>
        <w:jc w:val="both"/>
        <w:rPr>
          <w:rFonts w:ascii="Cambria" w:hAnsi="Cambria" w:cs="Calibri"/>
          <w:vertAlign w:val="superscript"/>
        </w:rPr>
      </w:pPr>
      <w:r w:rsidRPr="00AF6802">
        <w:rPr>
          <w:rFonts w:ascii="Cambria" w:hAnsi="Cambria" w:cs="Calibri"/>
          <w:color w:val="000000"/>
        </w:rPr>
        <w:t xml:space="preserve">Armenia has adopted a National Strategy and Action Plan for Human Rights Protection for 2020-2022 and a Strategy and Action Plan for Implementing the Gender Policy for 2019-2023. However, these strategies and action plans do not include activities related to combating trafficking in human beings </w:t>
      </w:r>
      <w:r>
        <w:rPr>
          <w:rFonts w:ascii="Cambria" w:hAnsi="Cambria" w:cs="Calibri"/>
          <w:color w:val="000000"/>
        </w:rPr>
        <w:t>(</w:t>
      </w:r>
      <w:r w:rsidRPr="00AF6802">
        <w:rPr>
          <w:rFonts w:ascii="Cambria" w:hAnsi="Cambria" w:cs="Calibri"/>
          <w:color w:val="000000"/>
        </w:rPr>
        <w:t>THB</w:t>
      </w:r>
      <w:r>
        <w:rPr>
          <w:rFonts w:ascii="Cambria" w:hAnsi="Cambria" w:cs="Calibri"/>
          <w:color w:val="000000"/>
        </w:rPr>
        <w:t>)</w:t>
      </w:r>
      <w:r w:rsidRPr="00AF6802">
        <w:rPr>
          <w:rFonts w:ascii="Cambria" w:hAnsi="Cambria" w:cs="Calibri"/>
          <w:color w:val="000000"/>
        </w:rPr>
        <w:t>. It is an urgent need for sustained political attention to the fight against human trafficking as an ongoing challenge, including mainstreaming action against human trafficking in relevant national strategies and action plans</w:t>
      </w:r>
      <w:r w:rsidR="00277B50">
        <w:rPr>
          <w:rFonts w:ascii="Cambria" w:hAnsi="Cambria" w:cs="Calibri"/>
        </w:rPr>
        <w:t>.</w:t>
      </w:r>
      <w:r w:rsidR="00277B50">
        <w:rPr>
          <w:rFonts w:ascii="Cambria" w:hAnsi="Cambria" w:cs="Calibri"/>
          <w:vertAlign w:val="superscript"/>
        </w:rPr>
        <w:footnoteReference w:id="2"/>
      </w:r>
      <w:r w:rsidR="00277B50">
        <w:rPr>
          <w:rFonts w:ascii="Cambria" w:hAnsi="Cambria" w:cs="Calibri"/>
          <w:vertAlign w:val="superscript"/>
        </w:rPr>
        <w:t xml:space="preserve"> </w:t>
      </w:r>
    </w:p>
    <w:p w:rsidR="00AF6802" w:rsidRDefault="00AF6802" w:rsidP="00AF6802">
      <w:pPr>
        <w:pStyle w:val="NormalWeb"/>
        <w:spacing w:before="0" w:beforeAutospacing="0" w:after="0" w:afterAutospacing="0"/>
        <w:jc w:val="both"/>
        <w:rPr>
          <w:rFonts w:ascii="Cambria" w:hAnsi="Cambria" w:cs="Calibri"/>
          <w:vertAlign w:val="superscript"/>
        </w:rPr>
      </w:pPr>
    </w:p>
    <w:p w:rsidR="00AF6802" w:rsidRPr="00AF6802" w:rsidRDefault="00AF6802" w:rsidP="00AF6802">
      <w:pPr>
        <w:autoSpaceDE w:val="0"/>
        <w:autoSpaceDN w:val="0"/>
        <w:adjustRightInd w:val="0"/>
        <w:jc w:val="both"/>
        <w:rPr>
          <w:rFonts w:ascii="Cambria" w:eastAsia="Times New Roman" w:hAnsi="Cambria" w:cs="Calibri"/>
          <w:color w:val="000000"/>
          <w:lang w:val="en-GB" w:eastAsia="en-GB"/>
        </w:rPr>
      </w:pPr>
      <w:r w:rsidRPr="00AF6802">
        <w:rPr>
          <w:rFonts w:ascii="Cambria" w:eastAsia="Times New Roman" w:hAnsi="Cambria" w:cs="Calibri"/>
          <w:color w:val="000000"/>
          <w:lang w:val="en-GB" w:eastAsia="en-GB"/>
        </w:rPr>
        <w:t>Existing patriarchal relationships and gender inequality create a fruitful foundation for sexual exploitation. Sexual exploitation in Armenia, as in many countries, is viewed through</w:t>
      </w:r>
    </w:p>
    <w:p w:rsidR="00AF6802" w:rsidRDefault="00AF6802" w:rsidP="00AF6802">
      <w:pPr>
        <w:autoSpaceDE w:val="0"/>
        <w:autoSpaceDN w:val="0"/>
        <w:adjustRightInd w:val="0"/>
        <w:jc w:val="both"/>
        <w:rPr>
          <w:rFonts w:ascii="Futura-Medium" w:eastAsia="SimSun" w:hAnsi="Futura-Medium" w:cs="Futura-Medium"/>
          <w:color w:val="000000"/>
          <w:sz w:val="22"/>
          <w:szCs w:val="22"/>
          <w:lang w:val="en-GB" w:eastAsia="en-GB"/>
        </w:rPr>
      </w:pPr>
      <w:r w:rsidRPr="00AF6802">
        <w:rPr>
          <w:rFonts w:ascii="Cambria" w:eastAsia="Times New Roman" w:hAnsi="Cambria" w:cs="Calibri"/>
          <w:color w:val="000000"/>
          <w:lang w:val="en-GB" w:eastAsia="en-GB"/>
        </w:rPr>
        <w:t>the lens of prostitution. Stigma toward victims is still high, making it challenging to organize a proper anti-trafficking response. Although much work is done in terms of awareness-raising to break this stereotype and create an environment of empathy and compassion towards women who passed ordeals of sexual exploitation, public opinion is still condemning.</w:t>
      </w:r>
      <w:r>
        <w:rPr>
          <w:rStyle w:val="FootnoteReference"/>
          <w:rFonts w:ascii="Cambria" w:eastAsia="Times New Roman" w:hAnsi="Cambria" w:cs="Calibri"/>
          <w:color w:val="000000"/>
          <w:lang w:val="en-GB" w:eastAsia="en-GB"/>
        </w:rPr>
        <w:footnoteReference w:id="3"/>
      </w:r>
      <w:r>
        <w:rPr>
          <w:rFonts w:ascii="Cambria" w:eastAsia="Times New Roman" w:hAnsi="Cambria" w:cs="Calibri"/>
          <w:color w:val="000000"/>
          <w:lang w:val="en-GB" w:eastAsia="en-GB"/>
        </w:rPr>
        <w:t xml:space="preserve"> </w:t>
      </w:r>
    </w:p>
    <w:p w:rsidR="00AF6802" w:rsidRDefault="00AF6802" w:rsidP="00AF6802">
      <w:pPr>
        <w:pStyle w:val="NormalWeb"/>
        <w:spacing w:before="0" w:beforeAutospacing="0" w:after="0" w:afterAutospacing="0"/>
        <w:jc w:val="both"/>
        <w:rPr>
          <w:rFonts w:ascii="Cambria" w:hAnsi="Cambria" w:cs="Calibri"/>
          <w:vertAlign w:val="superscript"/>
        </w:rPr>
      </w:pPr>
    </w:p>
    <w:p w:rsidR="00AF6802" w:rsidRPr="00AF6802" w:rsidRDefault="00AF6802" w:rsidP="00AF6802">
      <w:pPr>
        <w:pStyle w:val="NormalWeb"/>
        <w:spacing w:before="0" w:beforeAutospacing="0" w:after="0" w:afterAutospacing="0"/>
        <w:jc w:val="both"/>
        <w:rPr>
          <w:rFonts w:ascii="Cambria" w:hAnsi="Cambria" w:cs="Calibri"/>
          <w:color w:val="000000"/>
        </w:rPr>
      </w:pPr>
      <w:r w:rsidRPr="00AF6802">
        <w:rPr>
          <w:rFonts w:ascii="Cambria" w:hAnsi="Cambria" w:cs="Calibri"/>
          <w:color w:val="000000"/>
        </w:rPr>
        <w:t>The analyses of trafficking victim profiles had never been sufficiently done, and there were limited gender-sensitive data available; therefore, anti-trafficking responses are gender blind. The Law on Identification and Assistance is gender-neutral and equally applied to every potential and identified victim of trafficking in human beings (THB).</w:t>
      </w:r>
    </w:p>
    <w:p w:rsidR="00CD11D8" w:rsidRDefault="00CD11D8" w:rsidP="00AF6802">
      <w:pPr>
        <w:autoSpaceDE w:val="0"/>
        <w:autoSpaceDN w:val="0"/>
        <w:jc w:val="both"/>
        <w:rPr>
          <w:rFonts w:ascii="Times New Roman" w:eastAsia="SimSun" w:hAnsi="Times New Roman"/>
          <w:lang w:val="en-GB" w:eastAsia="zh-CN"/>
        </w:rPr>
      </w:pPr>
    </w:p>
    <w:p w:rsidR="00AF6802" w:rsidRPr="00AF6802" w:rsidRDefault="00AF6802" w:rsidP="00AF6802">
      <w:pPr>
        <w:autoSpaceDE w:val="0"/>
        <w:autoSpaceDN w:val="0"/>
        <w:adjustRightInd w:val="0"/>
        <w:jc w:val="both"/>
        <w:rPr>
          <w:rFonts w:ascii="Cambria" w:eastAsia="Times New Roman" w:hAnsi="Cambria" w:cs="Calibri"/>
          <w:color w:val="000000"/>
          <w:lang w:val="en-GB" w:eastAsia="en-GB"/>
        </w:rPr>
      </w:pPr>
      <w:r w:rsidRPr="00AF6802">
        <w:rPr>
          <w:rFonts w:ascii="Cambria" w:eastAsia="Times New Roman" w:hAnsi="Cambria" w:cs="Calibri"/>
          <w:color w:val="000000"/>
          <w:lang w:val="en-GB" w:eastAsia="en-GB"/>
        </w:rPr>
        <w:t>Irrespective that the State party takes significant efforts to identify and prosecute trafficking cases, protect victims, and improve primary response mechanisms, the root causes for THB, such as poverty, unemployment, and gender issues remain unaddressed. Related actions are neither included in the NAP nor explicit references made in corresponding policy papers and programs related to women’s economic empowerment, the fight against domestic violence, gender-based violence, and others. Prevention actions are discrete without interconnections between projects and, because of this, are missing a holistic approach to address root causes. Lack of research in this regard, as well as an absence of adequate and properly disaggregated data on sex, gender, and other characteristics to determine the vulnerability of falling victim to trafficking, especially for sexual exploitation, or using the services provided by trafficked or exploited persons is also hindering the State from framing comprehensive anti-trafficking efforts.</w:t>
      </w:r>
    </w:p>
    <w:p w:rsidR="00AF6802" w:rsidRPr="00AF6802" w:rsidRDefault="00AF6802" w:rsidP="00AF6802">
      <w:pPr>
        <w:autoSpaceDE w:val="0"/>
        <w:autoSpaceDN w:val="0"/>
        <w:adjustRightInd w:val="0"/>
        <w:jc w:val="both"/>
        <w:rPr>
          <w:rFonts w:ascii="Cambria" w:eastAsia="Times New Roman" w:hAnsi="Cambria" w:cs="Calibri"/>
          <w:color w:val="000000"/>
          <w:lang w:val="en-GB" w:eastAsia="en-GB"/>
        </w:rPr>
      </w:pPr>
    </w:p>
    <w:p w:rsidR="00611FD2" w:rsidRDefault="00611FD2">
      <w:pPr>
        <w:jc w:val="both"/>
        <w:rPr>
          <w:rFonts w:ascii="Cambria" w:eastAsia="Cambria" w:hAnsi="Cambria" w:cs="Cambria"/>
          <w:b/>
          <w:bCs/>
        </w:rPr>
      </w:pPr>
    </w:p>
    <w:p w:rsidR="001906AD" w:rsidRDefault="001906AD">
      <w:pPr>
        <w:jc w:val="both"/>
        <w:rPr>
          <w:rFonts w:ascii="Cambria" w:eastAsia="Cambria" w:hAnsi="Cambria" w:cs="Cambria"/>
          <w:b/>
          <w:bCs/>
        </w:rPr>
      </w:pPr>
    </w:p>
    <w:p w:rsidR="00CD11D8" w:rsidRDefault="00277B50">
      <w:pPr>
        <w:jc w:val="both"/>
        <w:rPr>
          <w:rFonts w:ascii="Cambria" w:eastAsia="Cambria" w:hAnsi="Cambria" w:cs="Cambria"/>
          <w:b/>
          <w:bCs/>
        </w:rPr>
      </w:pPr>
      <w:r>
        <w:rPr>
          <w:rFonts w:ascii="Cambria" w:eastAsia="Cambria" w:hAnsi="Cambria" w:cs="Cambria"/>
          <w:b/>
          <w:bCs/>
        </w:rPr>
        <w:t>EDUCATION</w:t>
      </w:r>
    </w:p>
    <w:p w:rsidR="00CD11D8" w:rsidRDefault="00CD11D8">
      <w:pPr>
        <w:jc w:val="both"/>
        <w:rPr>
          <w:rFonts w:ascii="Cambria" w:eastAsia="Cambria" w:hAnsi="Cambria" w:cs="Cambria"/>
          <w:b/>
          <w:bCs/>
        </w:rPr>
      </w:pPr>
    </w:p>
    <w:p w:rsidR="00CD11D8" w:rsidRDefault="00277B50">
      <w:pPr>
        <w:jc w:val="both"/>
        <w:rPr>
          <w:rFonts w:ascii="Cambria" w:eastAsia="Cambria" w:hAnsi="Cambria" w:cs="Cambria"/>
          <w:b/>
          <w:bCs/>
        </w:rPr>
      </w:pPr>
      <w:r>
        <w:rPr>
          <w:rFonts w:ascii="Cambria" w:eastAsia="Cambria" w:hAnsi="Cambria" w:cs="Cambria"/>
          <w:b/>
        </w:rPr>
        <w:t>Cases of dropping out of school and efforts aimed at continuing education at secondary school</w:t>
      </w:r>
    </w:p>
    <w:p w:rsidR="00CD11D8" w:rsidRDefault="00CD11D8">
      <w:pPr>
        <w:rPr>
          <w:rFonts w:ascii="Cambria" w:eastAsia="Cambria" w:hAnsi="Cambria" w:cs="Cambria"/>
        </w:rPr>
      </w:pPr>
    </w:p>
    <w:p w:rsidR="00CD11D8" w:rsidRDefault="001906AD">
      <w:pPr>
        <w:pStyle w:val="NormalWeb"/>
        <w:spacing w:before="0" w:beforeAutospacing="0" w:after="0" w:afterAutospacing="0"/>
        <w:ind w:right="128"/>
        <w:jc w:val="both"/>
        <w:rPr>
          <w:rFonts w:ascii="Cambria" w:eastAsia="Cambria" w:hAnsi="Cambria" w:cs="Cambria"/>
          <w:lang w:val="en-US" w:eastAsia="en-US"/>
        </w:rPr>
      </w:pPr>
      <w:r w:rsidRPr="001906AD">
        <w:rPr>
          <w:rFonts w:ascii="Cambria" w:eastAsia="Cambria" w:hAnsi="Cambria" w:cs="Cambria"/>
          <w:lang w:val="en-US" w:eastAsia="en-US"/>
        </w:rPr>
        <w:t>Although education is free and compulsory through grade 12, it is not universal: students' participation, completion and dropout rates vary based on their socioeconomic status and place of residence. These inequalities were exacerbated by the COVID-19 pandemic and an influx of populations displaced from Nagorno-Karabakh into the country</w:t>
      </w:r>
      <w:r w:rsidR="00277B50">
        <w:rPr>
          <w:rFonts w:ascii="Cambria" w:eastAsia="Cambria" w:hAnsi="Cambria" w:cs="Cambria"/>
          <w:lang w:val="en-US" w:eastAsia="en-US"/>
        </w:rPr>
        <w:t>.</w:t>
      </w:r>
      <w:r w:rsidR="00277B50">
        <w:rPr>
          <w:rStyle w:val="FootnoteReference"/>
          <w:rFonts w:ascii="Cambria" w:eastAsia="Cambria" w:hAnsi="Cambria" w:cs="Cambria"/>
          <w:lang w:val="en-US" w:eastAsia="en-US"/>
        </w:rPr>
        <w:footnoteReference w:id="4"/>
      </w:r>
    </w:p>
    <w:p w:rsidR="001906AD" w:rsidRPr="001906AD" w:rsidRDefault="001906AD" w:rsidP="001906AD">
      <w:pPr>
        <w:pStyle w:val="NormalWeb"/>
        <w:ind w:right="128"/>
        <w:jc w:val="both"/>
        <w:rPr>
          <w:rFonts w:ascii="Cambria" w:eastAsia="Cambria" w:hAnsi="Cambria" w:cs="Cambria"/>
          <w:lang w:val="en-US" w:eastAsia="en-US"/>
        </w:rPr>
      </w:pPr>
      <w:r w:rsidRPr="001906AD">
        <w:rPr>
          <w:rFonts w:ascii="Cambria" w:eastAsia="Cambria" w:hAnsi="Cambria" w:cs="Cambria"/>
          <w:lang w:val="en-US" w:eastAsia="en-US"/>
        </w:rPr>
        <w:t xml:space="preserve">As mentioned in the State party report para108, the Ministry of Education Science, Culture and Sport of Armenia has developed the draft of the “Procedure for identification, record-registration and referral of children dropped out of compulsory education”. The Procedure aims to ensure every child’s right to education, regulation of the record-registration process of school-age children, implementation of the obligations of territorial administration and local self-government bodies, and all related agencies responsible for enrolling children in general education. </w:t>
      </w:r>
    </w:p>
    <w:p w:rsidR="00CD11D8" w:rsidRDefault="001906AD" w:rsidP="00FB25A5">
      <w:pPr>
        <w:pStyle w:val="NormalWeb"/>
        <w:ind w:right="128"/>
        <w:jc w:val="both"/>
        <w:rPr>
          <w:rFonts w:ascii="Cambria" w:eastAsia="Cambria" w:hAnsi="Cambria" w:cs="Cambria"/>
          <w:lang w:val="en-US" w:eastAsia="en-US"/>
        </w:rPr>
      </w:pPr>
      <w:r w:rsidRPr="001906AD">
        <w:rPr>
          <w:rFonts w:ascii="Cambria" w:eastAsia="Cambria" w:hAnsi="Cambria" w:cs="Cambria"/>
          <w:lang w:val="en-US" w:eastAsia="en-US"/>
        </w:rPr>
        <w:t>Indeed, this Procedure is</w:t>
      </w:r>
      <w:r w:rsidR="009046BA" w:rsidRPr="009046BA">
        <w:rPr>
          <w:rFonts w:ascii="Cambria" w:eastAsia="Cambria" w:hAnsi="Cambria" w:cs="Cambria"/>
          <w:lang w:eastAsia="en-US"/>
        </w:rPr>
        <w:t xml:space="preserve"> </w:t>
      </w:r>
      <w:r w:rsidR="009046BA">
        <w:rPr>
          <w:rFonts w:ascii="Cambria" w:eastAsia="Cambria" w:hAnsi="Cambria" w:cs="Cambria"/>
          <w:lang w:eastAsia="en-US"/>
        </w:rPr>
        <w:t>determine</w:t>
      </w:r>
      <w:r w:rsidR="009046BA">
        <w:rPr>
          <w:rFonts w:ascii="Cambria" w:eastAsia="Cambria" w:hAnsi="Cambria" w:cs="Cambria"/>
          <w:lang w:val="en-US" w:eastAsia="en-US"/>
        </w:rPr>
        <w:t xml:space="preserve">d in </w:t>
      </w:r>
      <w:r w:rsidRPr="001906AD">
        <w:rPr>
          <w:rFonts w:ascii="Cambria" w:eastAsia="Cambria" w:hAnsi="Cambria" w:cs="Cambria"/>
          <w:lang w:val="en-US" w:eastAsia="en-US"/>
        </w:rPr>
        <w:t xml:space="preserve">the </w:t>
      </w:r>
      <w:r w:rsidR="009046BA">
        <w:rPr>
          <w:rFonts w:ascii="Cambria" w:eastAsia="Cambria" w:hAnsi="Cambria" w:cs="Cambria"/>
          <w:lang w:val="en-US" w:eastAsia="en-US"/>
        </w:rPr>
        <w:t>RA G</w:t>
      </w:r>
      <w:r w:rsidR="009046BA" w:rsidRPr="001906AD">
        <w:rPr>
          <w:rFonts w:ascii="Cambria" w:eastAsia="Cambria" w:hAnsi="Cambria" w:cs="Cambria"/>
          <w:lang w:val="en-US" w:eastAsia="en-US"/>
        </w:rPr>
        <w:t xml:space="preserve">overnment decision </w:t>
      </w:r>
      <w:r w:rsidRPr="001906AD">
        <w:rPr>
          <w:rFonts w:ascii="Cambria" w:eastAsia="Cambria" w:hAnsi="Cambria" w:cs="Cambria"/>
          <w:lang w:val="en-US" w:eastAsia="en-US"/>
        </w:rPr>
        <w:t>No. 154 on February 11, 2021</w:t>
      </w:r>
      <w:r w:rsidR="009046BA">
        <w:rPr>
          <w:rFonts w:ascii="Cambria" w:eastAsia="Cambria" w:hAnsi="Cambria" w:cs="Cambria"/>
          <w:lang w:val="en-US" w:eastAsia="en-US"/>
        </w:rPr>
        <w:t>.</w:t>
      </w:r>
      <w:r w:rsidR="00277B50">
        <w:rPr>
          <w:rFonts w:ascii="Cambria" w:eastAsia="Cambria" w:hAnsi="Cambria" w:cs="Cambria"/>
          <w:vertAlign w:val="superscript"/>
          <w:lang w:val="en-US" w:eastAsia="en-US"/>
        </w:rPr>
        <w:footnoteReference w:id="5"/>
      </w:r>
      <w:r w:rsidR="009046BA">
        <w:rPr>
          <w:rFonts w:ascii="Cambria" w:eastAsia="Cambria" w:hAnsi="Cambria" w:cs="Cambria"/>
          <w:lang w:val="en-US" w:eastAsia="en-US"/>
        </w:rPr>
        <w:t xml:space="preserve"> </w:t>
      </w:r>
      <w:r w:rsidR="00FB25A5" w:rsidRPr="00FB25A5">
        <w:rPr>
          <w:rFonts w:ascii="Cambria" w:eastAsia="Cambria" w:hAnsi="Cambria" w:cs="Cambria"/>
          <w:lang w:val="en-US" w:eastAsia="en-US"/>
        </w:rPr>
        <w:t>However, the relevant structures and bodies, which should follow the procedure mentioned above, do not fully perform their functions and are inconsistent with the work done. As a result, children left out of education do not return and are deprived of their right to education.</w:t>
      </w:r>
    </w:p>
    <w:p w:rsidR="00CF5ED1" w:rsidRDefault="00CF5ED1" w:rsidP="00CF5ED1">
      <w:pPr>
        <w:pStyle w:val="NormalWeb"/>
        <w:spacing w:before="0" w:beforeAutospacing="0" w:after="0" w:afterAutospacing="0"/>
        <w:ind w:right="128"/>
        <w:jc w:val="both"/>
        <w:rPr>
          <w:rFonts w:ascii="Cambria" w:eastAsia="Cambria" w:hAnsi="Cambria" w:cs="Cambria"/>
          <w:lang w:val="en-US" w:eastAsia="en-US"/>
        </w:rPr>
      </w:pPr>
      <w:r w:rsidRPr="00CF5ED1">
        <w:rPr>
          <w:rFonts w:ascii="Cambria" w:eastAsia="Cambria" w:hAnsi="Cambria" w:cs="Cambria"/>
          <w:lang w:val="en-US" w:eastAsia="en-US"/>
        </w:rPr>
        <w:t xml:space="preserve">In reality, the workload of the employees of educational and psychological support </w:t>
      </w:r>
      <w:proofErr w:type="spellStart"/>
      <w:r w:rsidRPr="00CF5ED1">
        <w:rPr>
          <w:rFonts w:ascii="Cambria" w:eastAsia="Cambria" w:hAnsi="Cambria" w:cs="Cambria"/>
          <w:lang w:val="en-US" w:eastAsia="en-US"/>
        </w:rPr>
        <w:t>centres</w:t>
      </w:r>
      <w:proofErr w:type="spellEnd"/>
      <w:r w:rsidRPr="00CF5ED1">
        <w:rPr>
          <w:rFonts w:ascii="Cambria" w:eastAsia="Cambria" w:hAnsi="Cambria" w:cs="Cambria"/>
          <w:lang w:val="en-US" w:eastAsia="en-US"/>
        </w:rPr>
        <w:t xml:space="preserve"> is relatively high, and their capacity to participate in the process of identifying and returning children excluded from education is quite limited. Follow-up mechanisms to ensure that the child has not been left out of education are not in place. Such mechanisms are necessary when the parent applies to school administration with a withdrawal request connected, for instance, with changing their living location. There were cases when following such request, the family stayed at the same residence, but the child remained out of school. Apart from violating children’s right to education, the such situation makes them vulnerable to exploitation and violence.</w:t>
      </w:r>
    </w:p>
    <w:p w:rsidR="00CF5ED1" w:rsidRDefault="00CF5ED1" w:rsidP="00CF5ED1">
      <w:pPr>
        <w:pStyle w:val="NormalWeb"/>
        <w:spacing w:before="0" w:beforeAutospacing="0" w:after="0" w:afterAutospacing="0"/>
        <w:ind w:right="128"/>
        <w:jc w:val="both"/>
        <w:rPr>
          <w:rFonts w:ascii="Cambria" w:eastAsia="Cambria" w:hAnsi="Cambria" w:cs="Cambria"/>
          <w:lang w:val="en-US" w:eastAsia="en-US"/>
        </w:rPr>
      </w:pPr>
    </w:p>
    <w:p w:rsidR="00CF5ED1" w:rsidRDefault="00CF5ED1" w:rsidP="00CF5ED1">
      <w:pPr>
        <w:pStyle w:val="NormalWeb"/>
        <w:spacing w:before="0" w:beforeAutospacing="0" w:after="0" w:afterAutospacing="0"/>
        <w:ind w:right="128"/>
        <w:jc w:val="both"/>
        <w:rPr>
          <w:rFonts w:ascii="Cambria" w:eastAsia="Cambria" w:hAnsi="Cambria" w:cs="Cambria"/>
        </w:rPr>
      </w:pPr>
      <w:r w:rsidRPr="00CF5ED1">
        <w:rPr>
          <w:rFonts w:ascii="Cambria" w:eastAsia="Cambria" w:hAnsi="Cambria" w:cs="Cambria"/>
        </w:rPr>
        <w:t xml:space="preserve">The abovementioned method is also widely used by ethnic minorities to marry their girls. The findings of a researcher of the recent study on Problems of Early Marriage and School Dropout in the Yezidi Community revealed that the procedure did not change anything, and even after its adoption, some school-aged children were dropout. The State party does not implement any tangible intervention to return them to the educational process. Therefore, in addition to setting up viable mechanisms to enforce the abovementioned legislation, it is essential to carry out information campaigns to familiarise the community representatives with its content and implementation mechanisms. </w:t>
      </w:r>
    </w:p>
    <w:p w:rsidR="00CD11D8" w:rsidRDefault="00277B50">
      <w:pPr>
        <w:keepNext/>
        <w:keepLines/>
        <w:tabs>
          <w:tab w:val="right" w:pos="851"/>
        </w:tabs>
        <w:spacing w:before="360" w:after="240"/>
        <w:ind w:right="1134"/>
        <w:jc w:val="both"/>
        <w:rPr>
          <w:rFonts w:ascii="Cambria" w:eastAsia="Cambria" w:hAnsi="Cambria" w:cs="Cambria"/>
          <w:b/>
        </w:rPr>
      </w:pPr>
      <w:r>
        <w:rPr>
          <w:rFonts w:ascii="Cambria" w:eastAsia="Cambria" w:hAnsi="Cambria" w:cs="Cambria"/>
          <w:b/>
        </w:rPr>
        <w:lastRenderedPageBreak/>
        <w:t xml:space="preserve">REALIZATION OF RIGHTS OF DIFFERENT GROUPS OF WOMEN </w:t>
      </w:r>
    </w:p>
    <w:p w:rsidR="00CD11D8" w:rsidRPr="00611FD2" w:rsidRDefault="00277B50">
      <w:pPr>
        <w:keepNext/>
        <w:keepLines/>
        <w:tabs>
          <w:tab w:val="right" w:pos="851"/>
        </w:tabs>
        <w:spacing w:before="360" w:after="240"/>
        <w:ind w:right="1134"/>
        <w:jc w:val="both"/>
        <w:rPr>
          <w:rFonts w:ascii="Cambria" w:eastAsia="Cambria" w:hAnsi="Cambria" w:cs="Cambria"/>
          <w:b/>
          <w:u w:val="single"/>
        </w:rPr>
      </w:pPr>
      <w:r w:rsidRPr="00611FD2">
        <w:rPr>
          <w:rFonts w:ascii="Cambria" w:eastAsia="Cambria" w:hAnsi="Cambria" w:cs="Cambria"/>
          <w:b/>
          <w:u w:val="single"/>
        </w:rPr>
        <w:t>National minorities</w:t>
      </w:r>
    </w:p>
    <w:p w:rsidR="00CD11D8" w:rsidRDefault="00277B50">
      <w:pPr>
        <w:pStyle w:val="Default"/>
        <w:jc w:val="both"/>
        <w:rPr>
          <w:rFonts w:ascii="Cambria" w:hAnsi="Cambria" w:cs="Cambria"/>
          <w:i/>
          <w:iCs/>
        </w:rPr>
      </w:pPr>
      <w:r>
        <w:rPr>
          <w:rFonts w:ascii="Cambria" w:hAnsi="Cambria" w:cs="Cambria"/>
          <w:b/>
          <w:bCs/>
          <w:i/>
          <w:iCs/>
        </w:rPr>
        <w:t>The right to education of representatives of national minorities</w:t>
      </w:r>
      <w:r>
        <w:rPr>
          <w:rFonts w:ascii="Cambria" w:hAnsi="Cambria" w:cs="Cambria"/>
          <w:i/>
          <w:iCs/>
        </w:rPr>
        <w:t xml:space="preserve"> </w:t>
      </w:r>
    </w:p>
    <w:p w:rsidR="00CD11D8" w:rsidRDefault="00CD11D8">
      <w:pPr>
        <w:pStyle w:val="Default"/>
        <w:jc w:val="both"/>
        <w:rPr>
          <w:rFonts w:ascii="Cambria" w:hAnsi="Cambria" w:cs="Cambria"/>
        </w:rPr>
      </w:pPr>
    </w:p>
    <w:p w:rsidR="00CD11D8" w:rsidRDefault="00CF5ED1">
      <w:pPr>
        <w:jc w:val="both"/>
        <w:rPr>
          <w:rFonts w:ascii="Cambria" w:hAnsi="Cambria" w:cs="Cambria"/>
          <w:lang w:val="en-GB"/>
        </w:rPr>
      </w:pPr>
      <w:r w:rsidRPr="00CF5ED1">
        <w:rPr>
          <w:rFonts w:ascii="Cambria" w:hAnsi="Cambria" w:cs="Cambria"/>
        </w:rPr>
        <w:t xml:space="preserve">Overall, enrolment and attendance rates for children from ethnic minority groups, particularly Yezidis, Kurds, and </w:t>
      </w:r>
      <w:proofErr w:type="spellStart"/>
      <w:r w:rsidRPr="00CF5ED1">
        <w:rPr>
          <w:rFonts w:ascii="Cambria" w:hAnsi="Cambria" w:cs="Cambria"/>
        </w:rPr>
        <w:t>Molokans</w:t>
      </w:r>
      <w:proofErr w:type="spellEnd"/>
      <w:r w:rsidRPr="00CF5ED1">
        <w:rPr>
          <w:rFonts w:ascii="Cambria" w:hAnsi="Cambria" w:cs="Cambria"/>
        </w:rPr>
        <w:t>, were significantly lower than average. Only a few schools throughout the country offered Yezidi, Assyrian, Kurdish, or Greek language classes at the primary and secondary levels. These classes were not part of the formal academic curriculum, were of low quality and were not regulated. Yezidi parents continued to complain that the classes did not adhere to any standards and were largely ineffective</w:t>
      </w:r>
      <w:r w:rsidR="00277B50">
        <w:rPr>
          <w:rFonts w:ascii="Cambria" w:hAnsi="Cambria" w:cs="Cambria"/>
          <w:lang w:val="en-GB"/>
        </w:rPr>
        <w:t>.</w:t>
      </w:r>
      <w:r w:rsidR="00277B50">
        <w:rPr>
          <w:rStyle w:val="FootnoteReference"/>
          <w:rFonts w:ascii="Cambria" w:hAnsi="Cambria" w:cs="Cambria"/>
          <w:lang w:val="en-GB"/>
        </w:rPr>
        <w:footnoteReference w:id="6"/>
      </w:r>
      <w:r w:rsidR="00277B50">
        <w:rPr>
          <w:rFonts w:ascii="Cambria" w:hAnsi="Cambria" w:cs="Cambria"/>
          <w:lang w:val="en-GB"/>
        </w:rPr>
        <w:t xml:space="preserve"> </w:t>
      </w:r>
    </w:p>
    <w:p w:rsidR="00CD11D8" w:rsidRDefault="00CD11D8">
      <w:pPr>
        <w:jc w:val="both"/>
        <w:rPr>
          <w:rFonts w:ascii="Cambria" w:hAnsi="Cambria" w:cs="Cambria"/>
          <w:lang w:val="en-GB"/>
        </w:rPr>
      </w:pPr>
    </w:p>
    <w:p w:rsidR="00CD11D8" w:rsidRDefault="00CF5ED1">
      <w:pPr>
        <w:jc w:val="both"/>
        <w:rPr>
          <w:rFonts w:ascii="Cambria" w:hAnsi="Cambria" w:cs="Cambria"/>
          <w:lang w:val="hy-AM"/>
        </w:rPr>
      </w:pPr>
      <w:r w:rsidRPr="00CF5ED1">
        <w:rPr>
          <w:rFonts w:ascii="Cambria" w:hAnsi="Cambria" w:cs="Cambria"/>
          <w:lang w:val="en-GB"/>
        </w:rPr>
        <w:t>According to a 2019 NGO report to the UN Committee on the Rights of the Child, most Yezidi children grew up speaking their native tongue and had little or no command of Armenian upon entering schools. The absence of preschool educational services in most Yezidi villages created problems for Yezidi children, who struggled in school and fell behind their Armenian-speaking classmates.</w:t>
      </w:r>
      <w:r w:rsidR="00277B50">
        <w:rPr>
          <w:rStyle w:val="FootnoteReference"/>
          <w:rFonts w:ascii="Cambria" w:hAnsi="Cambria" w:cs="Cambria"/>
          <w:lang w:val="en-GB"/>
        </w:rPr>
        <w:footnoteReference w:id="7"/>
      </w:r>
      <w:r w:rsidR="00277B50">
        <w:rPr>
          <w:rFonts w:ascii="Cambria" w:hAnsi="Cambria" w:cs="Cambria"/>
          <w:lang w:val="en-GB"/>
        </w:rPr>
        <w:t xml:space="preserve"> </w:t>
      </w:r>
      <w:r w:rsidR="004E0136" w:rsidRPr="004E0136">
        <w:rPr>
          <w:rFonts w:ascii="Cambria" w:hAnsi="Cambria" w:cs="Cambria"/>
          <w:lang w:val="en-GB"/>
        </w:rPr>
        <w:t>In addition, the professional qualities of the teaching staff also need to be improved, specifically aimed at the e</w:t>
      </w:r>
      <w:r w:rsidR="00240000">
        <w:rPr>
          <w:rFonts w:ascii="Cambria" w:hAnsi="Cambria" w:cs="Cambria"/>
          <w:lang w:val="en-GB"/>
        </w:rPr>
        <w:t xml:space="preserve">limination </w:t>
      </w:r>
      <w:bookmarkStart w:id="0" w:name="_GoBack"/>
      <w:bookmarkEnd w:id="0"/>
      <w:r w:rsidR="004E0136" w:rsidRPr="004E0136">
        <w:rPr>
          <w:rFonts w:ascii="Cambria" w:hAnsi="Cambria" w:cs="Cambria"/>
          <w:lang w:val="en-GB"/>
        </w:rPr>
        <w:t>of stereotypical attitudes towards Yezidi students ("</w:t>
      </w:r>
      <w:proofErr w:type="spellStart"/>
      <w:r w:rsidR="004E0136" w:rsidRPr="004E0136">
        <w:rPr>
          <w:rFonts w:ascii="Cambria" w:hAnsi="Cambria" w:cs="Cambria"/>
          <w:lang w:val="en-GB"/>
        </w:rPr>
        <w:t>Yezdis</w:t>
      </w:r>
      <w:proofErr w:type="spellEnd"/>
      <w:r w:rsidR="004E0136" w:rsidRPr="004E0136">
        <w:rPr>
          <w:rFonts w:ascii="Cambria" w:hAnsi="Cambria" w:cs="Cambria"/>
          <w:lang w:val="en-GB"/>
        </w:rPr>
        <w:t xml:space="preserve"> don't like studying…", "girls don't study…", etc.).</w:t>
      </w:r>
      <w:r w:rsidR="00277B50">
        <w:rPr>
          <w:rStyle w:val="FootnoteReference"/>
          <w:rFonts w:ascii="Cambria" w:hAnsi="Cambria" w:cs="Cambria"/>
        </w:rPr>
        <w:footnoteReference w:id="8"/>
      </w:r>
      <w:r w:rsidR="00277B50">
        <w:rPr>
          <w:rFonts w:ascii="Cambria" w:hAnsi="Cambria" w:cs="Cambria"/>
        </w:rPr>
        <w:t xml:space="preserve"> </w:t>
      </w:r>
      <w:r w:rsidR="004E0136" w:rsidRPr="004E0136">
        <w:rPr>
          <w:rFonts w:ascii="Cambria" w:hAnsi="Cambria" w:cs="Cambria"/>
          <w:lang w:val="hy-AM"/>
        </w:rPr>
        <w:t>These issues directly impact various aspects of the life of Yezidi women and fuel girls' exclusion from compulsory education.</w:t>
      </w:r>
    </w:p>
    <w:p w:rsidR="004E0136" w:rsidRDefault="004E0136">
      <w:pPr>
        <w:jc w:val="both"/>
        <w:rPr>
          <w:rFonts w:ascii="Cambria" w:hAnsi="Cambria" w:cs="Cambria"/>
          <w:lang w:val="hy-AM"/>
        </w:rPr>
      </w:pPr>
    </w:p>
    <w:p w:rsidR="009F485B" w:rsidRDefault="00277B50">
      <w:pPr>
        <w:jc w:val="both"/>
        <w:rPr>
          <w:rFonts w:ascii="Cambria" w:hAnsi="Cambria" w:cs="Cambria"/>
          <w:lang w:val="en-GB"/>
        </w:rPr>
      </w:pPr>
      <w:r>
        <w:rPr>
          <w:rFonts w:ascii="Cambria" w:hAnsi="Cambria" w:cs="Cambria"/>
          <w:b/>
          <w:i/>
          <w:iCs/>
          <w:lang w:val="hy-AM"/>
        </w:rPr>
        <w:t>Marriage and Family Relationships</w:t>
      </w:r>
      <w:r>
        <w:rPr>
          <w:rFonts w:ascii="Cambria" w:hAnsi="Cambria" w:cs="Cambria"/>
          <w:b/>
          <w:lang w:val="hy-AM"/>
        </w:rPr>
        <w:br/>
      </w:r>
      <w:r>
        <w:rPr>
          <w:rFonts w:ascii="Cambria" w:hAnsi="Cambria" w:cs="Cambria"/>
          <w:lang w:val="hy-AM"/>
        </w:rPr>
        <w:br/>
      </w:r>
      <w:r w:rsidR="009F485B" w:rsidRPr="009F485B">
        <w:rPr>
          <w:rFonts w:ascii="Cambria" w:hAnsi="Cambria" w:cs="Cambria"/>
          <w:lang w:val="en-GB"/>
        </w:rPr>
        <w:t xml:space="preserve">The legal minimum age for marriage is 18. However, an individual may marry at 17 with the consent of the legal guardian or at 16 with the consent of a legal guardian, provided the marriage partner is at least 18. Early marriage of girls was reportedly widespread within Yezidi communities. Reports indicated some girls left school either because of early marriage or to avoid abduction and forced marriage. The government did not record the number of early marriages. According to the Eurasia Partnership Foundation’s 2020 report Issues Related to the Rights and Opportunities of Yezidi Girls Residing in Armenia, the government did not have procedures for identifying forced marriages or awareness or prevention programs related to early marriage. </w:t>
      </w:r>
    </w:p>
    <w:p w:rsidR="009F485B" w:rsidRDefault="009F485B">
      <w:pPr>
        <w:jc w:val="both"/>
        <w:rPr>
          <w:rFonts w:ascii="Cambria" w:hAnsi="Cambria" w:cs="Cambria"/>
          <w:lang w:val="en-GB"/>
        </w:rPr>
      </w:pPr>
    </w:p>
    <w:p w:rsidR="00611FD2" w:rsidRDefault="009F485B">
      <w:pPr>
        <w:jc w:val="both"/>
        <w:rPr>
          <w:rFonts w:ascii="Cambria" w:eastAsia="Cambria" w:hAnsi="Cambria" w:cs="Cambria"/>
          <w:b/>
          <w:bCs/>
        </w:rPr>
      </w:pPr>
      <w:r w:rsidRPr="009F485B">
        <w:rPr>
          <w:rFonts w:ascii="Cambria" w:hAnsi="Cambria" w:cs="Cambria"/>
          <w:lang w:val="en-GB"/>
        </w:rPr>
        <w:t>Early marriages in the Yezidi community usually remain unregistered. Moreover, fathers often do not recognize the paternity of their children. Thus in case of divorce, women find themselves in a vulnerable situation and unable to claim for property or children alimony. This happens because women are not aware of their rights and legislation. This problem is closely related to realizing the right to education. In the senior classes, children study legislation, including the family code. However, teachers often do not have the competence to teach legal issues. Besides, many girls do not attend high school and consequently do not have the opportunity to study these topics.</w:t>
      </w:r>
      <w:r w:rsidR="00277B50">
        <w:rPr>
          <w:rFonts w:ascii="Cambria" w:hAnsi="Cambria" w:cs="Cambria"/>
          <w:lang w:val="hy-AM"/>
        </w:rPr>
        <w:br/>
      </w:r>
    </w:p>
    <w:p w:rsidR="00611FD2" w:rsidRDefault="00611FD2">
      <w:pPr>
        <w:jc w:val="both"/>
        <w:rPr>
          <w:rFonts w:ascii="Cambria" w:eastAsia="Cambria" w:hAnsi="Cambria" w:cs="Cambria"/>
          <w:b/>
          <w:bCs/>
        </w:rPr>
      </w:pPr>
    </w:p>
    <w:p w:rsidR="00CD11D8" w:rsidRPr="00611FD2" w:rsidRDefault="00277B50">
      <w:pPr>
        <w:jc w:val="both"/>
        <w:rPr>
          <w:rFonts w:ascii="Cambria" w:eastAsia="Cambria" w:hAnsi="Cambria" w:cs="Cambria"/>
          <w:b/>
          <w:bCs/>
          <w:u w:val="single"/>
        </w:rPr>
      </w:pPr>
      <w:r w:rsidRPr="00611FD2">
        <w:rPr>
          <w:rFonts w:ascii="Cambria" w:eastAsia="Cambria" w:hAnsi="Cambria" w:cs="Cambria"/>
          <w:b/>
          <w:bCs/>
          <w:u w:val="single"/>
        </w:rPr>
        <w:lastRenderedPageBreak/>
        <w:t>Older women</w:t>
      </w:r>
    </w:p>
    <w:p w:rsidR="00CD11D8" w:rsidRDefault="00CD11D8">
      <w:pPr>
        <w:jc w:val="both"/>
        <w:rPr>
          <w:rFonts w:ascii="Cambria" w:hAnsi="Cambria" w:cs="Times New Roman"/>
        </w:rPr>
      </w:pPr>
    </w:p>
    <w:p w:rsidR="009F485B" w:rsidRPr="009F485B" w:rsidRDefault="009F485B" w:rsidP="009F485B">
      <w:pPr>
        <w:jc w:val="both"/>
        <w:rPr>
          <w:rFonts w:ascii="Cambria" w:eastAsia="Cambria" w:hAnsi="Cambria" w:cs="Cambria"/>
        </w:rPr>
      </w:pPr>
      <w:r w:rsidRPr="009F485B">
        <w:rPr>
          <w:rFonts w:ascii="Cambria" w:eastAsia="Cambria" w:hAnsi="Cambria" w:cs="Cambria"/>
        </w:rPr>
        <w:t>Article 84 of the Constitution of the Republic of Armenia clearly states that ensuring decent living standards for the elderly in the economic, social and cultural spheres is one of the primary responsibilities of the State. This presupposes that the State is to take measures to ensure those standards for the elderly people, which can be achieved by providing them with dignified and targeted health, social and other required services.</w:t>
      </w:r>
    </w:p>
    <w:p w:rsidR="009F485B" w:rsidRPr="009F485B" w:rsidRDefault="009F485B" w:rsidP="009F485B">
      <w:pPr>
        <w:jc w:val="both"/>
        <w:rPr>
          <w:rFonts w:ascii="Cambria" w:eastAsia="Cambria" w:hAnsi="Cambria" w:cs="Cambria"/>
        </w:rPr>
      </w:pPr>
    </w:p>
    <w:p w:rsidR="00CD11D8" w:rsidRPr="009F485B" w:rsidRDefault="009F485B" w:rsidP="009F485B">
      <w:pPr>
        <w:jc w:val="both"/>
        <w:rPr>
          <w:rFonts w:ascii="Cambria" w:eastAsia="Cambria" w:hAnsi="Cambria" w:cs="Cambria"/>
        </w:rPr>
      </w:pPr>
      <w:r w:rsidRPr="009F485B">
        <w:rPr>
          <w:rFonts w:ascii="Cambria" w:eastAsia="Cambria" w:hAnsi="Cambria" w:cs="Cambria"/>
        </w:rPr>
        <w:t>However, mistreatment (abuse, neglect, exploitation) of older people in their own houses and in facilities for continuing care (such as nursing homes, residential care, hospitals and daycare facilities) is a matter of concern. The impact that physical and psychological violence has on the health of an older person is exacerbated by the ageing process and diseases of old age. It is more difficult for the elderly to leave an abusive relationship or to make correct decisions because of the physical and cognitive impairments (dementias, Alzheimer's disease, geriatric syndromes etc.) that usually come with old age. In some cases, kinship obligations and the use of the extended family network to resolve difficulties may also lessen the ability of older people, particularly women, to escape from dangerous situations. Often, the abuser may be the abused person's only source of companionship (children, caregiver, spouse etc.).</w:t>
      </w:r>
    </w:p>
    <w:p w:rsidR="009F485B" w:rsidRDefault="009F485B" w:rsidP="009F485B">
      <w:pPr>
        <w:pStyle w:val="NormalWeb"/>
        <w:spacing w:before="0" w:beforeAutospacing="0" w:after="200" w:afterAutospacing="0"/>
        <w:ind w:right="138"/>
        <w:jc w:val="both"/>
        <w:rPr>
          <w:rFonts w:ascii="Cambria" w:eastAsia="Cambria" w:hAnsi="Cambria" w:cs="Cambria"/>
          <w:lang w:val="en-US" w:eastAsia="en-US"/>
        </w:rPr>
      </w:pPr>
    </w:p>
    <w:p w:rsidR="009F485B" w:rsidRDefault="009F485B" w:rsidP="009F485B">
      <w:pPr>
        <w:pStyle w:val="NormalWeb"/>
        <w:spacing w:before="0" w:beforeAutospacing="0" w:after="200" w:afterAutospacing="0"/>
        <w:ind w:right="138"/>
        <w:jc w:val="both"/>
        <w:rPr>
          <w:rFonts w:ascii="Cambria" w:eastAsia="Cambria" w:hAnsi="Cambria" w:cs="Cambria"/>
          <w:lang w:val="en-US" w:eastAsia="en-US"/>
        </w:rPr>
      </w:pPr>
      <w:r w:rsidRPr="009F485B">
        <w:rPr>
          <w:rFonts w:ascii="Cambria" w:eastAsia="Cambria" w:hAnsi="Cambria" w:cs="Cambria"/>
          <w:lang w:val="en-US" w:eastAsia="en-US"/>
        </w:rPr>
        <w:t>To address the issues mentioned above, on April 8, 2021, the RA Government adopted a decision “On approving the program for the improvement of the care services provided to the elderly and the implementation and development of community-based services, as well as the plan-schedule for the years 2021-2023 of the measures to ensure its implementation</w:t>
      </w:r>
      <w:r w:rsidR="00277B50">
        <w:rPr>
          <w:rFonts w:ascii="Cambria" w:eastAsia="Cambria" w:hAnsi="Cambria" w:cs="Cambria"/>
          <w:lang w:val="en-US" w:eastAsia="en-US"/>
        </w:rPr>
        <w:t>.</w:t>
      </w:r>
      <w:r w:rsidR="00277B50">
        <w:rPr>
          <w:rFonts w:ascii="Cambria" w:eastAsia="Cambria" w:hAnsi="Cambria" w:cs="Cambria"/>
          <w:vertAlign w:val="superscript"/>
          <w:lang w:val="en-US" w:eastAsia="en-US"/>
        </w:rPr>
        <w:footnoteReference w:id="9"/>
      </w:r>
      <w:r w:rsidR="00277B50">
        <w:rPr>
          <w:rFonts w:ascii="Cambria" w:eastAsia="Cambria" w:hAnsi="Cambria" w:cs="Cambria"/>
          <w:lang w:val="en-US" w:eastAsia="en-US"/>
        </w:rPr>
        <w:t xml:space="preserve"> </w:t>
      </w:r>
      <w:r w:rsidRPr="009F485B">
        <w:rPr>
          <w:rFonts w:ascii="Cambria" w:eastAsia="Cambria" w:hAnsi="Cambria" w:cs="Cambria"/>
          <w:lang w:val="en-US" w:eastAsia="en-US"/>
        </w:rPr>
        <w:t xml:space="preserve">The adopted program envisages considering the range of demands of the elderly in a more multi-layered and diverse manner, introducing and developing a wide range of community-oriented services, which will provide an opportunity to ensure the self-realization of the elderly, participation in public life, continuous development of social, physical, mental abilities, etc. The document is not gender sensitive, and the budget allocated for implementing this strategy is not enough to comprehensively cover the needs of elderly people, specifically those in need of home care and professional assistance. </w:t>
      </w:r>
    </w:p>
    <w:p w:rsidR="009F485B" w:rsidRPr="009F485B" w:rsidRDefault="009F485B" w:rsidP="009F485B">
      <w:pPr>
        <w:pStyle w:val="NormalWeb"/>
        <w:tabs>
          <w:tab w:val="left" w:pos="284"/>
        </w:tabs>
        <w:ind w:right="128"/>
        <w:jc w:val="both"/>
        <w:textAlignment w:val="baseline"/>
        <w:rPr>
          <w:rFonts w:ascii="Cambria" w:eastAsia="Cambria" w:hAnsi="Cambria" w:cs="Cambria"/>
          <w:lang w:val="en-US" w:eastAsia="en-US"/>
        </w:rPr>
      </w:pPr>
      <w:r w:rsidRPr="009F485B">
        <w:rPr>
          <w:rFonts w:ascii="Cambria" w:eastAsia="Cambria" w:hAnsi="Cambria" w:cs="Cambria"/>
          <w:lang w:val="en-US" w:eastAsia="en-US"/>
        </w:rPr>
        <w:t>Elderly women face many problems that undermine the realization of their rights. In particular:</w:t>
      </w:r>
    </w:p>
    <w:p w:rsidR="00CE7BBF" w:rsidRDefault="009F485B" w:rsidP="00F35FCA">
      <w:pPr>
        <w:pStyle w:val="NormalWeb"/>
        <w:numPr>
          <w:ilvl w:val="0"/>
          <w:numId w:val="2"/>
        </w:numPr>
        <w:tabs>
          <w:tab w:val="left" w:pos="284"/>
        </w:tabs>
        <w:spacing w:before="0" w:beforeAutospacing="0" w:after="0" w:afterAutospacing="0"/>
        <w:ind w:right="128"/>
        <w:jc w:val="both"/>
        <w:textAlignment w:val="baseline"/>
        <w:rPr>
          <w:rFonts w:ascii="Cambria" w:eastAsia="Cambria" w:hAnsi="Cambria" w:cs="Cambria"/>
          <w:lang w:val="en-US" w:eastAsia="en-US"/>
        </w:rPr>
      </w:pPr>
      <w:r w:rsidRPr="00CE7BBF">
        <w:rPr>
          <w:rFonts w:ascii="Cambria" w:eastAsia="Cambria" w:hAnsi="Cambria" w:cs="Cambria"/>
          <w:lang w:val="en-US" w:eastAsia="en-US"/>
        </w:rPr>
        <w:t xml:space="preserve">The services provided to the elderly are mainly located in Yerevan and some urban communities of all the regions of the Republic, serving a very limited number of elderly people. It is worth mentioning that this number is decreasing year by year. If in Y2020, 150 places were delegated by the state for the provision of home care (social and care services) for the elderly in the Armavir region of Armenia, in 2022, that number has reached 45 persons, which does not cover even about 5% of the beneficiaries of the region and cannot ensure the inclusion of all the elderly people who need the services. </w:t>
      </w:r>
      <w:r w:rsidR="00277B50" w:rsidRPr="00CE7BBF">
        <w:rPr>
          <w:rFonts w:ascii="Cambria" w:eastAsia="Cambria" w:hAnsi="Cambria" w:cs="Cambria"/>
          <w:lang w:val="en-US" w:eastAsia="en-US"/>
        </w:rPr>
        <w:t xml:space="preserve">Services are severely underfunded which affects both coverage and quality of services.  Service providing organizations able can serve a limited number of beneficiaries mainly in the given community being unable to </w:t>
      </w:r>
      <w:r w:rsidR="00277B50" w:rsidRPr="00CE7BBF">
        <w:rPr>
          <w:rFonts w:ascii="Cambria" w:eastAsia="Cambria" w:hAnsi="Cambria" w:cs="Cambria"/>
          <w:lang w:val="en-US" w:eastAsia="en-US"/>
        </w:rPr>
        <w:lastRenderedPageBreak/>
        <w:t>organize transportation to reach beneficiaries in farther locations. Thus, accessibility of health and social services for elderly women, especially living in rural communities, is still a matter of concern.</w:t>
      </w:r>
    </w:p>
    <w:p w:rsidR="00CE7BBF" w:rsidRDefault="00CE7BBF" w:rsidP="00CE7BBF">
      <w:pPr>
        <w:pStyle w:val="NormalWeb"/>
        <w:tabs>
          <w:tab w:val="left" w:pos="284"/>
          <w:tab w:val="left" w:pos="720"/>
        </w:tabs>
        <w:spacing w:before="0" w:beforeAutospacing="0" w:after="0" w:afterAutospacing="0"/>
        <w:ind w:left="720" w:right="128"/>
        <w:jc w:val="both"/>
        <w:textAlignment w:val="baseline"/>
        <w:rPr>
          <w:rFonts w:ascii="Cambria" w:eastAsia="Cambria" w:hAnsi="Cambria" w:cs="Cambria"/>
          <w:lang w:val="en-US" w:eastAsia="en-US"/>
        </w:rPr>
      </w:pPr>
    </w:p>
    <w:p w:rsidR="00574062" w:rsidRDefault="00CE7BBF" w:rsidP="00A6545C">
      <w:pPr>
        <w:pStyle w:val="NormalWeb"/>
        <w:numPr>
          <w:ilvl w:val="0"/>
          <w:numId w:val="2"/>
        </w:numPr>
        <w:tabs>
          <w:tab w:val="left" w:pos="284"/>
        </w:tabs>
        <w:spacing w:before="0" w:beforeAutospacing="0" w:after="0" w:afterAutospacing="0"/>
        <w:ind w:right="128"/>
        <w:jc w:val="both"/>
        <w:textAlignment w:val="baseline"/>
        <w:rPr>
          <w:rFonts w:ascii="Cambria" w:eastAsia="Cambria" w:hAnsi="Cambria" w:cs="Cambria"/>
          <w:lang w:val="en-US" w:eastAsia="en-US"/>
        </w:rPr>
      </w:pPr>
      <w:r w:rsidRPr="00574062">
        <w:rPr>
          <w:rFonts w:ascii="Cambria" w:eastAsia="Cambria" w:hAnsi="Cambria" w:cs="Cambria"/>
          <w:lang w:val="en-US" w:eastAsia="en-US"/>
        </w:rPr>
        <w:t xml:space="preserve">The range of services provided to elderly women is not diverse. Although their primary needs are mostly met, the socio-psychological, socio-cultural, educational, legal and many other needs of the beneficiaries are left in the background and on the shoulders of the organization providing the service. </w:t>
      </w:r>
    </w:p>
    <w:p w:rsidR="00574062" w:rsidRDefault="00574062" w:rsidP="00A6545C">
      <w:pPr>
        <w:pStyle w:val="ListParagraph"/>
        <w:jc w:val="both"/>
        <w:rPr>
          <w:rFonts w:ascii="Cambria" w:eastAsia="Cambria" w:hAnsi="Cambria" w:cs="Cambria"/>
        </w:rPr>
      </w:pPr>
    </w:p>
    <w:p w:rsidR="00574062" w:rsidRDefault="00CE7BBF" w:rsidP="00A6545C">
      <w:pPr>
        <w:pStyle w:val="NormalWeb"/>
        <w:numPr>
          <w:ilvl w:val="0"/>
          <w:numId w:val="2"/>
        </w:numPr>
        <w:tabs>
          <w:tab w:val="left" w:pos="284"/>
        </w:tabs>
        <w:spacing w:before="0" w:beforeAutospacing="0" w:after="0" w:afterAutospacing="0"/>
        <w:ind w:right="128"/>
        <w:jc w:val="both"/>
        <w:textAlignment w:val="baseline"/>
        <w:rPr>
          <w:rFonts w:ascii="Cambria" w:eastAsia="Cambria" w:hAnsi="Cambria" w:cs="Cambria"/>
          <w:lang w:val="en-US" w:eastAsia="en-US"/>
        </w:rPr>
      </w:pPr>
      <w:r w:rsidRPr="00574062">
        <w:rPr>
          <w:rFonts w:ascii="Cambria" w:eastAsia="Cambria" w:hAnsi="Cambria" w:cs="Cambria"/>
          <w:lang w:val="en-US" w:eastAsia="en-US"/>
        </w:rPr>
        <w:t xml:space="preserve">Given that the salary scale designated for service providers working in the State-funded projects is relatively low compared to the existing workload, specifically of the personnel engaged in providing home care, it is challenging to involve highly qualified employees in elderly care. </w:t>
      </w:r>
    </w:p>
    <w:p w:rsidR="00574062" w:rsidRDefault="00574062" w:rsidP="00A6545C">
      <w:pPr>
        <w:pStyle w:val="ListParagraph"/>
        <w:jc w:val="both"/>
        <w:rPr>
          <w:rFonts w:ascii="Cambria" w:eastAsia="Cambria" w:hAnsi="Cambria" w:cs="Cambria"/>
        </w:rPr>
      </w:pPr>
    </w:p>
    <w:p w:rsidR="00574062" w:rsidRPr="00574062" w:rsidRDefault="00CE7BBF" w:rsidP="00A6545C">
      <w:pPr>
        <w:pStyle w:val="NormalWeb"/>
        <w:numPr>
          <w:ilvl w:val="0"/>
          <w:numId w:val="2"/>
        </w:numPr>
        <w:tabs>
          <w:tab w:val="left" w:pos="284"/>
        </w:tabs>
        <w:spacing w:before="0" w:beforeAutospacing="0" w:after="0" w:afterAutospacing="0"/>
        <w:ind w:right="128"/>
        <w:jc w:val="both"/>
        <w:textAlignment w:val="baseline"/>
        <w:rPr>
          <w:color w:val="000000"/>
          <w:sz w:val="22"/>
          <w:szCs w:val="22"/>
        </w:rPr>
      </w:pPr>
      <w:r w:rsidRPr="00574062">
        <w:rPr>
          <w:rFonts w:ascii="Cambria" w:eastAsia="Cambria" w:hAnsi="Cambria" w:cs="Cambria"/>
          <w:lang w:val="en-US" w:eastAsia="en-US"/>
        </w:rPr>
        <w:t>State-provided social services are not elderly-friendly. Due to their bureaucratic nature, there are many obstacles for the elderly applying to State services (</w:t>
      </w:r>
      <w:proofErr w:type="spellStart"/>
      <w:r w:rsidRPr="00574062">
        <w:rPr>
          <w:rFonts w:ascii="Cambria" w:eastAsia="Cambria" w:hAnsi="Cambria" w:cs="Cambria"/>
          <w:lang w:val="en-US" w:eastAsia="en-US"/>
        </w:rPr>
        <w:t>i.g</w:t>
      </w:r>
      <w:proofErr w:type="spellEnd"/>
      <w:r w:rsidRPr="00574062">
        <w:rPr>
          <w:rFonts w:ascii="Cambria" w:eastAsia="Cambria" w:hAnsi="Cambria" w:cs="Cambria"/>
          <w:lang w:val="en-US" w:eastAsia="en-US"/>
        </w:rPr>
        <w:t xml:space="preserve">. visiting Unified Social Service, collecting and submitting documents, waiting for their approval, etc.). Physical accessibility of health services, including visits to the polyclinic, passing a check-up by eight specialists in conditions of endless queues and unrelenting epidemics, etc., is also an issue of concern. </w:t>
      </w:r>
    </w:p>
    <w:p w:rsidR="00574062" w:rsidRDefault="00574062" w:rsidP="00A6545C">
      <w:pPr>
        <w:pStyle w:val="ListParagraph"/>
        <w:jc w:val="both"/>
        <w:rPr>
          <w:rFonts w:ascii="Cambria" w:eastAsia="Cambria" w:hAnsi="Cambria" w:cs="Cambria"/>
        </w:rPr>
      </w:pPr>
    </w:p>
    <w:p w:rsidR="00CD11D8" w:rsidRPr="00574062" w:rsidRDefault="00CE7BBF" w:rsidP="00A6545C">
      <w:pPr>
        <w:pStyle w:val="NormalWeb"/>
        <w:numPr>
          <w:ilvl w:val="0"/>
          <w:numId w:val="2"/>
        </w:numPr>
        <w:tabs>
          <w:tab w:val="left" w:pos="284"/>
        </w:tabs>
        <w:spacing w:before="0" w:beforeAutospacing="0" w:after="0" w:afterAutospacing="0"/>
        <w:ind w:right="128"/>
        <w:jc w:val="both"/>
        <w:textAlignment w:val="baseline"/>
        <w:rPr>
          <w:color w:val="000000"/>
          <w:sz w:val="22"/>
          <w:szCs w:val="22"/>
        </w:rPr>
      </w:pPr>
      <w:r w:rsidRPr="00574062">
        <w:rPr>
          <w:rFonts w:ascii="Cambria" w:eastAsia="Cambria" w:hAnsi="Cambria" w:cs="Cambria"/>
          <w:lang w:val="en-US" w:eastAsia="en-US"/>
        </w:rPr>
        <w:t>Absence of mechanisms and appropriate programs for ensuring the occupation and entertainment of older women. They are deprived of the opportunity to enjoy interesting entertainment, participate in events, connect with others and lead an active life.</w:t>
      </w:r>
    </w:p>
    <w:p w:rsidR="00611FD2" w:rsidRDefault="00611FD2" w:rsidP="00A6545C">
      <w:pPr>
        <w:pStyle w:val="ListParagraph"/>
        <w:ind w:left="0"/>
        <w:jc w:val="both"/>
        <w:rPr>
          <w:rFonts w:ascii="Cambria" w:hAnsi="Cambria" w:cs="Times New Roman"/>
          <w:b/>
          <w:bCs/>
        </w:rPr>
      </w:pPr>
    </w:p>
    <w:p w:rsidR="00CD11D8" w:rsidRDefault="00277B50" w:rsidP="00A6545C">
      <w:pPr>
        <w:pStyle w:val="ListParagraph"/>
        <w:ind w:left="0"/>
        <w:jc w:val="both"/>
        <w:rPr>
          <w:rFonts w:ascii="Cambria" w:hAnsi="Cambria" w:cs="Times New Roman"/>
          <w:b/>
          <w:bCs/>
        </w:rPr>
      </w:pPr>
      <w:r>
        <w:rPr>
          <w:rFonts w:ascii="Cambria" w:hAnsi="Cambria" w:cs="Times New Roman"/>
          <w:b/>
          <w:bCs/>
        </w:rPr>
        <w:t>WOMEN, PEACE AND SECURITY</w:t>
      </w:r>
    </w:p>
    <w:p w:rsidR="00CD11D8" w:rsidRDefault="00CD11D8" w:rsidP="00A6545C">
      <w:pPr>
        <w:pStyle w:val="ListParagraph"/>
        <w:ind w:left="0"/>
        <w:jc w:val="both"/>
        <w:rPr>
          <w:rFonts w:ascii="Times New Roman" w:hAnsi="Times New Roman" w:cs="Times New Roman"/>
          <w:b/>
          <w:bCs/>
          <w:highlight w:val="yellow"/>
        </w:rPr>
      </w:pPr>
    </w:p>
    <w:p w:rsidR="00475A95" w:rsidRPr="00475A95" w:rsidRDefault="00475A95" w:rsidP="00A6545C">
      <w:pPr>
        <w:jc w:val="both"/>
        <w:rPr>
          <w:rFonts w:ascii="Cambria" w:hAnsi="Cambria" w:cs="Times New Roman"/>
        </w:rPr>
      </w:pPr>
      <w:r w:rsidRPr="00475A95">
        <w:rPr>
          <w:rFonts w:ascii="Cambria" w:hAnsi="Cambria" w:cs="Times New Roman"/>
        </w:rPr>
        <w:t>As for Armenia, a conflict-affected country, the Women, Peace and Security Agenda is of key importance. In the February of 2019, the Republic of Armenia adopted its first National Action Plan (NAP) on UNSC Resolution 1325.</w:t>
      </w:r>
      <w:r w:rsidR="00277B50">
        <w:rPr>
          <w:rFonts w:ascii="Cambria" w:hAnsi="Cambria" w:cs="Times New Roman"/>
          <w:vertAlign w:val="superscript"/>
        </w:rPr>
        <w:footnoteReference w:id="10"/>
      </w:r>
      <w:r w:rsidR="00277B50">
        <w:rPr>
          <w:rFonts w:ascii="Cambria" w:hAnsi="Cambria" w:cs="Times New Roman"/>
        </w:rPr>
        <w:t xml:space="preserve"> </w:t>
      </w:r>
      <w:r w:rsidRPr="00475A95">
        <w:rPr>
          <w:rFonts w:ascii="Cambria" w:hAnsi="Cambria" w:cs="Times New Roman"/>
        </w:rPr>
        <w:t>Later, in April 2020, according to the decision of the Prime Minister</w:t>
      </w:r>
      <w:r w:rsidR="00277B50">
        <w:rPr>
          <w:rFonts w:ascii="Cambria" w:hAnsi="Cambria" w:cs="Times New Roman"/>
          <w:vertAlign w:val="superscript"/>
        </w:rPr>
        <w:footnoteReference w:id="11"/>
      </w:r>
      <w:r w:rsidR="00277B50">
        <w:rPr>
          <w:rFonts w:ascii="Cambria" w:hAnsi="Cambria" w:cs="Times New Roman"/>
        </w:rPr>
        <w:t xml:space="preserve">, </w:t>
      </w:r>
      <w:r w:rsidRPr="00475A95">
        <w:rPr>
          <w:rFonts w:ascii="Cambria" w:hAnsi="Cambria" w:cs="Times New Roman"/>
        </w:rPr>
        <w:t xml:space="preserve">an Interagency Commission for the Implementation and Monitoring of the NAP, headed by the Ministry of Foreign Affairs was established. The Interagency Commission includes representatives of civil society organizations providing a good forum for dialogue and transparent collaboration. It is worth mentioning that it is the first commission in Armenia where NGOs are invited to work as equal partners. </w:t>
      </w:r>
    </w:p>
    <w:p w:rsidR="00475A95" w:rsidRPr="002D5470" w:rsidRDefault="00475A95" w:rsidP="00A6545C">
      <w:pPr>
        <w:jc w:val="both"/>
        <w:rPr>
          <w:rFonts w:ascii="Cambria" w:hAnsi="Cambria" w:cs="Times New Roman"/>
        </w:rPr>
      </w:pPr>
    </w:p>
    <w:p w:rsidR="00475A95" w:rsidRPr="002D5470" w:rsidRDefault="00475A95" w:rsidP="00A6545C">
      <w:pPr>
        <w:jc w:val="both"/>
        <w:rPr>
          <w:rFonts w:ascii="Cambria" w:hAnsi="Cambria" w:cs="Times New Roman"/>
        </w:rPr>
      </w:pPr>
      <w:r w:rsidRPr="002D5470">
        <w:rPr>
          <w:rFonts w:ascii="Cambria" w:hAnsi="Cambria" w:cs="Times New Roman"/>
        </w:rPr>
        <w:t xml:space="preserve">Civil society has welcomed the adoption of this NAP on UNSC Resolution 1325 as an important step in prioritizing WPS, but as it is mentioned in the body of the document, it is a living document, and civil society expects that some additional protection and advancement </w:t>
      </w:r>
    </w:p>
    <w:p w:rsidR="00475A95" w:rsidRPr="002D5470" w:rsidRDefault="00475A95" w:rsidP="00A6545C">
      <w:pPr>
        <w:jc w:val="both"/>
        <w:rPr>
          <w:rFonts w:ascii="Cambria" w:hAnsi="Cambria" w:cs="Times New Roman"/>
        </w:rPr>
      </w:pPr>
      <w:r w:rsidRPr="002D5470">
        <w:rPr>
          <w:rFonts w:ascii="Cambria" w:hAnsi="Cambria" w:cs="Times New Roman"/>
        </w:rPr>
        <w:t xml:space="preserve">mechanisms for women will be included to address reality in the field. </w:t>
      </w:r>
    </w:p>
    <w:p w:rsidR="00CD11D8" w:rsidRPr="002D5470" w:rsidRDefault="00475A95" w:rsidP="00A6545C">
      <w:pPr>
        <w:jc w:val="both"/>
        <w:rPr>
          <w:rFonts w:ascii="Cambria" w:hAnsi="Cambria" w:cs="Times New Roman"/>
        </w:rPr>
      </w:pPr>
      <w:r w:rsidRPr="002D5470">
        <w:rPr>
          <w:rFonts w:ascii="Cambria" w:hAnsi="Cambria" w:cs="Times New Roman"/>
        </w:rPr>
        <w:t>The following concerns have been voiced by civil society</w:t>
      </w:r>
      <w:r w:rsidR="00277B50" w:rsidRPr="002D5470">
        <w:rPr>
          <w:rFonts w:ascii="Cambria" w:hAnsi="Cambria" w:cs="Times New Roman"/>
        </w:rPr>
        <w:t>:</w:t>
      </w:r>
    </w:p>
    <w:p w:rsidR="00CD11D8" w:rsidRPr="002D5470" w:rsidRDefault="00CD11D8" w:rsidP="00A6545C">
      <w:pPr>
        <w:jc w:val="both"/>
        <w:rPr>
          <w:rFonts w:ascii="Cambria" w:hAnsi="Cambria" w:cs="Times New Roman"/>
        </w:rPr>
      </w:pPr>
    </w:p>
    <w:p w:rsidR="0027053F" w:rsidRPr="002D5470" w:rsidRDefault="0027053F" w:rsidP="00A6545C">
      <w:pPr>
        <w:pStyle w:val="ListParagraph"/>
        <w:numPr>
          <w:ilvl w:val="0"/>
          <w:numId w:val="3"/>
        </w:numPr>
        <w:autoSpaceDE w:val="0"/>
        <w:autoSpaceDN w:val="0"/>
        <w:adjustRightInd w:val="0"/>
        <w:jc w:val="both"/>
        <w:rPr>
          <w:rFonts w:ascii="Cambria" w:hAnsi="Cambria" w:cs="Times New Roman"/>
        </w:rPr>
      </w:pPr>
      <w:bookmarkStart w:id="1" w:name="_Hlk71835641"/>
      <w:r w:rsidRPr="002D5470">
        <w:rPr>
          <w:rFonts w:ascii="Cambria" w:hAnsi="Cambria" w:cs="Times New Roman"/>
        </w:rPr>
        <w:t xml:space="preserve">Though there has been progress in the advancement of women in the security sector, which came as a result of the interest </w:t>
      </w:r>
    </w:p>
    <w:p w:rsidR="0027053F" w:rsidRPr="002D5470" w:rsidRDefault="0027053F" w:rsidP="00A6545C">
      <w:pPr>
        <w:pStyle w:val="ListParagraph"/>
        <w:numPr>
          <w:ilvl w:val="0"/>
          <w:numId w:val="3"/>
        </w:numPr>
        <w:autoSpaceDE w:val="0"/>
        <w:autoSpaceDN w:val="0"/>
        <w:adjustRightInd w:val="0"/>
        <w:jc w:val="both"/>
        <w:rPr>
          <w:rFonts w:ascii="Cambria" w:hAnsi="Cambria" w:cs="Times New Roman"/>
        </w:rPr>
      </w:pPr>
      <w:r w:rsidRPr="002D5470">
        <w:rPr>
          <w:rFonts w:ascii="Cambria" w:hAnsi="Cambria" w:cs="Times New Roman"/>
        </w:rPr>
        <w:lastRenderedPageBreak/>
        <w:t>of young women themselves and the State policies, the implementation mechanisms still need to be developed to tailor the policies and address the needs of young women in the security sector. Needs to be developed stronger incentives for women, as well as State policies to make the jobs in the sector safe and attractive for women.</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NAP should introduce stronger mechanisms to incorporate and enhance access of women to all the dimensions of human security: be it access to health, jobs, livelihoods, etc.</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Cooperation between the Government and civil society has to be strengthened, and new possibilities for civil society groups involved should be developed. It is specifically vital to involve in the discussion and decision making women from new border regions and displaced women.</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It is highly important that actions addressing WPS are equally spread over the country. Due to limited resources, the programs addressing WPS, specifically in border communities, have limited coverage and are ad hock.</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Many programs have been developed by the various stakeholders addressing awareness-raising on protecting women’s rights. Awareness raising programs are critically important to change the stereotypic and conservative attitude toward women. If they are systematic, well-coordinated, and professional, they will strongly invest in protecting women’s rights, eliminating gender-based violence, and making our societies more egalitarian and democratic. To be operational, these programs require strengthened implementation of the law, development of social protection programs for women, and introduction of economic empowerment programs and business development activities for women. </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To develop programs well-tailored to the women's needs connected with COVID and war, the Government should allocate resources for research, analysis, and initiatives addressing specific needs of women, including loss of jobs and economic vulnerability of small businesses, as well as new security threats that have emerged after the war: loss of access to lands, property, and housing.</w:t>
      </w:r>
    </w:p>
    <w:p w:rsidR="0027053F" w:rsidRPr="0027053F" w:rsidRDefault="0027053F" w:rsidP="00A6545C">
      <w:pPr>
        <w:numPr>
          <w:ilvl w:val="0"/>
          <w:numId w:val="3"/>
        </w:numPr>
        <w:jc w:val="both"/>
        <w:rPr>
          <w:rFonts w:ascii="Cambria" w:eastAsia="Times New Roman" w:hAnsi="Cambria" w:cs="Times New Roman"/>
          <w:color w:val="0E101A"/>
          <w:lang w:val="en-GB" w:eastAsia="en-GB"/>
        </w:rPr>
      </w:pPr>
      <w:r w:rsidRPr="0027053F">
        <w:rPr>
          <w:rFonts w:ascii="Cambria" w:eastAsia="Times New Roman" w:hAnsi="Cambria" w:cs="Times New Roman"/>
          <w:color w:val="0E101A"/>
          <w:lang w:val="en-GB" w:eastAsia="en-GB"/>
        </w:rPr>
        <w:t>Despite the fact there are many social programs designed by the State, these programs often consider women as representative of the “vulnerable” group giving them a passive role of a victim in need of assistance. State programs and policies need to be revised to empower women to take leadership in sustaining peace and security in the country. </w:t>
      </w:r>
    </w:p>
    <w:p w:rsidR="002D5470" w:rsidRPr="002D5470" w:rsidRDefault="002D5470" w:rsidP="00A6545C">
      <w:pPr>
        <w:numPr>
          <w:ilvl w:val="0"/>
          <w:numId w:val="3"/>
        </w:numPr>
        <w:jc w:val="both"/>
        <w:rPr>
          <w:rFonts w:ascii="Cambria" w:eastAsia="Times New Roman" w:hAnsi="Cambria" w:cs="Times New Roman"/>
          <w:color w:val="0E101A"/>
          <w:lang w:val="en-GB" w:eastAsia="en-GB"/>
        </w:rPr>
      </w:pPr>
      <w:r w:rsidRPr="002D5470">
        <w:rPr>
          <w:rFonts w:ascii="Cambria" w:eastAsia="Times New Roman" w:hAnsi="Cambria" w:cs="Times New Roman"/>
          <w:color w:val="0E101A"/>
          <w:lang w:val="en-GB" w:eastAsia="en-GB"/>
        </w:rPr>
        <w:t>The issues related to relief and recovery get the least attention in the NAP. The activities are mainly associated with needs assessment and monitoring. Considering the critical post-war (after 2020) and ongoing war realities Armenia faces today and the psychological and physical trauma that Armenia society bears today, these issues need special attention. Government has to allocate sufficient resources to develop specific programs addressing the needs for long-term recovery and reintegration. Social-economic projects that will tackle women's special economic security needs need to be integrated into the NAP.</w:t>
      </w:r>
    </w:p>
    <w:p w:rsidR="002D5470" w:rsidRPr="002D5470" w:rsidRDefault="002D5470" w:rsidP="00A6545C">
      <w:pPr>
        <w:numPr>
          <w:ilvl w:val="0"/>
          <w:numId w:val="3"/>
        </w:numPr>
        <w:jc w:val="both"/>
        <w:rPr>
          <w:rFonts w:ascii="Cambria" w:eastAsia="Times New Roman" w:hAnsi="Cambria" w:cs="Times New Roman"/>
          <w:color w:val="0E101A"/>
          <w:lang w:val="en-GB" w:eastAsia="en-GB"/>
        </w:rPr>
      </w:pPr>
      <w:r w:rsidRPr="002D5470">
        <w:rPr>
          <w:rFonts w:ascii="Cambria" w:eastAsia="Times New Roman" w:hAnsi="Cambria" w:cs="Times New Roman"/>
          <w:color w:val="0E101A"/>
          <w:lang w:val="en-GB" w:eastAsia="en-GB"/>
        </w:rPr>
        <w:t>Gender-sensitive indicators need to be added to all State budget programs. The gender-sensitive budgeting approach has been introduced, reflecting the directions of the gender policy strategy, making the state budget medium-term expenditure programs gender-sensitive to meet the needs of displaced people.</w:t>
      </w:r>
    </w:p>
    <w:p w:rsidR="002D5470" w:rsidRPr="002D5470" w:rsidRDefault="002D5470" w:rsidP="00A6545C">
      <w:pPr>
        <w:numPr>
          <w:ilvl w:val="0"/>
          <w:numId w:val="3"/>
        </w:numPr>
        <w:jc w:val="both"/>
        <w:rPr>
          <w:rFonts w:ascii="Cambria" w:eastAsia="Times New Roman" w:hAnsi="Cambria" w:cs="Times New Roman"/>
          <w:color w:val="0E101A"/>
          <w:lang w:val="en-GB" w:eastAsia="en-GB"/>
        </w:rPr>
      </w:pPr>
      <w:r w:rsidRPr="002D5470">
        <w:rPr>
          <w:rFonts w:ascii="Cambria" w:eastAsia="Times New Roman" w:hAnsi="Cambria" w:cs="Times New Roman"/>
          <w:color w:val="0E101A"/>
          <w:lang w:val="en-GB" w:eastAsia="en-GB"/>
        </w:rPr>
        <w:t>Special programs should be developed to address the complex needs of displaced women and women living in border communities.</w:t>
      </w:r>
    </w:p>
    <w:p w:rsidR="0027053F" w:rsidRDefault="0027053F" w:rsidP="002D5470">
      <w:pPr>
        <w:pStyle w:val="ListParagraph"/>
        <w:autoSpaceDE w:val="0"/>
        <w:autoSpaceDN w:val="0"/>
        <w:adjustRightInd w:val="0"/>
        <w:jc w:val="both"/>
        <w:rPr>
          <w:rFonts w:ascii="Cambria" w:hAnsi="Cambria" w:cs="Times New Roman"/>
        </w:rPr>
      </w:pPr>
    </w:p>
    <w:p w:rsidR="0027053F" w:rsidRDefault="0027053F" w:rsidP="0027053F">
      <w:pPr>
        <w:autoSpaceDE w:val="0"/>
        <w:autoSpaceDN w:val="0"/>
        <w:adjustRightInd w:val="0"/>
        <w:jc w:val="both"/>
        <w:rPr>
          <w:rFonts w:ascii="Cambria" w:hAnsi="Cambria" w:cs="Times New Roman"/>
        </w:rPr>
      </w:pPr>
    </w:p>
    <w:p w:rsidR="0027053F" w:rsidRDefault="0027053F" w:rsidP="0027053F">
      <w:pPr>
        <w:autoSpaceDE w:val="0"/>
        <w:autoSpaceDN w:val="0"/>
        <w:adjustRightInd w:val="0"/>
        <w:jc w:val="both"/>
        <w:rPr>
          <w:rFonts w:ascii="Cambria" w:hAnsi="Cambria" w:cs="Times New Roman"/>
        </w:rPr>
      </w:pPr>
    </w:p>
    <w:bookmarkEnd w:id="1"/>
    <w:p w:rsidR="00CD11D8" w:rsidRDefault="00277B50">
      <w:pPr>
        <w:pStyle w:val="NormalWeb"/>
        <w:spacing w:before="0" w:beforeAutospacing="0" w:after="0" w:afterAutospacing="0"/>
        <w:jc w:val="both"/>
        <w:rPr>
          <w:rFonts w:ascii="Cambria" w:eastAsiaTheme="minorHAnsi" w:hAnsi="Cambria"/>
          <w:b/>
          <w:bCs/>
          <w:lang w:val="en-US" w:eastAsia="en-US"/>
        </w:rPr>
      </w:pPr>
      <w:r>
        <w:rPr>
          <w:rFonts w:ascii="Cambria" w:eastAsiaTheme="minorHAnsi" w:hAnsi="Cambria"/>
          <w:b/>
          <w:bCs/>
          <w:lang w:val="en-US" w:eastAsia="en-US"/>
        </w:rPr>
        <w:lastRenderedPageBreak/>
        <w:t>Women and Mental health challenges in post war Armenia</w:t>
      </w:r>
    </w:p>
    <w:p w:rsidR="00CD11D8" w:rsidRDefault="00CD11D8">
      <w:pPr>
        <w:pStyle w:val="NormalWeb"/>
        <w:spacing w:before="0" w:beforeAutospacing="0" w:after="0" w:afterAutospacing="0"/>
        <w:jc w:val="both"/>
      </w:pPr>
    </w:p>
    <w:p w:rsidR="002D5470" w:rsidRPr="002D5470" w:rsidRDefault="002D5470" w:rsidP="002D5470">
      <w:pPr>
        <w:jc w:val="both"/>
        <w:rPr>
          <w:rFonts w:ascii="Cambria" w:hAnsi="Cambria" w:cs="Times New Roman"/>
        </w:rPr>
      </w:pPr>
      <w:r w:rsidRPr="002D5470">
        <w:rPr>
          <w:rFonts w:ascii="Cambria" w:hAnsi="Cambria" w:cs="Times New Roman"/>
        </w:rPr>
        <w:t xml:space="preserve">On September 27, 2020, Azerbaijan launched an air and missile attack in the direction of </w:t>
      </w:r>
      <w:proofErr w:type="spellStart"/>
      <w:r w:rsidRPr="002D5470">
        <w:rPr>
          <w:rFonts w:ascii="Cambria" w:hAnsi="Cambria" w:cs="Times New Roman"/>
        </w:rPr>
        <w:t>Nagorno</w:t>
      </w:r>
      <w:proofErr w:type="spellEnd"/>
      <w:r w:rsidRPr="002D5470">
        <w:rPr>
          <w:rFonts w:ascii="Cambria" w:hAnsi="Cambria" w:cs="Times New Roman"/>
        </w:rPr>
        <w:t xml:space="preserve"> </w:t>
      </w:r>
      <w:proofErr w:type="spellStart"/>
      <w:r w:rsidRPr="002D5470">
        <w:rPr>
          <w:rFonts w:ascii="Cambria" w:hAnsi="Cambria" w:cs="Times New Roman"/>
        </w:rPr>
        <w:t>Karabakh</w:t>
      </w:r>
      <w:proofErr w:type="spellEnd"/>
      <w:r w:rsidRPr="002D5470">
        <w:rPr>
          <w:rFonts w:ascii="Cambria" w:hAnsi="Cambria" w:cs="Times New Roman"/>
        </w:rPr>
        <w:t xml:space="preserve">. A large-scale war between Armenia and Azerbaijan over </w:t>
      </w:r>
      <w:proofErr w:type="spellStart"/>
      <w:r w:rsidRPr="002D5470">
        <w:rPr>
          <w:rFonts w:ascii="Cambria" w:hAnsi="Cambria" w:cs="Times New Roman"/>
        </w:rPr>
        <w:t>Nagorno</w:t>
      </w:r>
      <w:proofErr w:type="spellEnd"/>
      <w:r w:rsidRPr="002D5470">
        <w:rPr>
          <w:rFonts w:ascii="Cambria" w:hAnsi="Cambria" w:cs="Times New Roman"/>
        </w:rPr>
        <w:t xml:space="preserve"> </w:t>
      </w:r>
      <w:proofErr w:type="spellStart"/>
      <w:r w:rsidRPr="002D5470">
        <w:rPr>
          <w:rFonts w:ascii="Cambria" w:hAnsi="Cambria" w:cs="Times New Roman"/>
        </w:rPr>
        <w:t>Karabakh</w:t>
      </w:r>
      <w:proofErr w:type="spellEnd"/>
      <w:r w:rsidRPr="002D5470">
        <w:rPr>
          <w:rFonts w:ascii="Cambria" w:hAnsi="Cambria" w:cs="Times New Roman"/>
        </w:rPr>
        <w:t xml:space="preserve"> lasted 44 days. Thousands of victims, wounded, thousands displaced. The number of losses of human life and the injured is immense. The number of dead, missing and captives exceeds 6,000. </w:t>
      </w:r>
    </w:p>
    <w:p w:rsidR="002D5470" w:rsidRPr="002D5470" w:rsidRDefault="002D5470" w:rsidP="002D5470">
      <w:pPr>
        <w:jc w:val="both"/>
        <w:rPr>
          <w:rFonts w:ascii="Cambria" w:hAnsi="Cambria" w:cs="Times New Roman"/>
        </w:rPr>
      </w:pPr>
    </w:p>
    <w:p w:rsidR="00CD11D8" w:rsidRPr="002D5470" w:rsidRDefault="002D5470" w:rsidP="002D5470">
      <w:pPr>
        <w:jc w:val="both"/>
        <w:rPr>
          <w:rFonts w:ascii="Cambria" w:hAnsi="Cambria" w:cs="Times New Roman"/>
        </w:rPr>
      </w:pPr>
      <w:r w:rsidRPr="002D5470">
        <w:rPr>
          <w:rFonts w:ascii="Cambria" w:hAnsi="Cambria" w:cs="Times New Roman"/>
        </w:rPr>
        <w:t>During and after that war, the State and civil society organizations initiated a number of programs for conflict-affected people, including free-of-charge psychological support programs targeting veterans, displaced families and children. During the recent developments on the 12-14th of September after the attacks on Armenian borders by Azerbaijan, many Psychological companies and individual psychologists immediately started working with the new victims. Overall, the sector perceives the importance of psychological interference and the outcomes if the war traumas are not healed properly.</w:t>
      </w:r>
    </w:p>
    <w:p w:rsidR="002D5470" w:rsidRDefault="002D5470">
      <w:pPr>
        <w:pStyle w:val="NormalWeb"/>
        <w:spacing w:before="0" w:beforeAutospacing="0" w:after="0" w:afterAutospacing="0"/>
        <w:jc w:val="both"/>
        <w:rPr>
          <w:rFonts w:ascii="Cambria" w:hAnsi="Cambria" w:cs="Cambria"/>
          <w:b/>
          <w:bCs/>
          <w:color w:val="000000"/>
          <w:lang w:val="en-US"/>
        </w:rPr>
      </w:pPr>
    </w:p>
    <w:p w:rsidR="00CD11D8" w:rsidRDefault="00277B50">
      <w:pPr>
        <w:pStyle w:val="NormalWeb"/>
        <w:spacing w:before="0" w:beforeAutospacing="0" w:after="0" w:afterAutospacing="0"/>
        <w:jc w:val="both"/>
        <w:rPr>
          <w:rFonts w:ascii="Cambria" w:hAnsi="Cambria" w:cs="Cambria"/>
          <w:b/>
          <w:bCs/>
          <w:color w:val="000000"/>
        </w:rPr>
      </w:pPr>
      <w:r>
        <w:rPr>
          <w:rFonts w:ascii="Cambria" w:hAnsi="Cambria" w:cs="Cambria"/>
          <w:b/>
          <w:bCs/>
          <w:color w:val="000000"/>
        </w:rPr>
        <w:t>Women and post war trauma healing</w:t>
      </w:r>
    </w:p>
    <w:p w:rsidR="00CD11D8" w:rsidRDefault="00CD11D8">
      <w:pPr>
        <w:pStyle w:val="NormalWeb"/>
        <w:spacing w:before="0" w:beforeAutospacing="0" w:after="0" w:afterAutospacing="0"/>
        <w:jc w:val="both"/>
        <w:rPr>
          <w:rFonts w:ascii="Cambria" w:hAnsi="Cambria" w:cs="Cambria"/>
        </w:rPr>
      </w:pPr>
    </w:p>
    <w:p w:rsidR="00CD11D8" w:rsidRPr="002D5470" w:rsidRDefault="002D5470" w:rsidP="002D5470">
      <w:pPr>
        <w:pStyle w:val="NormalWeb"/>
        <w:spacing w:before="0" w:beforeAutospacing="0" w:after="0" w:afterAutospacing="0"/>
        <w:jc w:val="both"/>
        <w:rPr>
          <w:rFonts w:ascii="Cambria" w:hAnsi="Cambria" w:cs="Cambria"/>
          <w:color w:val="000000"/>
        </w:rPr>
      </w:pPr>
      <w:r w:rsidRPr="002D5470">
        <w:rPr>
          <w:rFonts w:ascii="Cambria" w:hAnsi="Cambria" w:cs="Cambria"/>
          <w:color w:val="000000"/>
        </w:rPr>
        <w:t>Above mentioned initiatives have been implemented by the State party and private actors to support post-conflict trauma healing and social cohesion. Some of the activities involved women, but most of the gender aspect of the trauma and healing process has not been considered. Particularly, main psycho-social activities have been initiated for war veterans, and women represent only a small group of them. Overall, post-traumatic psychological support has been intensively provided during and for a short period after the war. However, as one of the most vulnerable conflict-affected groups, women have not been appropriately addressed in terms of psychological support. The causes and side effects of war are immense, and most of them are challenging, especially for women. Here we come up with some of them:</w:t>
      </w:r>
    </w:p>
    <w:p w:rsidR="004D548F" w:rsidRPr="001C303F" w:rsidRDefault="002D5470" w:rsidP="001C303F">
      <w:pPr>
        <w:pStyle w:val="NormalWeb"/>
        <w:numPr>
          <w:ilvl w:val="0"/>
          <w:numId w:val="5"/>
        </w:numPr>
        <w:spacing w:before="0" w:beforeAutospacing="0" w:after="0" w:afterAutospacing="0"/>
        <w:jc w:val="both"/>
        <w:textAlignment w:val="baseline"/>
        <w:rPr>
          <w:rFonts w:ascii="Cambria" w:hAnsi="Cambria" w:cs="Cambria"/>
          <w:color w:val="000000"/>
        </w:rPr>
      </w:pPr>
      <w:r w:rsidRPr="001C303F">
        <w:rPr>
          <w:rFonts w:ascii="Cambria" w:hAnsi="Cambria"/>
        </w:rPr>
        <w:t>  </w:t>
      </w:r>
      <w:r w:rsidRPr="001C303F">
        <w:rPr>
          <w:rStyle w:val="Emphasis"/>
          <w:rFonts w:ascii="Cambria" w:hAnsi="Cambria"/>
          <w:b/>
          <w:bCs/>
          <w:color w:val="0E101A"/>
        </w:rPr>
        <w:t>Displaced from NK with kids and elderly</w:t>
      </w:r>
      <w:r w:rsidRPr="001C303F">
        <w:rPr>
          <w:rStyle w:val="Strong"/>
          <w:rFonts w:ascii="Cambria" w:hAnsi="Cambria"/>
          <w:color w:val="0E101A"/>
        </w:rPr>
        <w:t>:</w:t>
      </w:r>
      <w:r w:rsidRPr="001C303F">
        <w:rPr>
          <w:rFonts w:ascii="Cambria" w:hAnsi="Cambria"/>
        </w:rPr>
        <w:t> displacement is a traumatic experience. Around 90,000 people fled their homes, men staying back in NK to fight. Women took the whole responsibility of displacement: for more than a month, women carried on with life in bunkers, gave birth in bunkers, and raised children in bunkers. Stages of displacement and transition to shelters in Yerevan, finding a new home and taking care of the whole family alone are highly challenging</w:t>
      </w:r>
      <w:r w:rsidR="00277B50" w:rsidRPr="001C303F">
        <w:rPr>
          <w:rFonts w:ascii="Cambria" w:hAnsi="Cambria" w:cs="Cambria"/>
          <w:color w:val="000000"/>
          <w:lang w:val="en-US"/>
        </w:rPr>
        <w:t>.</w:t>
      </w:r>
      <w:r w:rsidR="00277B50" w:rsidRPr="001C303F">
        <w:rPr>
          <w:rStyle w:val="FootnoteReference"/>
          <w:rFonts w:ascii="Cambria" w:hAnsi="Cambria" w:cs="Cambria"/>
          <w:color w:val="000000"/>
          <w:lang w:val="en-US"/>
        </w:rPr>
        <w:footnoteReference w:id="12"/>
      </w:r>
      <w:r w:rsidR="00277B50" w:rsidRPr="001C303F">
        <w:rPr>
          <w:rFonts w:ascii="Cambria" w:hAnsi="Cambria" w:cs="Cambria"/>
          <w:color w:val="000000"/>
          <w:lang w:val="en-US"/>
        </w:rPr>
        <w:t xml:space="preserve"> </w:t>
      </w:r>
      <w:r w:rsidRPr="001C303F">
        <w:rPr>
          <w:rFonts w:ascii="Cambria" w:hAnsi="Cambria" w:cs="Cambria"/>
          <w:color w:val="000000"/>
        </w:rPr>
        <w:t xml:space="preserve">In addition, a new displacement challenge occurred with the latest events in September 2022, leaving around 7600 displaced individuals in the same difficult situation. </w:t>
      </w:r>
    </w:p>
    <w:p w:rsidR="004D548F" w:rsidRPr="001C303F" w:rsidRDefault="004D548F" w:rsidP="001C303F">
      <w:pPr>
        <w:pStyle w:val="NormalWeb"/>
        <w:tabs>
          <w:tab w:val="left" w:pos="720"/>
        </w:tabs>
        <w:spacing w:before="0" w:beforeAutospacing="0" w:after="0" w:afterAutospacing="0"/>
        <w:ind w:left="720"/>
        <w:jc w:val="both"/>
        <w:textAlignment w:val="baseline"/>
        <w:rPr>
          <w:rFonts w:ascii="Cambria" w:hAnsi="Cambria" w:cs="Cambria"/>
          <w:color w:val="000000"/>
        </w:rPr>
      </w:pPr>
    </w:p>
    <w:p w:rsidR="002D5470" w:rsidRPr="001C303F" w:rsidRDefault="002D5470" w:rsidP="001C303F">
      <w:pPr>
        <w:pStyle w:val="NormalWeb"/>
        <w:numPr>
          <w:ilvl w:val="0"/>
          <w:numId w:val="5"/>
        </w:numPr>
        <w:spacing w:before="0" w:beforeAutospacing="0" w:after="0" w:afterAutospacing="0"/>
        <w:jc w:val="both"/>
        <w:rPr>
          <w:rFonts w:ascii="Cambria" w:hAnsi="Cambria"/>
          <w:color w:val="0E101A"/>
        </w:rPr>
      </w:pPr>
      <w:r w:rsidRPr="001C303F">
        <w:rPr>
          <w:rStyle w:val="Emphasis"/>
          <w:rFonts w:ascii="Cambria" w:hAnsi="Cambria"/>
          <w:b/>
          <w:bCs/>
          <w:color w:val="0E101A"/>
        </w:rPr>
        <w:t>Becoming the breadwinners during and after the war:</w:t>
      </w:r>
      <w:r w:rsidRPr="001C303F">
        <w:rPr>
          <w:rFonts w:ascii="Cambria" w:hAnsi="Cambria"/>
          <w:color w:val="0E101A"/>
        </w:rPr>
        <w:t> Many conflict-affected women face psychological trauma and simultaneously experience poverty in sustaining their families. Those women whose families lost a breadwinner to the war are faced with the sudden need to provide for their children and elderly. However, many of these women are incapable of doing that because the patriarchal culture discourages them from building a career or getting an education. On the other hand, destroyed infrastructure in many post-war communities makes it particularly difficult for women who lack education or professional resume to provide for their families financially.</w:t>
      </w:r>
    </w:p>
    <w:p w:rsidR="00CD11D8" w:rsidRPr="001C303F" w:rsidRDefault="00CD11D8" w:rsidP="001C303F">
      <w:pPr>
        <w:pStyle w:val="ListParagraph"/>
        <w:jc w:val="both"/>
        <w:rPr>
          <w:rFonts w:ascii="Cambria" w:hAnsi="Cambria" w:cs="Cambria"/>
          <w:color w:val="000000"/>
          <w:lang w:val="en-GB"/>
        </w:rPr>
      </w:pPr>
    </w:p>
    <w:p w:rsidR="004D548F" w:rsidRPr="001C303F" w:rsidRDefault="004D548F" w:rsidP="001C303F">
      <w:pPr>
        <w:pStyle w:val="NormalWeb"/>
        <w:numPr>
          <w:ilvl w:val="0"/>
          <w:numId w:val="5"/>
        </w:numPr>
        <w:spacing w:before="0" w:beforeAutospacing="0" w:after="0" w:afterAutospacing="0"/>
        <w:jc w:val="both"/>
        <w:textAlignment w:val="baseline"/>
        <w:rPr>
          <w:rFonts w:ascii="Cambria" w:hAnsi="Cambria"/>
        </w:rPr>
      </w:pPr>
      <w:r w:rsidRPr="001C303F">
        <w:rPr>
          <w:rStyle w:val="Emphasis"/>
          <w:rFonts w:ascii="Cambria" w:hAnsi="Cambria"/>
          <w:b/>
          <w:bCs/>
          <w:color w:val="0E101A"/>
        </w:rPr>
        <w:lastRenderedPageBreak/>
        <w:t>Surviving the loss/ injury of their spouse: </w:t>
      </w:r>
      <w:r w:rsidRPr="001C303F">
        <w:rPr>
          <w:rFonts w:ascii="Cambria" w:hAnsi="Cambria"/>
        </w:rPr>
        <w:t>alongside the trauma of losing the spouse, women are generally the trauma healers of their children and other family members. In case of injury, the management of the household, bread-winning and taking care of the injured husband, medications and constant movements are on the shoulders of women.  </w:t>
      </w:r>
    </w:p>
    <w:p w:rsidR="004D548F" w:rsidRPr="001C303F" w:rsidRDefault="004D548F" w:rsidP="001C303F">
      <w:pPr>
        <w:pStyle w:val="ListParagraph"/>
        <w:jc w:val="both"/>
        <w:rPr>
          <w:rStyle w:val="Emphasis"/>
          <w:rFonts w:ascii="Cambria" w:hAnsi="Cambria"/>
          <w:b/>
          <w:bCs/>
          <w:color w:val="0E101A"/>
        </w:rPr>
      </w:pPr>
    </w:p>
    <w:p w:rsidR="004D548F" w:rsidRPr="001C303F" w:rsidRDefault="004D548F" w:rsidP="001C303F">
      <w:pPr>
        <w:pStyle w:val="NormalWeb"/>
        <w:numPr>
          <w:ilvl w:val="0"/>
          <w:numId w:val="5"/>
        </w:numPr>
        <w:spacing w:before="0" w:beforeAutospacing="0" w:after="0" w:afterAutospacing="0"/>
        <w:jc w:val="both"/>
        <w:textAlignment w:val="baseline"/>
        <w:rPr>
          <w:rFonts w:ascii="Cambria" w:hAnsi="Cambria"/>
          <w:color w:val="0E101A"/>
        </w:rPr>
      </w:pPr>
      <w:r w:rsidRPr="001C303F">
        <w:rPr>
          <w:rStyle w:val="Emphasis"/>
          <w:rFonts w:ascii="Cambria" w:hAnsi="Cambria"/>
          <w:b/>
          <w:bCs/>
          <w:color w:val="0E101A"/>
        </w:rPr>
        <w:t>Going through the loss of their children:</w:t>
      </w:r>
      <w:r w:rsidRPr="001C303F">
        <w:rPr>
          <w:rFonts w:ascii="Cambria" w:hAnsi="Cambria"/>
        </w:rPr>
        <w:t> The loss of a child can be one of the worst traumatic experiences for a mother. Not healed, it can turn into a lifelong trauma. That can affect their outlook, motivation to live and even, in random cases, their behaviour towards their other children. The public rituals of praise and tribute to the lost heroes leave very little space for private grief. Moreover, women whose relatives are missing or whose death is unconfirmed are left in legal and emotional limbo.</w:t>
      </w:r>
    </w:p>
    <w:p w:rsidR="004D548F" w:rsidRPr="001C303F" w:rsidRDefault="004D548F" w:rsidP="001C303F">
      <w:pPr>
        <w:pStyle w:val="ListParagraph"/>
        <w:jc w:val="both"/>
        <w:rPr>
          <w:rFonts w:ascii="Cambria" w:hAnsi="Cambria"/>
          <w:color w:val="0E101A"/>
        </w:rPr>
      </w:pPr>
    </w:p>
    <w:p w:rsidR="004D548F" w:rsidRPr="001C303F" w:rsidRDefault="004D548F" w:rsidP="001C303F">
      <w:pPr>
        <w:pStyle w:val="NormalWeb"/>
        <w:numPr>
          <w:ilvl w:val="0"/>
          <w:numId w:val="5"/>
        </w:numPr>
        <w:spacing w:before="0" w:beforeAutospacing="0" w:after="0" w:afterAutospacing="0"/>
        <w:jc w:val="both"/>
        <w:textAlignment w:val="baseline"/>
        <w:rPr>
          <w:rFonts w:ascii="Cambria" w:hAnsi="Cambria"/>
          <w:color w:val="0E101A"/>
        </w:rPr>
      </w:pPr>
      <w:r w:rsidRPr="001C303F">
        <w:rPr>
          <w:rFonts w:ascii="Cambria" w:hAnsi="Cambria"/>
          <w:color w:val="0E101A"/>
        </w:rPr>
        <w:t> </w:t>
      </w:r>
      <w:r w:rsidRPr="001C303F">
        <w:rPr>
          <w:rStyle w:val="Emphasis"/>
          <w:rFonts w:ascii="Cambria" w:hAnsi="Cambria"/>
          <w:b/>
          <w:bCs/>
          <w:color w:val="0E101A"/>
        </w:rPr>
        <w:t>Becoming victims of domestic violence:</w:t>
      </w:r>
      <w:r w:rsidRPr="001C303F">
        <w:rPr>
          <w:rFonts w:ascii="Cambria" w:hAnsi="Cambria"/>
          <w:color w:val="0E101A"/>
        </w:rPr>
        <w:t> When domestic violence is acknowledged as violence, some women argue that the experience of war makes individuals more violent. This applied to men who have served at the frontline and men and women who have stayed in conflict-affected communities. In some cases, women even justify the “trauma resulting” violence towards themselves. </w:t>
      </w:r>
    </w:p>
    <w:p w:rsidR="00CD11D8" w:rsidRPr="001C303F" w:rsidRDefault="00CD11D8" w:rsidP="001C303F">
      <w:pPr>
        <w:pStyle w:val="NormalWeb"/>
        <w:spacing w:before="0" w:beforeAutospacing="0" w:after="0" w:afterAutospacing="0"/>
        <w:jc w:val="both"/>
        <w:rPr>
          <w:rFonts w:ascii="Cambria" w:hAnsi="Cambria" w:cs="Calibri"/>
          <w:color w:val="000000"/>
          <w:sz w:val="22"/>
          <w:szCs w:val="22"/>
        </w:rPr>
      </w:pPr>
    </w:p>
    <w:p w:rsidR="00CD11D8" w:rsidRPr="001C303F" w:rsidRDefault="00277B50" w:rsidP="001C303F">
      <w:pPr>
        <w:pStyle w:val="NormalWeb"/>
        <w:spacing w:before="0" w:beforeAutospacing="0" w:after="0" w:afterAutospacing="0"/>
        <w:jc w:val="both"/>
        <w:rPr>
          <w:rFonts w:ascii="Cambria" w:hAnsi="Cambria" w:cs="Cambria"/>
          <w:color w:val="000000"/>
          <w:lang w:val="en-US"/>
        </w:rPr>
      </w:pPr>
      <w:r w:rsidRPr="001C303F">
        <w:rPr>
          <w:rFonts w:ascii="Cambria" w:hAnsi="Cambria" w:cs="Cambria"/>
          <w:color w:val="000000"/>
          <w:lang w:val="en-US"/>
        </w:rPr>
        <w:t xml:space="preserve">Apart from psychological problems, women affected by recent hostilities face many other issues that need to be addressed by the State party as soon as possible. </w:t>
      </w:r>
      <w:r w:rsidRPr="001C303F">
        <w:rPr>
          <w:rStyle w:val="FootnoteReference"/>
          <w:rFonts w:ascii="Cambria" w:hAnsi="Cambria" w:cs="Cambria"/>
          <w:color w:val="000000"/>
          <w:lang w:val="en-US"/>
        </w:rPr>
        <w:footnoteReference w:id="13"/>
      </w:r>
    </w:p>
    <w:p w:rsidR="00CD11D8" w:rsidRPr="001C303F" w:rsidRDefault="00CD11D8" w:rsidP="001C303F">
      <w:pPr>
        <w:pStyle w:val="NormalWeb"/>
        <w:spacing w:before="0" w:beforeAutospacing="0" w:after="0" w:afterAutospacing="0"/>
        <w:jc w:val="both"/>
        <w:rPr>
          <w:rFonts w:ascii="Cambria" w:hAnsi="Cambria" w:cs="Cambria"/>
          <w:color w:val="000000"/>
          <w:lang w:val="en-US"/>
        </w:rPr>
      </w:pPr>
    </w:p>
    <w:p w:rsidR="00CD11D8" w:rsidRPr="001C303F" w:rsidRDefault="004D548F" w:rsidP="001C303F">
      <w:pPr>
        <w:pStyle w:val="NormalWeb"/>
        <w:tabs>
          <w:tab w:val="left" w:pos="720"/>
        </w:tabs>
        <w:spacing w:before="0" w:beforeAutospacing="0" w:after="0" w:afterAutospacing="0"/>
        <w:ind w:left="720"/>
        <w:jc w:val="both"/>
        <w:textAlignment w:val="baseline"/>
        <w:rPr>
          <w:rFonts w:ascii="Cambria" w:hAnsi="Cambria"/>
        </w:rPr>
      </w:pPr>
      <w:r w:rsidRPr="001C303F">
        <w:rPr>
          <w:rStyle w:val="Strong"/>
          <w:rFonts w:ascii="Cambria" w:hAnsi="Cambria"/>
          <w:color w:val="0E101A"/>
        </w:rPr>
        <w:t>Property right.</w:t>
      </w:r>
      <w:r w:rsidRPr="001C303F">
        <w:rPr>
          <w:rFonts w:ascii="Cambria" w:hAnsi="Cambria"/>
        </w:rPr>
        <w:t> Women who lost their spouses face challenges in executing their right to inheritance. Although the State party provided families of fallen soldiers with financial assistance, it was challenging for many women to execute their property rights, and they failed to enter into the inheritance. Obstacles to executing these rights fully include a lack of awareness of their legal rights and procedures and how to access legal aid, which can stem from gender differences in educational levels, and access to information. </w:t>
      </w:r>
    </w:p>
    <w:p w:rsidR="004D548F" w:rsidRPr="001C303F" w:rsidRDefault="004D548F" w:rsidP="001C303F">
      <w:pPr>
        <w:pStyle w:val="NormalWeb"/>
        <w:tabs>
          <w:tab w:val="left" w:pos="720"/>
        </w:tabs>
        <w:spacing w:before="0" w:beforeAutospacing="0" w:after="0" w:afterAutospacing="0"/>
        <w:ind w:left="720"/>
        <w:jc w:val="both"/>
        <w:textAlignment w:val="baseline"/>
        <w:rPr>
          <w:rFonts w:ascii="Cambria" w:hAnsi="Cambria" w:cs="Cambria"/>
          <w:color w:val="000000"/>
        </w:rPr>
      </w:pPr>
    </w:p>
    <w:p w:rsidR="00A6545C" w:rsidRDefault="001C303F" w:rsidP="00A6545C">
      <w:pPr>
        <w:pStyle w:val="ListParagraph"/>
        <w:jc w:val="both"/>
        <w:rPr>
          <w:rFonts w:ascii="Cambria" w:hAnsi="Cambria"/>
        </w:rPr>
      </w:pPr>
      <w:r w:rsidRPr="001C303F">
        <w:rPr>
          <w:rStyle w:val="Strong"/>
          <w:rFonts w:ascii="Cambria" w:hAnsi="Cambria"/>
          <w:color w:val="0E101A"/>
        </w:rPr>
        <w:t>Loans. </w:t>
      </w:r>
      <w:r w:rsidRPr="001C303F">
        <w:rPr>
          <w:rFonts w:ascii="Cambria" w:hAnsi="Cambria"/>
        </w:rPr>
        <w:t xml:space="preserve">Following the existing legislation, the person (In our case, in the majority of cases, it is the wife) who asserts inheritance must also assert liabilities, such as loans and credits. After 44 </w:t>
      </w:r>
      <w:proofErr w:type="gramStart"/>
      <w:r w:rsidRPr="001C303F">
        <w:rPr>
          <w:rFonts w:ascii="Cambria" w:hAnsi="Cambria"/>
        </w:rPr>
        <w:t>days</w:t>
      </w:r>
      <w:proofErr w:type="gramEnd"/>
      <w:r w:rsidRPr="001C303F">
        <w:rPr>
          <w:rFonts w:ascii="Cambria" w:hAnsi="Cambria"/>
        </w:rPr>
        <w:t xml:space="preserve"> war in 2020, some banks and credit organizations writes-off the consumer and other small loans, or at least the interest of the loans of fallen soldiers, asking only the legal successor to repay the principal, reviewing the repayment schedule. Still, in the cases when the loans are big and secured with collateral, the creditors are forcing to repay the loan with interest. It is highly recommended that the State party take measures to address situations when obligations on loan payments of the fallen soldiers are transferred to their wives.</w:t>
      </w:r>
    </w:p>
    <w:p w:rsidR="00A6545C" w:rsidRDefault="00A6545C" w:rsidP="00A6545C">
      <w:pPr>
        <w:pStyle w:val="ListParagraph"/>
        <w:jc w:val="both"/>
        <w:rPr>
          <w:rStyle w:val="Strong"/>
          <w:rFonts w:ascii="Cambria" w:hAnsi="Cambria"/>
          <w:color w:val="0E101A"/>
        </w:rPr>
      </w:pPr>
    </w:p>
    <w:p w:rsidR="00CD11D8" w:rsidRPr="001C303F" w:rsidRDefault="001C303F" w:rsidP="00A6545C">
      <w:pPr>
        <w:pStyle w:val="ListParagraph"/>
        <w:jc w:val="both"/>
        <w:rPr>
          <w:rFonts w:ascii="Cambria" w:hAnsi="Cambria" w:cs="Times New Roman"/>
          <w:color w:val="FF0000"/>
        </w:rPr>
      </w:pPr>
      <w:r w:rsidRPr="001C303F">
        <w:rPr>
          <w:rStyle w:val="Strong"/>
          <w:rFonts w:ascii="Cambria" w:hAnsi="Cambria"/>
          <w:color w:val="0E101A"/>
        </w:rPr>
        <w:t>Institutional capacity building: </w:t>
      </w:r>
      <w:r w:rsidRPr="001C303F">
        <w:rPr>
          <w:rFonts w:ascii="Cambria" w:hAnsi="Cambria"/>
        </w:rPr>
        <w:t>Service providers of all sectors should be aware of the impacts of traumas on the general public. They should be given tools and knowledge on how to work properly with the “do no harm” principle. Special attention should be given to the staff of hospitals, polyclinics and local authorities, including the</w:t>
      </w:r>
      <w:r w:rsidRPr="001C303F">
        <w:rPr>
          <w:rStyle w:val="Emphasis"/>
          <w:rFonts w:ascii="Cambria" w:hAnsi="Cambria"/>
          <w:color w:val="0E101A"/>
        </w:rPr>
        <w:t> position of psychologists in all self-governing bodies</w:t>
      </w:r>
      <w:r w:rsidRPr="001C303F">
        <w:rPr>
          <w:rFonts w:ascii="Cambria" w:hAnsi="Cambria"/>
        </w:rPr>
        <w:t xml:space="preserve"> to work alongside the social workers. Community-based psychological support has crucial importance </w:t>
      </w:r>
      <w:r w:rsidRPr="001C303F">
        <w:rPr>
          <w:rFonts w:ascii="Cambria" w:hAnsi="Cambria"/>
        </w:rPr>
        <w:lastRenderedPageBreak/>
        <w:t>and can be very significant and lifesaving. Services should be free of charge. </w:t>
      </w:r>
      <w:r w:rsidR="00277B50" w:rsidRPr="001C303F">
        <w:rPr>
          <w:rFonts w:ascii="Cambria" w:hAnsi="Cambria"/>
        </w:rPr>
        <w:br/>
      </w:r>
    </w:p>
    <w:p w:rsidR="00CD11D8" w:rsidRDefault="00277B50">
      <w:pPr>
        <w:rPr>
          <w:lang w:val="en-GB"/>
        </w:rPr>
      </w:pPr>
      <w:r>
        <w:br/>
      </w:r>
    </w:p>
    <w:sectPr w:rsidR="00CD11D8">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C76" w:rsidRDefault="00277B50">
      <w:r>
        <w:separator/>
      </w:r>
    </w:p>
  </w:endnote>
  <w:endnote w:type="continuationSeparator" w:id="0">
    <w:p w:rsidR="00041C76" w:rsidRDefault="00277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Cambria"/>
    <w:panose1 w:val="02040503050406030204"/>
    <w:charset w:val="CC"/>
    <w:family w:val="roman"/>
    <w:pitch w:val="variable"/>
    <w:sig w:usb0="E00006FF" w:usb1="420024FF" w:usb2="02000000" w:usb3="00000000" w:csb0="0000019F" w:csb1="00000000"/>
  </w:font>
  <w:font w:name="DengXian">
    <w:altName w:val="等线"/>
    <w:panose1 w:val="02010600030101010101"/>
    <w:charset w:val="00"/>
    <w:family w:val="auto"/>
    <w:pitch w:val="default"/>
  </w:font>
  <w:font w:name="Futura-Medium">
    <w:altName w:val="Arial"/>
    <w:charset w:val="00"/>
    <w:family w:val="swiss"/>
    <w:pitch w:val="default"/>
    <w:sig w:usb0="00000000"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46647"/>
      <w:docPartObj>
        <w:docPartGallery w:val="Page Numbers (Bottom of Page)"/>
        <w:docPartUnique/>
      </w:docPartObj>
    </w:sdtPr>
    <w:sdtEndPr>
      <w:rPr>
        <w:noProof/>
      </w:rPr>
    </w:sdtEndPr>
    <w:sdtContent>
      <w:p w:rsidR="00CF5ED1" w:rsidRDefault="00CF5ED1">
        <w:pPr>
          <w:pStyle w:val="Footer"/>
          <w:jc w:val="center"/>
        </w:pPr>
        <w:r>
          <w:fldChar w:fldCharType="begin"/>
        </w:r>
        <w:r>
          <w:instrText xml:space="preserve"> PAGE   \* MERGEFORMAT </w:instrText>
        </w:r>
        <w:r>
          <w:fldChar w:fldCharType="separate"/>
        </w:r>
        <w:r w:rsidR="00240000">
          <w:rPr>
            <w:noProof/>
          </w:rPr>
          <w:t>10</w:t>
        </w:r>
        <w:r>
          <w:rPr>
            <w:noProof/>
          </w:rPr>
          <w:fldChar w:fldCharType="end"/>
        </w:r>
      </w:p>
    </w:sdtContent>
  </w:sdt>
  <w:p w:rsidR="00CF5ED1" w:rsidRDefault="00CF5E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1D8" w:rsidRDefault="00277B50">
      <w:r>
        <w:separator/>
      </w:r>
    </w:p>
  </w:footnote>
  <w:footnote w:type="continuationSeparator" w:id="0">
    <w:p w:rsidR="00CD11D8" w:rsidRDefault="00277B50">
      <w:r>
        <w:continuationSeparator/>
      </w:r>
    </w:p>
  </w:footnote>
  <w:footnote w:id="1">
    <w:p w:rsidR="00CD11D8" w:rsidRPr="00FF6877" w:rsidRDefault="00277B50">
      <w:pPr>
        <w:pStyle w:val="FootnoteText"/>
        <w:rPr>
          <w:sz w:val="22"/>
          <w:szCs w:val="22"/>
        </w:rPr>
      </w:pPr>
      <w:r w:rsidRPr="00FF6877">
        <w:rPr>
          <w:rStyle w:val="FootnoteReference"/>
          <w:sz w:val="22"/>
          <w:szCs w:val="22"/>
        </w:rPr>
        <w:footnoteRef/>
      </w:r>
      <w:r w:rsidRPr="00FF6877">
        <w:rPr>
          <w:sz w:val="22"/>
          <w:szCs w:val="22"/>
        </w:rPr>
        <w:t xml:space="preserve"> </w:t>
      </w:r>
      <w:r w:rsidRPr="00FF6877">
        <w:rPr>
          <w:rFonts w:ascii="Cambria" w:hAnsi="Cambria" w:cs="Cambria"/>
          <w:sz w:val="22"/>
          <w:szCs w:val="22"/>
        </w:rPr>
        <w:t xml:space="preserve">Naira </w:t>
      </w:r>
      <w:proofErr w:type="spellStart"/>
      <w:r w:rsidRPr="00FF6877">
        <w:rPr>
          <w:rFonts w:ascii="Cambria" w:hAnsi="Cambria" w:cs="Cambria"/>
          <w:sz w:val="22"/>
          <w:szCs w:val="22"/>
        </w:rPr>
        <w:t>Sardaryan</w:t>
      </w:r>
      <w:proofErr w:type="spellEnd"/>
      <w:r w:rsidRPr="00FF6877">
        <w:rPr>
          <w:rFonts w:ascii="Cambria" w:hAnsi="Cambria" w:cs="Cambria"/>
          <w:sz w:val="22"/>
          <w:szCs w:val="22"/>
        </w:rPr>
        <w:t xml:space="preserve"> - Human rights expert; Man</w:t>
      </w:r>
      <w:r w:rsidR="00FF6877">
        <w:rPr>
          <w:rFonts w:ascii="Cambria" w:hAnsi="Cambria" w:cs="Cambria"/>
          <w:sz w:val="22"/>
          <w:szCs w:val="22"/>
        </w:rPr>
        <w:t xml:space="preserve">e </w:t>
      </w:r>
      <w:proofErr w:type="spellStart"/>
      <w:r w:rsidR="00D14D46">
        <w:rPr>
          <w:rFonts w:ascii="Cambria" w:hAnsi="Cambria" w:cs="Cambria"/>
          <w:sz w:val="22"/>
          <w:szCs w:val="22"/>
        </w:rPr>
        <w:t>Abrahamyan</w:t>
      </w:r>
      <w:proofErr w:type="spellEnd"/>
      <w:r w:rsidR="00FF6877">
        <w:rPr>
          <w:rFonts w:ascii="Cambria" w:hAnsi="Cambria" w:cs="Cambria"/>
          <w:sz w:val="22"/>
          <w:szCs w:val="22"/>
        </w:rPr>
        <w:t xml:space="preserve"> - E</w:t>
      </w:r>
      <w:r w:rsidR="004951D8" w:rsidRPr="00FF6877">
        <w:rPr>
          <w:rFonts w:ascii="Cambria" w:hAnsi="Cambria" w:cs="Cambria"/>
          <w:sz w:val="22"/>
          <w:szCs w:val="22"/>
        </w:rPr>
        <w:t>ducation expert, Viktoria Avakova – THB expert</w:t>
      </w:r>
      <w:r w:rsidR="00FF6877">
        <w:rPr>
          <w:rFonts w:ascii="Cambria" w:hAnsi="Cambria" w:cs="Cambria"/>
          <w:sz w:val="22"/>
          <w:szCs w:val="22"/>
        </w:rPr>
        <w:t>.</w:t>
      </w:r>
    </w:p>
  </w:footnote>
  <w:footnote w:id="2">
    <w:p w:rsidR="00CD11D8" w:rsidRDefault="00277B50">
      <w:pPr>
        <w:pStyle w:val="FootnoteText"/>
        <w:rPr>
          <w:rFonts w:ascii="Cambria" w:hAnsi="Cambria" w:cs="Cambria"/>
        </w:rPr>
      </w:pPr>
      <w:r>
        <w:rPr>
          <w:rStyle w:val="FootnoteReference"/>
        </w:rPr>
        <w:footnoteRef/>
      </w:r>
      <w:r>
        <w:t xml:space="preserve"> </w:t>
      </w:r>
      <w:r>
        <w:rPr>
          <w:rFonts w:ascii="Cambria" w:hAnsi="Cambria" w:cs="Cambria"/>
        </w:rPr>
        <w:t>GRETA Evaluation report Armenia (third evaluation round) COE, GRETA (2022)05</w:t>
      </w:r>
    </w:p>
  </w:footnote>
  <w:footnote w:id="3">
    <w:p w:rsidR="00AF6802" w:rsidRDefault="00AF6802" w:rsidP="00AF6802">
      <w:pPr>
        <w:pStyle w:val="FootnoteText"/>
        <w:rPr>
          <w:rFonts w:ascii="Cambria" w:hAnsi="Cambria" w:cs="Cambria"/>
          <w:lang w:val="en-GB" w:eastAsia="en-GB"/>
        </w:rPr>
      </w:pPr>
      <w:r>
        <w:rPr>
          <w:rFonts w:ascii="Cambria" w:hAnsi="Cambria" w:cs="Cambria"/>
          <w:vertAlign w:val="superscript"/>
        </w:rPr>
        <w:footnoteRef/>
      </w:r>
      <w:r>
        <w:rPr>
          <w:rFonts w:ascii="Cambria" w:hAnsi="Cambria" w:cs="Cambria"/>
        </w:rPr>
        <w:t xml:space="preserve"> </w:t>
      </w:r>
      <w:r>
        <w:rPr>
          <w:rFonts w:ascii="Cambria" w:hAnsi="Cambria" w:cs="Cambria"/>
          <w:lang w:val="en-GB" w:eastAsia="en-GB"/>
        </w:rPr>
        <w:t xml:space="preserve">Determinants of Anti-Trafficking Efforts. Case Study Armenia. BIICL June 2022. </w:t>
      </w:r>
    </w:p>
    <w:p w:rsidR="00AF6802" w:rsidRDefault="00AF6802" w:rsidP="00AF6802">
      <w:pPr>
        <w:pStyle w:val="FootnoteText"/>
        <w:rPr>
          <w:lang w:val="en-GB"/>
        </w:rPr>
      </w:pPr>
    </w:p>
  </w:footnote>
  <w:footnote w:id="4">
    <w:p w:rsidR="00CD11D8" w:rsidRPr="004B3F98" w:rsidRDefault="00277B50">
      <w:pPr>
        <w:pStyle w:val="FootnoteText"/>
        <w:rPr>
          <w:rFonts w:ascii="Cambria" w:hAnsi="Cambria"/>
        </w:rPr>
      </w:pPr>
      <w:r>
        <w:rPr>
          <w:rStyle w:val="FootnoteReference"/>
        </w:rPr>
        <w:footnoteRef/>
      </w:r>
      <w:r>
        <w:t xml:space="preserve"> </w:t>
      </w:r>
      <w:r w:rsidRPr="004B3F98">
        <w:rPr>
          <w:rFonts w:ascii="Cambria" w:hAnsi="Cambria"/>
        </w:rPr>
        <w:t xml:space="preserve">ARMENIA 2021 HUMAN RIGHTS REPORT </w:t>
      </w:r>
      <w:hyperlink r:id="rId1" w:history="1">
        <w:r w:rsidRPr="004B3F98">
          <w:rPr>
            <w:rStyle w:val="Hyperlink"/>
            <w:rFonts w:ascii="Cambria" w:hAnsi="Cambria"/>
          </w:rPr>
          <w:t>https://am.usembassy.gov/wp-content/uploads/sites/92/hrr2022.pdf</w:t>
        </w:r>
      </w:hyperlink>
      <w:r w:rsidRPr="004B3F98">
        <w:rPr>
          <w:rFonts w:ascii="Cambria" w:hAnsi="Cambria"/>
        </w:rPr>
        <w:t xml:space="preserve"> </w:t>
      </w:r>
    </w:p>
  </w:footnote>
  <w:footnote w:id="5">
    <w:p w:rsidR="00CD11D8" w:rsidRPr="004B3F98" w:rsidRDefault="00277B50">
      <w:pPr>
        <w:pStyle w:val="FootnoteText"/>
        <w:rPr>
          <w:rFonts w:ascii="Cambria" w:hAnsi="Cambria"/>
          <w:lang w:val="hy-AM"/>
        </w:rPr>
      </w:pPr>
      <w:r w:rsidRPr="004B3F98">
        <w:rPr>
          <w:rStyle w:val="FootnoteReference"/>
          <w:rFonts w:ascii="Cambria" w:hAnsi="Cambria"/>
        </w:rPr>
        <w:footnoteRef/>
      </w:r>
      <w:r w:rsidRPr="004B3F98">
        <w:rPr>
          <w:rFonts w:ascii="Cambria" w:hAnsi="Cambria"/>
        </w:rPr>
        <w:t xml:space="preserve"> </w:t>
      </w:r>
      <w:hyperlink r:id="rId2" w:history="1">
        <w:r w:rsidRPr="004B3F98">
          <w:rPr>
            <w:rStyle w:val="Hyperlink"/>
            <w:rFonts w:ascii="Cambria" w:hAnsi="Cambria"/>
          </w:rPr>
          <w:t>https://www.e-gov.am/gov-decrees/item/35589/</w:t>
        </w:r>
      </w:hyperlink>
      <w:r w:rsidRPr="004B3F98">
        <w:rPr>
          <w:rFonts w:ascii="Cambria" w:hAnsi="Cambria"/>
          <w:lang w:val="hy-AM"/>
        </w:rPr>
        <w:t xml:space="preserve"> </w:t>
      </w:r>
    </w:p>
  </w:footnote>
  <w:footnote w:id="6">
    <w:p w:rsidR="00CD11D8" w:rsidRPr="004B3F98" w:rsidRDefault="00277B50">
      <w:pPr>
        <w:pStyle w:val="FootnoteText"/>
        <w:rPr>
          <w:sz w:val="18"/>
          <w:szCs w:val="18"/>
          <w:lang w:val="hy-AM"/>
        </w:rPr>
      </w:pPr>
      <w:r>
        <w:rPr>
          <w:rStyle w:val="FootnoteReference"/>
        </w:rPr>
        <w:footnoteRef/>
      </w:r>
      <w:r>
        <w:rPr>
          <w:lang w:val="hy-AM"/>
        </w:rPr>
        <w:t xml:space="preserve"> </w:t>
      </w:r>
      <w:r w:rsidR="00240000">
        <w:fldChar w:fldCharType="begin"/>
      </w:r>
      <w:r w:rsidR="00240000" w:rsidRPr="00240000">
        <w:rPr>
          <w:lang w:val="hy-AM"/>
        </w:rPr>
        <w:instrText xml:space="preserve"> HYPERLINK "https://am.usembassy.gov/wp-content/uploads/sites/92/hrr2022.pdf" </w:instrText>
      </w:r>
      <w:r w:rsidR="00240000">
        <w:fldChar w:fldCharType="separate"/>
      </w:r>
      <w:r w:rsidRPr="004B3F98">
        <w:rPr>
          <w:rStyle w:val="Hyperlink"/>
          <w:sz w:val="18"/>
          <w:szCs w:val="18"/>
          <w:lang w:val="hy-AM"/>
        </w:rPr>
        <w:t>https://am.usembassy.gov/wp-content/uploads/sites/92/hrr2022.pdf</w:t>
      </w:r>
      <w:r w:rsidR="00240000">
        <w:rPr>
          <w:rStyle w:val="Hyperlink"/>
          <w:sz w:val="18"/>
          <w:szCs w:val="18"/>
          <w:lang w:val="hy-AM"/>
        </w:rPr>
        <w:fldChar w:fldCharType="end"/>
      </w:r>
      <w:r w:rsidRPr="004B3F98">
        <w:rPr>
          <w:sz w:val="18"/>
          <w:szCs w:val="18"/>
          <w:lang w:val="hy-AM"/>
        </w:rPr>
        <w:t xml:space="preserve"> </w:t>
      </w:r>
    </w:p>
  </w:footnote>
  <w:footnote w:id="7">
    <w:p w:rsidR="00CD11D8" w:rsidRPr="004B3F98" w:rsidRDefault="00277B50">
      <w:pPr>
        <w:pStyle w:val="FootnoteText"/>
        <w:rPr>
          <w:sz w:val="18"/>
          <w:szCs w:val="18"/>
          <w:lang w:val="hy-AM"/>
        </w:rPr>
      </w:pPr>
      <w:r w:rsidRPr="004B3F98">
        <w:rPr>
          <w:rStyle w:val="FootnoteReference"/>
          <w:sz w:val="18"/>
          <w:szCs w:val="18"/>
        </w:rPr>
        <w:footnoteRef/>
      </w:r>
      <w:r w:rsidRPr="004B3F98">
        <w:rPr>
          <w:sz w:val="18"/>
          <w:szCs w:val="18"/>
          <w:lang w:val="hy-AM"/>
        </w:rPr>
        <w:t xml:space="preserve"> </w:t>
      </w:r>
      <w:r w:rsidR="00240000">
        <w:fldChar w:fldCharType="begin"/>
      </w:r>
      <w:r w:rsidR="00240000" w:rsidRPr="00240000">
        <w:rPr>
          <w:lang w:val="hy-AM"/>
        </w:rPr>
        <w:instrText xml:space="preserve"> HYPERLINK "https://am.usembassy.gov/wp-content/uploads/sites/92/hrr2022.pdf" </w:instrText>
      </w:r>
      <w:r w:rsidR="00240000">
        <w:fldChar w:fldCharType="separate"/>
      </w:r>
      <w:r w:rsidRPr="004B3F98">
        <w:rPr>
          <w:rStyle w:val="Hyperlink"/>
          <w:sz w:val="18"/>
          <w:szCs w:val="18"/>
          <w:lang w:val="hy-AM"/>
        </w:rPr>
        <w:t>https://am.usembassy.gov/wp-content/uploads/sites/92/hrr2022.pdf</w:t>
      </w:r>
      <w:r w:rsidR="00240000">
        <w:rPr>
          <w:rStyle w:val="Hyperlink"/>
          <w:sz w:val="18"/>
          <w:szCs w:val="18"/>
          <w:lang w:val="hy-AM"/>
        </w:rPr>
        <w:fldChar w:fldCharType="end"/>
      </w:r>
      <w:r w:rsidRPr="004B3F98">
        <w:rPr>
          <w:sz w:val="18"/>
          <w:szCs w:val="18"/>
          <w:lang w:val="hy-AM"/>
        </w:rPr>
        <w:t xml:space="preserve"> </w:t>
      </w:r>
    </w:p>
  </w:footnote>
  <w:footnote w:id="8">
    <w:p w:rsidR="00CD11D8" w:rsidRPr="004B3F98" w:rsidRDefault="00277B50">
      <w:pPr>
        <w:pStyle w:val="FootnoteText"/>
        <w:rPr>
          <w:sz w:val="18"/>
          <w:szCs w:val="18"/>
          <w:lang w:val="hy-AM"/>
        </w:rPr>
      </w:pPr>
      <w:r w:rsidRPr="004B3F98">
        <w:rPr>
          <w:rStyle w:val="FootnoteReference"/>
          <w:sz w:val="18"/>
          <w:szCs w:val="18"/>
        </w:rPr>
        <w:footnoteRef/>
      </w:r>
      <w:r w:rsidRPr="004B3F98">
        <w:rPr>
          <w:sz w:val="18"/>
          <w:szCs w:val="18"/>
          <w:lang w:val="hy-AM"/>
        </w:rPr>
        <w:t xml:space="preserve"> </w:t>
      </w:r>
      <w:r w:rsidR="00240000">
        <w:fldChar w:fldCharType="begin"/>
      </w:r>
      <w:r w:rsidR="00240000" w:rsidRPr="00240000">
        <w:rPr>
          <w:lang w:val="hy-AM"/>
        </w:rPr>
        <w:instrText xml:space="preserve"> HYPERLINK "https://epfarmenia.am/sites/default/files/Document/Problems_of_Early_Marriage_and_School_Dropout_in_the_Yezidi_Community_2022_Armenian.pdf" </w:instrText>
      </w:r>
      <w:r w:rsidR="00240000">
        <w:fldChar w:fldCharType="separate"/>
      </w:r>
      <w:r w:rsidRPr="004B3F98">
        <w:rPr>
          <w:rStyle w:val="Hyperlink"/>
          <w:sz w:val="18"/>
          <w:szCs w:val="18"/>
          <w:lang w:val="hy-AM"/>
        </w:rPr>
        <w:t>https://epfarmenia.am/sites/default/files/Document/Problems_of_Early_Marriage_and_School_Dropout_in_the_Yezidi_Community_2022_Armenian.pdf</w:t>
      </w:r>
      <w:r w:rsidR="00240000">
        <w:rPr>
          <w:rStyle w:val="Hyperlink"/>
          <w:sz w:val="18"/>
          <w:szCs w:val="18"/>
          <w:lang w:val="hy-AM"/>
        </w:rPr>
        <w:fldChar w:fldCharType="end"/>
      </w:r>
      <w:r w:rsidRPr="004B3F98">
        <w:rPr>
          <w:sz w:val="18"/>
          <w:szCs w:val="18"/>
          <w:lang w:val="hy-AM"/>
        </w:rPr>
        <w:t xml:space="preserve"> </w:t>
      </w:r>
    </w:p>
  </w:footnote>
  <w:footnote w:id="9">
    <w:p w:rsidR="00CD11D8" w:rsidRPr="004B3F98" w:rsidRDefault="00277B50">
      <w:pPr>
        <w:pStyle w:val="FootnoteText"/>
        <w:rPr>
          <w:rFonts w:ascii="Cambria" w:eastAsia="Times New Roman" w:hAnsi="Cambria" w:cs="Times New Roman"/>
          <w:sz w:val="18"/>
          <w:szCs w:val="18"/>
          <w:lang w:val="en-GB" w:eastAsia="en-GB"/>
        </w:rPr>
      </w:pPr>
      <w:r>
        <w:rPr>
          <w:rStyle w:val="FootnoteReference"/>
        </w:rPr>
        <w:footnoteRef/>
      </w:r>
      <w:r>
        <w:t xml:space="preserve"> </w:t>
      </w:r>
      <w:r w:rsidRPr="004B3F98">
        <w:rPr>
          <w:rFonts w:ascii="Cambria" w:eastAsia="Times New Roman" w:hAnsi="Cambria" w:cs="Times New Roman"/>
          <w:sz w:val="18"/>
          <w:szCs w:val="18"/>
          <w:lang w:val="en-GB" w:eastAsia="en-GB"/>
        </w:rPr>
        <w:t xml:space="preserve">On the approval of the program for the improvement of care services provided to the elderly and the investment and development of community services and the plan-schedule of events ensuring its implementation for 2021-2023 RA Government Decision N 498-L as of April 8, 2021 </w:t>
      </w:r>
      <w:hyperlink r:id="rId3" w:history="1">
        <w:r w:rsidRPr="004B3F98">
          <w:rPr>
            <w:rFonts w:ascii="Cambria" w:eastAsia="Times New Roman" w:hAnsi="Cambria" w:cs="Times New Roman"/>
            <w:sz w:val="18"/>
            <w:szCs w:val="18"/>
            <w:lang w:val="en-GB" w:eastAsia="en-GB"/>
          </w:rPr>
          <w:t>http://www.irtek.am/views/act.aspx?aid=110168</w:t>
        </w:r>
      </w:hyperlink>
      <w:r w:rsidRPr="004B3F98">
        <w:rPr>
          <w:rFonts w:ascii="Cambria" w:eastAsia="Times New Roman" w:hAnsi="Cambria" w:cs="Times New Roman"/>
          <w:sz w:val="18"/>
          <w:szCs w:val="18"/>
          <w:lang w:val="en-GB" w:eastAsia="en-GB"/>
        </w:rPr>
        <w:t xml:space="preserve"> </w:t>
      </w:r>
    </w:p>
    <w:p w:rsidR="00CD11D8" w:rsidRPr="004B3F98" w:rsidRDefault="00CD11D8">
      <w:pPr>
        <w:pStyle w:val="FootnoteText"/>
        <w:rPr>
          <w:rFonts w:ascii="Cambria" w:hAnsi="Cambria"/>
          <w:sz w:val="18"/>
          <w:szCs w:val="18"/>
          <w:lang w:val="hy-AM"/>
        </w:rPr>
      </w:pPr>
    </w:p>
  </w:footnote>
  <w:footnote w:id="10">
    <w:p w:rsidR="00CD11D8" w:rsidRPr="004B3F98" w:rsidRDefault="00277B50">
      <w:pPr>
        <w:pStyle w:val="Bibliography1"/>
        <w:spacing w:before="60" w:after="60" w:line="276" w:lineRule="auto"/>
        <w:ind w:left="720" w:hanging="720"/>
        <w:rPr>
          <w:rFonts w:ascii="Cambria" w:hAnsi="Cambria" w:cs="Cambria"/>
          <w:sz w:val="19"/>
          <w:szCs w:val="19"/>
        </w:rPr>
      </w:pPr>
      <w:r>
        <w:rPr>
          <w:rStyle w:val="FootnoteReference"/>
          <w:rFonts w:ascii="Arial" w:hAnsi="Arial" w:cs="Arial"/>
          <w:sz w:val="19"/>
          <w:szCs w:val="19"/>
        </w:rPr>
        <w:footnoteRef/>
      </w:r>
      <w:r>
        <w:rPr>
          <w:rFonts w:ascii="Arial" w:hAnsi="Arial" w:cs="Arial"/>
          <w:sz w:val="19"/>
          <w:szCs w:val="19"/>
        </w:rPr>
        <w:t xml:space="preserve"> </w:t>
      </w:r>
      <w:r w:rsidRPr="004B3F98">
        <w:rPr>
          <w:rFonts w:ascii="Cambria" w:hAnsi="Cambria" w:cs="Cambria"/>
          <w:sz w:val="19"/>
          <w:szCs w:val="19"/>
        </w:rPr>
        <w:t xml:space="preserve">The Republic of Armenia. </w:t>
      </w:r>
      <w:proofErr w:type="spellStart"/>
      <w:r w:rsidRPr="004B3F98">
        <w:rPr>
          <w:rFonts w:ascii="Cambria" w:hAnsi="Cambria" w:cs="Cambria"/>
          <w:sz w:val="19"/>
          <w:szCs w:val="19"/>
        </w:rPr>
        <w:t>n.d.</w:t>
      </w:r>
      <w:proofErr w:type="spellEnd"/>
      <w:r w:rsidRPr="004B3F98">
        <w:rPr>
          <w:rFonts w:ascii="Cambria" w:hAnsi="Cambria" w:cs="Cambria"/>
          <w:sz w:val="19"/>
          <w:szCs w:val="19"/>
        </w:rPr>
        <w:t xml:space="preserve"> "2019-2021 National Action Plan of the Republic of Armenia." </w:t>
      </w:r>
      <w:r w:rsidRPr="004B3F98">
        <w:rPr>
          <w:rFonts w:ascii="Cambria" w:hAnsi="Cambria" w:cs="Cambria"/>
          <w:i/>
          <w:iCs/>
          <w:sz w:val="19"/>
          <w:szCs w:val="19"/>
        </w:rPr>
        <w:t>www.peacewomen.org.</w:t>
      </w:r>
      <w:r w:rsidRPr="004B3F98">
        <w:rPr>
          <w:rFonts w:ascii="Cambria" w:hAnsi="Cambria" w:cs="Cambria"/>
          <w:sz w:val="19"/>
          <w:szCs w:val="19"/>
        </w:rPr>
        <w:t xml:space="preserve"> Accessed March 14, 2021. https://www.peacewomen.org/sites/default/files/Armenia%20NAP%20(2019-2021).pdf.</w:t>
      </w:r>
    </w:p>
  </w:footnote>
  <w:footnote w:id="11">
    <w:p w:rsidR="00CD11D8" w:rsidRPr="004B3F98" w:rsidRDefault="00277B50">
      <w:pPr>
        <w:pStyle w:val="FootnoteText"/>
        <w:spacing w:before="60" w:after="60" w:line="276" w:lineRule="auto"/>
        <w:rPr>
          <w:rFonts w:ascii="Cambria" w:hAnsi="Cambria" w:cs="Cambria"/>
          <w:sz w:val="19"/>
          <w:szCs w:val="19"/>
          <w:lang w:val="hy-AM"/>
        </w:rPr>
      </w:pPr>
      <w:r w:rsidRPr="004B3F98">
        <w:rPr>
          <w:rStyle w:val="FootnoteReference"/>
          <w:rFonts w:ascii="Cambria" w:hAnsi="Cambria" w:cs="Cambria"/>
          <w:sz w:val="19"/>
          <w:szCs w:val="19"/>
        </w:rPr>
        <w:footnoteRef/>
      </w:r>
      <w:r w:rsidRPr="004B3F98">
        <w:rPr>
          <w:rFonts w:ascii="Cambria" w:hAnsi="Cambria" w:cs="Cambria"/>
          <w:sz w:val="19"/>
          <w:szCs w:val="19"/>
        </w:rPr>
        <w:t xml:space="preserve"> Decree of the Prime Minister of the Republic of Armenia N490-A (April 23, 2020).</w:t>
      </w:r>
    </w:p>
  </w:footnote>
  <w:footnote w:id="12">
    <w:p w:rsidR="00CD11D8" w:rsidRDefault="00277B50">
      <w:pPr>
        <w:pStyle w:val="FootnoteText"/>
        <w:snapToGrid w:val="0"/>
      </w:pPr>
      <w:r>
        <w:rPr>
          <w:rStyle w:val="FootnoteReference"/>
        </w:rPr>
        <w:footnoteRef/>
      </w:r>
      <w:r>
        <w:rPr>
          <w:rFonts w:ascii="Arial" w:hAnsi="Arial" w:cs="Arial"/>
          <w:sz w:val="19"/>
          <w:szCs w:val="19"/>
        </w:rPr>
        <w:t xml:space="preserve">     </w:t>
      </w:r>
      <w:r>
        <w:rPr>
          <w:rFonts w:ascii="Calibri" w:eastAsia="Times New Roman" w:hAnsi="Calibri" w:cs="Calibri"/>
          <w:color w:val="000000"/>
          <w:sz w:val="22"/>
          <w:szCs w:val="22"/>
          <w:lang w:val="en-GB" w:eastAsia="en-GB"/>
        </w:rPr>
        <w:t>Women on the Roadside of the War</w:t>
      </w:r>
      <w:r>
        <w:rPr>
          <w:rFonts w:ascii="Calibri" w:eastAsia="Times New Roman" w:hAnsi="Calibri" w:cs="Calibri"/>
          <w:color w:val="000000"/>
          <w:sz w:val="22"/>
          <w:szCs w:val="22"/>
          <w:lang w:eastAsia="en-GB"/>
        </w:rPr>
        <w:t xml:space="preserve">. </w:t>
      </w:r>
      <w:r>
        <w:rPr>
          <w:rFonts w:ascii="Calibri" w:eastAsia="Times New Roman" w:hAnsi="Calibri" w:cs="Calibri"/>
          <w:color w:val="000000"/>
          <w:sz w:val="22"/>
          <w:szCs w:val="22"/>
          <w:lang w:val="en-GB" w:eastAsia="en-GB"/>
        </w:rPr>
        <w:t>Hein</w:t>
      </w:r>
      <w:r>
        <w:rPr>
          <w:rFonts w:ascii="Calibri" w:hAnsi="Calibri" w:cs="Calibri"/>
          <w:color w:val="000000"/>
          <w:sz w:val="22"/>
          <w:szCs w:val="22"/>
        </w:rPr>
        <w:t xml:space="preserve">rich </w:t>
      </w:r>
      <w:proofErr w:type="spellStart"/>
      <w:r>
        <w:rPr>
          <w:rFonts w:ascii="Calibri" w:hAnsi="Calibri" w:cs="Calibri"/>
          <w:color w:val="000000"/>
          <w:sz w:val="22"/>
          <w:szCs w:val="22"/>
        </w:rPr>
        <w:t>Böll</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Stiftung</w:t>
      </w:r>
      <w:proofErr w:type="spellEnd"/>
      <w:r>
        <w:rPr>
          <w:rFonts w:ascii="Calibri" w:hAnsi="Calibri" w:cs="Calibri"/>
          <w:color w:val="000000"/>
          <w:sz w:val="22"/>
          <w:szCs w:val="22"/>
        </w:rPr>
        <w:t xml:space="preserve"> </w:t>
      </w:r>
      <w:r>
        <w:t xml:space="preserve"> </w:t>
      </w:r>
      <w:hyperlink r:id="rId4" w:history="1">
        <w:r>
          <w:rPr>
            <w:rStyle w:val="Hyperlink"/>
          </w:rPr>
          <w:t>https://ge.boell.org/en/2020/12/25/women-roadside-war</w:t>
        </w:r>
      </w:hyperlink>
      <w:r>
        <w:t xml:space="preserve"> </w:t>
      </w:r>
    </w:p>
  </w:footnote>
  <w:footnote w:id="13">
    <w:p w:rsidR="00CD11D8" w:rsidRDefault="00277B50">
      <w:pPr>
        <w:pStyle w:val="FootnoteText"/>
        <w:snapToGrid w:val="0"/>
      </w:pPr>
      <w:r>
        <w:rPr>
          <w:rStyle w:val="FootnoteReference"/>
        </w:rPr>
        <w:footnoteRef/>
      </w:r>
      <w:r>
        <w:t xml:space="preserve"> </w:t>
      </w:r>
      <w:r w:rsidRPr="00611FD2">
        <w:rPr>
          <w:rFonts w:ascii="Cambria" w:hAnsi="Cambria"/>
        </w:rPr>
        <w:t>Findings of the focus group discussion conducted by “</w:t>
      </w:r>
      <w:proofErr w:type="spellStart"/>
      <w:r w:rsidRPr="00611FD2">
        <w:rPr>
          <w:rFonts w:ascii="Cambria" w:hAnsi="Cambria"/>
        </w:rPr>
        <w:t>Arpi</w:t>
      </w:r>
      <w:proofErr w:type="spellEnd"/>
      <w:r w:rsidRPr="00611FD2">
        <w:rPr>
          <w:rFonts w:ascii="Cambria" w:hAnsi="Cambria"/>
        </w:rPr>
        <w:t>” NGO with the women affected by recent hostilities</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ED1" w:rsidRDefault="00CF5ED1">
    <w:pPr>
      <w:pStyle w:val="Header"/>
      <w:jc w:val="right"/>
    </w:pPr>
  </w:p>
  <w:p w:rsidR="00CF5ED1" w:rsidRDefault="00CF5E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469C"/>
    <w:multiLevelType w:val="multilevel"/>
    <w:tmpl w:val="0292469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C4F67DE"/>
    <w:multiLevelType w:val="multilevel"/>
    <w:tmpl w:val="F9EC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C79AB"/>
    <w:multiLevelType w:val="multilevel"/>
    <w:tmpl w:val="0D7C79A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9B70B3"/>
    <w:multiLevelType w:val="multilevel"/>
    <w:tmpl w:val="831C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055EA"/>
    <w:multiLevelType w:val="multilevel"/>
    <w:tmpl w:val="8758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A6AE7"/>
    <w:multiLevelType w:val="multilevel"/>
    <w:tmpl w:val="2A6A6A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FFB35A5"/>
    <w:multiLevelType w:val="multilevel"/>
    <w:tmpl w:val="6DB4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4623B6"/>
    <w:multiLevelType w:val="multilevel"/>
    <w:tmpl w:val="5634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D8510C"/>
    <w:multiLevelType w:val="multilevel"/>
    <w:tmpl w:val="105A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156728"/>
    <w:multiLevelType w:val="multilevel"/>
    <w:tmpl w:val="4CB0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772CD0"/>
    <w:multiLevelType w:val="multilevel"/>
    <w:tmpl w:val="54772CD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5B8D7CF3"/>
    <w:multiLevelType w:val="multilevel"/>
    <w:tmpl w:val="A93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71425C"/>
    <w:multiLevelType w:val="multilevel"/>
    <w:tmpl w:val="627142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98A7FFE"/>
    <w:multiLevelType w:val="multilevel"/>
    <w:tmpl w:val="2FB4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12"/>
  </w:num>
  <w:num w:numId="5">
    <w:abstractNumId w:val="10"/>
  </w:num>
  <w:num w:numId="6">
    <w:abstractNumId w:val="3"/>
  </w:num>
  <w:num w:numId="7">
    <w:abstractNumId w:val="11"/>
  </w:num>
  <w:num w:numId="8">
    <w:abstractNumId w:val="13"/>
  </w:num>
  <w:num w:numId="9">
    <w:abstractNumId w:val="8"/>
  </w:num>
  <w:num w:numId="10">
    <w:abstractNumId w:val="4"/>
  </w:num>
  <w:num w:numId="11">
    <w:abstractNumId w:val="6"/>
  </w:num>
  <w:num w:numId="12">
    <w:abstractNumId w:val="1"/>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EF1"/>
    <w:rsid w:val="00022747"/>
    <w:rsid w:val="00041C76"/>
    <w:rsid w:val="00067F06"/>
    <w:rsid w:val="000B20BB"/>
    <w:rsid w:val="000D5C07"/>
    <w:rsid w:val="0011242E"/>
    <w:rsid w:val="00175132"/>
    <w:rsid w:val="001867B4"/>
    <w:rsid w:val="001906AD"/>
    <w:rsid w:val="001C303F"/>
    <w:rsid w:val="001F1D4D"/>
    <w:rsid w:val="00210A7C"/>
    <w:rsid w:val="00214321"/>
    <w:rsid w:val="00240000"/>
    <w:rsid w:val="0024006E"/>
    <w:rsid w:val="0025364C"/>
    <w:rsid w:val="0027053F"/>
    <w:rsid w:val="00277B50"/>
    <w:rsid w:val="002816B8"/>
    <w:rsid w:val="002D5470"/>
    <w:rsid w:val="002D75DA"/>
    <w:rsid w:val="003172EE"/>
    <w:rsid w:val="00324F8B"/>
    <w:rsid w:val="003561A9"/>
    <w:rsid w:val="00376CE4"/>
    <w:rsid w:val="003A025F"/>
    <w:rsid w:val="003C4599"/>
    <w:rsid w:val="00411CBA"/>
    <w:rsid w:val="00460C18"/>
    <w:rsid w:val="004616F6"/>
    <w:rsid w:val="00475A95"/>
    <w:rsid w:val="004812D6"/>
    <w:rsid w:val="004951D8"/>
    <w:rsid w:val="004956A5"/>
    <w:rsid w:val="004B3F98"/>
    <w:rsid w:val="004C15D5"/>
    <w:rsid w:val="004C51F6"/>
    <w:rsid w:val="004D548F"/>
    <w:rsid w:val="004E0136"/>
    <w:rsid w:val="00544BF1"/>
    <w:rsid w:val="00574062"/>
    <w:rsid w:val="005D2559"/>
    <w:rsid w:val="005E1918"/>
    <w:rsid w:val="00611FD2"/>
    <w:rsid w:val="00667389"/>
    <w:rsid w:val="006C0EDE"/>
    <w:rsid w:val="006C2B7D"/>
    <w:rsid w:val="006E6C2A"/>
    <w:rsid w:val="00716738"/>
    <w:rsid w:val="00726C65"/>
    <w:rsid w:val="0078095A"/>
    <w:rsid w:val="00791D4C"/>
    <w:rsid w:val="008547C6"/>
    <w:rsid w:val="0086536D"/>
    <w:rsid w:val="0088134F"/>
    <w:rsid w:val="00894675"/>
    <w:rsid w:val="008E1E89"/>
    <w:rsid w:val="009046BA"/>
    <w:rsid w:val="00966F52"/>
    <w:rsid w:val="009E0B8A"/>
    <w:rsid w:val="009F485B"/>
    <w:rsid w:val="00A07862"/>
    <w:rsid w:val="00A608A2"/>
    <w:rsid w:val="00A6545C"/>
    <w:rsid w:val="00A876DA"/>
    <w:rsid w:val="00AA66FB"/>
    <w:rsid w:val="00AF6802"/>
    <w:rsid w:val="00B324D1"/>
    <w:rsid w:val="00C30529"/>
    <w:rsid w:val="00C51073"/>
    <w:rsid w:val="00C517C4"/>
    <w:rsid w:val="00C90CB9"/>
    <w:rsid w:val="00C96D46"/>
    <w:rsid w:val="00CB4A5A"/>
    <w:rsid w:val="00CD11D8"/>
    <w:rsid w:val="00CE7BBF"/>
    <w:rsid w:val="00CF5ED1"/>
    <w:rsid w:val="00D14D46"/>
    <w:rsid w:val="00D60D30"/>
    <w:rsid w:val="00D6231C"/>
    <w:rsid w:val="00DC1EBD"/>
    <w:rsid w:val="00DD400A"/>
    <w:rsid w:val="00DF68C0"/>
    <w:rsid w:val="00E0613E"/>
    <w:rsid w:val="00E65777"/>
    <w:rsid w:val="00E92C32"/>
    <w:rsid w:val="00ED5CF2"/>
    <w:rsid w:val="00EE3BFE"/>
    <w:rsid w:val="00EF3EF1"/>
    <w:rsid w:val="00F25664"/>
    <w:rsid w:val="00FB0A16"/>
    <w:rsid w:val="00FB25A5"/>
    <w:rsid w:val="00FC03CE"/>
    <w:rsid w:val="00FF6877"/>
    <w:rsid w:val="177D3D92"/>
    <w:rsid w:val="44CD0349"/>
    <w:rsid w:val="49635A3D"/>
    <w:rsid w:val="55634507"/>
    <w:rsid w:val="58AA7598"/>
    <w:rsid w:val="5A046B67"/>
    <w:rsid w:val="5C0F609F"/>
    <w:rsid w:val="5E9B60E4"/>
    <w:rsid w:val="63754828"/>
    <w:rsid w:val="695332BB"/>
    <w:rsid w:val="6AD47D89"/>
    <w:rsid w:val="6DED524A"/>
    <w:rsid w:val="6E0A3B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C9F4"/>
  <w15:docId w15:val="{5D73784B-CFBE-4330-A9C7-38505FAC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HAnsi" w:hAnsiTheme="minorHAnsi" w:cstheme="minorBidi"/>
      <w:sz w:val="24"/>
      <w:szCs w:val="24"/>
      <w:lang w:val="en-US" w:eastAsia="en-US"/>
    </w:rPr>
  </w:style>
  <w:style w:type="paragraph" w:styleId="Heading2">
    <w:name w:val="heading 2"/>
    <w:basedOn w:val="Normal"/>
    <w:next w:val="Normal"/>
    <w:link w:val="Heading2Char"/>
    <w:uiPriority w:val="9"/>
    <w:qFormat/>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pPr>
      <w:spacing w:after="160"/>
    </w:pPr>
    <w:rPr>
      <w:sz w:val="20"/>
      <w:szCs w:val="20"/>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FootnoteReference">
    <w:name w:val="footnote reference"/>
    <w:basedOn w:val="apple-converted-space"/>
    <w:uiPriority w:val="99"/>
    <w:semiHidden/>
    <w:unhideWhenUsed/>
    <w:qFormat/>
    <w:rPr>
      <w:vertAlign w:val="superscript"/>
    </w:rPr>
  </w:style>
  <w:style w:type="character" w:customStyle="1" w:styleId="apple-converted-space">
    <w:name w:val="apple-converted-space"/>
    <w:qFormat/>
  </w:style>
  <w:style w:type="paragraph" w:styleId="FootnoteText">
    <w:name w:val="footnote text"/>
    <w:basedOn w:val="Normal"/>
    <w:link w:val="FootnoteTextChar"/>
    <w:uiPriority w:val="99"/>
    <w:unhideWhenUsed/>
    <w:qFormat/>
    <w:rPr>
      <w:sz w:val="20"/>
      <w:szCs w:val="20"/>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lang w:val="en-GB" w:eastAsia="en-GB"/>
    </w:rPr>
  </w:style>
  <w:style w:type="character" w:customStyle="1" w:styleId="FootnoteTextChar">
    <w:name w:val="Footnote Text Char"/>
    <w:basedOn w:val="DefaultParagraphFont"/>
    <w:link w:val="FootnoteText"/>
    <w:uiPriority w:val="99"/>
    <w:qFormat/>
    <w:rPr>
      <w:sz w:val="20"/>
      <w:szCs w:val="20"/>
      <w:lang w:val="en-US"/>
    </w:rPr>
  </w:style>
  <w:style w:type="paragraph" w:styleId="ListParagraph">
    <w:name w:val="List Paragraph"/>
    <w:basedOn w:val="Normal"/>
    <w:uiPriority w:val="34"/>
    <w:qFormat/>
    <w:pPr>
      <w:ind w:left="720"/>
      <w:contextualSpacing/>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paragraph" w:customStyle="1" w:styleId="Bibliography1">
    <w:name w:val="Bibliography1"/>
    <w:basedOn w:val="Normal"/>
    <w:next w:val="Normal"/>
    <w:uiPriority w:val="37"/>
    <w:semiHidden/>
    <w:unhideWhenUsed/>
    <w:qFormat/>
  </w:style>
  <w:style w:type="paragraph" w:customStyle="1" w:styleId="SingleTxtG">
    <w:name w:val="_ Single Txt_G"/>
    <w:basedOn w:val="Normal"/>
    <w:link w:val="SingleTxtGChar"/>
    <w:uiPriority w:val="99"/>
    <w:qFormat/>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uiPriority w:val="99"/>
    <w:qFormat/>
    <w:locked/>
    <w:rPr>
      <w:rFonts w:ascii="Times New Roman" w:hAnsi="Times New Roman" w:cs="Times New Roman"/>
      <w:sz w:val="20"/>
      <w:szCs w:val="20"/>
    </w:rPr>
  </w:style>
  <w:style w:type="character" w:customStyle="1" w:styleId="CommentTextChar">
    <w:name w:val="Comment Text Char"/>
    <w:basedOn w:val="DefaultParagraphFont"/>
    <w:link w:val="CommentText"/>
    <w:uiPriority w:val="99"/>
    <w:qFormat/>
    <w:rPr>
      <w:sz w:val="20"/>
      <w:szCs w:val="20"/>
      <w:lang w:val="en-U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sz w:val="36"/>
      <w:szCs w:val="36"/>
    </w:rPr>
  </w:style>
  <w:style w:type="character" w:customStyle="1" w:styleId="material-icons-extended">
    <w:name w:val="material-icons-extended"/>
    <w:basedOn w:val="DefaultParagraphFont"/>
    <w:qFormat/>
  </w:style>
  <w:style w:type="character" w:customStyle="1" w:styleId="ztplmc">
    <w:name w:val="ztplmc"/>
    <w:basedOn w:val="DefaultParagraphFont"/>
    <w:qFormat/>
  </w:style>
  <w:style w:type="character" w:customStyle="1" w:styleId="q4iawc">
    <w:name w:val="q4iawc"/>
    <w:basedOn w:val="DefaultParagraphFont"/>
    <w:qFormat/>
  </w:style>
  <w:style w:type="paragraph" w:customStyle="1" w:styleId="Default">
    <w:name w:val="Default"/>
    <w:pPr>
      <w:autoSpaceDE w:val="0"/>
      <w:autoSpaceDN w:val="0"/>
      <w:adjustRightInd w:val="0"/>
    </w:pPr>
    <w:rPr>
      <w:rFonts w:ascii="Tahoma" w:hAnsi="Tahoma" w:cs="Tahoma"/>
      <w:color w:val="000000"/>
      <w:sz w:val="24"/>
      <w:szCs w:val="24"/>
    </w:rPr>
  </w:style>
  <w:style w:type="paragraph" w:styleId="Header">
    <w:name w:val="header"/>
    <w:basedOn w:val="Normal"/>
    <w:link w:val="HeaderChar"/>
    <w:uiPriority w:val="99"/>
    <w:unhideWhenUsed/>
    <w:rsid w:val="00CF5ED1"/>
    <w:pPr>
      <w:tabs>
        <w:tab w:val="center" w:pos="4677"/>
        <w:tab w:val="right" w:pos="9355"/>
      </w:tabs>
    </w:pPr>
  </w:style>
  <w:style w:type="character" w:customStyle="1" w:styleId="HeaderChar">
    <w:name w:val="Header Char"/>
    <w:basedOn w:val="DefaultParagraphFont"/>
    <w:link w:val="Header"/>
    <w:uiPriority w:val="99"/>
    <w:rsid w:val="00CF5ED1"/>
    <w:rPr>
      <w:rFonts w:asciiTheme="minorHAnsi" w:eastAsiaTheme="minorHAnsi" w:hAnsiTheme="minorHAnsi" w:cstheme="minorBidi"/>
      <w:sz w:val="24"/>
      <w:szCs w:val="24"/>
      <w:lang w:val="en-US" w:eastAsia="en-US"/>
    </w:rPr>
  </w:style>
  <w:style w:type="paragraph" w:styleId="Footer">
    <w:name w:val="footer"/>
    <w:basedOn w:val="Normal"/>
    <w:link w:val="FooterChar"/>
    <w:uiPriority w:val="99"/>
    <w:unhideWhenUsed/>
    <w:rsid w:val="00CF5ED1"/>
    <w:pPr>
      <w:tabs>
        <w:tab w:val="center" w:pos="4677"/>
        <w:tab w:val="right" w:pos="9355"/>
      </w:tabs>
    </w:pPr>
  </w:style>
  <w:style w:type="character" w:customStyle="1" w:styleId="FooterChar">
    <w:name w:val="Footer Char"/>
    <w:basedOn w:val="DefaultParagraphFont"/>
    <w:link w:val="Footer"/>
    <w:uiPriority w:val="99"/>
    <w:rsid w:val="00CF5ED1"/>
    <w:rPr>
      <w:rFonts w:asciiTheme="minorHAnsi" w:eastAsiaTheme="minorHAnsi" w:hAnsiTheme="minorHAnsi" w:cstheme="minorBidi"/>
      <w:sz w:val="24"/>
      <w:szCs w:val="24"/>
      <w:lang w:val="en-US" w:eastAsia="en-US"/>
    </w:rPr>
  </w:style>
  <w:style w:type="character" w:styleId="Strong">
    <w:name w:val="Strong"/>
    <w:basedOn w:val="DefaultParagraphFont"/>
    <w:uiPriority w:val="22"/>
    <w:qFormat/>
    <w:rsid w:val="002D5470"/>
    <w:rPr>
      <w:b/>
      <w:bCs/>
    </w:rPr>
  </w:style>
  <w:style w:type="character" w:styleId="Emphasis">
    <w:name w:val="Emphasis"/>
    <w:basedOn w:val="DefaultParagraphFont"/>
    <w:uiPriority w:val="20"/>
    <w:qFormat/>
    <w:rsid w:val="002D54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846310">
      <w:bodyDiv w:val="1"/>
      <w:marLeft w:val="0"/>
      <w:marRight w:val="0"/>
      <w:marTop w:val="0"/>
      <w:marBottom w:val="0"/>
      <w:divBdr>
        <w:top w:val="none" w:sz="0" w:space="0" w:color="auto"/>
        <w:left w:val="none" w:sz="0" w:space="0" w:color="auto"/>
        <w:bottom w:val="none" w:sz="0" w:space="0" w:color="auto"/>
        <w:right w:val="none" w:sz="0" w:space="0" w:color="auto"/>
      </w:divBdr>
    </w:div>
    <w:div w:id="689452669">
      <w:bodyDiv w:val="1"/>
      <w:marLeft w:val="0"/>
      <w:marRight w:val="0"/>
      <w:marTop w:val="0"/>
      <w:marBottom w:val="0"/>
      <w:divBdr>
        <w:top w:val="none" w:sz="0" w:space="0" w:color="auto"/>
        <w:left w:val="none" w:sz="0" w:space="0" w:color="auto"/>
        <w:bottom w:val="none" w:sz="0" w:space="0" w:color="auto"/>
        <w:right w:val="none" w:sz="0" w:space="0" w:color="auto"/>
      </w:divBdr>
    </w:div>
    <w:div w:id="693380818">
      <w:bodyDiv w:val="1"/>
      <w:marLeft w:val="0"/>
      <w:marRight w:val="0"/>
      <w:marTop w:val="0"/>
      <w:marBottom w:val="0"/>
      <w:divBdr>
        <w:top w:val="none" w:sz="0" w:space="0" w:color="auto"/>
        <w:left w:val="none" w:sz="0" w:space="0" w:color="auto"/>
        <w:bottom w:val="none" w:sz="0" w:space="0" w:color="auto"/>
        <w:right w:val="none" w:sz="0" w:space="0" w:color="auto"/>
      </w:divBdr>
    </w:div>
    <w:div w:id="801919891">
      <w:bodyDiv w:val="1"/>
      <w:marLeft w:val="0"/>
      <w:marRight w:val="0"/>
      <w:marTop w:val="0"/>
      <w:marBottom w:val="0"/>
      <w:divBdr>
        <w:top w:val="none" w:sz="0" w:space="0" w:color="auto"/>
        <w:left w:val="none" w:sz="0" w:space="0" w:color="auto"/>
        <w:bottom w:val="none" w:sz="0" w:space="0" w:color="auto"/>
        <w:right w:val="none" w:sz="0" w:space="0" w:color="auto"/>
      </w:divBdr>
    </w:div>
    <w:div w:id="862521221">
      <w:bodyDiv w:val="1"/>
      <w:marLeft w:val="0"/>
      <w:marRight w:val="0"/>
      <w:marTop w:val="0"/>
      <w:marBottom w:val="0"/>
      <w:divBdr>
        <w:top w:val="none" w:sz="0" w:space="0" w:color="auto"/>
        <w:left w:val="none" w:sz="0" w:space="0" w:color="auto"/>
        <w:bottom w:val="none" w:sz="0" w:space="0" w:color="auto"/>
        <w:right w:val="none" w:sz="0" w:space="0" w:color="auto"/>
      </w:divBdr>
    </w:div>
    <w:div w:id="928930986">
      <w:bodyDiv w:val="1"/>
      <w:marLeft w:val="0"/>
      <w:marRight w:val="0"/>
      <w:marTop w:val="0"/>
      <w:marBottom w:val="0"/>
      <w:divBdr>
        <w:top w:val="none" w:sz="0" w:space="0" w:color="auto"/>
        <w:left w:val="none" w:sz="0" w:space="0" w:color="auto"/>
        <w:bottom w:val="none" w:sz="0" w:space="0" w:color="auto"/>
        <w:right w:val="none" w:sz="0" w:space="0" w:color="auto"/>
      </w:divBdr>
    </w:div>
    <w:div w:id="934362957">
      <w:bodyDiv w:val="1"/>
      <w:marLeft w:val="0"/>
      <w:marRight w:val="0"/>
      <w:marTop w:val="0"/>
      <w:marBottom w:val="0"/>
      <w:divBdr>
        <w:top w:val="none" w:sz="0" w:space="0" w:color="auto"/>
        <w:left w:val="none" w:sz="0" w:space="0" w:color="auto"/>
        <w:bottom w:val="none" w:sz="0" w:space="0" w:color="auto"/>
        <w:right w:val="none" w:sz="0" w:space="0" w:color="auto"/>
      </w:divBdr>
    </w:div>
    <w:div w:id="1025909532">
      <w:bodyDiv w:val="1"/>
      <w:marLeft w:val="0"/>
      <w:marRight w:val="0"/>
      <w:marTop w:val="0"/>
      <w:marBottom w:val="0"/>
      <w:divBdr>
        <w:top w:val="none" w:sz="0" w:space="0" w:color="auto"/>
        <w:left w:val="none" w:sz="0" w:space="0" w:color="auto"/>
        <w:bottom w:val="none" w:sz="0" w:space="0" w:color="auto"/>
        <w:right w:val="none" w:sz="0" w:space="0" w:color="auto"/>
      </w:divBdr>
    </w:div>
    <w:div w:id="1120226086">
      <w:bodyDiv w:val="1"/>
      <w:marLeft w:val="0"/>
      <w:marRight w:val="0"/>
      <w:marTop w:val="0"/>
      <w:marBottom w:val="0"/>
      <w:divBdr>
        <w:top w:val="none" w:sz="0" w:space="0" w:color="auto"/>
        <w:left w:val="none" w:sz="0" w:space="0" w:color="auto"/>
        <w:bottom w:val="none" w:sz="0" w:space="0" w:color="auto"/>
        <w:right w:val="none" w:sz="0" w:space="0" w:color="auto"/>
      </w:divBdr>
    </w:div>
    <w:div w:id="1137457527">
      <w:bodyDiv w:val="1"/>
      <w:marLeft w:val="0"/>
      <w:marRight w:val="0"/>
      <w:marTop w:val="0"/>
      <w:marBottom w:val="0"/>
      <w:divBdr>
        <w:top w:val="none" w:sz="0" w:space="0" w:color="auto"/>
        <w:left w:val="none" w:sz="0" w:space="0" w:color="auto"/>
        <w:bottom w:val="none" w:sz="0" w:space="0" w:color="auto"/>
        <w:right w:val="none" w:sz="0" w:space="0" w:color="auto"/>
      </w:divBdr>
    </w:div>
    <w:div w:id="1281765650">
      <w:bodyDiv w:val="1"/>
      <w:marLeft w:val="0"/>
      <w:marRight w:val="0"/>
      <w:marTop w:val="0"/>
      <w:marBottom w:val="0"/>
      <w:divBdr>
        <w:top w:val="none" w:sz="0" w:space="0" w:color="auto"/>
        <w:left w:val="none" w:sz="0" w:space="0" w:color="auto"/>
        <w:bottom w:val="none" w:sz="0" w:space="0" w:color="auto"/>
        <w:right w:val="none" w:sz="0" w:space="0" w:color="auto"/>
      </w:divBdr>
    </w:div>
    <w:div w:id="1518084001">
      <w:bodyDiv w:val="1"/>
      <w:marLeft w:val="0"/>
      <w:marRight w:val="0"/>
      <w:marTop w:val="0"/>
      <w:marBottom w:val="0"/>
      <w:divBdr>
        <w:top w:val="none" w:sz="0" w:space="0" w:color="auto"/>
        <w:left w:val="none" w:sz="0" w:space="0" w:color="auto"/>
        <w:bottom w:val="none" w:sz="0" w:space="0" w:color="auto"/>
        <w:right w:val="none" w:sz="0" w:space="0" w:color="auto"/>
      </w:divBdr>
    </w:div>
    <w:div w:id="2037267750">
      <w:bodyDiv w:val="1"/>
      <w:marLeft w:val="0"/>
      <w:marRight w:val="0"/>
      <w:marTop w:val="0"/>
      <w:marBottom w:val="0"/>
      <w:divBdr>
        <w:top w:val="none" w:sz="0" w:space="0" w:color="auto"/>
        <w:left w:val="none" w:sz="0" w:space="0" w:color="auto"/>
        <w:bottom w:val="none" w:sz="0" w:space="0" w:color="auto"/>
        <w:right w:val="none" w:sz="0" w:space="0" w:color="auto"/>
      </w:divBdr>
    </w:div>
    <w:div w:id="2119828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irtek.am/views/act.aspx?aid=110168" TargetMode="External"/><Relationship Id="rId2" Type="http://schemas.openxmlformats.org/officeDocument/2006/relationships/hyperlink" Target="https://www.e-gov.am/gov-decrees/item/35589/" TargetMode="External"/><Relationship Id="rId1" Type="http://schemas.openxmlformats.org/officeDocument/2006/relationships/hyperlink" Target="https://am.usembassy.gov/wp-content/uploads/sites/92/hrr2022.pdf" TargetMode="External"/><Relationship Id="rId4" Type="http://schemas.openxmlformats.org/officeDocument/2006/relationships/hyperlink" Target="https://ge.boell.org/en/2020/12/25/women-roadside-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9DE5B6-FDE5-402F-A827-A04DC08DA141}">
  <ds:schemaRefs>
    <ds:schemaRef ds:uri="http://schemas.openxmlformats.org/officeDocument/2006/bibliography"/>
  </ds:schemaRefs>
</ds:datastoreItem>
</file>

<file path=customXml/itemProps2.xml><?xml version="1.0" encoding="utf-8"?>
<ds:datastoreItem xmlns:ds="http://schemas.openxmlformats.org/officeDocument/2006/customXml" ds:itemID="{F404997D-8CF4-4539-9984-5A886E8521C3}"/>
</file>

<file path=customXml/itemProps3.xml><?xml version="1.0" encoding="utf-8"?>
<ds:datastoreItem xmlns:ds="http://schemas.openxmlformats.org/officeDocument/2006/customXml" ds:itemID="{D7137714-ED79-4783-8846-ABD75B3818DB}"/>
</file>

<file path=customXml/itemProps4.xml><?xml version="1.0" encoding="utf-8"?>
<ds:datastoreItem xmlns:ds="http://schemas.openxmlformats.org/officeDocument/2006/customXml" ds:itemID="{51BEF2CC-DA53-455A-B501-55C880114A17}"/>
</file>

<file path=docProps/app.xml><?xml version="1.0" encoding="utf-8"?>
<Properties xmlns="http://schemas.openxmlformats.org/officeDocument/2006/extended-properties" xmlns:vt="http://schemas.openxmlformats.org/officeDocument/2006/docPropsVTypes">
  <Template>Normal</Template>
  <TotalTime>92</TotalTime>
  <Pages>10</Pages>
  <Words>3775</Words>
  <Characters>21523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Viktoria Avakova</dc:creator>
  <cp:lastModifiedBy>Viktoria Avakova</cp:lastModifiedBy>
  <cp:revision>6</cp:revision>
  <dcterms:created xsi:type="dcterms:W3CDTF">2022-10-04T14:02:00Z</dcterms:created>
  <dcterms:modified xsi:type="dcterms:W3CDTF">2022-10-05T06:12:00Z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3E0EB46BB2404BA6909148D9564035C1</vt:lpwstr>
  </property>
  <property fmtid="{D5CDD505-2E9C-101B-9397-08002B2CF9AE}" pid="4" name="ContentTypeId">
    <vt:lpwstr>0x010100F397614B75B84E4C841CE911BA0CCB9D</vt:lpwstr>
  </property>
</Properties>
</file>