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2A412B" w14:textId="77777777" w:rsidR="00C27DD9" w:rsidRDefault="00C27DD9" w:rsidP="00C27DD9">
      <w:pPr>
        <w:jc w:val="both"/>
        <w:rPr>
          <w:b/>
          <w:sz w:val="30"/>
          <w:szCs w:val="30"/>
        </w:rPr>
      </w:pPr>
    </w:p>
    <w:p w14:paraId="5F12CF48" w14:textId="77777777" w:rsidR="00C27DD9" w:rsidRDefault="00C27DD9" w:rsidP="00C27DD9">
      <w:pPr>
        <w:jc w:val="both"/>
        <w:rPr>
          <w:b/>
          <w:sz w:val="30"/>
          <w:szCs w:val="30"/>
        </w:rPr>
      </w:pPr>
    </w:p>
    <w:p w14:paraId="6FA6F3FD" w14:textId="77777777" w:rsidR="00C27DD9" w:rsidRDefault="00C27DD9" w:rsidP="00C27DD9">
      <w:pPr>
        <w:jc w:val="both"/>
        <w:rPr>
          <w:b/>
          <w:sz w:val="30"/>
          <w:szCs w:val="30"/>
        </w:rPr>
      </w:pPr>
    </w:p>
    <w:p w14:paraId="72EB3442" w14:textId="77777777" w:rsidR="00C27DD9" w:rsidRDefault="00C27DD9" w:rsidP="00C27DD9">
      <w:pPr>
        <w:jc w:val="both"/>
        <w:rPr>
          <w:b/>
          <w:sz w:val="36"/>
          <w:szCs w:val="36"/>
        </w:rPr>
      </w:pPr>
    </w:p>
    <w:p w14:paraId="4440B1DA" w14:textId="0DBDB359" w:rsidR="00C27DD9" w:rsidRDefault="00C27DD9" w:rsidP="00C27DD9">
      <w:pPr>
        <w:jc w:val="center"/>
        <w:rPr>
          <w:sz w:val="30"/>
          <w:szCs w:val="30"/>
        </w:rPr>
      </w:pPr>
      <w:r>
        <w:rPr>
          <w:b/>
          <w:sz w:val="36"/>
          <w:szCs w:val="36"/>
        </w:rPr>
        <w:t>NGO Alternative Report</w:t>
      </w:r>
    </w:p>
    <w:p w14:paraId="00F3C500" w14:textId="77777777" w:rsidR="00C27DD9" w:rsidRDefault="00C27DD9" w:rsidP="00C27DD9">
      <w:pPr>
        <w:jc w:val="center"/>
        <w:rPr>
          <w:sz w:val="30"/>
          <w:szCs w:val="30"/>
        </w:rPr>
      </w:pPr>
      <w:r>
        <w:rPr>
          <w:sz w:val="30"/>
          <w:szCs w:val="30"/>
        </w:rPr>
        <w:t>on the combined second and third periodic reports submitted by the Republic of Korea</w:t>
      </w:r>
    </w:p>
    <w:p w14:paraId="22D94B72" w14:textId="77777777" w:rsidR="00C27DD9" w:rsidRDefault="00C27DD9" w:rsidP="00C27DD9">
      <w:pPr>
        <w:jc w:val="center"/>
        <w:rPr>
          <w:sz w:val="30"/>
          <w:szCs w:val="30"/>
        </w:rPr>
      </w:pPr>
    </w:p>
    <w:p w14:paraId="053021F8" w14:textId="77777777" w:rsidR="00C27DD9" w:rsidRDefault="00C27DD9" w:rsidP="00C27DD9">
      <w:pPr>
        <w:jc w:val="center"/>
        <w:rPr>
          <w:sz w:val="30"/>
          <w:szCs w:val="30"/>
        </w:rPr>
      </w:pPr>
    </w:p>
    <w:p w14:paraId="2293E600" w14:textId="77777777" w:rsidR="00C27DD9" w:rsidRDefault="00C27DD9" w:rsidP="00C27DD9">
      <w:pPr>
        <w:jc w:val="center"/>
        <w:rPr>
          <w:sz w:val="30"/>
          <w:szCs w:val="30"/>
        </w:rPr>
      </w:pPr>
    </w:p>
    <w:p w14:paraId="1EEB40FE" w14:textId="77777777" w:rsidR="00C27DD9" w:rsidRDefault="00C27DD9" w:rsidP="00C27DD9">
      <w:pPr>
        <w:jc w:val="center"/>
        <w:rPr>
          <w:sz w:val="30"/>
          <w:szCs w:val="30"/>
        </w:rPr>
      </w:pPr>
    </w:p>
    <w:p w14:paraId="422907D5" w14:textId="77777777" w:rsidR="00C27DD9" w:rsidRDefault="00C27DD9" w:rsidP="00C27DD9">
      <w:pPr>
        <w:jc w:val="center"/>
        <w:rPr>
          <w:sz w:val="30"/>
          <w:szCs w:val="30"/>
        </w:rPr>
      </w:pPr>
    </w:p>
    <w:p w14:paraId="3B1E5760" w14:textId="77777777" w:rsidR="00C27DD9" w:rsidRDefault="00C27DD9" w:rsidP="00C27DD9">
      <w:pPr>
        <w:jc w:val="center"/>
        <w:rPr>
          <w:sz w:val="30"/>
          <w:szCs w:val="30"/>
        </w:rPr>
      </w:pPr>
    </w:p>
    <w:p w14:paraId="160AC9B5" w14:textId="77777777" w:rsidR="00C27DD9" w:rsidRDefault="00C27DD9" w:rsidP="00C27DD9">
      <w:pPr>
        <w:jc w:val="center"/>
        <w:rPr>
          <w:sz w:val="30"/>
          <w:szCs w:val="30"/>
        </w:rPr>
      </w:pPr>
      <w:r>
        <w:rPr>
          <w:sz w:val="30"/>
          <w:szCs w:val="30"/>
        </w:rPr>
        <w:t>UN Committee on the Rights of Persons with Disabilities</w:t>
      </w:r>
    </w:p>
    <w:p w14:paraId="36E8D156" w14:textId="77777777" w:rsidR="00C27DD9" w:rsidRDefault="00C27DD9" w:rsidP="00C27DD9">
      <w:pPr>
        <w:jc w:val="center"/>
        <w:rPr>
          <w:sz w:val="30"/>
          <w:szCs w:val="30"/>
        </w:rPr>
      </w:pPr>
      <w:r>
        <w:rPr>
          <w:sz w:val="30"/>
          <w:szCs w:val="30"/>
        </w:rPr>
        <w:t>27th session (15 August–9 September 2022)</w:t>
      </w:r>
    </w:p>
    <w:p w14:paraId="1CB3AD02" w14:textId="77777777" w:rsidR="00C27DD9" w:rsidRDefault="00C27DD9" w:rsidP="00C27DD9">
      <w:pPr>
        <w:jc w:val="both"/>
        <w:rPr>
          <w:sz w:val="30"/>
          <w:szCs w:val="30"/>
        </w:rPr>
      </w:pPr>
    </w:p>
    <w:p w14:paraId="3400D442" w14:textId="77777777" w:rsidR="00C27DD9" w:rsidRDefault="00C27DD9" w:rsidP="00C27DD9">
      <w:pPr>
        <w:jc w:val="both"/>
        <w:rPr>
          <w:sz w:val="30"/>
          <w:szCs w:val="30"/>
        </w:rPr>
      </w:pPr>
    </w:p>
    <w:p w14:paraId="1EDBBA1A" w14:textId="77777777" w:rsidR="00C27DD9" w:rsidRDefault="00C27DD9" w:rsidP="00C27DD9">
      <w:pPr>
        <w:jc w:val="both"/>
        <w:rPr>
          <w:sz w:val="30"/>
          <w:szCs w:val="30"/>
        </w:rPr>
      </w:pPr>
    </w:p>
    <w:p w14:paraId="6E7F2DEA" w14:textId="77777777" w:rsidR="00C27DD9" w:rsidRDefault="00C27DD9" w:rsidP="00C27DD9">
      <w:pPr>
        <w:jc w:val="both"/>
        <w:rPr>
          <w:sz w:val="30"/>
          <w:szCs w:val="30"/>
        </w:rPr>
      </w:pPr>
    </w:p>
    <w:p w14:paraId="20116C3C" w14:textId="77777777" w:rsidR="00C27DD9" w:rsidRDefault="00C27DD9" w:rsidP="00C27DD9">
      <w:pPr>
        <w:jc w:val="both"/>
        <w:rPr>
          <w:sz w:val="30"/>
          <w:szCs w:val="30"/>
        </w:rPr>
      </w:pPr>
    </w:p>
    <w:p w14:paraId="577207F2" w14:textId="77777777" w:rsidR="00C27DD9" w:rsidRDefault="00C27DD9" w:rsidP="00C27DD9">
      <w:pPr>
        <w:jc w:val="center"/>
        <w:rPr>
          <w:sz w:val="30"/>
          <w:szCs w:val="30"/>
        </w:rPr>
      </w:pPr>
      <w:r>
        <w:rPr>
          <w:sz w:val="30"/>
          <w:szCs w:val="30"/>
        </w:rPr>
        <w:t>July 2022</w:t>
      </w:r>
    </w:p>
    <w:p w14:paraId="4CA7BA10" w14:textId="77777777" w:rsidR="00C27DD9" w:rsidRDefault="00C27DD9" w:rsidP="00C27DD9">
      <w:pPr>
        <w:jc w:val="center"/>
        <w:rPr>
          <w:sz w:val="30"/>
          <w:szCs w:val="30"/>
        </w:rPr>
      </w:pPr>
    </w:p>
    <w:p w14:paraId="5999C7E9" w14:textId="77777777" w:rsidR="00C27DD9" w:rsidRDefault="00C27DD9" w:rsidP="00C27DD9">
      <w:pPr>
        <w:jc w:val="center"/>
        <w:rPr>
          <w:sz w:val="30"/>
          <w:szCs w:val="30"/>
        </w:rPr>
      </w:pPr>
    </w:p>
    <w:p w14:paraId="7B971626" w14:textId="77777777" w:rsidR="00C27DD9" w:rsidRDefault="00C27DD9" w:rsidP="00C27DD9">
      <w:pPr>
        <w:jc w:val="center"/>
        <w:rPr>
          <w:b/>
          <w:sz w:val="30"/>
          <w:szCs w:val="30"/>
        </w:rPr>
      </w:pPr>
      <w:r>
        <w:rPr>
          <w:b/>
          <w:sz w:val="30"/>
          <w:szCs w:val="30"/>
        </w:rPr>
        <w:t>MINBYUN - Lawyers for a Democratic Society</w:t>
      </w:r>
    </w:p>
    <w:p w14:paraId="6E39AE35" w14:textId="77777777" w:rsidR="00C27DD9" w:rsidRDefault="00C27DD9" w:rsidP="00C27DD9">
      <w:pPr>
        <w:jc w:val="center"/>
        <w:rPr>
          <w:sz w:val="30"/>
          <w:szCs w:val="30"/>
        </w:rPr>
      </w:pPr>
      <w:r>
        <w:rPr>
          <w:noProof/>
        </w:rPr>
        <w:drawing>
          <wp:inline distT="114300" distB="114300" distL="114300" distR="114300" wp14:anchorId="1DB1834C" wp14:editId="3E06BE45">
            <wp:extent cx="3071813" cy="1035844"/>
            <wp:effectExtent l="0" t="0" r="0" b="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8"/>
                    <a:srcRect/>
                    <a:stretch>
                      <a:fillRect/>
                    </a:stretch>
                  </pic:blipFill>
                  <pic:spPr>
                    <a:xfrm>
                      <a:off x="0" y="0"/>
                      <a:ext cx="3071813" cy="1035844"/>
                    </a:xfrm>
                    <a:prstGeom prst="rect">
                      <a:avLst/>
                    </a:prstGeom>
                    <a:ln/>
                  </pic:spPr>
                </pic:pic>
              </a:graphicData>
            </a:graphic>
          </wp:inline>
        </w:drawing>
      </w:r>
    </w:p>
    <w:p w14:paraId="35DD1194" w14:textId="77777777" w:rsidR="00C27DD9" w:rsidRDefault="00C27DD9" w:rsidP="00C27DD9">
      <w:pPr>
        <w:jc w:val="center"/>
      </w:pPr>
    </w:p>
    <w:p w14:paraId="7CF82B03" w14:textId="77777777" w:rsidR="00C27DD9" w:rsidRDefault="00C27DD9" w:rsidP="00C27DD9">
      <w:pPr>
        <w:jc w:val="center"/>
      </w:pPr>
    </w:p>
    <w:p w14:paraId="57970088" w14:textId="77777777" w:rsidR="00C27DD9" w:rsidRDefault="00C27DD9" w:rsidP="00C27DD9">
      <w:pPr>
        <w:jc w:val="center"/>
      </w:pPr>
    </w:p>
    <w:p w14:paraId="56FC57B8" w14:textId="77777777" w:rsidR="00C27DD9" w:rsidRDefault="00C27DD9" w:rsidP="00C27DD9">
      <w:pPr>
        <w:jc w:val="center"/>
      </w:pPr>
    </w:p>
    <w:p w14:paraId="29BE006B" w14:textId="4DF5343B" w:rsidR="00C27DD9" w:rsidRPr="00C27DD9" w:rsidRDefault="00C27DD9" w:rsidP="00C27DD9">
      <w:pPr>
        <w:rPr>
          <w:rFonts w:eastAsiaTheme="minorEastAsia" w:hint="eastAsia"/>
          <w:sz w:val="20"/>
          <w:szCs w:val="20"/>
        </w:rPr>
      </w:pPr>
      <w:r w:rsidRPr="00C27DD9">
        <w:rPr>
          <w:sz w:val="20"/>
          <w:szCs w:val="20"/>
        </w:rPr>
        <w:t>Contact:</w:t>
      </w:r>
    </w:p>
    <w:p w14:paraId="084660B4" w14:textId="1F4A8168" w:rsidR="00C27DD9" w:rsidRPr="00C27DD9" w:rsidRDefault="00C27DD9" w:rsidP="00C27DD9">
      <w:pPr>
        <w:numPr>
          <w:ilvl w:val="0"/>
          <w:numId w:val="2"/>
        </w:numPr>
        <w:rPr>
          <w:sz w:val="20"/>
          <w:szCs w:val="20"/>
        </w:rPr>
      </w:pPr>
      <w:r w:rsidRPr="00C27DD9">
        <w:rPr>
          <w:rFonts w:eastAsiaTheme="minorEastAsia"/>
          <w:sz w:val="20"/>
          <w:szCs w:val="20"/>
        </w:rPr>
        <w:t xml:space="preserve">Address: </w:t>
      </w:r>
      <w:r w:rsidRPr="00C27DD9">
        <w:rPr>
          <w:rFonts w:eastAsiaTheme="minorEastAsia"/>
          <w:sz w:val="20"/>
          <w:szCs w:val="20"/>
        </w:rPr>
        <w:t>2F, Daeduk Bldg., 23, Beobwon-ro 4-gil, Seocho-gu, Seoul, Republic of Korea (06596)</w:t>
      </w:r>
    </w:p>
    <w:p w14:paraId="7922C2CA" w14:textId="2BC30E9F" w:rsidR="00C27DD9" w:rsidRPr="00C27DD9" w:rsidRDefault="00C27DD9" w:rsidP="00C27DD9">
      <w:pPr>
        <w:numPr>
          <w:ilvl w:val="0"/>
          <w:numId w:val="2"/>
        </w:numPr>
        <w:rPr>
          <w:sz w:val="20"/>
          <w:szCs w:val="20"/>
        </w:rPr>
        <w:sectPr w:rsidR="00C27DD9" w:rsidRPr="00C27DD9">
          <w:headerReference w:type="default" r:id="rId9"/>
          <w:footerReference w:type="default" r:id="rId10"/>
          <w:headerReference w:type="first" r:id="rId11"/>
          <w:footerReference w:type="first" r:id="rId12"/>
          <w:pgSz w:w="11909" w:h="16834"/>
          <w:pgMar w:top="1440" w:right="1440" w:bottom="1440" w:left="1440" w:header="720" w:footer="720" w:gutter="0"/>
          <w:pgNumType w:start="1"/>
          <w:cols w:space="720"/>
          <w:titlePg/>
        </w:sectPr>
      </w:pPr>
      <w:r w:rsidRPr="00C27DD9">
        <w:rPr>
          <w:rFonts w:eastAsiaTheme="minorEastAsia"/>
          <w:sz w:val="20"/>
          <w:szCs w:val="20"/>
        </w:rPr>
        <w:t>Email:</w:t>
      </w:r>
      <w:r w:rsidRPr="00C27DD9">
        <w:rPr>
          <w:rFonts w:eastAsiaTheme="minorEastAsia" w:hint="eastAsia"/>
          <w:sz w:val="20"/>
          <w:szCs w:val="20"/>
        </w:rPr>
        <w:t xml:space="preserve"> </w:t>
      </w:r>
      <w:hyperlink r:id="rId13">
        <w:r w:rsidRPr="00C27DD9">
          <w:rPr>
            <w:color w:val="1155CC"/>
            <w:sz w:val="20"/>
            <w:szCs w:val="20"/>
            <w:u w:val="single"/>
          </w:rPr>
          <w:t>international@minbyun.or.kr</w:t>
        </w:r>
      </w:hyperlink>
      <w:r w:rsidR="006C2E12">
        <w:rPr>
          <w:rFonts w:eastAsiaTheme="minorEastAsia"/>
          <w:sz w:val="20"/>
          <w:szCs w:val="20"/>
        </w:rPr>
        <w:t xml:space="preserve">; </w:t>
      </w:r>
      <w:hyperlink r:id="rId14" w:history="1">
        <w:r w:rsidR="006C2E12" w:rsidRPr="00DA28EE">
          <w:rPr>
            <w:rStyle w:val="a3"/>
            <w:rFonts w:eastAsiaTheme="minorEastAsia"/>
            <w:sz w:val="20"/>
            <w:szCs w:val="20"/>
          </w:rPr>
          <w:t>dlyu@minbyun.or.kr</w:t>
        </w:r>
      </w:hyperlink>
      <w:r w:rsidR="006C2E12">
        <w:rPr>
          <w:rFonts w:eastAsiaTheme="minorEastAsia"/>
          <w:sz w:val="20"/>
          <w:szCs w:val="20"/>
        </w:rPr>
        <w:t xml:space="preserve"> </w:t>
      </w:r>
    </w:p>
    <w:p w14:paraId="4597A8E2" w14:textId="77777777" w:rsidR="00C27DD9" w:rsidRDefault="00C27DD9" w:rsidP="00C27DD9">
      <w:pPr>
        <w:sectPr w:rsidR="00C27DD9">
          <w:type w:val="continuous"/>
          <w:pgSz w:w="11909" w:h="16834"/>
          <w:pgMar w:top="1440" w:right="1440" w:bottom="1440" w:left="1440" w:header="720" w:footer="720" w:gutter="0"/>
          <w:cols w:space="720"/>
        </w:sectPr>
      </w:pPr>
    </w:p>
    <w:p w14:paraId="6636B659" w14:textId="77777777" w:rsidR="00C27DD9" w:rsidRDefault="00C27DD9" w:rsidP="00C27DD9">
      <w:pPr>
        <w:jc w:val="both"/>
      </w:pPr>
    </w:p>
    <w:p w14:paraId="5BFE62C6" w14:textId="77777777" w:rsidR="00C27DD9" w:rsidRDefault="00C27DD9" w:rsidP="00C27DD9">
      <w:pPr>
        <w:jc w:val="center"/>
        <w:rPr>
          <w:b/>
          <w:sz w:val="40"/>
          <w:szCs w:val="40"/>
        </w:rPr>
      </w:pPr>
      <w:r>
        <w:rPr>
          <w:b/>
          <w:sz w:val="40"/>
          <w:szCs w:val="40"/>
        </w:rPr>
        <w:t>Table of Content</w:t>
      </w:r>
    </w:p>
    <w:p w14:paraId="49203C17" w14:textId="77777777" w:rsidR="00C27DD9" w:rsidRDefault="00C27DD9" w:rsidP="00C27DD9">
      <w:pPr>
        <w:spacing w:after="200"/>
        <w:jc w:val="both"/>
        <w:rPr>
          <w:b/>
          <w:sz w:val="40"/>
          <w:szCs w:val="40"/>
        </w:rPr>
      </w:pPr>
      <w:r>
        <w:pict w14:anchorId="7CFAC37B">
          <v:rect id="_x0000_i1025" style="width:0;height:1.5pt" o:hralign="center" o:hrstd="t" o:hr="t" fillcolor="#a0a0a0" stroked="f"/>
        </w:pict>
      </w:r>
    </w:p>
    <w:p w14:paraId="74AE295A" w14:textId="77777777" w:rsidR="00C27DD9" w:rsidRDefault="00C27DD9" w:rsidP="00C27DD9">
      <w:pPr>
        <w:jc w:val="both"/>
      </w:pPr>
    </w:p>
    <w:sdt>
      <w:sdtPr>
        <w:id w:val="686644654"/>
        <w:docPartObj>
          <w:docPartGallery w:val="Table of Contents"/>
          <w:docPartUnique/>
        </w:docPartObj>
      </w:sdtPr>
      <w:sdtEndPr>
        <w:rPr>
          <w:b w:val="0"/>
          <w:bCs w:val="0"/>
          <w:noProof w:val="0"/>
        </w:rPr>
      </w:sdtEndPr>
      <w:sdtContent>
        <w:p w14:paraId="48E661B8" w14:textId="2461F11F" w:rsidR="0092167E" w:rsidRDefault="00C27DD9" w:rsidP="00E17B55">
          <w:pPr>
            <w:pStyle w:val="10"/>
          </w:pPr>
          <w:r>
            <w:fldChar w:fldCharType="begin"/>
          </w:r>
          <w:r>
            <w:instrText xml:space="preserve"> TOC \h \u \z </w:instrText>
          </w:r>
          <w:r>
            <w:fldChar w:fldCharType="separate"/>
          </w:r>
          <w:hyperlink w:anchor="_Toc109413382" w:history="1">
            <w:r w:rsidR="0092167E" w:rsidRPr="00C40881">
              <w:rPr>
                <w:rStyle w:val="a3"/>
              </w:rPr>
              <w:t>I. Executive summary</w:t>
            </w:r>
            <w:r w:rsidR="0092167E">
              <w:rPr>
                <w:webHidden/>
              </w:rPr>
              <w:tab/>
            </w:r>
            <w:r w:rsidR="0092167E">
              <w:rPr>
                <w:webHidden/>
              </w:rPr>
              <w:fldChar w:fldCharType="begin"/>
            </w:r>
            <w:r w:rsidR="0092167E">
              <w:rPr>
                <w:webHidden/>
              </w:rPr>
              <w:instrText xml:space="preserve"> PAGEREF _Toc109413382 \h </w:instrText>
            </w:r>
            <w:r w:rsidR="0092167E">
              <w:rPr>
                <w:webHidden/>
              </w:rPr>
            </w:r>
            <w:r w:rsidR="0092167E">
              <w:rPr>
                <w:webHidden/>
              </w:rPr>
              <w:fldChar w:fldCharType="separate"/>
            </w:r>
            <w:r w:rsidR="0092167E">
              <w:rPr>
                <w:webHidden/>
              </w:rPr>
              <w:t>2</w:t>
            </w:r>
            <w:r w:rsidR="0092167E">
              <w:rPr>
                <w:webHidden/>
              </w:rPr>
              <w:fldChar w:fldCharType="end"/>
            </w:r>
          </w:hyperlink>
        </w:p>
        <w:p w14:paraId="493FAA0F" w14:textId="03F23EBF" w:rsidR="0092167E" w:rsidRDefault="0092167E" w:rsidP="00E17B55">
          <w:pPr>
            <w:pStyle w:val="10"/>
          </w:pPr>
          <w:hyperlink w:anchor="_Toc109413383" w:history="1">
            <w:r w:rsidRPr="00C40881">
              <w:rPr>
                <w:rStyle w:val="a3"/>
              </w:rPr>
              <w:t>II. Purpose and general obligations (Arts. 1-4)</w:t>
            </w:r>
            <w:r>
              <w:rPr>
                <w:webHidden/>
              </w:rPr>
              <w:tab/>
            </w:r>
            <w:r>
              <w:rPr>
                <w:webHidden/>
              </w:rPr>
              <w:fldChar w:fldCharType="begin"/>
            </w:r>
            <w:r>
              <w:rPr>
                <w:webHidden/>
              </w:rPr>
              <w:instrText xml:space="preserve"> PAGEREF _Toc109413383 \h </w:instrText>
            </w:r>
            <w:r>
              <w:rPr>
                <w:webHidden/>
              </w:rPr>
            </w:r>
            <w:r>
              <w:rPr>
                <w:webHidden/>
              </w:rPr>
              <w:fldChar w:fldCharType="separate"/>
            </w:r>
            <w:r>
              <w:rPr>
                <w:webHidden/>
              </w:rPr>
              <w:t>3</w:t>
            </w:r>
            <w:r>
              <w:rPr>
                <w:webHidden/>
              </w:rPr>
              <w:fldChar w:fldCharType="end"/>
            </w:r>
          </w:hyperlink>
        </w:p>
        <w:p w14:paraId="2A6BCF9A" w14:textId="4ABEEB15" w:rsidR="0092167E" w:rsidRDefault="0092167E">
          <w:pPr>
            <w:pStyle w:val="20"/>
            <w:tabs>
              <w:tab w:val="right" w:pos="9019"/>
            </w:tabs>
            <w:rPr>
              <w:noProof/>
            </w:rPr>
          </w:pPr>
          <w:hyperlink w:anchor="_Toc109413384" w:history="1">
            <w:r w:rsidRPr="00C40881">
              <w:rPr>
                <w:rStyle w:val="a3"/>
                <w:noProof/>
              </w:rPr>
              <w:t>A. Need for a comprehensive anti-discrimination law (arts. 1-4)</w:t>
            </w:r>
            <w:r>
              <w:rPr>
                <w:noProof/>
                <w:webHidden/>
              </w:rPr>
              <w:tab/>
            </w:r>
            <w:r>
              <w:rPr>
                <w:noProof/>
                <w:webHidden/>
              </w:rPr>
              <w:fldChar w:fldCharType="begin"/>
            </w:r>
            <w:r>
              <w:rPr>
                <w:noProof/>
                <w:webHidden/>
              </w:rPr>
              <w:instrText xml:space="preserve"> PAGEREF _Toc109413384 \h </w:instrText>
            </w:r>
            <w:r>
              <w:rPr>
                <w:noProof/>
                <w:webHidden/>
              </w:rPr>
            </w:r>
            <w:r>
              <w:rPr>
                <w:noProof/>
                <w:webHidden/>
              </w:rPr>
              <w:fldChar w:fldCharType="separate"/>
            </w:r>
            <w:r>
              <w:rPr>
                <w:noProof/>
                <w:webHidden/>
              </w:rPr>
              <w:t>3</w:t>
            </w:r>
            <w:r>
              <w:rPr>
                <w:noProof/>
                <w:webHidden/>
              </w:rPr>
              <w:fldChar w:fldCharType="end"/>
            </w:r>
          </w:hyperlink>
        </w:p>
        <w:p w14:paraId="05080BBC" w14:textId="22AE348D" w:rsidR="0092167E" w:rsidRDefault="0092167E">
          <w:pPr>
            <w:pStyle w:val="20"/>
            <w:tabs>
              <w:tab w:val="right" w:pos="9019"/>
            </w:tabs>
            <w:rPr>
              <w:noProof/>
            </w:rPr>
          </w:pPr>
          <w:hyperlink w:anchor="_Toc109413385" w:history="1">
            <w:r w:rsidRPr="00C40881">
              <w:rPr>
                <w:rStyle w:val="a3"/>
                <w:noProof/>
              </w:rPr>
              <w:t>B. Inclusion of HIV infected persons to disability registration (art. 1; LOIPR paras. 1, 2)</w:t>
            </w:r>
            <w:r>
              <w:rPr>
                <w:noProof/>
                <w:webHidden/>
              </w:rPr>
              <w:tab/>
            </w:r>
            <w:r>
              <w:rPr>
                <w:noProof/>
                <w:webHidden/>
              </w:rPr>
              <w:fldChar w:fldCharType="begin"/>
            </w:r>
            <w:r>
              <w:rPr>
                <w:noProof/>
                <w:webHidden/>
              </w:rPr>
              <w:instrText xml:space="preserve"> PAGEREF _Toc109413385 \h </w:instrText>
            </w:r>
            <w:r>
              <w:rPr>
                <w:noProof/>
                <w:webHidden/>
              </w:rPr>
            </w:r>
            <w:r>
              <w:rPr>
                <w:noProof/>
                <w:webHidden/>
              </w:rPr>
              <w:fldChar w:fldCharType="separate"/>
            </w:r>
            <w:r>
              <w:rPr>
                <w:noProof/>
                <w:webHidden/>
              </w:rPr>
              <w:t>4</w:t>
            </w:r>
            <w:r>
              <w:rPr>
                <w:noProof/>
                <w:webHidden/>
              </w:rPr>
              <w:fldChar w:fldCharType="end"/>
            </w:r>
          </w:hyperlink>
        </w:p>
        <w:p w14:paraId="20B6D509" w14:textId="0BE1FA2F" w:rsidR="0092167E" w:rsidRDefault="0092167E">
          <w:pPr>
            <w:pStyle w:val="20"/>
            <w:tabs>
              <w:tab w:val="right" w:pos="9019"/>
            </w:tabs>
            <w:rPr>
              <w:noProof/>
            </w:rPr>
          </w:pPr>
          <w:hyperlink w:anchor="_Toc109413386" w:history="1">
            <w:r w:rsidRPr="00C40881">
              <w:rPr>
                <w:rStyle w:val="a3"/>
                <w:noProof/>
              </w:rPr>
              <w:t>C. Independence of the National Human Rights Commission (art. 5, LOIPR para. 4-a)</w:t>
            </w:r>
            <w:r>
              <w:rPr>
                <w:noProof/>
                <w:webHidden/>
              </w:rPr>
              <w:tab/>
            </w:r>
            <w:r>
              <w:rPr>
                <w:noProof/>
                <w:webHidden/>
              </w:rPr>
              <w:fldChar w:fldCharType="begin"/>
            </w:r>
            <w:r>
              <w:rPr>
                <w:noProof/>
                <w:webHidden/>
              </w:rPr>
              <w:instrText xml:space="preserve"> PAGEREF _Toc109413386 \h </w:instrText>
            </w:r>
            <w:r>
              <w:rPr>
                <w:noProof/>
                <w:webHidden/>
              </w:rPr>
            </w:r>
            <w:r>
              <w:rPr>
                <w:noProof/>
                <w:webHidden/>
              </w:rPr>
              <w:fldChar w:fldCharType="separate"/>
            </w:r>
            <w:r>
              <w:rPr>
                <w:noProof/>
                <w:webHidden/>
              </w:rPr>
              <w:t>5</w:t>
            </w:r>
            <w:r>
              <w:rPr>
                <w:noProof/>
                <w:webHidden/>
              </w:rPr>
              <w:fldChar w:fldCharType="end"/>
            </w:r>
          </w:hyperlink>
        </w:p>
        <w:p w14:paraId="2117746B" w14:textId="32DD1D37" w:rsidR="0092167E" w:rsidRPr="00E17B55" w:rsidRDefault="0092167E" w:rsidP="00E17B55">
          <w:pPr>
            <w:pStyle w:val="10"/>
          </w:pPr>
          <w:hyperlink w:anchor="_Toc109413387" w:history="1">
            <w:r w:rsidRPr="00E17B55">
              <w:rPr>
                <w:rStyle w:val="a3"/>
                <w:highlight w:val="white"/>
              </w:rPr>
              <w:t>III. Specific rights (arts. 5-30)</w:t>
            </w:r>
            <w:r w:rsidRPr="00E17B55">
              <w:rPr>
                <w:webHidden/>
              </w:rPr>
              <w:tab/>
            </w:r>
            <w:r w:rsidRPr="00E17B55">
              <w:rPr>
                <w:webHidden/>
              </w:rPr>
              <w:fldChar w:fldCharType="begin"/>
            </w:r>
            <w:r w:rsidRPr="00E17B55">
              <w:rPr>
                <w:webHidden/>
              </w:rPr>
              <w:instrText xml:space="preserve"> PAGEREF _Toc109413387 \h </w:instrText>
            </w:r>
            <w:r w:rsidRPr="00E17B55">
              <w:rPr>
                <w:webHidden/>
              </w:rPr>
            </w:r>
            <w:r w:rsidRPr="00E17B55">
              <w:rPr>
                <w:webHidden/>
              </w:rPr>
              <w:fldChar w:fldCharType="separate"/>
            </w:r>
            <w:r w:rsidRPr="00E17B55">
              <w:rPr>
                <w:webHidden/>
              </w:rPr>
              <w:t>6</w:t>
            </w:r>
            <w:r w:rsidRPr="00E17B55">
              <w:rPr>
                <w:webHidden/>
              </w:rPr>
              <w:fldChar w:fldCharType="end"/>
            </w:r>
          </w:hyperlink>
        </w:p>
        <w:p w14:paraId="1BD9DE8D" w14:textId="0102EF84" w:rsidR="0092167E" w:rsidRDefault="0092167E">
          <w:pPr>
            <w:pStyle w:val="20"/>
            <w:tabs>
              <w:tab w:val="right" w:pos="9019"/>
            </w:tabs>
            <w:rPr>
              <w:noProof/>
            </w:rPr>
          </w:pPr>
          <w:hyperlink w:anchor="_Toc109413388" w:history="1">
            <w:r w:rsidRPr="00C40881">
              <w:rPr>
                <w:rStyle w:val="a3"/>
                <w:noProof/>
              </w:rPr>
              <w:t>D. Legal aid for victims of disability discrimination (art. 5, LOIPR paras. 4-b, 4-e)</w:t>
            </w:r>
            <w:r>
              <w:rPr>
                <w:noProof/>
                <w:webHidden/>
              </w:rPr>
              <w:tab/>
            </w:r>
            <w:r>
              <w:rPr>
                <w:noProof/>
                <w:webHidden/>
              </w:rPr>
              <w:fldChar w:fldCharType="begin"/>
            </w:r>
            <w:r>
              <w:rPr>
                <w:noProof/>
                <w:webHidden/>
              </w:rPr>
              <w:instrText xml:space="preserve"> PAGEREF _Toc109413388 \h </w:instrText>
            </w:r>
            <w:r>
              <w:rPr>
                <w:noProof/>
                <w:webHidden/>
              </w:rPr>
            </w:r>
            <w:r>
              <w:rPr>
                <w:noProof/>
                <w:webHidden/>
              </w:rPr>
              <w:fldChar w:fldCharType="separate"/>
            </w:r>
            <w:r>
              <w:rPr>
                <w:noProof/>
                <w:webHidden/>
              </w:rPr>
              <w:t>6</w:t>
            </w:r>
            <w:r>
              <w:rPr>
                <w:noProof/>
                <w:webHidden/>
              </w:rPr>
              <w:fldChar w:fldCharType="end"/>
            </w:r>
          </w:hyperlink>
        </w:p>
        <w:p w14:paraId="103B8B1C" w14:textId="163EA0F7" w:rsidR="0092167E" w:rsidRDefault="0092167E">
          <w:pPr>
            <w:pStyle w:val="20"/>
            <w:tabs>
              <w:tab w:val="right" w:pos="9019"/>
            </w:tabs>
            <w:rPr>
              <w:noProof/>
            </w:rPr>
          </w:pPr>
          <w:hyperlink w:anchor="_Toc109413389" w:history="1">
            <w:r w:rsidRPr="00C40881">
              <w:rPr>
                <w:rStyle w:val="a3"/>
                <w:noProof/>
              </w:rPr>
              <w:t>E. Awareness-raising of the Disability Non-discrimination Act implementation and the necessity of the court’s exercise of its discontinuation order (art. 5, LOIPR para. 4-c)</w:t>
            </w:r>
            <w:r>
              <w:rPr>
                <w:noProof/>
                <w:webHidden/>
              </w:rPr>
              <w:tab/>
            </w:r>
            <w:r>
              <w:rPr>
                <w:noProof/>
                <w:webHidden/>
              </w:rPr>
              <w:fldChar w:fldCharType="begin"/>
            </w:r>
            <w:r>
              <w:rPr>
                <w:noProof/>
                <w:webHidden/>
              </w:rPr>
              <w:instrText xml:space="preserve"> PAGEREF _Toc109413389 \h </w:instrText>
            </w:r>
            <w:r>
              <w:rPr>
                <w:noProof/>
                <w:webHidden/>
              </w:rPr>
            </w:r>
            <w:r>
              <w:rPr>
                <w:noProof/>
                <w:webHidden/>
              </w:rPr>
              <w:fldChar w:fldCharType="separate"/>
            </w:r>
            <w:r>
              <w:rPr>
                <w:noProof/>
                <w:webHidden/>
              </w:rPr>
              <w:t>7</w:t>
            </w:r>
            <w:r>
              <w:rPr>
                <w:noProof/>
                <w:webHidden/>
              </w:rPr>
              <w:fldChar w:fldCharType="end"/>
            </w:r>
          </w:hyperlink>
        </w:p>
        <w:p w14:paraId="57547A60" w14:textId="312285FF" w:rsidR="0092167E" w:rsidRDefault="0092167E">
          <w:pPr>
            <w:pStyle w:val="20"/>
            <w:tabs>
              <w:tab w:val="right" w:pos="9019"/>
            </w:tabs>
            <w:rPr>
              <w:noProof/>
            </w:rPr>
          </w:pPr>
          <w:hyperlink w:anchor="_Toc109413390" w:history="1">
            <w:r w:rsidRPr="00C40881">
              <w:rPr>
                <w:rStyle w:val="a3"/>
                <w:noProof/>
                <w:highlight w:val="white"/>
              </w:rPr>
              <w:t>F. Accessibility of public facilities, etc. (Art. 9, LOIPR para. 9-b)</w:t>
            </w:r>
            <w:r>
              <w:rPr>
                <w:noProof/>
                <w:webHidden/>
              </w:rPr>
              <w:tab/>
            </w:r>
            <w:r>
              <w:rPr>
                <w:noProof/>
                <w:webHidden/>
              </w:rPr>
              <w:fldChar w:fldCharType="begin"/>
            </w:r>
            <w:r>
              <w:rPr>
                <w:noProof/>
                <w:webHidden/>
              </w:rPr>
              <w:instrText xml:space="preserve"> PAGEREF _Toc109413390 \h </w:instrText>
            </w:r>
            <w:r>
              <w:rPr>
                <w:noProof/>
                <w:webHidden/>
              </w:rPr>
            </w:r>
            <w:r>
              <w:rPr>
                <w:noProof/>
                <w:webHidden/>
              </w:rPr>
              <w:fldChar w:fldCharType="separate"/>
            </w:r>
            <w:r>
              <w:rPr>
                <w:noProof/>
                <w:webHidden/>
              </w:rPr>
              <w:t>8</w:t>
            </w:r>
            <w:r>
              <w:rPr>
                <w:noProof/>
                <w:webHidden/>
              </w:rPr>
              <w:fldChar w:fldCharType="end"/>
            </w:r>
          </w:hyperlink>
        </w:p>
        <w:p w14:paraId="5EE7A078" w14:textId="42420D00" w:rsidR="0092167E" w:rsidRDefault="0092167E">
          <w:pPr>
            <w:pStyle w:val="20"/>
            <w:tabs>
              <w:tab w:val="right" w:pos="9019"/>
            </w:tabs>
            <w:rPr>
              <w:noProof/>
            </w:rPr>
          </w:pPr>
          <w:hyperlink w:anchor="_Toc109413391" w:history="1">
            <w:r w:rsidRPr="00C40881">
              <w:rPr>
                <w:rStyle w:val="a3"/>
                <w:noProof/>
              </w:rPr>
              <w:t>G. Climate crisis and disability (art. 11, LOIPR para. 11)</w:t>
            </w:r>
            <w:r>
              <w:rPr>
                <w:noProof/>
                <w:webHidden/>
              </w:rPr>
              <w:tab/>
            </w:r>
            <w:r>
              <w:rPr>
                <w:noProof/>
                <w:webHidden/>
              </w:rPr>
              <w:fldChar w:fldCharType="begin"/>
            </w:r>
            <w:r>
              <w:rPr>
                <w:noProof/>
                <w:webHidden/>
              </w:rPr>
              <w:instrText xml:space="preserve"> PAGEREF _Toc109413391 \h </w:instrText>
            </w:r>
            <w:r>
              <w:rPr>
                <w:noProof/>
                <w:webHidden/>
              </w:rPr>
            </w:r>
            <w:r>
              <w:rPr>
                <w:noProof/>
                <w:webHidden/>
              </w:rPr>
              <w:fldChar w:fldCharType="separate"/>
            </w:r>
            <w:r>
              <w:rPr>
                <w:noProof/>
                <w:webHidden/>
              </w:rPr>
              <w:t>9</w:t>
            </w:r>
            <w:r>
              <w:rPr>
                <w:noProof/>
                <w:webHidden/>
              </w:rPr>
              <w:fldChar w:fldCharType="end"/>
            </w:r>
          </w:hyperlink>
        </w:p>
        <w:p w14:paraId="77041580" w14:textId="32999406" w:rsidR="0092167E" w:rsidRDefault="0092167E">
          <w:pPr>
            <w:pStyle w:val="20"/>
            <w:tabs>
              <w:tab w:val="right" w:pos="9019"/>
            </w:tabs>
            <w:rPr>
              <w:noProof/>
            </w:rPr>
          </w:pPr>
          <w:hyperlink w:anchor="_Toc109413392" w:history="1">
            <w:r w:rsidRPr="00C40881">
              <w:rPr>
                <w:rStyle w:val="a3"/>
                <w:noProof/>
              </w:rPr>
              <w:t>H. Legal Capacity of persons with psychosocial disabilities (art. 12, LOIPR paras. 12-a, 14-b)</w:t>
            </w:r>
            <w:r>
              <w:rPr>
                <w:noProof/>
                <w:webHidden/>
              </w:rPr>
              <w:tab/>
            </w:r>
            <w:r>
              <w:rPr>
                <w:noProof/>
                <w:webHidden/>
              </w:rPr>
              <w:fldChar w:fldCharType="begin"/>
            </w:r>
            <w:r>
              <w:rPr>
                <w:noProof/>
                <w:webHidden/>
              </w:rPr>
              <w:instrText xml:space="preserve"> PAGEREF _Toc109413392 \h </w:instrText>
            </w:r>
            <w:r>
              <w:rPr>
                <w:noProof/>
                <w:webHidden/>
              </w:rPr>
            </w:r>
            <w:r>
              <w:rPr>
                <w:noProof/>
                <w:webHidden/>
              </w:rPr>
              <w:fldChar w:fldCharType="separate"/>
            </w:r>
            <w:r>
              <w:rPr>
                <w:noProof/>
                <w:webHidden/>
              </w:rPr>
              <w:t>11</w:t>
            </w:r>
            <w:r>
              <w:rPr>
                <w:noProof/>
                <w:webHidden/>
              </w:rPr>
              <w:fldChar w:fldCharType="end"/>
            </w:r>
          </w:hyperlink>
        </w:p>
        <w:p w14:paraId="72B9BDA4" w14:textId="4BC6BDBC" w:rsidR="0092167E" w:rsidRDefault="0092167E">
          <w:pPr>
            <w:pStyle w:val="20"/>
            <w:tabs>
              <w:tab w:val="right" w:pos="9019"/>
            </w:tabs>
            <w:rPr>
              <w:noProof/>
            </w:rPr>
          </w:pPr>
          <w:hyperlink w:anchor="_Toc109413393" w:history="1">
            <w:r w:rsidRPr="00C40881">
              <w:rPr>
                <w:rStyle w:val="a3"/>
                <w:noProof/>
              </w:rPr>
              <w:t>I. Effective implementation of article 26 of the Disability Non-discrimination Act (Prohibition of discrimination in providing judicial and administrative procedures and services)(Art. 13, LOIPR para. 13-a)</w:t>
            </w:r>
            <w:r>
              <w:rPr>
                <w:noProof/>
                <w:webHidden/>
              </w:rPr>
              <w:tab/>
            </w:r>
            <w:r>
              <w:rPr>
                <w:noProof/>
                <w:webHidden/>
              </w:rPr>
              <w:fldChar w:fldCharType="begin"/>
            </w:r>
            <w:r>
              <w:rPr>
                <w:noProof/>
                <w:webHidden/>
              </w:rPr>
              <w:instrText xml:space="preserve"> PAGEREF _Toc109413393 \h </w:instrText>
            </w:r>
            <w:r>
              <w:rPr>
                <w:noProof/>
                <w:webHidden/>
              </w:rPr>
            </w:r>
            <w:r>
              <w:rPr>
                <w:noProof/>
                <w:webHidden/>
              </w:rPr>
              <w:fldChar w:fldCharType="separate"/>
            </w:r>
            <w:r>
              <w:rPr>
                <w:noProof/>
                <w:webHidden/>
              </w:rPr>
              <w:t>14</w:t>
            </w:r>
            <w:r>
              <w:rPr>
                <w:noProof/>
                <w:webHidden/>
              </w:rPr>
              <w:fldChar w:fldCharType="end"/>
            </w:r>
          </w:hyperlink>
        </w:p>
        <w:p w14:paraId="5AAD3D61" w14:textId="441EFE8C" w:rsidR="0092167E" w:rsidRDefault="0092167E">
          <w:pPr>
            <w:pStyle w:val="20"/>
            <w:tabs>
              <w:tab w:val="right" w:pos="9019"/>
            </w:tabs>
            <w:rPr>
              <w:noProof/>
            </w:rPr>
          </w:pPr>
          <w:hyperlink w:anchor="_Toc109413394" w:history="1">
            <w:r w:rsidRPr="00C40881">
              <w:rPr>
                <w:rStyle w:val="a3"/>
                <w:noProof/>
              </w:rPr>
              <w:t>J. Lack of measures to ensure persons with disabilities to work as judges, prosecutors and lawyers (Art. 13, LOIPR para. 13-e)</w:t>
            </w:r>
            <w:r>
              <w:rPr>
                <w:noProof/>
                <w:webHidden/>
              </w:rPr>
              <w:tab/>
            </w:r>
            <w:r>
              <w:rPr>
                <w:noProof/>
                <w:webHidden/>
              </w:rPr>
              <w:fldChar w:fldCharType="begin"/>
            </w:r>
            <w:r>
              <w:rPr>
                <w:noProof/>
                <w:webHidden/>
              </w:rPr>
              <w:instrText xml:space="preserve"> PAGEREF _Toc109413394 \h </w:instrText>
            </w:r>
            <w:r>
              <w:rPr>
                <w:noProof/>
                <w:webHidden/>
              </w:rPr>
            </w:r>
            <w:r>
              <w:rPr>
                <w:noProof/>
                <w:webHidden/>
              </w:rPr>
              <w:fldChar w:fldCharType="separate"/>
            </w:r>
            <w:r>
              <w:rPr>
                <w:noProof/>
                <w:webHidden/>
              </w:rPr>
              <w:t>15</w:t>
            </w:r>
            <w:r>
              <w:rPr>
                <w:noProof/>
                <w:webHidden/>
              </w:rPr>
              <w:fldChar w:fldCharType="end"/>
            </w:r>
          </w:hyperlink>
        </w:p>
        <w:p w14:paraId="4318955E" w14:textId="68E3FBA3" w:rsidR="0092167E" w:rsidRDefault="0092167E">
          <w:pPr>
            <w:pStyle w:val="20"/>
            <w:tabs>
              <w:tab w:val="right" w:pos="9019"/>
            </w:tabs>
            <w:rPr>
              <w:noProof/>
            </w:rPr>
          </w:pPr>
          <w:hyperlink w:anchor="_Toc109413395" w:history="1">
            <w:r w:rsidRPr="00C40881">
              <w:rPr>
                <w:rStyle w:val="a3"/>
                <w:noProof/>
              </w:rPr>
              <w:t>K. Access to public information in accessible and Easy Read formats (Art. 21, LOIPR para. 22(c))</w:t>
            </w:r>
            <w:r>
              <w:rPr>
                <w:noProof/>
                <w:webHidden/>
              </w:rPr>
              <w:tab/>
            </w:r>
            <w:r>
              <w:rPr>
                <w:noProof/>
                <w:webHidden/>
              </w:rPr>
              <w:fldChar w:fldCharType="begin"/>
            </w:r>
            <w:r>
              <w:rPr>
                <w:noProof/>
                <w:webHidden/>
              </w:rPr>
              <w:instrText xml:space="preserve"> PAGEREF _Toc109413395 \h </w:instrText>
            </w:r>
            <w:r>
              <w:rPr>
                <w:noProof/>
                <w:webHidden/>
              </w:rPr>
            </w:r>
            <w:r>
              <w:rPr>
                <w:noProof/>
                <w:webHidden/>
              </w:rPr>
              <w:fldChar w:fldCharType="separate"/>
            </w:r>
            <w:r>
              <w:rPr>
                <w:noProof/>
                <w:webHidden/>
              </w:rPr>
              <w:t>16</w:t>
            </w:r>
            <w:r>
              <w:rPr>
                <w:noProof/>
                <w:webHidden/>
              </w:rPr>
              <w:fldChar w:fldCharType="end"/>
            </w:r>
          </w:hyperlink>
        </w:p>
        <w:p w14:paraId="21271CE7" w14:textId="66CB47A3" w:rsidR="0092167E" w:rsidRDefault="0092167E">
          <w:pPr>
            <w:pStyle w:val="20"/>
            <w:tabs>
              <w:tab w:val="right" w:pos="9019"/>
            </w:tabs>
            <w:rPr>
              <w:noProof/>
            </w:rPr>
          </w:pPr>
          <w:hyperlink w:anchor="_Toc109413396" w:history="1">
            <w:r w:rsidRPr="00C40881">
              <w:rPr>
                <w:rStyle w:val="a3"/>
                <w:noProof/>
              </w:rPr>
              <w:t>L. Effective improvement of current inclusive education policy (Art. 24, LOIPR paras. 25-a, b)</w:t>
            </w:r>
            <w:r>
              <w:rPr>
                <w:noProof/>
                <w:webHidden/>
              </w:rPr>
              <w:tab/>
            </w:r>
            <w:r>
              <w:rPr>
                <w:noProof/>
                <w:webHidden/>
              </w:rPr>
              <w:fldChar w:fldCharType="begin"/>
            </w:r>
            <w:r>
              <w:rPr>
                <w:noProof/>
                <w:webHidden/>
              </w:rPr>
              <w:instrText xml:space="preserve"> PAGEREF _Toc109413396 \h </w:instrText>
            </w:r>
            <w:r>
              <w:rPr>
                <w:noProof/>
                <w:webHidden/>
              </w:rPr>
            </w:r>
            <w:r>
              <w:rPr>
                <w:noProof/>
                <w:webHidden/>
              </w:rPr>
              <w:fldChar w:fldCharType="separate"/>
            </w:r>
            <w:r>
              <w:rPr>
                <w:noProof/>
                <w:webHidden/>
              </w:rPr>
              <w:t>18</w:t>
            </w:r>
            <w:r>
              <w:rPr>
                <w:noProof/>
                <w:webHidden/>
              </w:rPr>
              <w:fldChar w:fldCharType="end"/>
            </w:r>
          </w:hyperlink>
        </w:p>
        <w:p w14:paraId="748C9704" w14:textId="6ADBBC76" w:rsidR="0092167E" w:rsidRDefault="0092167E">
          <w:pPr>
            <w:pStyle w:val="20"/>
            <w:tabs>
              <w:tab w:val="right" w:pos="9019"/>
            </w:tabs>
            <w:rPr>
              <w:noProof/>
            </w:rPr>
          </w:pPr>
          <w:hyperlink w:anchor="_Toc109413397" w:history="1">
            <w:r w:rsidRPr="00C40881">
              <w:rPr>
                <w:rStyle w:val="a3"/>
                <w:noProof/>
              </w:rPr>
              <w:t>M. Participation in Political and Public Life (Art. 29, LOIPR para. 30)</w:t>
            </w:r>
            <w:r>
              <w:rPr>
                <w:noProof/>
                <w:webHidden/>
              </w:rPr>
              <w:tab/>
            </w:r>
            <w:r>
              <w:rPr>
                <w:noProof/>
                <w:webHidden/>
              </w:rPr>
              <w:fldChar w:fldCharType="begin"/>
            </w:r>
            <w:r>
              <w:rPr>
                <w:noProof/>
                <w:webHidden/>
              </w:rPr>
              <w:instrText xml:space="preserve"> PAGEREF _Toc109413397 \h </w:instrText>
            </w:r>
            <w:r>
              <w:rPr>
                <w:noProof/>
                <w:webHidden/>
              </w:rPr>
            </w:r>
            <w:r>
              <w:rPr>
                <w:noProof/>
                <w:webHidden/>
              </w:rPr>
              <w:fldChar w:fldCharType="separate"/>
            </w:r>
            <w:r>
              <w:rPr>
                <w:noProof/>
                <w:webHidden/>
              </w:rPr>
              <w:t>19</w:t>
            </w:r>
            <w:r>
              <w:rPr>
                <w:noProof/>
                <w:webHidden/>
              </w:rPr>
              <w:fldChar w:fldCharType="end"/>
            </w:r>
          </w:hyperlink>
        </w:p>
        <w:p w14:paraId="508A7122" w14:textId="6B6522C4" w:rsidR="0092167E" w:rsidRDefault="0092167E">
          <w:pPr>
            <w:pStyle w:val="20"/>
            <w:tabs>
              <w:tab w:val="right" w:pos="9019"/>
            </w:tabs>
            <w:rPr>
              <w:noProof/>
            </w:rPr>
          </w:pPr>
          <w:hyperlink w:anchor="_Toc109413398" w:history="1">
            <w:r w:rsidRPr="00C40881">
              <w:rPr>
                <w:rStyle w:val="a3"/>
                <w:rFonts w:ascii="Arial Unicode MS" w:eastAsia="Arial Unicode MS" w:hAnsi="Arial Unicode MS" w:cs="Arial Unicode MS"/>
                <w:noProof/>
              </w:rPr>
              <w:t>N. Rights of persons of disabilities deprived of liberty</w:t>
            </w:r>
            <w:r w:rsidRPr="00C40881">
              <w:rPr>
                <w:rStyle w:val="a3"/>
                <w:rFonts w:ascii="Arial Unicode MS" w:hAnsi="Arial Unicode MS" w:cs="Arial Unicode MS"/>
                <w:noProof/>
              </w:rPr>
              <w:t xml:space="preserve"> </w:t>
            </w:r>
            <w:r w:rsidRPr="00C40881">
              <w:rPr>
                <w:rStyle w:val="a3"/>
                <w:rFonts w:ascii="Arial Unicode MS" w:eastAsia="Arial Unicode MS" w:hAnsi="Arial Unicode MS" w:cs="Arial Unicode MS"/>
                <w:noProof/>
              </w:rPr>
              <w:t>(</w:t>
            </w:r>
            <w:r w:rsidRPr="00C40881">
              <w:rPr>
                <w:rStyle w:val="a3"/>
                <w:rFonts w:ascii="Arial Unicode MS" w:hAnsi="Arial Unicode MS" w:cs="Arial Unicode MS"/>
                <w:noProof/>
              </w:rPr>
              <w:t xml:space="preserve">arts. </w:t>
            </w:r>
            <w:r w:rsidRPr="00C40881">
              <w:rPr>
                <w:rStyle w:val="a3"/>
                <w:rFonts w:ascii="Arial Unicode MS" w:eastAsia="Arial Unicode MS" w:hAnsi="Arial Unicode MS" w:cs="Arial Unicode MS"/>
                <w:noProof/>
              </w:rPr>
              <w:t>14</w:t>
            </w:r>
            <w:r w:rsidRPr="00C40881">
              <w:rPr>
                <w:rStyle w:val="a3"/>
                <w:rFonts w:ascii="Arial Unicode MS" w:hAnsi="Arial Unicode MS" w:cs="Arial Unicode MS"/>
                <w:noProof/>
              </w:rPr>
              <w:t>-15</w:t>
            </w:r>
            <w:r w:rsidRPr="00C40881">
              <w:rPr>
                <w:rStyle w:val="a3"/>
                <w:rFonts w:ascii="Arial Unicode MS" w:eastAsia="Arial Unicode MS" w:hAnsi="Arial Unicode MS" w:cs="Arial Unicode MS"/>
                <w:noProof/>
              </w:rPr>
              <w:t xml:space="preserve">, </w:t>
            </w:r>
            <w:r w:rsidR="005B0659">
              <w:rPr>
                <w:rStyle w:val="a3"/>
                <w:rFonts w:ascii="Arial Unicode MS" w:eastAsiaTheme="minorEastAsia" w:hAnsi="Arial Unicode MS" w:cs="Arial Unicode MS"/>
                <w:noProof/>
              </w:rPr>
              <w:t xml:space="preserve">LOIPR </w:t>
            </w:r>
            <w:r w:rsidRPr="00C40881">
              <w:rPr>
                <w:rStyle w:val="a3"/>
                <w:rFonts w:ascii="Arial Unicode MS" w:eastAsia="Arial Unicode MS" w:hAnsi="Arial Unicode MS" w:cs="Arial Unicode MS"/>
                <w:noProof/>
              </w:rPr>
              <w:t>para</w:t>
            </w:r>
            <w:r w:rsidRPr="00C40881">
              <w:rPr>
                <w:rStyle w:val="a3"/>
                <w:rFonts w:ascii="Arial Unicode MS" w:hAnsi="Arial Unicode MS" w:cs="Arial Unicode MS"/>
                <w:noProof/>
              </w:rPr>
              <w:t>s</w:t>
            </w:r>
            <w:r w:rsidRPr="00C40881">
              <w:rPr>
                <w:rStyle w:val="a3"/>
                <w:rFonts w:ascii="Arial Unicode MS" w:eastAsia="Arial Unicode MS" w:hAnsi="Arial Unicode MS" w:cs="Arial Unicode MS"/>
                <w:noProof/>
              </w:rPr>
              <w:t>. 14-a, c, d</w:t>
            </w:r>
            <w:r w:rsidRPr="00C40881">
              <w:rPr>
                <w:rStyle w:val="a3"/>
                <w:rFonts w:ascii="Arial Unicode MS" w:hAnsi="Arial Unicode MS" w:cs="Arial Unicode MS"/>
                <w:noProof/>
              </w:rPr>
              <w:t xml:space="preserve">; </w:t>
            </w:r>
            <w:r w:rsidRPr="00C40881">
              <w:rPr>
                <w:rStyle w:val="a3"/>
                <w:rFonts w:ascii="Arial Unicode MS" w:eastAsia="Arial Unicode MS" w:hAnsi="Arial Unicode MS" w:cs="Arial Unicode MS"/>
                <w:noProof/>
              </w:rPr>
              <w:t>15-a, b)</w:t>
            </w:r>
            <w:r>
              <w:rPr>
                <w:noProof/>
                <w:webHidden/>
              </w:rPr>
              <w:tab/>
            </w:r>
            <w:r>
              <w:rPr>
                <w:noProof/>
                <w:webHidden/>
              </w:rPr>
              <w:fldChar w:fldCharType="begin"/>
            </w:r>
            <w:r>
              <w:rPr>
                <w:noProof/>
                <w:webHidden/>
              </w:rPr>
              <w:instrText xml:space="preserve"> PAGEREF _Toc109413398 \h </w:instrText>
            </w:r>
            <w:r>
              <w:rPr>
                <w:noProof/>
                <w:webHidden/>
              </w:rPr>
            </w:r>
            <w:r>
              <w:rPr>
                <w:noProof/>
                <w:webHidden/>
              </w:rPr>
              <w:fldChar w:fldCharType="separate"/>
            </w:r>
            <w:r>
              <w:rPr>
                <w:noProof/>
                <w:webHidden/>
              </w:rPr>
              <w:t>20</w:t>
            </w:r>
            <w:r>
              <w:rPr>
                <w:noProof/>
                <w:webHidden/>
              </w:rPr>
              <w:fldChar w:fldCharType="end"/>
            </w:r>
          </w:hyperlink>
        </w:p>
        <w:p w14:paraId="1E566588" w14:textId="6A2308C7" w:rsidR="00C27DD9" w:rsidRDefault="00C27DD9" w:rsidP="00C27DD9">
          <w:pPr>
            <w:tabs>
              <w:tab w:val="right" w:pos="9025"/>
            </w:tabs>
            <w:spacing w:before="60" w:after="80"/>
            <w:ind w:left="360"/>
            <w:jc w:val="both"/>
            <w:rPr>
              <w:color w:val="000000"/>
            </w:rPr>
          </w:pPr>
          <w:r>
            <w:fldChar w:fldCharType="end"/>
          </w:r>
        </w:p>
      </w:sdtContent>
    </w:sdt>
    <w:p w14:paraId="7381D76A" w14:textId="77777777" w:rsidR="00C27DD9" w:rsidRDefault="00C27DD9" w:rsidP="00C27DD9">
      <w:pPr>
        <w:pStyle w:val="1"/>
        <w:jc w:val="both"/>
      </w:pPr>
      <w:bookmarkStart w:id="0" w:name="_aue5y62e8w3w" w:colFirst="0" w:colLast="0"/>
      <w:bookmarkEnd w:id="0"/>
      <w:r>
        <w:br w:type="page"/>
      </w:r>
    </w:p>
    <w:p w14:paraId="5731E283" w14:textId="77777777" w:rsidR="00C27DD9" w:rsidRDefault="00C27DD9" w:rsidP="00C27DD9">
      <w:pPr>
        <w:pStyle w:val="1"/>
        <w:jc w:val="both"/>
      </w:pPr>
      <w:bookmarkStart w:id="1" w:name="_Toc109413382"/>
      <w:r>
        <w:lastRenderedPageBreak/>
        <w:t>I. Executive summary</w:t>
      </w:r>
      <w:bookmarkEnd w:id="1"/>
    </w:p>
    <w:p w14:paraId="2FCB8FBC" w14:textId="77777777" w:rsidR="00C27DD9" w:rsidRDefault="00C27DD9" w:rsidP="00C27DD9">
      <w:pPr>
        <w:jc w:val="both"/>
      </w:pPr>
      <w:r>
        <w:t xml:space="preserve">MINBYUN - Lawyers for a Democratic Society (hereinafter referred to as “MINBYUN”) was established in 1988 to defend fundamental human rights and contribute to the development of democracy. MINBYUN is an NGO with UN ECOSOC special consultative status since 2001, composed of more than 1,100 lawyers and legal experts. MINBYUN submits this alternative report to the UN Committee on the Rights of Persons with Disabilities for its review of the combined second and third periodic reports of the Republic of Korea at the 27th session of the CRPD Committee. Centering on the issues raised by the CRPD Committee’s List of Issues Prior to Reporting, this report focuses on the legal aspects of issues including legal capacity of persons with disabilities, the necessity of enacting and/or amending various laws, and legal aid practice. Also, the report addresses issues that were not particularly considered in the disability rights organizations’ reports such as, among others, disability registration of HIV infected persons, climate crisis, right to participate in political and public life, and environment of detention facilities. </w:t>
      </w:r>
    </w:p>
    <w:p w14:paraId="2F55F876" w14:textId="77777777" w:rsidR="00C27DD9" w:rsidRDefault="00C27DD9" w:rsidP="00C27DD9">
      <w:pPr>
        <w:jc w:val="both"/>
      </w:pPr>
      <w:r>
        <w:br w:type="page"/>
      </w:r>
    </w:p>
    <w:p w14:paraId="1029A68E" w14:textId="77777777" w:rsidR="00C27DD9" w:rsidRDefault="00C27DD9" w:rsidP="00C27DD9">
      <w:pPr>
        <w:pStyle w:val="1"/>
        <w:jc w:val="both"/>
      </w:pPr>
      <w:bookmarkStart w:id="2" w:name="_Toc109413383"/>
      <w:r>
        <w:lastRenderedPageBreak/>
        <w:t>II. Purpose and general obligations (Arts. 1-4)</w:t>
      </w:r>
      <w:bookmarkEnd w:id="2"/>
    </w:p>
    <w:p w14:paraId="28E74757" w14:textId="77777777" w:rsidR="00C27DD9" w:rsidRDefault="00C27DD9" w:rsidP="00C27DD9">
      <w:pPr>
        <w:pStyle w:val="2"/>
        <w:jc w:val="both"/>
        <w:rPr>
          <w:rFonts w:ascii="Arial" w:eastAsia="Arial" w:hAnsi="Arial" w:cs="Arial"/>
        </w:rPr>
      </w:pPr>
      <w:bookmarkStart w:id="3" w:name="_Toc109413384"/>
      <w:r>
        <w:rPr>
          <w:rFonts w:ascii="Arial" w:eastAsia="Arial" w:hAnsi="Arial" w:cs="Arial"/>
        </w:rPr>
        <w:t>A. Need for a comprehensive anti-discrimination law (arts. 1-4)</w:t>
      </w:r>
      <w:bookmarkEnd w:id="3"/>
    </w:p>
    <w:p w14:paraId="4BA89F75" w14:textId="77777777" w:rsidR="00C27DD9" w:rsidRDefault="00C27DD9" w:rsidP="00C27DD9">
      <w:pPr>
        <w:numPr>
          <w:ilvl w:val="0"/>
          <w:numId w:val="1"/>
        </w:numPr>
        <w:jc w:val="both"/>
      </w:pPr>
      <w:r>
        <w:t>In the Republic of Korea, the Act on the Prohibition of Discrimination against Persons with Disabilities, Remedy against Infringement of Their Rights, Etc. (hereinafter the “Disability Non-discrimination Act”) was enacted in 2007 and entered into force in 2008. Yet, the Disability Non-discrimination Act cannot effectively respond to multiple and intersectional discrimination faced by migrants with disabilities, women with disabilities and LGBTI persons with disabilities, among others, due to its limitation on the ground of discrimination to disability only. Currently, four bills are tabled at the National Assembly. In addition, a public petition, signed by 100,000 people, demanding the enactment of a comprehensive anti-discrimination law has also been submitted to the National Assembly.</w:t>
      </w:r>
      <w:r>
        <w:rPr>
          <w:vertAlign w:val="superscript"/>
        </w:rPr>
        <w:footnoteReference w:id="1"/>
      </w:r>
      <w:r>
        <w:t xml:space="preserve"> Various UN human rights bodies have emphasized the need for the enactment of a comprehensive anti-discrimination law for over 15 years.</w:t>
      </w:r>
      <w:r>
        <w:rPr>
          <w:vertAlign w:val="superscript"/>
        </w:rPr>
        <w:footnoteReference w:id="2"/>
      </w:r>
      <w:r>
        <w:t xml:space="preserve"> Nevertheless, the National Assembly continues to delay the legislative process on the bill. Despite the fact that the two activists fought a hunger strike for 46 days to urge the enactment, the National Assembly has not started any specific legislative process except for having one public hearing.</w:t>
      </w:r>
      <w:r>
        <w:rPr>
          <w:vertAlign w:val="superscript"/>
        </w:rPr>
        <w:footnoteReference w:id="3"/>
      </w:r>
      <w:r>
        <w:t xml:space="preserve"> </w:t>
      </w:r>
    </w:p>
    <w:p w14:paraId="1EFA36F4" w14:textId="77777777" w:rsidR="00C27DD9" w:rsidRDefault="00C27DD9" w:rsidP="00C27DD9">
      <w:pPr>
        <w:jc w:val="both"/>
      </w:pPr>
    </w:p>
    <w:p w14:paraId="001AF441" w14:textId="77777777" w:rsidR="00C27DD9" w:rsidRDefault="00C27DD9" w:rsidP="00C27DD9">
      <w:pPr>
        <w:jc w:val="both"/>
        <w:rPr>
          <w:b/>
        </w:rPr>
      </w:pPr>
      <w:r>
        <w:rPr>
          <w:b/>
        </w:rPr>
        <w:t>Suggested recommendations</w:t>
      </w:r>
    </w:p>
    <w:p w14:paraId="25190B46" w14:textId="77777777" w:rsidR="00C27DD9" w:rsidRDefault="00C27DD9" w:rsidP="00C27DD9">
      <w:pPr>
        <w:jc w:val="both"/>
      </w:pPr>
    </w:p>
    <w:p w14:paraId="4CD255F8" w14:textId="77777777" w:rsidR="00C27DD9" w:rsidRDefault="00C27DD9" w:rsidP="00C27DD9">
      <w:pPr>
        <w:numPr>
          <w:ilvl w:val="0"/>
          <w:numId w:val="1"/>
        </w:numPr>
        <w:jc w:val="both"/>
        <w:rPr>
          <w:b/>
        </w:rPr>
      </w:pPr>
      <w:r>
        <w:rPr>
          <w:b/>
        </w:rPr>
        <w:t>The Government and the National Assembly should, after reviewing the four currently pending bills, immediately enact a comprehensive Anti-discrimination Act that prohibits all forms of discrimination, including disability, race, religion, gender, sexual orientation and gender identity, in clear language.</w:t>
      </w:r>
    </w:p>
    <w:p w14:paraId="3C38F5A4" w14:textId="77777777" w:rsidR="00C27DD9" w:rsidRDefault="00C27DD9" w:rsidP="00C27DD9">
      <w:pPr>
        <w:jc w:val="both"/>
      </w:pPr>
    </w:p>
    <w:p w14:paraId="703479A7" w14:textId="77777777" w:rsidR="00C27DD9" w:rsidRDefault="00C27DD9" w:rsidP="00C27DD9">
      <w:pPr>
        <w:pStyle w:val="2"/>
        <w:jc w:val="both"/>
        <w:rPr>
          <w:rFonts w:ascii="Arial" w:eastAsia="Arial" w:hAnsi="Arial" w:cs="Arial"/>
        </w:rPr>
      </w:pPr>
      <w:bookmarkStart w:id="4" w:name="_Toc109413385"/>
      <w:r>
        <w:rPr>
          <w:rFonts w:ascii="Arial" w:eastAsia="Arial" w:hAnsi="Arial" w:cs="Arial"/>
        </w:rPr>
        <w:lastRenderedPageBreak/>
        <w:t>B. Inclusion of HIV infected persons to disability registration (art. 1; LOIPR paras. 1, 2)</w:t>
      </w:r>
      <w:bookmarkEnd w:id="4"/>
    </w:p>
    <w:p w14:paraId="282BFD25" w14:textId="77777777" w:rsidR="00C27DD9" w:rsidRDefault="00C27DD9" w:rsidP="00C27DD9">
      <w:pPr>
        <w:jc w:val="both"/>
      </w:pPr>
    </w:p>
    <w:p w14:paraId="3A9B497C" w14:textId="77777777" w:rsidR="00C27DD9" w:rsidRDefault="00C27DD9" w:rsidP="00C27DD9">
      <w:pPr>
        <w:numPr>
          <w:ilvl w:val="0"/>
          <w:numId w:val="1"/>
        </w:numPr>
        <w:pBdr>
          <w:top w:val="nil"/>
          <w:left w:val="nil"/>
          <w:bottom w:val="nil"/>
          <w:right w:val="nil"/>
          <w:between w:val="nil"/>
        </w:pBdr>
        <w:jc w:val="both"/>
      </w:pPr>
      <w:r>
        <w:t xml:space="preserve">HIV infected persons in Korea live with a significantly high level of self-intrinsic stigma because they experience negative views on HIV/AIDS in all directions. The Government should set all its HIV/AIDS-related policies centering on the elimination of social stigma and prohibition of discrimination against infected persons and related vulnerable groups, including LGBTI persons. </w:t>
      </w:r>
    </w:p>
    <w:p w14:paraId="725EFA1A" w14:textId="77777777" w:rsidR="00C27DD9" w:rsidRDefault="00C27DD9" w:rsidP="00C27DD9">
      <w:pPr>
        <w:pBdr>
          <w:top w:val="nil"/>
          <w:left w:val="nil"/>
          <w:bottom w:val="nil"/>
          <w:right w:val="nil"/>
          <w:between w:val="nil"/>
        </w:pBdr>
        <w:ind w:left="720"/>
        <w:jc w:val="both"/>
      </w:pPr>
    </w:p>
    <w:p w14:paraId="40ADB267" w14:textId="77777777" w:rsidR="00C27DD9" w:rsidRDefault="00C27DD9" w:rsidP="00C27DD9">
      <w:pPr>
        <w:numPr>
          <w:ilvl w:val="0"/>
          <w:numId w:val="1"/>
        </w:numPr>
        <w:pBdr>
          <w:top w:val="nil"/>
          <w:left w:val="nil"/>
          <w:bottom w:val="nil"/>
          <w:right w:val="nil"/>
          <w:between w:val="nil"/>
        </w:pBdr>
        <w:jc w:val="both"/>
      </w:pPr>
      <w:r>
        <w:t>However, the Prevention of Acquired Immunodeficiency Syndrome Act, which directly affects the life of HIV infected persons, focuses largely on examination and treatment. Moreover, article 19 of the Act includes discriminatory factors that infringe the infected people’s right to sexual life and reproductive rights including pregnancy and childbirth.</w:t>
      </w:r>
      <w:r>
        <w:rPr>
          <w:vertAlign w:val="superscript"/>
        </w:rPr>
        <w:footnoteReference w:id="4"/>
      </w:r>
      <w:r>
        <w:t xml:space="preserve"> The Act only functions to protect the non-infected people from infected people, while being limited in actual prohibition of discrimination and protection of rights as well as realization of social security of infected people. HIV infected people needs both non-discrimination and social security policies for elimination of barriers for equal social participation as others since HIV infection is a biological condition and exists as a disability according to the social model of disability. </w:t>
      </w:r>
    </w:p>
    <w:p w14:paraId="62A1F61A" w14:textId="77777777" w:rsidR="00C27DD9" w:rsidRDefault="00C27DD9" w:rsidP="00C27DD9">
      <w:pPr>
        <w:pBdr>
          <w:top w:val="nil"/>
          <w:left w:val="nil"/>
          <w:bottom w:val="nil"/>
          <w:right w:val="nil"/>
          <w:between w:val="nil"/>
        </w:pBdr>
        <w:jc w:val="both"/>
      </w:pPr>
    </w:p>
    <w:p w14:paraId="7A6B37BB" w14:textId="77777777" w:rsidR="00C27DD9" w:rsidRDefault="00C27DD9" w:rsidP="00C27DD9">
      <w:pPr>
        <w:numPr>
          <w:ilvl w:val="0"/>
          <w:numId w:val="1"/>
        </w:numPr>
        <w:pBdr>
          <w:top w:val="nil"/>
          <w:left w:val="nil"/>
          <w:bottom w:val="nil"/>
          <w:right w:val="nil"/>
          <w:between w:val="nil"/>
        </w:pBdr>
        <w:jc w:val="both"/>
      </w:pPr>
      <w:r>
        <w:t>Meanwhile, in 2021, the Government amended the Enforcement Decree and the Enforcement Rule of the Act on Welfare of Persons with Disabilities, revising the disability determination standards and its specific criteria for ten impairments of six disability types.</w:t>
      </w:r>
      <w:r>
        <w:rPr>
          <w:vertAlign w:val="superscript"/>
        </w:rPr>
        <w:footnoteReference w:id="5"/>
      </w:r>
      <w:r>
        <w:t xml:space="preserve"> However, HIV infection was not included. Through the amendment, the exceptional disability acknowledgement procedure, decided by the Disability Degree Assessment Committee, was introduced but HIV infected persons could not apply for disability assessment or registration since the disability assessment procedure assesses one’s disability type based on the current disability status caused by congenital or acquired disease or accidents, not based on the social or human rights model of disability.</w:t>
      </w:r>
    </w:p>
    <w:p w14:paraId="7E45FD89" w14:textId="77777777" w:rsidR="00C27DD9" w:rsidRDefault="00C27DD9" w:rsidP="00C27DD9">
      <w:pPr>
        <w:jc w:val="both"/>
      </w:pPr>
    </w:p>
    <w:p w14:paraId="5E1C73AB" w14:textId="77777777" w:rsidR="00C27DD9" w:rsidRDefault="00C27DD9" w:rsidP="00C27DD9">
      <w:pPr>
        <w:numPr>
          <w:ilvl w:val="0"/>
          <w:numId w:val="1"/>
        </w:numPr>
        <w:pBdr>
          <w:top w:val="nil"/>
          <w:left w:val="nil"/>
          <w:bottom w:val="nil"/>
          <w:right w:val="nil"/>
          <w:between w:val="nil"/>
        </w:pBdr>
        <w:jc w:val="both"/>
      </w:pPr>
      <w:r>
        <w:t>Therefore, HIV infected persons in Korea cannot receive any support for welfare services (employment, education, personal assistance, etc.) under the Act on Welfare of Persons with Disabilities.</w:t>
      </w:r>
      <w:r>
        <w:rPr>
          <w:rFonts w:ascii="돋움" w:eastAsia="돋움" w:hAnsi="돋움" w:cs="돋움"/>
          <w:vertAlign w:val="superscript"/>
        </w:rPr>
        <w:footnoteReference w:id="6"/>
      </w:r>
      <w:r>
        <w:t xml:space="preserve"> To proceed with the relief procedure for discrimination </w:t>
      </w:r>
      <w:r>
        <w:lastRenderedPageBreak/>
        <w:t>based on the Disability Non-discrimination Act, unlike persons with registered (or registrable) disability, HIV infected persons need to prove that they have disability as defined by the Disability Non-discrimination Act.</w:t>
      </w:r>
      <w:r>
        <w:rPr>
          <w:rFonts w:ascii="돋움" w:eastAsia="돋움" w:hAnsi="돋움" w:cs="돋움"/>
          <w:vertAlign w:val="superscript"/>
        </w:rPr>
        <w:footnoteReference w:id="7"/>
      </w:r>
    </w:p>
    <w:p w14:paraId="048E4D8D" w14:textId="77777777" w:rsidR="00C27DD9" w:rsidRDefault="00C27DD9" w:rsidP="00C27DD9">
      <w:pPr>
        <w:jc w:val="both"/>
      </w:pPr>
    </w:p>
    <w:p w14:paraId="6241D94F" w14:textId="77777777" w:rsidR="00C27DD9" w:rsidRDefault="00C27DD9" w:rsidP="00C27DD9">
      <w:pPr>
        <w:jc w:val="both"/>
        <w:rPr>
          <w:b/>
        </w:rPr>
      </w:pPr>
      <w:r>
        <w:rPr>
          <w:b/>
        </w:rPr>
        <w:t>Suggested recommendations</w:t>
      </w:r>
    </w:p>
    <w:p w14:paraId="133AA9A8" w14:textId="77777777" w:rsidR="00C27DD9" w:rsidRDefault="00C27DD9" w:rsidP="00C27DD9">
      <w:pPr>
        <w:jc w:val="both"/>
        <w:rPr>
          <w:b/>
        </w:rPr>
      </w:pPr>
    </w:p>
    <w:p w14:paraId="4C8B5278" w14:textId="77777777" w:rsidR="00C27DD9" w:rsidRDefault="00C27DD9" w:rsidP="00C27DD9">
      <w:pPr>
        <w:numPr>
          <w:ilvl w:val="0"/>
          <w:numId w:val="1"/>
        </w:numPr>
        <w:pBdr>
          <w:top w:val="nil"/>
          <w:left w:val="nil"/>
          <w:bottom w:val="nil"/>
          <w:right w:val="nil"/>
          <w:between w:val="nil"/>
        </w:pBdr>
        <w:jc w:val="both"/>
        <w:rPr>
          <w:b/>
        </w:rPr>
      </w:pPr>
      <w:r>
        <w:rPr>
          <w:b/>
        </w:rPr>
        <w:t>The Government should acknowledge HIV infected persons as persons with disabilities defined by the Disability Non-discrimination Act, considering the social barriers experienced by HIV infected persons.</w:t>
      </w:r>
    </w:p>
    <w:p w14:paraId="17E7A787" w14:textId="77777777" w:rsidR="00C27DD9" w:rsidRDefault="00C27DD9" w:rsidP="00C27DD9">
      <w:pPr>
        <w:numPr>
          <w:ilvl w:val="0"/>
          <w:numId w:val="1"/>
        </w:numPr>
        <w:pBdr>
          <w:top w:val="nil"/>
          <w:left w:val="nil"/>
          <w:bottom w:val="nil"/>
          <w:right w:val="nil"/>
          <w:between w:val="nil"/>
        </w:pBdr>
        <w:jc w:val="both"/>
        <w:rPr>
          <w:b/>
        </w:rPr>
      </w:pPr>
      <w:r>
        <w:rPr>
          <w:b/>
        </w:rPr>
        <w:t>Based on the human rights model of disability, not the medical model of disability, the definition of disability in the Act on Welfare of Persons with Disabilities should be expanded to a mutual interaction of social barriers, and measure social functions and limitations in social participation, not the degree of impairment, so that the HIV infected persons can access services provided by the above Act without limitations.</w:t>
      </w:r>
    </w:p>
    <w:p w14:paraId="2D12A908" w14:textId="77777777" w:rsidR="00C27DD9" w:rsidRDefault="00C27DD9" w:rsidP="00C27DD9">
      <w:pPr>
        <w:numPr>
          <w:ilvl w:val="0"/>
          <w:numId w:val="1"/>
        </w:numPr>
        <w:pBdr>
          <w:top w:val="nil"/>
          <w:left w:val="nil"/>
          <w:bottom w:val="nil"/>
          <w:right w:val="nil"/>
          <w:between w:val="nil"/>
        </w:pBdr>
        <w:jc w:val="both"/>
        <w:rPr>
          <w:b/>
        </w:rPr>
      </w:pPr>
      <w:r>
        <w:rPr>
          <w:b/>
        </w:rPr>
        <w:t>Current Disability Registration System, which inhibits the expansion of the definition and type of disability from the medical model and which makes it difficult to provide individual assistance by entitling and restricting the right to use the service, must be abolished.</w:t>
      </w:r>
    </w:p>
    <w:p w14:paraId="3FEB5A38" w14:textId="77777777" w:rsidR="00C27DD9" w:rsidRDefault="00C27DD9" w:rsidP="00C27DD9">
      <w:pPr>
        <w:pStyle w:val="2"/>
        <w:jc w:val="both"/>
        <w:rPr>
          <w:rFonts w:ascii="Arial" w:eastAsia="Arial" w:hAnsi="Arial" w:cs="Arial"/>
        </w:rPr>
      </w:pPr>
      <w:bookmarkStart w:id="5" w:name="_Toc109413386"/>
      <w:r>
        <w:rPr>
          <w:rFonts w:ascii="Arial" w:eastAsia="Arial" w:hAnsi="Arial" w:cs="Arial"/>
        </w:rPr>
        <w:t>C. Independence of the National Human Rights Commission (art. 5, LOIPR para. 4-a)</w:t>
      </w:r>
      <w:bookmarkEnd w:id="5"/>
    </w:p>
    <w:p w14:paraId="42F0E6AB" w14:textId="77777777" w:rsidR="00C27DD9" w:rsidRDefault="00C27DD9" w:rsidP="00C27DD9">
      <w:pPr>
        <w:jc w:val="both"/>
      </w:pPr>
    </w:p>
    <w:p w14:paraId="2ECDFD2C" w14:textId="77777777" w:rsidR="00C27DD9" w:rsidRDefault="00C27DD9" w:rsidP="00C27DD9">
      <w:pPr>
        <w:numPr>
          <w:ilvl w:val="0"/>
          <w:numId w:val="1"/>
        </w:numPr>
        <w:pBdr>
          <w:top w:val="nil"/>
          <w:left w:val="nil"/>
          <w:bottom w:val="nil"/>
          <w:right w:val="nil"/>
          <w:between w:val="nil"/>
        </w:pBdr>
        <w:jc w:val="both"/>
      </w:pPr>
      <w:r>
        <w:t xml:space="preserve">According to the State report, the Government responded that the National Human Rights Commission of Korea (NHRCK) is fulfilling its functions as a rights remedies body, including that the government has sufficient procedures for redressing the rights of persons with disabilities, and the number of complaints against discrimination against persons with disabilities has significantly increased compared to before the enforcement of the Disability Non-discrimination Act (para. 12). The government responded that it has increased one person for disability discrimination investigation and newly established the Bureau of Correction of Discrimination (para. 14). However, there has been no follow-up procedures to monitor the implementation of the NHRCK’s recommendations to the relevant ministries after such government bodies expressed their intention to accept the recommendations.  </w:t>
      </w:r>
    </w:p>
    <w:p w14:paraId="2F764CAA" w14:textId="77777777" w:rsidR="00C27DD9" w:rsidRDefault="00C27DD9" w:rsidP="00C27DD9">
      <w:pPr>
        <w:pBdr>
          <w:top w:val="nil"/>
          <w:left w:val="nil"/>
          <w:bottom w:val="nil"/>
          <w:right w:val="nil"/>
          <w:between w:val="nil"/>
        </w:pBdr>
        <w:ind w:left="720"/>
        <w:jc w:val="both"/>
      </w:pPr>
    </w:p>
    <w:tbl>
      <w:tblPr>
        <w:tblW w:w="8309" w:type="dxa"/>
        <w:tblInd w:w="8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309"/>
      </w:tblGrid>
      <w:tr w:rsidR="00C27DD9" w14:paraId="25A0594C" w14:textId="77777777" w:rsidTr="002E634C">
        <w:tc>
          <w:tcPr>
            <w:tcW w:w="8309" w:type="dxa"/>
            <w:shd w:val="clear" w:color="auto" w:fill="auto"/>
            <w:tcMar>
              <w:top w:w="100" w:type="dxa"/>
              <w:left w:w="100" w:type="dxa"/>
              <w:bottom w:w="100" w:type="dxa"/>
              <w:right w:w="100" w:type="dxa"/>
            </w:tcMar>
          </w:tcPr>
          <w:p w14:paraId="6867DAC4" w14:textId="77777777" w:rsidR="00C27DD9" w:rsidRDefault="00C27DD9" w:rsidP="00C27DD9">
            <w:pPr>
              <w:jc w:val="both"/>
              <w:rPr>
                <w:b/>
              </w:rPr>
            </w:pPr>
            <w:r>
              <w:rPr>
                <w:b/>
              </w:rPr>
              <w:t xml:space="preserve">Case </w:t>
            </w:r>
          </w:p>
          <w:p w14:paraId="73407634" w14:textId="77777777" w:rsidR="00C27DD9" w:rsidRDefault="00C27DD9" w:rsidP="00C27DD9">
            <w:pPr>
              <w:jc w:val="both"/>
            </w:pPr>
          </w:p>
          <w:p w14:paraId="0B03A367" w14:textId="77777777" w:rsidR="00C27DD9" w:rsidRDefault="00C27DD9" w:rsidP="00C27DD9">
            <w:pPr>
              <w:jc w:val="both"/>
            </w:pPr>
            <w:r>
              <w:t xml:space="preserve">In 2017, the National Human Rights Commission of Korea made policy recommendations to ensure persons with disabilities’ right to access when using </w:t>
            </w:r>
            <w:r>
              <w:lastRenderedPageBreak/>
              <w:t xml:space="preserve">ships. In response, the Ministry of Oceans and Fisheries expressed an opinion of acceptance, stating that it would revise the Notice of Ship Equipment Standards by the end of the year to include the installation standards for reasonable accommodation for the transportation vulnerables, such as wheelchair users. Since then, the ship equipment standards have been revised four times, but none of the revisions reflected the NHRCK’s recommendations. It seems that the follow-up to monitor the implementation of recommendations was not conducted. </w:t>
            </w:r>
          </w:p>
        </w:tc>
      </w:tr>
    </w:tbl>
    <w:p w14:paraId="138E78E7" w14:textId="77777777" w:rsidR="00C27DD9" w:rsidRDefault="00C27DD9" w:rsidP="00C27DD9">
      <w:pPr>
        <w:jc w:val="both"/>
      </w:pPr>
    </w:p>
    <w:p w14:paraId="5BC0E38C" w14:textId="77777777" w:rsidR="00C27DD9" w:rsidRDefault="00C27DD9" w:rsidP="00C27DD9">
      <w:pPr>
        <w:numPr>
          <w:ilvl w:val="0"/>
          <w:numId w:val="1"/>
        </w:numPr>
        <w:pBdr>
          <w:top w:val="nil"/>
          <w:left w:val="nil"/>
          <w:bottom w:val="nil"/>
          <w:right w:val="nil"/>
          <w:between w:val="nil"/>
        </w:pBdr>
        <w:jc w:val="both"/>
      </w:pPr>
      <w:r>
        <w:t>The newly amended National Human Rights Commission Act in February 2022 includes the NHRCK to confirm and monitor the implementation status of the recommendations made by the NHRCK. However, this provision only grants discretion to the National Human Rights Commission of Korea and does not impose an obligation to follow up the implementation status of the recommendations. Although the NHRCK may not have sufficient staff or budget, such follow-up and monitoring of its recommendations can be implemented and necessary within the scope of the current staff and budget</w:t>
      </w:r>
      <w:r>
        <w:rPr>
          <w:rFonts w:ascii="돋움" w:eastAsia="돋움" w:hAnsi="돋움" w:cs="돋움"/>
        </w:rPr>
        <w:t>.</w:t>
      </w:r>
    </w:p>
    <w:p w14:paraId="11E66374" w14:textId="77777777" w:rsidR="00C27DD9" w:rsidRDefault="00C27DD9" w:rsidP="00C27DD9">
      <w:pPr>
        <w:jc w:val="both"/>
      </w:pPr>
    </w:p>
    <w:p w14:paraId="4E821AB4" w14:textId="77777777" w:rsidR="00C27DD9" w:rsidRDefault="00C27DD9" w:rsidP="00C27DD9">
      <w:pPr>
        <w:jc w:val="both"/>
        <w:rPr>
          <w:b/>
        </w:rPr>
      </w:pPr>
      <w:r>
        <w:rPr>
          <w:b/>
        </w:rPr>
        <w:t>Suggested recommendations</w:t>
      </w:r>
    </w:p>
    <w:p w14:paraId="704742C1" w14:textId="77777777" w:rsidR="00C27DD9" w:rsidRDefault="00C27DD9" w:rsidP="00C27DD9">
      <w:pPr>
        <w:jc w:val="both"/>
        <w:rPr>
          <w:b/>
        </w:rPr>
      </w:pPr>
    </w:p>
    <w:p w14:paraId="78D8DE5F" w14:textId="77777777" w:rsidR="00C27DD9" w:rsidRDefault="00C27DD9" w:rsidP="00C27DD9">
      <w:pPr>
        <w:numPr>
          <w:ilvl w:val="0"/>
          <w:numId w:val="1"/>
        </w:numPr>
        <w:pBdr>
          <w:top w:val="nil"/>
          <w:left w:val="nil"/>
          <w:bottom w:val="nil"/>
          <w:right w:val="nil"/>
          <w:between w:val="nil"/>
        </w:pBdr>
        <w:jc w:val="both"/>
        <w:rPr>
          <w:b/>
        </w:rPr>
      </w:pPr>
      <w:r>
        <w:rPr>
          <w:b/>
          <w:sz w:val="20"/>
          <w:szCs w:val="20"/>
        </w:rPr>
        <w:t xml:space="preserve">The NHRCK shall establish a system for mandatory periodic follow-up and monitoring of its recommendations. </w:t>
      </w:r>
    </w:p>
    <w:p w14:paraId="32D7D0E2" w14:textId="77777777" w:rsidR="00C27DD9" w:rsidRDefault="00C27DD9" w:rsidP="00C27DD9">
      <w:pPr>
        <w:jc w:val="both"/>
      </w:pPr>
    </w:p>
    <w:p w14:paraId="1C753702" w14:textId="77777777" w:rsidR="00C27DD9" w:rsidRDefault="00C27DD9" w:rsidP="00C27DD9">
      <w:pPr>
        <w:pStyle w:val="1"/>
        <w:jc w:val="both"/>
        <w:rPr>
          <w:highlight w:val="white"/>
        </w:rPr>
      </w:pPr>
      <w:bookmarkStart w:id="6" w:name="_Toc109413387"/>
      <w:r>
        <w:rPr>
          <w:highlight w:val="white"/>
        </w:rPr>
        <w:t>III. Specific rights (arts. 5-30)</w:t>
      </w:r>
      <w:bookmarkEnd w:id="6"/>
    </w:p>
    <w:p w14:paraId="57CC1773" w14:textId="77777777" w:rsidR="00C27DD9" w:rsidRDefault="00C27DD9" w:rsidP="00C27DD9">
      <w:pPr>
        <w:pStyle w:val="2"/>
        <w:jc w:val="both"/>
        <w:rPr>
          <w:rFonts w:ascii="Arial" w:eastAsia="Arial" w:hAnsi="Arial" w:cs="Arial"/>
        </w:rPr>
      </w:pPr>
      <w:bookmarkStart w:id="7" w:name="_Toc109413388"/>
      <w:r>
        <w:rPr>
          <w:rFonts w:ascii="Arial" w:eastAsia="Arial" w:hAnsi="Arial" w:cs="Arial"/>
        </w:rPr>
        <w:t>D. Legal aid for victims of disability discrimination (art. 5, LOIPR paras. 4-b, 4-e)</w:t>
      </w:r>
      <w:bookmarkEnd w:id="7"/>
    </w:p>
    <w:p w14:paraId="4BAC7ACE" w14:textId="77777777" w:rsidR="00C27DD9" w:rsidRDefault="00C27DD9" w:rsidP="00C27DD9">
      <w:pPr>
        <w:jc w:val="both"/>
      </w:pPr>
    </w:p>
    <w:p w14:paraId="32F01D7C" w14:textId="77777777" w:rsidR="00C27DD9" w:rsidRDefault="00C27DD9" w:rsidP="00C27DD9">
      <w:pPr>
        <w:numPr>
          <w:ilvl w:val="0"/>
          <w:numId w:val="1"/>
        </w:numPr>
        <w:pBdr>
          <w:top w:val="nil"/>
          <w:left w:val="nil"/>
          <w:bottom w:val="nil"/>
          <w:right w:val="nil"/>
          <w:between w:val="nil"/>
        </w:pBdr>
        <w:jc w:val="both"/>
      </w:pPr>
      <w:r>
        <w:t>Since Korea's litigation aid system applies to those who lack the financial ability to afford litigation costs, not all victims of discrimination on the ground of disabiliy are eligible for relief. In addition, since it is rare for the court to decide on the aid of the lawsuit ex officio, victims of discrimination on the ground of disability must submit a separate request for legal aid to the court. For this reason, from 2015 to 2017, there was only one victim of discrimination on the ground of disability who received legal aid.</w:t>
      </w:r>
      <w:r>
        <w:rPr>
          <w:vertAlign w:val="superscript"/>
        </w:rPr>
        <w:footnoteReference w:id="8"/>
      </w:r>
      <w:r>
        <w:t xml:space="preserve"> Furthermore, The litigation costs supported by the legal aid only covers fee for the stamp, service fee and a partial cost of the attorney fee, excluding the litigation cost of the opposition party which should be borne by the plaintiff when losing the case. </w:t>
      </w:r>
    </w:p>
    <w:p w14:paraId="40A7E00F" w14:textId="77777777" w:rsidR="00C27DD9" w:rsidRDefault="00C27DD9" w:rsidP="00C27DD9">
      <w:pPr>
        <w:jc w:val="both"/>
      </w:pPr>
    </w:p>
    <w:p w14:paraId="034B7A44" w14:textId="77777777" w:rsidR="00C27DD9" w:rsidRDefault="00C27DD9" w:rsidP="00C27DD9">
      <w:pPr>
        <w:numPr>
          <w:ilvl w:val="0"/>
          <w:numId w:val="1"/>
        </w:numPr>
        <w:pBdr>
          <w:top w:val="nil"/>
          <w:left w:val="nil"/>
          <w:bottom w:val="nil"/>
          <w:right w:val="nil"/>
          <w:between w:val="nil"/>
        </w:pBdr>
        <w:jc w:val="both"/>
      </w:pPr>
      <w:r>
        <w:t>In Korea, the costs of litigation are borne by the losing party.</w:t>
      </w:r>
      <w:r>
        <w:rPr>
          <w:vertAlign w:val="superscript"/>
        </w:rPr>
        <w:footnoteReference w:id="9"/>
      </w:r>
      <w:r>
        <w:t xml:space="preserve"> Accordingly, if the victim of discrimination lodges a litigation against the perpetrator and loses the case, the victim should bear the costs for both parties of the litigation, including the defendant’s attorney fees. Since such cost for losing the case is not subject to the legal aid, it has </w:t>
      </w:r>
      <w:r>
        <w:lastRenderedPageBreak/>
        <w:t>been a severe barrier for victims of discrimination on the ground of disability to file a lawsuit. In principle, the attorney fee to be borne when a disabled person loses a claim of relief measures according to the Disability Non-discrimination Act is KRW 4.4 million (about USD 3,500) per each instance of trials.</w:t>
      </w:r>
      <w:r>
        <w:rPr>
          <w:rFonts w:ascii="돋움" w:eastAsia="돋움" w:hAnsi="돋움" w:cs="돋움"/>
          <w:vertAlign w:val="superscript"/>
        </w:rPr>
        <w:footnoteReference w:id="10"/>
      </w:r>
    </w:p>
    <w:p w14:paraId="019E3BE1" w14:textId="77777777" w:rsidR="00C27DD9" w:rsidRDefault="00C27DD9" w:rsidP="00C27DD9">
      <w:pPr>
        <w:jc w:val="both"/>
      </w:pPr>
    </w:p>
    <w:p w14:paraId="2E6BCA8F" w14:textId="77777777" w:rsidR="00C27DD9" w:rsidRDefault="00C27DD9" w:rsidP="00C27DD9">
      <w:pPr>
        <w:jc w:val="both"/>
        <w:rPr>
          <w:b/>
        </w:rPr>
      </w:pPr>
      <w:r>
        <w:rPr>
          <w:b/>
        </w:rPr>
        <w:t>Suggested recommendations</w:t>
      </w:r>
    </w:p>
    <w:p w14:paraId="784693AD" w14:textId="77777777" w:rsidR="00C27DD9" w:rsidRDefault="00C27DD9" w:rsidP="00C27DD9">
      <w:pPr>
        <w:jc w:val="both"/>
        <w:rPr>
          <w:b/>
        </w:rPr>
      </w:pPr>
    </w:p>
    <w:p w14:paraId="469C48B3" w14:textId="77777777" w:rsidR="00C27DD9" w:rsidRDefault="00C27DD9" w:rsidP="00C27DD9">
      <w:pPr>
        <w:numPr>
          <w:ilvl w:val="0"/>
          <w:numId w:val="1"/>
        </w:numPr>
        <w:pBdr>
          <w:top w:val="nil"/>
          <w:left w:val="nil"/>
          <w:bottom w:val="nil"/>
          <w:right w:val="nil"/>
          <w:between w:val="nil"/>
        </w:pBdr>
        <w:jc w:val="both"/>
        <w:rPr>
          <w:b/>
        </w:rPr>
      </w:pPr>
      <w:r>
        <w:rPr>
          <w:b/>
        </w:rPr>
        <w:t xml:space="preserve">The Civil Procedure Act should be amended to exempt or reduce the burden of legal costs for plaintiffs who lost in cases that aimed to achieve public interests, including litigations to rectify discrimination against persons with disabilities. </w:t>
      </w:r>
    </w:p>
    <w:p w14:paraId="749DCC06" w14:textId="77777777" w:rsidR="00C27DD9" w:rsidRDefault="00C27DD9" w:rsidP="00C27DD9">
      <w:pPr>
        <w:pBdr>
          <w:top w:val="nil"/>
          <w:left w:val="nil"/>
          <w:bottom w:val="nil"/>
          <w:right w:val="nil"/>
          <w:between w:val="nil"/>
        </w:pBdr>
        <w:jc w:val="both"/>
      </w:pPr>
    </w:p>
    <w:p w14:paraId="64A8E994" w14:textId="77777777" w:rsidR="00C27DD9" w:rsidRDefault="00C27DD9" w:rsidP="00C27DD9">
      <w:pPr>
        <w:pStyle w:val="2"/>
        <w:jc w:val="both"/>
        <w:rPr>
          <w:rFonts w:ascii="Arial" w:eastAsia="Arial" w:hAnsi="Arial" w:cs="Arial"/>
        </w:rPr>
      </w:pPr>
      <w:bookmarkStart w:id="8" w:name="_Toc109413389"/>
      <w:r>
        <w:rPr>
          <w:rFonts w:ascii="Arial" w:eastAsia="Arial" w:hAnsi="Arial" w:cs="Arial"/>
        </w:rPr>
        <w:t>E. Awareness-raising of the Disability Non-discrimination Act implementation and the necessity of the court’s exercise of its discontinuation order (art. 5, LOIPR para. 4-c)</w:t>
      </w:r>
      <w:bookmarkEnd w:id="8"/>
      <w:r>
        <w:rPr>
          <w:rFonts w:ascii="Arial" w:eastAsia="Arial" w:hAnsi="Arial" w:cs="Arial"/>
        </w:rPr>
        <w:t xml:space="preserve"> </w:t>
      </w:r>
    </w:p>
    <w:p w14:paraId="3F15C615" w14:textId="77777777" w:rsidR="00C27DD9" w:rsidRDefault="00C27DD9" w:rsidP="00C27DD9">
      <w:pPr>
        <w:jc w:val="both"/>
      </w:pPr>
    </w:p>
    <w:p w14:paraId="415CDC03" w14:textId="77777777" w:rsidR="00C27DD9" w:rsidRDefault="00C27DD9" w:rsidP="00C27DD9">
      <w:pPr>
        <w:numPr>
          <w:ilvl w:val="0"/>
          <w:numId w:val="1"/>
        </w:numPr>
        <w:pBdr>
          <w:top w:val="nil"/>
          <w:left w:val="nil"/>
          <w:bottom w:val="nil"/>
          <w:right w:val="nil"/>
          <w:between w:val="nil"/>
        </w:pBdr>
        <w:jc w:val="both"/>
      </w:pPr>
      <w:r>
        <w:t>The Government said that the courts would gradually exercise their discontinuation order aggressively in relation to the victim's request for remedy under the Disability Non-discrimination Act.</w:t>
      </w:r>
      <w:r>
        <w:rPr>
          <w:vertAlign w:val="superscript"/>
        </w:rPr>
        <w:footnoteReference w:id="11"/>
      </w:r>
      <w:r>
        <w:t xml:space="preserve"> However, in February 2021, the Supreme Court of Korea ruled a judgment that limited the scope of the courts’ discontinuation order against the discriminatory acts.</w:t>
      </w:r>
      <w:r>
        <w:rPr>
          <w:vertAlign w:val="superscript"/>
        </w:rPr>
        <w:footnoteReference w:id="12"/>
      </w:r>
      <w:r>
        <w:t xml:space="preserve"> The Supreme Court acknowledged that a discriminatory offender is obliged to provide reasonable accommodation under the Disability Non-discrimination Act, but it reserved or exempted the offender’s obligation to provide reasonable accommodation on the ground that the court holds a wide margin of appreciation when deciding specific content and scope of its discontinuation order. The Supreme Court limited the subject of the discontinuation order only to actors directly involved in discrimination acts of the case and specified the scope of the discontinuation order to specific infringement of the plaintiff’s legal interests, in a way similar to a case for ordering monetary compensation. In order for the court to aggressively redress discrimination, it is necessary to comprehensively apply the subject and scope of the discontinuation order and not exempt the discriminatory offender’s obligation to provide reasonable accommodation.  </w:t>
      </w:r>
    </w:p>
    <w:p w14:paraId="22712467" w14:textId="77777777" w:rsidR="00C27DD9" w:rsidRDefault="00C27DD9" w:rsidP="00C27DD9">
      <w:pPr>
        <w:pBdr>
          <w:top w:val="nil"/>
          <w:left w:val="nil"/>
          <w:bottom w:val="nil"/>
          <w:right w:val="nil"/>
          <w:between w:val="nil"/>
        </w:pBdr>
        <w:jc w:val="both"/>
      </w:pPr>
    </w:p>
    <w:p w14:paraId="698E3791" w14:textId="77777777" w:rsidR="00C27DD9" w:rsidRDefault="00C27DD9" w:rsidP="00C27DD9">
      <w:pPr>
        <w:numPr>
          <w:ilvl w:val="0"/>
          <w:numId w:val="1"/>
        </w:numPr>
        <w:pBdr>
          <w:top w:val="nil"/>
          <w:left w:val="nil"/>
          <w:bottom w:val="nil"/>
          <w:right w:val="nil"/>
          <w:between w:val="nil"/>
        </w:pBdr>
        <w:jc w:val="both"/>
      </w:pPr>
      <w:r>
        <w:t>Even if the Supreme Court recognizes discriminatory acts, the Court exempts discriminatory offender’s liability for damages on the grounds that the discriminatory acts were not intentional or negligent.</w:t>
      </w:r>
      <w:r>
        <w:rPr>
          <w:vertAlign w:val="superscript"/>
        </w:rPr>
        <w:footnoteReference w:id="13"/>
      </w:r>
      <w:r>
        <w:t xml:space="preserve"> It is because, among others, the interpretation </w:t>
      </w:r>
      <w:r>
        <w:lastRenderedPageBreak/>
        <w:t xml:space="preserve">of laws and regulations stipulating the mandatory provision of reasonable accommodation are unclear, and because the central government or local governments have not requested redress of discriminatory acts to the offenders. </w:t>
      </w:r>
      <w:r>
        <w:rPr>
          <w:highlight w:val="white"/>
        </w:rPr>
        <w:t xml:space="preserve">However, most of the cases on discrimination are either due to unclear interpretation of the laws or the cases in which the central or local governments have not requested redress. Therefore, according to the Supreme Court's judgment, it is difficult to hold the discriminatory offenders liable for damages occurred due to their failure to provide mandatory reasonable accommodation. In order for the Disability Non-discrimination Act to be effectively implemented, a court's decision to hold the offenders responsible for discrimination is necessary. </w:t>
      </w:r>
    </w:p>
    <w:p w14:paraId="0FF69FB4" w14:textId="77777777" w:rsidR="00C27DD9" w:rsidRDefault="00C27DD9" w:rsidP="00C27DD9">
      <w:pPr>
        <w:pBdr>
          <w:top w:val="nil"/>
          <w:left w:val="nil"/>
          <w:bottom w:val="nil"/>
          <w:right w:val="nil"/>
          <w:between w:val="nil"/>
        </w:pBdr>
        <w:jc w:val="both"/>
        <w:rPr>
          <w:rFonts w:ascii="돋움" w:eastAsia="돋움" w:hAnsi="돋움" w:cs="돋움"/>
        </w:rPr>
      </w:pPr>
    </w:p>
    <w:p w14:paraId="035970B2" w14:textId="77777777" w:rsidR="00C27DD9" w:rsidRDefault="00C27DD9" w:rsidP="00C27DD9">
      <w:pPr>
        <w:jc w:val="both"/>
        <w:rPr>
          <w:b/>
        </w:rPr>
      </w:pPr>
      <w:r>
        <w:rPr>
          <w:b/>
        </w:rPr>
        <w:t>Suggested recommendations</w:t>
      </w:r>
    </w:p>
    <w:p w14:paraId="194507E6" w14:textId="77777777" w:rsidR="00C27DD9" w:rsidRDefault="00C27DD9" w:rsidP="00C27DD9">
      <w:pPr>
        <w:jc w:val="both"/>
        <w:rPr>
          <w:b/>
        </w:rPr>
      </w:pPr>
    </w:p>
    <w:p w14:paraId="084CD4FB" w14:textId="77777777" w:rsidR="00C27DD9" w:rsidRDefault="00C27DD9" w:rsidP="00C27DD9">
      <w:pPr>
        <w:numPr>
          <w:ilvl w:val="0"/>
          <w:numId w:val="1"/>
        </w:numPr>
        <w:pBdr>
          <w:top w:val="nil"/>
          <w:left w:val="nil"/>
          <w:bottom w:val="nil"/>
          <w:right w:val="nil"/>
          <w:between w:val="nil"/>
        </w:pBdr>
        <w:jc w:val="both"/>
        <w:rPr>
          <w:b/>
        </w:rPr>
      </w:pPr>
      <w:r>
        <w:rPr>
          <w:b/>
        </w:rPr>
        <w:t xml:space="preserve">The courts shall not exempt the obligation to provide reasonable accommodation under the Disability Non-discrimination Act when ordering its discontinuation order prescribed in the Disability Non-discrimination Act, including in the case where the plaintiff has potential legal interests. </w:t>
      </w:r>
    </w:p>
    <w:p w14:paraId="06934D2C" w14:textId="77777777" w:rsidR="00C27DD9" w:rsidRDefault="00C27DD9" w:rsidP="00C27DD9">
      <w:pPr>
        <w:numPr>
          <w:ilvl w:val="0"/>
          <w:numId w:val="1"/>
        </w:numPr>
        <w:pBdr>
          <w:top w:val="nil"/>
          <w:left w:val="nil"/>
          <w:bottom w:val="nil"/>
          <w:right w:val="nil"/>
          <w:between w:val="nil"/>
        </w:pBdr>
        <w:jc w:val="both"/>
        <w:rPr>
          <w:b/>
        </w:rPr>
      </w:pPr>
      <w:r>
        <w:rPr>
          <w:b/>
        </w:rPr>
        <w:t xml:space="preserve">The courts shall be strict in exempting the liability for damages under the Disability Non-discrimination Act so that the said Act is effectively implemented. </w:t>
      </w:r>
    </w:p>
    <w:p w14:paraId="5C0435FF" w14:textId="77777777" w:rsidR="00C27DD9" w:rsidRDefault="00C27DD9" w:rsidP="00C27DD9">
      <w:pPr>
        <w:jc w:val="both"/>
      </w:pPr>
    </w:p>
    <w:p w14:paraId="28986D80" w14:textId="77777777" w:rsidR="00C27DD9" w:rsidRDefault="00C27DD9" w:rsidP="00C27DD9">
      <w:pPr>
        <w:pStyle w:val="2"/>
        <w:jc w:val="both"/>
        <w:rPr>
          <w:rFonts w:ascii="Arial" w:eastAsia="Arial" w:hAnsi="Arial" w:cs="Arial"/>
          <w:highlight w:val="white"/>
        </w:rPr>
      </w:pPr>
      <w:bookmarkStart w:id="9" w:name="_Toc109413390"/>
      <w:r>
        <w:rPr>
          <w:rFonts w:ascii="Arial" w:eastAsia="Arial" w:hAnsi="Arial" w:cs="Arial"/>
          <w:highlight w:val="white"/>
        </w:rPr>
        <w:t>F. Accessibility of public facilities, etc. (Art. 9, LOIPR para. 9-b)</w:t>
      </w:r>
      <w:bookmarkEnd w:id="9"/>
      <w:r>
        <w:rPr>
          <w:rFonts w:ascii="Arial" w:eastAsia="Arial" w:hAnsi="Arial" w:cs="Arial"/>
          <w:highlight w:val="white"/>
        </w:rPr>
        <w:t xml:space="preserve"> </w:t>
      </w:r>
    </w:p>
    <w:p w14:paraId="7AAD969F" w14:textId="77777777" w:rsidR="00C27DD9" w:rsidRDefault="00C27DD9" w:rsidP="00C27DD9">
      <w:pPr>
        <w:jc w:val="both"/>
      </w:pPr>
    </w:p>
    <w:p w14:paraId="70784AC5" w14:textId="77777777" w:rsidR="00C27DD9" w:rsidRDefault="00C27DD9" w:rsidP="00C27DD9">
      <w:pPr>
        <w:numPr>
          <w:ilvl w:val="0"/>
          <w:numId w:val="1"/>
        </w:numPr>
        <w:pBdr>
          <w:top w:val="nil"/>
          <w:left w:val="nil"/>
          <w:bottom w:val="nil"/>
          <w:right w:val="nil"/>
          <w:between w:val="nil"/>
        </w:pBdr>
        <w:jc w:val="both"/>
      </w:pPr>
      <w:r>
        <w:t>According to the State report, the Government stated that it promotes policies to expand building accessibility of persons with disabilities while considering economic burden of building owners.</w:t>
      </w:r>
      <w:r>
        <w:rPr>
          <w:vertAlign w:val="superscript"/>
        </w:rPr>
        <w:footnoteReference w:id="14"/>
      </w:r>
      <w:r>
        <w:t xml:space="preserve"> The Government’s such attitude neglects the state’s obligation to guarantee the effective and equal access of persons with disabilities to all public facilities and workplaces.</w:t>
      </w:r>
    </w:p>
    <w:p w14:paraId="51D94EE4" w14:textId="77777777" w:rsidR="00C27DD9" w:rsidRDefault="00C27DD9" w:rsidP="00C27DD9">
      <w:pPr>
        <w:jc w:val="both"/>
      </w:pPr>
    </w:p>
    <w:p w14:paraId="18B46D41" w14:textId="77777777" w:rsidR="00C27DD9" w:rsidRDefault="00C27DD9" w:rsidP="00C27DD9">
      <w:pPr>
        <w:numPr>
          <w:ilvl w:val="0"/>
          <w:numId w:val="1"/>
        </w:numPr>
        <w:pBdr>
          <w:top w:val="nil"/>
          <w:left w:val="nil"/>
          <w:bottom w:val="nil"/>
          <w:right w:val="nil"/>
          <w:between w:val="nil"/>
        </w:pBdr>
        <w:jc w:val="both"/>
      </w:pPr>
      <w:r>
        <w:t>The newly amended Enforcement Decree of the Act on the Guarantee of Convenience Promotion of Persons with Disabilities, Senior Citizens, and Pregnant Women and Nursing Mothers (hereinafter “Convenience Act”), which was prepared by the Government and entered into force on May 1, 2022,  mandates installation of facilities and equipment (hereinafter “reasonable accommodation”) that guarantee persons with disabilities’ convenient movement and easy use of facilities as well as easy access to information with respect to parks, public buildings and facilities, apartment houses and telecommunication facilities. On the other hand, the Enforcement Decree also stipulates various exceptions that exempt the building owners’ obligation to install reasonable accommodations based on several standards such as the size of floor area of the building, the number of accommodated persons, etc.</w:t>
      </w:r>
      <w:r>
        <w:rPr>
          <w:vertAlign w:val="superscript"/>
        </w:rPr>
        <w:footnoteReference w:id="15"/>
      </w:r>
      <w:r>
        <w:t xml:space="preserve"> It also excludes buildings </w:t>
      </w:r>
      <w:r>
        <w:lastRenderedPageBreak/>
        <w:t>that existed before the enforcement of the Enforcement Decree from obligation to install reasonable accommodation. As a result, persons with disabilities’ right to access public facilities that are essential to their living has been severely infringed.</w:t>
      </w:r>
    </w:p>
    <w:p w14:paraId="5CD003B8" w14:textId="77777777" w:rsidR="00C27DD9" w:rsidRDefault="00C27DD9" w:rsidP="00C27DD9">
      <w:pPr>
        <w:jc w:val="both"/>
      </w:pPr>
    </w:p>
    <w:p w14:paraId="332B9105" w14:textId="77777777" w:rsidR="00C27DD9" w:rsidRDefault="00C27DD9" w:rsidP="00C27DD9">
      <w:pPr>
        <w:numPr>
          <w:ilvl w:val="0"/>
          <w:numId w:val="1"/>
        </w:numPr>
        <w:pBdr>
          <w:top w:val="nil"/>
          <w:left w:val="nil"/>
          <w:bottom w:val="nil"/>
          <w:right w:val="nil"/>
          <w:between w:val="nil"/>
        </w:pBdr>
        <w:jc w:val="both"/>
      </w:pPr>
      <w:r>
        <w:t>Because the Government unjustly reduced the scope of applicable subjects of the mandatory installation of reasonable accommodation under the Convenience Act, a nationwide survey conducted in accordance with the Convenience Act on the status of reasonable accommodation for persons with disabilities to secure basic data for policies to vitalize reasonable accommodation does not truly represent the reality. Despite the Government’s response that the installation rate of reasonable accommodation reaches around 80.2% as of 2018, such number is inappropriate to serve as a standard to evaluate accessibility of all public facilities and workplaces because the survey was conducted by limiting the scope of the survey subject to buildings that are obliged to install reasonable accommodations as stipulated in the Convenience Act.</w:t>
      </w:r>
      <w:r>
        <w:rPr>
          <w:vertAlign w:val="superscript"/>
        </w:rPr>
        <w:footnoteReference w:id="16"/>
      </w:r>
    </w:p>
    <w:p w14:paraId="29674B3A" w14:textId="77777777" w:rsidR="00C27DD9" w:rsidRDefault="00C27DD9" w:rsidP="00C27DD9">
      <w:pPr>
        <w:jc w:val="both"/>
      </w:pPr>
    </w:p>
    <w:p w14:paraId="7ABDC4D0" w14:textId="77777777" w:rsidR="00C27DD9" w:rsidRDefault="00C27DD9" w:rsidP="00C27DD9">
      <w:pPr>
        <w:jc w:val="both"/>
        <w:rPr>
          <w:b/>
        </w:rPr>
      </w:pPr>
      <w:r>
        <w:rPr>
          <w:b/>
        </w:rPr>
        <w:t>Suggested recommendations</w:t>
      </w:r>
    </w:p>
    <w:p w14:paraId="5D344A1C" w14:textId="77777777" w:rsidR="00C27DD9" w:rsidRDefault="00C27DD9" w:rsidP="00C27DD9">
      <w:pPr>
        <w:jc w:val="both"/>
        <w:rPr>
          <w:b/>
        </w:rPr>
      </w:pPr>
    </w:p>
    <w:p w14:paraId="3A0BF967" w14:textId="77777777" w:rsidR="00C27DD9" w:rsidRDefault="00C27DD9" w:rsidP="00C27DD9">
      <w:pPr>
        <w:numPr>
          <w:ilvl w:val="0"/>
          <w:numId w:val="1"/>
        </w:numPr>
        <w:pBdr>
          <w:top w:val="nil"/>
          <w:left w:val="nil"/>
          <w:bottom w:val="nil"/>
          <w:right w:val="nil"/>
          <w:between w:val="nil"/>
        </w:pBdr>
        <w:jc w:val="both"/>
        <w:rPr>
          <w:b/>
        </w:rPr>
      </w:pPr>
      <w:r>
        <w:rPr>
          <w:b/>
        </w:rPr>
        <w:t xml:space="preserve">The Government should abolish the exceptions to the obligation to install reasonable accommodation stipulated in the Enforcement Decree of the Convenience Act, such as the building size and the year of construction. </w:t>
      </w:r>
    </w:p>
    <w:p w14:paraId="786BA71A" w14:textId="77777777" w:rsidR="00C27DD9" w:rsidRDefault="00C27DD9" w:rsidP="00C27DD9">
      <w:pPr>
        <w:numPr>
          <w:ilvl w:val="0"/>
          <w:numId w:val="1"/>
        </w:numPr>
        <w:pBdr>
          <w:top w:val="nil"/>
          <w:left w:val="nil"/>
          <w:bottom w:val="nil"/>
          <w:right w:val="nil"/>
          <w:between w:val="nil"/>
        </w:pBdr>
        <w:jc w:val="both"/>
        <w:rPr>
          <w:b/>
        </w:rPr>
      </w:pPr>
      <w:r>
        <w:rPr>
          <w:b/>
        </w:rPr>
        <w:t xml:space="preserve">The Government should revise and supplement its policy including installation of monitoring mechanisms to supervise whether accessibility-related laws apply to all public facilities and workplaces. </w:t>
      </w:r>
    </w:p>
    <w:p w14:paraId="54F6839C" w14:textId="77777777" w:rsidR="00C27DD9" w:rsidRDefault="00C27DD9" w:rsidP="00C27DD9">
      <w:pPr>
        <w:numPr>
          <w:ilvl w:val="0"/>
          <w:numId w:val="1"/>
        </w:numPr>
        <w:pBdr>
          <w:top w:val="nil"/>
          <w:left w:val="nil"/>
          <w:bottom w:val="nil"/>
          <w:right w:val="nil"/>
          <w:between w:val="nil"/>
        </w:pBdr>
        <w:jc w:val="both"/>
        <w:rPr>
          <w:b/>
        </w:rPr>
      </w:pPr>
      <w:r>
        <w:rPr>
          <w:b/>
        </w:rPr>
        <w:t>The Government should aggressively assist the swift passage of the bill</w:t>
      </w:r>
      <w:r>
        <w:rPr>
          <w:b/>
          <w:vertAlign w:val="superscript"/>
        </w:rPr>
        <w:footnoteReference w:id="17"/>
      </w:r>
      <w:r>
        <w:rPr>
          <w:b/>
        </w:rPr>
        <w:t xml:space="preserve"> currently tabled before the National Assembly to guarantee and promote the accessibility rights of persons with disabilities. </w:t>
      </w:r>
    </w:p>
    <w:p w14:paraId="1023D88F" w14:textId="77777777" w:rsidR="00C27DD9" w:rsidRDefault="00C27DD9" w:rsidP="00C27DD9">
      <w:pPr>
        <w:numPr>
          <w:ilvl w:val="0"/>
          <w:numId w:val="1"/>
        </w:numPr>
        <w:pBdr>
          <w:top w:val="nil"/>
          <w:left w:val="nil"/>
          <w:bottom w:val="nil"/>
          <w:right w:val="nil"/>
          <w:between w:val="nil"/>
        </w:pBdr>
        <w:jc w:val="both"/>
        <w:rPr>
          <w:b/>
        </w:rPr>
      </w:pPr>
      <w:r>
        <w:rPr>
          <w:b/>
        </w:rPr>
        <w:t xml:space="preserve">The Government should institutionalize financial assistance for installation of reasonable accommodation in all public facilities and workplaces, including establishment of a concrete policy plan to organize financial resources and detailed implementation plan. </w:t>
      </w:r>
    </w:p>
    <w:p w14:paraId="4A37941B" w14:textId="77777777" w:rsidR="00C27DD9" w:rsidRDefault="00C27DD9" w:rsidP="00C27DD9">
      <w:pPr>
        <w:pStyle w:val="2"/>
        <w:jc w:val="both"/>
        <w:rPr>
          <w:rFonts w:ascii="Arial" w:eastAsia="Arial" w:hAnsi="Arial" w:cs="Arial"/>
        </w:rPr>
      </w:pPr>
      <w:bookmarkStart w:id="10" w:name="_Toc109413391"/>
      <w:r>
        <w:rPr>
          <w:rFonts w:ascii="Arial" w:eastAsia="Arial" w:hAnsi="Arial" w:cs="Arial"/>
        </w:rPr>
        <w:t>G. Climate crisis and disability (art. 11, LOIPR para. 11)</w:t>
      </w:r>
      <w:bookmarkEnd w:id="10"/>
    </w:p>
    <w:p w14:paraId="5139A573" w14:textId="77777777" w:rsidR="00C27DD9" w:rsidRDefault="00C27DD9" w:rsidP="00C27DD9">
      <w:pPr>
        <w:jc w:val="both"/>
      </w:pPr>
    </w:p>
    <w:p w14:paraId="2B8D1E38" w14:textId="77777777" w:rsidR="00C27DD9" w:rsidRDefault="00C27DD9" w:rsidP="00C27DD9">
      <w:pPr>
        <w:numPr>
          <w:ilvl w:val="0"/>
          <w:numId w:val="1"/>
        </w:numPr>
        <w:pBdr>
          <w:top w:val="nil"/>
          <w:left w:val="nil"/>
          <w:bottom w:val="nil"/>
          <w:right w:val="nil"/>
          <w:between w:val="nil"/>
        </w:pBdr>
        <w:jc w:val="both"/>
      </w:pPr>
      <w:r>
        <w:lastRenderedPageBreak/>
        <w:t>In terms of disaster and safety management, the Government stated that it is preparing various countermeasures in consideration of the safety-vulnerables, including persons with disabilities</w:t>
      </w:r>
      <w:r>
        <w:rPr>
          <w:rFonts w:ascii="돋움" w:eastAsia="돋움" w:hAnsi="돋움" w:cs="돋움"/>
        </w:rPr>
        <w:t>.</w:t>
      </w:r>
      <w:r>
        <w:rPr>
          <w:rFonts w:ascii="돋움" w:eastAsia="돋움" w:hAnsi="돋움" w:cs="돋움"/>
          <w:vertAlign w:val="superscript"/>
        </w:rPr>
        <w:footnoteReference w:id="18"/>
      </w:r>
    </w:p>
    <w:p w14:paraId="5FCD2455" w14:textId="77777777" w:rsidR="00C27DD9" w:rsidRDefault="00C27DD9" w:rsidP="00C27DD9">
      <w:pPr>
        <w:jc w:val="both"/>
      </w:pPr>
    </w:p>
    <w:p w14:paraId="5BF7B07C" w14:textId="77777777" w:rsidR="00C27DD9" w:rsidRDefault="00C27DD9" w:rsidP="00C27DD9">
      <w:pPr>
        <w:numPr>
          <w:ilvl w:val="0"/>
          <w:numId w:val="1"/>
        </w:numPr>
        <w:pBdr>
          <w:top w:val="nil"/>
          <w:left w:val="nil"/>
          <w:bottom w:val="nil"/>
          <w:right w:val="nil"/>
          <w:between w:val="nil"/>
        </w:pBdr>
        <w:jc w:val="both"/>
      </w:pPr>
      <w:r>
        <w:t xml:space="preserve">However, the Government does not sufficiently consider persons with disabilities in its climate change policy. In the case of the climate crisis, countermeasures should be prepared to focus on changes in life caused by climate change, but in this process, people with disabilities who are vulnerable to climate change and their possible damages due to climate crisis are not sufficiently considered. Although the National Human Rights Commission of Korea conducted a fact-finding survey on the climate crisis and human rights in 2021, it did not include persons with disabilities while reviewing the damage and adaptation policies of the vulnerables to climate change. Various laws to respond to the climate crisis are being made. Although some of the vulnerable groups are mentioned in the process of making such laws, such dialogues mainly focus on the damage to industries and regions while its impacts on the persons with disabilities are not considered and the voices of persons with disabilities are not reflected in policy or law making procedures. </w:t>
      </w:r>
    </w:p>
    <w:p w14:paraId="483A7C8F" w14:textId="77777777" w:rsidR="00C27DD9" w:rsidRDefault="00C27DD9" w:rsidP="00C27DD9">
      <w:pPr>
        <w:pBdr>
          <w:top w:val="nil"/>
          <w:left w:val="nil"/>
          <w:bottom w:val="nil"/>
          <w:right w:val="nil"/>
          <w:between w:val="nil"/>
        </w:pBdr>
        <w:jc w:val="both"/>
        <w:rPr>
          <w:rFonts w:ascii="돋움" w:eastAsia="돋움" w:hAnsi="돋움" w:cs="돋움"/>
        </w:rPr>
      </w:pPr>
    </w:p>
    <w:p w14:paraId="06C948ED" w14:textId="77777777" w:rsidR="00C27DD9" w:rsidRDefault="00C27DD9" w:rsidP="00C27DD9">
      <w:pPr>
        <w:numPr>
          <w:ilvl w:val="0"/>
          <w:numId w:val="1"/>
        </w:numPr>
        <w:pBdr>
          <w:top w:val="nil"/>
          <w:left w:val="nil"/>
          <w:bottom w:val="nil"/>
          <w:right w:val="nil"/>
          <w:between w:val="nil"/>
        </w:pBdr>
        <w:jc w:val="both"/>
      </w:pPr>
      <w:r>
        <w:t>According to the Government’s Third National Climate Change Adaptation Measures (2021-2025), “Building a Climate Health Impact Assessment System” was suggested as a policy to prepare the basis for identifying the vulnerable groups of climate change (the elderly, persons with disabilities, pregnant women, children, etc.). Accordingly, the Government published the First Climate and Health Impact Assessment Result Report (2022), which investigated and assessed the impact of climate change on public health. In this evaluation, statistics were presented on areas such as heat waves, cold waves, air pollution, and the effects of infectious diseases caused by climate change, in categories of year, gender, age, and region. However, in this evaluation, no statistics or analysis were presented for persons with disabilities who are vulnerable to climate change.</w:t>
      </w:r>
    </w:p>
    <w:p w14:paraId="72FF70CE" w14:textId="77777777" w:rsidR="00C27DD9" w:rsidRDefault="00C27DD9" w:rsidP="00C27DD9">
      <w:pPr>
        <w:pBdr>
          <w:top w:val="nil"/>
          <w:left w:val="nil"/>
          <w:bottom w:val="nil"/>
          <w:right w:val="nil"/>
          <w:between w:val="nil"/>
        </w:pBdr>
        <w:ind w:left="720"/>
        <w:jc w:val="both"/>
      </w:pPr>
    </w:p>
    <w:p w14:paraId="4C977E54" w14:textId="77777777" w:rsidR="00C27DD9" w:rsidRDefault="00C27DD9" w:rsidP="00C27DD9">
      <w:pPr>
        <w:numPr>
          <w:ilvl w:val="0"/>
          <w:numId w:val="1"/>
        </w:numPr>
        <w:pBdr>
          <w:top w:val="nil"/>
          <w:left w:val="nil"/>
          <w:bottom w:val="nil"/>
          <w:right w:val="nil"/>
          <w:between w:val="nil"/>
        </w:pBdr>
        <w:jc w:val="both"/>
      </w:pPr>
      <w:r>
        <w:t>In the above National Climate Change Adaptation Measures, persons with disabilities were only mentioned in the "Residential environment improvement project for the vulnerables" as a support measure for climate change, and it is unclear whether various support measures for the vulnerables include persons with disabilities.</w:t>
      </w:r>
      <w:r>
        <w:rPr>
          <w:rFonts w:ascii="돋움" w:eastAsia="돋움" w:hAnsi="돋움" w:cs="돋움"/>
        </w:rPr>
        <w:t xml:space="preserve"> </w:t>
      </w:r>
    </w:p>
    <w:p w14:paraId="6AD64124" w14:textId="77777777" w:rsidR="00C27DD9" w:rsidRDefault="00C27DD9" w:rsidP="00C27DD9">
      <w:pPr>
        <w:pBdr>
          <w:top w:val="nil"/>
          <w:left w:val="nil"/>
          <w:bottom w:val="nil"/>
          <w:right w:val="nil"/>
          <w:between w:val="nil"/>
        </w:pBdr>
        <w:ind w:left="720"/>
        <w:jc w:val="both"/>
      </w:pPr>
    </w:p>
    <w:p w14:paraId="388E001C" w14:textId="77777777" w:rsidR="00C27DD9" w:rsidRDefault="00C27DD9" w:rsidP="00C27DD9">
      <w:pPr>
        <w:jc w:val="both"/>
      </w:pPr>
    </w:p>
    <w:p w14:paraId="3AA6F9BB" w14:textId="77777777" w:rsidR="00C27DD9" w:rsidRDefault="00C27DD9" w:rsidP="00C27DD9">
      <w:pPr>
        <w:jc w:val="both"/>
      </w:pPr>
      <w:r>
        <w:rPr>
          <w:b/>
        </w:rPr>
        <w:t>Suggested recommendations</w:t>
      </w:r>
    </w:p>
    <w:p w14:paraId="32C74051" w14:textId="77777777" w:rsidR="00C27DD9" w:rsidRDefault="00C27DD9" w:rsidP="00C27DD9">
      <w:pPr>
        <w:jc w:val="both"/>
      </w:pPr>
    </w:p>
    <w:p w14:paraId="20FB44E9" w14:textId="77777777" w:rsidR="00C27DD9" w:rsidRDefault="00C27DD9" w:rsidP="00C27DD9">
      <w:pPr>
        <w:numPr>
          <w:ilvl w:val="0"/>
          <w:numId w:val="1"/>
        </w:numPr>
        <w:pBdr>
          <w:top w:val="nil"/>
          <w:left w:val="nil"/>
          <w:bottom w:val="nil"/>
          <w:right w:val="nil"/>
          <w:between w:val="nil"/>
        </w:pBdr>
        <w:jc w:val="both"/>
        <w:rPr>
          <w:b/>
        </w:rPr>
      </w:pPr>
      <w:r>
        <w:rPr>
          <w:b/>
        </w:rPr>
        <w:t>The Government should explicitly include persons with disabilities in the vulnerable groups in its preparation of laws and policies in response to the climate crisis</w:t>
      </w:r>
      <w:r>
        <w:rPr>
          <w:rFonts w:ascii="돋움" w:eastAsia="돋움" w:hAnsi="돋움" w:cs="돋움"/>
          <w:b/>
        </w:rPr>
        <w:t>.</w:t>
      </w:r>
    </w:p>
    <w:p w14:paraId="628F5E2F" w14:textId="77777777" w:rsidR="00C27DD9" w:rsidRDefault="00C27DD9" w:rsidP="00C27DD9">
      <w:pPr>
        <w:numPr>
          <w:ilvl w:val="0"/>
          <w:numId w:val="1"/>
        </w:numPr>
        <w:pBdr>
          <w:top w:val="nil"/>
          <w:left w:val="nil"/>
          <w:bottom w:val="nil"/>
          <w:right w:val="nil"/>
          <w:between w:val="nil"/>
        </w:pBdr>
        <w:jc w:val="both"/>
        <w:rPr>
          <w:b/>
        </w:rPr>
      </w:pPr>
      <w:r>
        <w:rPr>
          <w:b/>
        </w:rPr>
        <w:t>For the next Climate Health Impact Assessment, the Government should investigate and evaluate the impact of climate change on the health of persons with disabilities.</w:t>
      </w:r>
    </w:p>
    <w:p w14:paraId="311D0C1D" w14:textId="77777777" w:rsidR="00C27DD9" w:rsidRDefault="00C27DD9" w:rsidP="00C27DD9">
      <w:pPr>
        <w:numPr>
          <w:ilvl w:val="0"/>
          <w:numId w:val="1"/>
        </w:numPr>
        <w:pBdr>
          <w:top w:val="nil"/>
          <w:left w:val="nil"/>
          <w:bottom w:val="nil"/>
          <w:right w:val="nil"/>
          <w:between w:val="nil"/>
        </w:pBdr>
        <w:jc w:val="both"/>
        <w:rPr>
          <w:b/>
        </w:rPr>
      </w:pPr>
      <w:r>
        <w:rPr>
          <w:b/>
        </w:rPr>
        <w:lastRenderedPageBreak/>
        <w:t xml:space="preserve">The Government should incorporate the disability perspective into national legislation, policy and programs in response to climate crisis and guarantee participation of persons with disabilities in policy-making and decision-making processes in this regard. </w:t>
      </w:r>
    </w:p>
    <w:p w14:paraId="4266829C" w14:textId="77777777" w:rsidR="00C27DD9" w:rsidRDefault="00C27DD9" w:rsidP="00C27DD9">
      <w:pPr>
        <w:numPr>
          <w:ilvl w:val="0"/>
          <w:numId w:val="1"/>
        </w:numPr>
        <w:pBdr>
          <w:top w:val="nil"/>
          <w:left w:val="nil"/>
          <w:bottom w:val="nil"/>
          <w:right w:val="nil"/>
          <w:between w:val="nil"/>
        </w:pBdr>
        <w:jc w:val="both"/>
        <w:rPr>
          <w:b/>
        </w:rPr>
      </w:pPr>
      <w:r>
        <w:rPr>
          <w:b/>
        </w:rPr>
        <w:t xml:space="preserve">The Government should raise awareness of people with disabilities on climate change and environmental health in relation to air quality and climate legislation and the right to the enjoyment of the highest attainable standard of health through education and media promotion. </w:t>
      </w:r>
    </w:p>
    <w:p w14:paraId="71AD7ED9" w14:textId="77777777" w:rsidR="00C27DD9" w:rsidRDefault="00C27DD9" w:rsidP="00C27DD9">
      <w:pPr>
        <w:pBdr>
          <w:top w:val="nil"/>
          <w:left w:val="nil"/>
          <w:bottom w:val="nil"/>
          <w:right w:val="nil"/>
          <w:between w:val="nil"/>
        </w:pBdr>
        <w:jc w:val="both"/>
        <w:rPr>
          <w:b/>
        </w:rPr>
      </w:pPr>
    </w:p>
    <w:p w14:paraId="27E8456B" w14:textId="77777777" w:rsidR="00C27DD9" w:rsidRDefault="00C27DD9" w:rsidP="00C27DD9">
      <w:pPr>
        <w:pStyle w:val="2"/>
        <w:jc w:val="both"/>
        <w:rPr>
          <w:rFonts w:ascii="Arial" w:eastAsia="Arial" w:hAnsi="Arial" w:cs="Arial"/>
        </w:rPr>
      </w:pPr>
      <w:bookmarkStart w:id="11" w:name="_Toc109413392"/>
      <w:r>
        <w:rPr>
          <w:rFonts w:ascii="Arial" w:eastAsia="Arial" w:hAnsi="Arial" w:cs="Arial"/>
        </w:rPr>
        <w:t>H. Legal Capacity of persons with psychosocial disabilities (art. 12, LOIPR paras. 12-a, 14-b)</w:t>
      </w:r>
      <w:bookmarkEnd w:id="11"/>
      <w:r>
        <w:rPr>
          <w:rFonts w:ascii="Arial" w:eastAsia="Arial" w:hAnsi="Arial" w:cs="Arial"/>
        </w:rPr>
        <w:t xml:space="preserve"> </w:t>
      </w:r>
    </w:p>
    <w:p w14:paraId="14BBD3A5" w14:textId="77777777" w:rsidR="00C27DD9" w:rsidRDefault="00C27DD9" w:rsidP="00C27DD9">
      <w:pPr>
        <w:jc w:val="both"/>
      </w:pPr>
    </w:p>
    <w:p w14:paraId="04B31625" w14:textId="77777777" w:rsidR="00C27DD9" w:rsidRDefault="00C27DD9" w:rsidP="00C27DD9">
      <w:pPr>
        <w:numPr>
          <w:ilvl w:val="0"/>
          <w:numId w:val="1"/>
        </w:numPr>
        <w:pBdr>
          <w:top w:val="nil"/>
          <w:left w:val="nil"/>
          <w:bottom w:val="nil"/>
          <w:right w:val="nil"/>
          <w:between w:val="nil"/>
        </w:pBdr>
        <w:jc w:val="both"/>
      </w:pPr>
      <w:r>
        <w:t>On move from substituted decision-making to supported decision-making, and on repeal of the adult guardianship system (LOIPR para. 12-a)</w:t>
      </w:r>
    </w:p>
    <w:p w14:paraId="65653B91" w14:textId="77777777" w:rsidR="00C27DD9" w:rsidRDefault="00C27DD9" w:rsidP="00C27DD9">
      <w:pPr>
        <w:numPr>
          <w:ilvl w:val="1"/>
          <w:numId w:val="1"/>
        </w:numPr>
        <w:pBdr>
          <w:top w:val="nil"/>
          <w:left w:val="nil"/>
          <w:bottom w:val="nil"/>
          <w:right w:val="nil"/>
          <w:between w:val="nil"/>
        </w:pBdr>
        <w:jc w:val="both"/>
      </w:pPr>
      <w:r>
        <w:t xml:space="preserve">There is no governmental level effort to establish a supported decision-making system, such as the Advance Statement. And Contract Guardianship, which is similar to the supported decision-making system, is barely used.  </w:t>
      </w:r>
    </w:p>
    <w:p w14:paraId="77AB175E" w14:textId="643F213C" w:rsidR="00C27DD9" w:rsidRDefault="00C27DD9" w:rsidP="00C27DD9">
      <w:pPr>
        <w:numPr>
          <w:ilvl w:val="1"/>
          <w:numId w:val="1"/>
        </w:numPr>
        <w:pBdr>
          <w:top w:val="nil"/>
          <w:left w:val="nil"/>
          <w:bottom w:val="nil"/>
          <w:right w:val="nil"/>
          <w:between w:val="nil"/>
        </w:pBdr>
        <w:jc w:val="both"/>
      </w:pPr>
      <w:r>
        <w:t>The basic principle of Korea’s Adult Guardianship System is the ward’s “best interest,” going against article 12 of the CRPD which is based on the “best preference or will” of the ward. Also, Adult Guardianship can be considered as a “plenary guardianship” which fully restricts the person’s legal capacity and grants the guardian with comprehensive rights to cancellation and representation. Such adult guardianship consumes the absolute majority of about 80% out of all guardianship system</w:t>
      </w:r>
      <w:r w:rsidR="006C2E12">
        <w:rPr>
          <w:rFonts w:eastAsiaTheme="minorEastAsia"/>
        </w:rPr>
        <w:t>s.</w:t>
      </w:r>
      <w:r>
        <w:rPr>
          <w:rFonts w:ascii="돋움" w:eastAsia="돋움" w:hAnsi="돋움" w:cs="돋움"/>
          <w:vertAlign w:val="superscript"/>
        </w:rPr>
        <w:footnoteReference w:id="19"/>
      </w:r>
      <w:r>
        <w:t xml:space="preserve"> Furthermore, once the guardianship is commenced, it continues practically until death since “cease of mental restriction” is the only cause of termination of the Adult Guardianship or Limited Guardianship. In practice, the ward’s will or opinion would not be reflected in the court’s decision-making process of commencement of guardianship and the appointment of a guardian. </w:t>
      </w:r>
    </w:p>
    <w:p w14:paraId="79AC6E5A" w14:textId="39109637" w:rsidR="00C27DD9" w:rsidRDefault="00C27DD9" w:rsidP="00C27DD9">
      <w:pPr>
        <w:numPr>
          <w:ilvl w:val="1"/>
          <w:numId w:val="1"/>
        </w:numPr>
        <w:pBdr>
          <w:top w:val="nil"/>
          <w:left w:val="nil"/>
          <w:bottom w:val="nil"/>
          <w:right w:val="nil"/>
          <w:between w:val="nil"/>
        </w:pBdr>
        <w:jc w:val="both"/>
      </w:pPr>
      <w:r>
        <w:t>Also, there are “disqualifying legal provisions” in approximately 300 laws that disqualify any person who is subjected to the Adult Guardianship or Limited Guardianship commencement, from license, business, employment, executive qualifications, etc. However, the Government only plans to abolish disqualifying legal provisions of wards under Limited Guardianship first, while maintaining the provision on wards under Adult Guardianship. The provisions that stipulate a person under Limited Guardianship as a disqualifying reason for social worker and a person under Adult Guardianship as a reason for absolute retirement from civil servant are currently being challenged before the Constitutional Court.</w:t>
      </w:r>
      <w:r>
        <w:rPr>
          <w:vertAlign w:val="superscript"/>
        </w:rPr>
        <w:footnoteReference w:id="20"/>
      </w:r>
    </w:p>
    <w:p w14:paraId="6712609D" w14:textId="77777777" w:rsidR="00C27DD9" w:rsidRDefault="00C27DD9" w:rsidP="00C27DD9">
      <w:pPr>
        <w:jc w:val="both"/>
      </w:pPr>
    </w:p>
    <w:p w14:paraId="471152DB" w14:textId="77777777" w:rsidR="00C27DD9" w:rsidRDefault="00C27DD9" w:rsidP="00C27DD9">
      <w:pPr>
        <w:numPr>
          <w:ilvl w:val="0"/>
          <w:numId w:val="1"/>
        </w:numPr>
        <w:pBdr>
          <w:top w:val="nil"/>
          <w:left w:val="nil"/>
          <w:bottom w:val="nil"/>
          <w:right w:val="nil"/>
          <w:between w:val="nil"/>
        </w:pBdr>
        <w:jc w:val="both"/>
      </w:pPr>
      <w:r>
        <w:lastRenderedPageBreak/>
        <w:t>On measures to ensure that health-care services, including all mental health-care services are based on the free and informed consent of the person concerned (LOIPR para. 14-b)</w:t>
      </w:r>
    </w:p>
    <w:p w14:paraId="7EA48401" w14:textId="77777777" w:rsidR="00C27DD9" w:rsidRDefault="00C27DD9" w:rsidP="00C27DD9">
      <w:pPr>
        <w:numPr>
          <w:ilvl w:val="1"/>
          <w:numId w:val="1"/>
        </w:numPr>
        <w:pBdr>
          <w:top w:val="nil"/>
          <w:left w:val="nil"/>
          <w:bottom w:val="nil"/>
          <w:right w:val="nil"/>
          <w:between w:val="nil"/>
        </w:pBdr>
        <w:jc w:val="both"/>
      </w:pPr>
      <w:r>
        <w:t>Government-operated public guardianship program for unaccompanied persons with psychological disabilities who have been hospitalized for a long time at mental care facilities only focuses on enabling them to prolong their lives in the institutions, even under the newly amended Mental Health Welfare Act. Hence, persons with psychological disabilities continue to live in mental care facilities through consent on hospitalization by public guardians or guardians and no assistance on deinstitutionalization and independent living has been made.</w:t>
      </w:r>
    </w:p>
    <w:p w14:paraId="08692283" w14:textId="77777777" w:rsidR="00C27DD9" w:rsidRDefault="00C27DD9" w:rsidP="00C27DD9">
      <w:pPr>
        <w:numPr>
          <w:ilvl w:val="1"/>
          <w:numId w:val="1"/>
        </w:numPr>
        <w:pBdr>
          <w:top w:val="nil"/>
          <w:left w:val="nil"/>
          <w:bottom w:val="nil"/>
          <w:right w:val="nil"/>
          <w:between w:val="nil"/>
        </w:pBdr>
        <w:jc w:val="both"/>
      </w:pPr>
      <w:r>
        <w:t xml:space="preserve">The program tried to consider rights advocacy and decision-making assistance by appointing representative legal entities that actively work on human rights protection of persons with psychological disabilities as public guardians. However it is limited in that the basic purpose of the program is long-term institutionalization at mental care facilities. </w:t>
      </w:r>
    </w:p>
    <w:p w14:paraId="445DB0B7" w14:textId="77777777" w:rsidR="00C27DD9" w:rsidRDefault="00C27DD9" w:rsidP="00C27DD9">
      <w:pPr>
        <w:numPr>
          <w:ilvl w:val="1"/>
          <w:numId w:val="1"/>
        </w:numPr>
        <w:pBdr>
          <w:top w:val="nil"/>
          <w:left w:val="nil"/>
          <w:bottom w:val="nil"/>
          <w:right w:val="nil"/>
          <w:between w:val="nil"/>
        </w:pBdr>
        <w:jc w:val="both"/>
      </w:pPr>
      <w:r>
        <w:t>Procedural support program for persons with psychological disabilities who are hospitalized in psychiatric hospitals and care facilities was only conducted as a pilot program and has not been expanded.</w:t>
      </w:r>
    </w:p>
    <w:p w14:paraId="59512E00" w14:textId="77777777" w:rsidR="00C27DD9" w:rsidRDefault="00C27DD9" w:rsidP="00C27DD9">
      <w:pPr>
        <w:jc w:val="both"/>
      </w:pPr>
    </w:p>
    <w:p w14:paraId="1A5EA7D2" w14:textId="53B7AD69" w:rsidR="00C27DD9" w:rsidRDefault="00C27DD9" w:rsidP="00C27DD9">
      <w:pPr>
        <w:spacing w:before="240" w:after="240"/>
        <w:jc w:val="both"/>
        <w:rPr>
          <w:b/>
        </w:rPr>
      </w:pPr>
      <w:r>
        <w:t>Stati</w:t>
      </w:r>
      <w:r w:rsidR="006C2E12">
        <w:rPr>
          <w:rFonts w:eastAsiaTheme="minorEastAsia"/>
        </w:rPr>
        <w:t>sti</w:t>
      </w:r>
      <w:r>
        <w:t>cs: 2014-2020 Usage of South Korea Adult Guardianship System</w:t>
      </w:r>
      <w:r>
        <w:rPr>
          <w:vertAlign w:val="superscript"/>
        </w:rPr>
        <w:footnoteReference w:id="21"/>
      </w:r>
    </w:p>
    <w:tbl>
      <w:tblPr>
        <w:tblW w:w="9270" w:type="dxa"/>
        <w:tblBorders>
          <w:top w:val="nil"/>
          <w:left w:val="nil"/>
          <w:bottom w:val="nil"/>
          <w:right w:val="nil"/>
          <w:insideH w:val="nil"/>
          <w:insideV w:val="nil"/>
        </w:tblBorders>
        <w:tblLayout w:type="fixed"/>
        <w:tblLook w:val="0600" w:firstRow="0" w:lastRow="0" w:firstColumn="0" w:lastColumn="0" w:noHBand="1" w:noVBand="1"/>
      </w:tblPr>
      <w:tblGrid>
        <w:gridCol w:w="1455"/>
        <w:gridCol w:w="1125"/>
        <w:gridCol w:w="1635"/>
        <w:gridCol w:w="1575"/>
        <w:gridCol w:w="1710"/>
        <w:gridCol w:w="1770"/>
      </w:tblGrid>
      <w:tr w:rsidR="00C27DD9" w14:paraId="4F0B3239" w14:textId="77777777" w:rsidTr="002E634C">
        <w:trPr>
          <w:trHeight w:val="1211"/>
        </w:trPr>
        <w:tc>
          <w:tcPr>
            <w:tcW w:w="14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58D365" w14:textId="77777777" w:rsidR="00C27DD9" w:rsidRDefault="00C27DD9" w:rsidP="00C27DD9">
            <w:pPr>
              <w:spacing w:before="240" w:after="240"/>
              <w:jc w:val="both"/>
            </w:pPr>
            <w:r>
              <w:t>Type</w:t>
            </w:r>
          </w:p>
          <w:p w14:paraId="36B294B2" w14:textId="77777777" w:rsidR="00C27DD9" w:rsidRDefault="00C27DD9" w:rsidP="00C27DD9">
            <w:pPr>
              <w:spacing w:before="240" w:after="240"/>
              <w:jc w:val="both"/>
            </w:pPr>
            <w:r>
              <w:t>Year</w:t>
            </w:r>
          </w:p>
        </w:tc>
        <w:tc>
          <w:tcPr>
            <w:tcW w:w="112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FF43AE" w14:textId="77777777" w:rsidR="00C27DD9" w:rsidRDefault="00C27DD9" w:rsidP="00C27DD9">
            <w:pPr>
              <w:spacing w:before="240" w:after="240"/>
              <w:jc w:val="both"/>
            </w:pPr>
            <w:r>
              <w:t>Total</w:t>
            </w:r>
          </w:p>
        </w:tc>
        <w:tc>
          <w:tcPr>
            <w:tcW w:w="163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AD4744F" w14:textId="77777777" w:rsidR="00C27DD9" w:rsidRDefault="00C27DD9" w:rsidP="00C27DD9">
            <w:pPr>
              <w:spacing w:before="240" w:after="240"/>
              <w:jc w:val="both"/>
            </w:pPr>
            <w:r>
              <w:t>Adult Guardianship</w:t>
            </w:r>
          </w:p>
        </w:tc>
        <w:tc>
          <w:tcPr>
            <w:tcW w:w="157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37EA530" w14:textId="77777777" w:rsidR="00C27DD9" w:rsidRDefault="00C27DD9" w:rsidP="00C27DD9">
            <w:pPr>
              <w:spacing w:before="240" w:after="240"/>
              <w:jc w:val="both"/>
            </w:pPr>
            <w:r>
              <w:t>Limited Guardianship</w:t>
            </w:r>
          </w:p>
        </w:tc>
        <w:tc>
          <w:tcPr>
            <w:tcW w:w="171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C93D589" w14:textId="77777777" w:rsidR="00C27DD9" w:rsidRDefault="00C27DD9" w:rsidP="00C27DD9">
            <w:pPr>
              <w:spacing w:before="240" w:after="240"/>
              <w:jc w:val="both"/>
            </w:pPr>
            <w:r>
              <w:t>Specific Guardianship</w:t>
            </w:r>
            <w:r>
              <w:rPr>
                <w:vertAlign w:val="superscript"/>
              </w:rPr>
              <w:footnoteReference w:id="22"/>
            </w:r>
          </w:p>
        </w:tc>
        <w:tc>
          <w:tcPr>
            <w:tcW w:w="17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E73E453" w14:textId="77777777" w:rsidR="00C27DD9" w:rsidRDefault="00C27DD9" w:rsidP="00C27DD9">
            <w:pPr>
              <w:spacing w:before="240" w:after="240"/>
              <w:jc w:val="both"/>
            </w:pPr>
            <w:r>
              <w:t>Contract Guardianship</w:t>
            </w:r>
            <w:r>
              <w:rPr>
                <w:vertAlign w:val="superscript"/>
              </w:rPr>
              <w:footnoteReference w:id="23"/>
            </w:r>
          </w:p>
        </w:tc>
      </w:tr>
      <w:tr w:rsidR="00C27DD9" w14:paraId="22443DDA" w14:textId="77777777" w:rsidTr="002E634C">
        <w:trPr>
          <w:trHeight w:val="725"/>
        </w:trPr>
        <w:tc>
          <w:tcPr>
            <w:tcW w:w="145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B928806" w14:textId="77777777" w:rsidR="00C27DD9" w:rsidRDefault="00C27DD9" w:rsidP="00C27DD9">
            <w:pPr>
              <w:spacing w:before="240" w:after="240"/>
              <w:jc w:val="both"/>
            </w:pPr>
            <w:r>
              <w:t>2014-2020</w:t>
            </w:r>
          </w:p>
        </w:tc>
        <w:tc>
          <w:tcPr>
            <w:tcW w:w="1125" w:type="dxa"/>
            <w:tcBorders>
              <w:top w:val="nil"/>
              <w:left w:val="nil"/>
              <w:bottom w:val="single" w:sz="8" w:space="0" w:color="000000"/>
              <w:right w:val="single" w:sz="8" w:space="0" w:color="000000"/>
            </w:tcBorders>
            <w:tcMar>
              <w:top w:w="100" w:type="dxa"/>
              <w:left w:w="100" w:type="dxa"/>
              <w:bottom w:w="100" w:type="dxa"/>
              <w:right w:w="100" w:type="dxa"/>
            </w:tcMar>
          </w:tcPr>
          <w:p w14:paraId="3F794DC8" w14:textId="77777777" w:rsidR="00C27DD9" w:rsidRDefault="00C27DD9" w:rsidP="00C27DD9">
            <w:pPr>
              <w:spacing w:before="240" w:after="240"/>
              <w:jc w:val="both"/>
            </w:pPr>
            <w:r>
              <w:t>20,811</w:t>
            </w:r>
          </w:p>
        </w:tc>
        <w:tc>
          <w:tcPr>
            <w:tcW w:w="1635" w:type="dxa"/>
            <w:tcBorders>
              <w:top w:val="nil"/>
              <w:left w:val="nil"/>
              <w:bottom w:val="single" w:sz="8" w:space="0" w:color="000000"/>
              <w:right w:val="single" w:sz="8" w:space="0" w:color="000000"/>
            </w:tcBorders>
            <w:tcMar>
              <w:top w:w="100" w:type="dxa"/>
              <w:left w:w="100" w:type="dxa"/>
              <w:bottom w:w="100" w:type="dxa"/>
              <w:right w:w="100" w:type="dxa"/>
            </w:tcMar>
          </w:tcPr>
          <w:p w14:paraId="2BA9D862" w14:textId="77777777" w:rsidR="00C27DD9" w:rsidRDefault="00C27DD9" w:rsidP="00C27DD9">
            <w:pPr>
              <w:spacing w:before="240" w:after="240"/>
              <w:jc w:val="both"/>
            </w:pPr>
            <w:r>
              <w:t>16,504(79%)</w:t>
            </w:r>
          </w:p>
        </w:tc>
        <w:tc>
          <w:tcPr>
            <w:tcW w:w="1575" w:type="dxa"/>
            <w:tcBorders>
              <w:top w:val="nil"/>
              <w:left w:val="nil"/>
              <w:bottom w:val="single" w:sz="8" w:space="0" w:color="000000"/>
              <w:right w:val="single" w:sz="8" w:space="0" w:color="000000"/>
            </w:tcBorders>
            <w:tcMar>
              <w:top w:w="100" w:type="dxa"/>
              <w:left w:w="100" w:type="dxa"/>
              <w:bottom w:w="100" w:type="dxa"/>
              <w:right w:w="100" w:type="dxa"/>
            </w:tcMar>
          </w:tcPr>
          <w:p w14:paraId="2DDF0291" w14:textId="77777777" w:rsidR="00C27DD9" w:rsidRDefault="00C27DD9" w:rsidP="00C27DD9">
            <w:pPr>
              <w:spacing w:before="240" w:after="240"/>
              <w:jc w:val="both"/>
            </w:pPr>
            <w:r>
              <w:t>2,049(9.8%)</w:t>
            </w:r>
          </w:p>
        </w:tc>
        <w:tc>
          <w:tcPr>
            <w:tcW w:w="1710" w:type="dxa"/>
            <w:tcBorders>
              <w:top w:val="nil"/>
              <w:left w:val="nil"/>
              <w:bottom w:val="single" w:sz="8" w:space="0" w:color="000000"/>
              <w:right w:val="single" w:sz="8" w:space="0" w:color="000000"/>
            </w:tcBorders>
            <w:tcMar>
              <w:top w:w="100" w:type="dxa"/>
              <w:left w:w="100" w:type="dxa"/>
              <w:bottom w:w="100" w:type="dxa"/>
              <w:right w:w="100" w:type="dxa"/>
            </w:tcMar>
          </w:tcPr>
          <w:p w14:paraId="5F723BC8" w14:textId="77777777" w:rsidR="00C27DD9" w:rsidRDefault="00C27DD9" w:rsidP="00C27DD9">
            <w:pPr>
              <w:spacing w:before="240" w:after="240"/>
              <w:jc w:val="both"/>
            </w:pPr>
            <w:r>
              <w:t>2,243(10%)</w:t>
            </w:r>
          </w:p>
        </w:tc>
        <w:tc>
          <w:tcPr>
            <w:tcW w:w="1770" w:type="dxa"/>
            <w:tcBorders>
              <w:top w:val="nil"/>
              <w:left w:val="nil"/>
              <w:bottom w:val="single" w:sz="8" w:space="0" w:color="000000"/>
              <w:right w:val="single" w:sz="8" w:space="0" w:color="000000"/>
            </w:tcBorders>
            <w:tcMar>
              <w:top w:w="100" w:type="dxa"/>
              <w:left w:w="100" w:type="dxa"/>
              <w:bottom w:w="100" w:type="dxa"/>
              <w:right w:w="100" w:type="dxa"/>
            </w:tcMar>
          </w:tcPr>
          <w:p w14:paraId="3C6C4FF5" w14:textId="77777777" w:rsidR="00C27DD9" w:rsidRDefault="00C27DD9" w:rsidP="00C27DD9">
            <w:pPr>
              <w:spacing w:before="240" w:after="240"/>
              <w:jc w:val="both"/>
            </w:pPr>
            <w:r>
              <w:t>15</w:t>
            </w:r>
          </w:p>
        </w:tc>
      </w:tr>
    </w:tbl>
    <w:p w14:paraId="2F05917D" w14:textId="77777777" w:rsidR="00C27DD9" w:rsidRDefault="00C27DD9" w:rsidP="00C27DD9">
      <w:pPr>
        <w:jc w:val="both"/>
      </w:pPr>
    </w:p>
    <w:p w14:paraId="03AB3238" w14:textId="77777777" w:rsidR="00C27DD9" w:rsidRDefault="00C27DD9" w:rsidP="00C27DD9">
      <w:pPr>
        <w:jc w:val="both"/>
      </w:pPr>
      <w:r>
        <w:rPr>
          <w:noProof/>
        </w:rPr>
        <w:lastRenderedPageBreak/>
        <w:drawing>
          <wp:inline distT="114300" distB="114300" distL="114300" distR="114300" wp14:anchorId="23BE37BB" wp14:editId="536CD288">
            <wp:extent cx="5731200" cy="45847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a:stretch>
                      <a:fillRect/>
                    </a:stretch>
                  </pic:blipFill>
                  <pic:spPr>
                    <a:xfrm>
                      <a:off x="0" y="0"/>
                      <a:ext cx="5731200" cy="4584700"/>
                    </a:xfrm>
                    <a:prstGeom prst="rect">
                      <a:avLst/>
                    </a:prstGeom>
                    <a:ln/>
                  </pic:spPr>
                </pic:pic>
              </a:graphicData>
            </a:graphic>
          </wp:inline>
        </w:drawing>
      </w:r>
    </w:p>
    <w:p w14:paraId="59B23E99" w14:textId="77777777" w:rsidR="00C27DD9" w:rsidRDefault="00C27DD9" w:rsidP="00C27DD9">
      <w:pPr>
        <w:jc w:val="both"/>
      </w:pPr>
    </w:p>
    <w:p w14:paraId="26184C86" w14:textId="77777777" w:rsidR="00C27DD9" w:rsidRDefault="00C27DD9" w:rsidP="00C27DD9">
      <w:pPr>
        <w:jc w:val="both"/>
        <w:rPr>
          <w:b/>
        </w:rPr>
      </w:pPr>
      <w:r>
        <w:rPr>
          <w:b/>
        </w:rPr>
        <w:t>Suggested recommendations</w:t>
      </w:r>
    </w:p>
    <w:p w14:paraId="0D3C7B76" w14:textId="77777777" w:rsidR="00C27DD9" w:rsidRDefault="00C27DD9" w:rsidP="00C27DD9">
      <w:pPr>
        <w:jc w:val="both"/>
        <w:rPr>
          <w:b/>
        </w:rPr>
      </w:pPr>
    </w:p>
    <w:p w14:paraId="64591BFB" w14:textId="77777777" w:rsidR="00C27DD9" w:rsidRDefault="00C27DD9" w:rsidP="00C27DD9">
      <w:pPr>
        <w:numPr>
          <w:ilvl w:val="0"/>
          <w:numId w:val="1"/>
        </w:numPr>
        <w:pBdr>
          <w:top w:val="nil"/>
          <w:left w:val="nil"/>
          <w:bottom w:val="nil"/>
          <w:right w:val="nil"/>
          <w:between w:val="nil"/>
        </w:pBdr>
        <w:jc w:val="both"/>
        <w:rPr>
          <w:b/>
        </w:rPr>
      </w:pPr>
      <w:r>
        <w:rPr>
          <w:b/>
        </w:rPr>
        <w:t xml:space="preserve">The Government should abolish the Adult Guardianship System, which operates as a Substitute Decision-Making System and implement a Supported Decision-Making System that works in the best will and preference of the persons with disabilities in respect of their own legal capacity. </w:t>
      </w:r>
    </w:p>
    <w:p w14:paraId="49935C47" w14:textId="77777777" w:rsidR="00C27DD9" w:rsidRDefault="00C27DD9" w:rsidP="00C27DD9">
      <w:pPr>
        <w:numPr>
          <w:ilvl w:val="0"/>
          <w:numId w:val="1"/>
        </w:numPr>
        <w:pBdr>
          <w:top w:val="nil"/>
          <w:left w:val="nil"/>
          <w:bottom w:val="nil"/>
          <w:right w:val="nil"/>
          <w:between w:val="nil"/>
        </w:pBdr>
        <w:jc w:val="both"/>
        <w:rPr>
          <w:b/>
        </w:rPr>
      </w:pPr>
      <w:r>
        <w:rPr>
          <w:b/>
        </w:rPr>
        <w:t>As a supported decision-making system, the Government should establish policy to vitalize Advance Statement and Voluntary Guardianship.</w:t>
      </w:r>
    </w:p>
    <w:p w14:paraId="3547DF71" w14:textId="77777777" w:rsidR="00C27DD9" w:rsidRDefault="00C27DD9" w:rsidP="00C27DD9">
      <w:pPr>
        <w:numPr>
          <w:ilvl w:val="0"/>
          <w:numId w:val="1"/>
        </w:numPr>
        <w:pBdr>
          <w:top w:val="nil"/>
          <w:left w:val="nil"/>
          <w:bottom w:val="nil"/>
          <w:right w:val="nil"/>
          <w:between w:val="nil"/>
        </w:pBdr>
        <w:jc w:val="both"/>
        <w:rPr>
          <w:b/>
        </w:rPr>
      </w:pPr>
      <w:r>
        <w:rPr>
          <w:b/>
        </w:rPr>
        <w:t>The Government should establish a variety of reasons for termination of guardianship, and establish a period of time for guardianship during which guardianship will last, so that guardianship can be terminated at any time when guardianship is no longer required.</w:t>
      </w:r>
    </w:p>
    <w:p w14:paraId="2153CF1D" w14:textId="77777777" w:rsidR="00C27DD9" w:rsidRDefault="00C27DD9" w:rsidP="00C27DD9">
      <w:pPr>
        <w:numPr>
          <w:ilvl w:val="0"/>
          <w:numId w:val="1"/>
        </w:numPr>
        <w:pBdr>
          <w:top w:val="nil"/>
          <w:left w:val="nil"/>
          <w:bottom w:val="nil"/>
          <w:right w:val="nil"/>
          <w:between w:val="nil"/>
        </w:pBdr>
        <w:jc w:val="both"/>
        <w:rPr>
          <w:b/>
        </w:rPr>
      </w:pPr>
      <w:r>
        <w:rPr>
          <w:b/>
        </w:rPr>
        <w:t>The Government should immediately abolish the “disqualifying legal provisions.”</w:t>
      </w:r>
    </w:p>
    <w:p w14:paraId="273D55F1" w14:textId="77777777" w:rsidR="00C27DD9" w:rsidRDefault="00C27DD9" w:rsidP="00C27DD9">
      <w:pPr>
        <w:numPr>
          <w:ilvl w:val="0"/>
          <w:numId w:val="1"/>
        </w:numPr>
        <w:pBdr>
          <w:top w:val="nil"/>
          <w:left w:val="nil"/>
          <w:bottom w:val="nil"/>
          <w:right w:val="nil"/>
          <w:between w:val="nil"/>
        </w:pBdr>
        <w:jc w:val="both"/>
        <w:rPr>
          <w:b/>
        </w:rPr>
      </w:pPr>
      <w:r>
        <w:rPr>
          <w:b/>
        </w:rPr>
        <w:t>The Government should reform the Public Guardianship program in a way to support decision-making of persons with psychological disabilities.</w:t>
      </w:r>
    </w:p>
    <w:p w14:paraId="7716C02F" w14:textId="77777777" w:rsidR="00C27DD9" w:rsidRDefault="00C27DD9" w:rsidP="00C27DD9">
      <w:pPr>
        <w:jc w:val="both"/>
        <w:rPr>
          <w:b/>
        </w:rPr>
      </w:pPr>
    </w:p>
    <w:p w14:paraId="3ED7CFC6" w14:textId="77777777" w:rsidR="00C27DD9" w:rsidRDefault="00C27DD9" w:rsidP="00C27DD9">
      <w:pPr>
        <w:pStyle w:val="2"/>
        <w:jc w:val="both"/>
        <w:rPr>
          <w:rFonts w:ascii="Arial" w:eastAsia="Arial" w:hAnsi="Arial" w:cs="Arial"/>
        </w:rPr>
      </w:pPr>
      <w:bookmarkStart w:id="12" w:name="_Toc109413393"/>
      <w:r>
        <w:rPr>
          <w:rFonts w:ascii="Arial" w:eastAsia="Arial" w:hAnsi="Arial" w:cs="Arial"/>
        </w:rPr>
        <w:lastRenderedPageBreak/>
        <w:t>I. Effective implementation of article 26 of the Disability Non-discrimination Act (Prohibition of discrimination in providing judicial and administrative procedures and services)(Art. 13, LOIPR para. 13-a)</w:t>
      </w:r>
      <w:bookmarkEnd w:id="12"/>
      <w:r>
        <w:rPr>
          <w:rFonts w:ascii="Arial" w:eastAsia="Arial" w:hAnsi="Arial" w:cs="Arial"/>
        </w:rPr>
        <w:t xml:space="preserve"> </w:t>
      </w:r>
    </w:p>
    <w:p w14:paraId="784AACC7" w14:textId="77777777" w:rsidR="00C27DD9" w:rsidRDefault="00C27DD9" w:rsidP="00C27DD9">
      <w:pPr>
        <w:jc w:val="both"/>
      </w:pPr>
    </w:p>
    <w:p w14:paraId="63D343EE" w14:textId="77777777" w:rsidR="00C27DD9" w:rsidRDefault="00C27DD9" w:rsidP="00C27DD9">
      <w:pPr>
        <w:numPr>
          <w:ilvl w:val="0"/>
          <w:numId w:val="1"/>
        </w:numPr>
        <w:pBdr>
          <w:top w:val="nil"/>
          <w:left w:val="nil"/>
          <w:bottom w:val="nil"/>
          <w:right w:val="nil"/>
          <w:between w:val="nil"/>
        </w:pBdr>
        <w:jc w:val="both"/>
      </w:pPr>
      <w:r>
        <w:t>Notwithstanding Article 26, Paragraph 6,</w:t>
      </w:r>
      <w:r>
        <w:rPr>
          <w:vertAlign w:val="superscript"/>
        </w:rPr>
        <w:footnoteReference w:id="24"/>
      </w:r>
      <w:r>
        <w:t xml:space="preserve"> of the Disability Non-discrimination Act, the judicial institutions do not provide information that persons with disabilities may receive assistance and specific details of such assistance to persons with disabilities who experience difficulty communicating or expressing their opinions in criminal justice procedures. The most widely used assistance by persons with disabilities in criminal procedures would be the presence of a person who has a reliable relationship with the suspect with disabilities. Article 244-5 of the Criminal Procedure Act stipulates that if a criminal suspect has difficulty in communication, a prosecutor or a senior judicial police officer may allow a person who has a reliable relationship with the suspect to sit in company with the suspect. But, in reality, investigations are conducted without the presence of a reliable person.</w:t>
      </w:r>
      <w:r>
        <w:rPr>
          <w:vertAlign w:val="superscript"/>
        </w:rPr>
        <w:footnoteReference w:id="25"/>
      </w:r>
      <w:r>
        <w:t xml:space="preserve"> In addition, except for some special cases in criminal proceedings, there is no system to assist the testimonies of persons with psychological disabilities. </w:t>
      </w:r>
    </w:p>
    <w:p w14:paraId="3AE1E232" w14:textId="77777777" w:rsidR="00C27DD9" w:rsidRDefault="00C27DD9" w:rsidP="00C27DD9">
      <w:pPr>
        <w:pBdr>
          <w:top w:val="nil"/>
          <w:left w:val="nil"/>
          <w:bottom w:val="nil"/>
          <w:right w:val="nil"/>
          <w:between w:val="nil"/>
        </w:pBdr>
        <w:jc w:val="both"/>
      </w:pPr>
    </w:p>
    <w:p w14:paraId="06AF5EC0" w14:textId="77777777" w:rsidR="00C27DD9" w:rsidRDefault="00C27DD9" w:rsidP="00C27DD9">
      <w:pPr>
        <w:numPr>
          <w:ilvl w:val="0"/>
          <w:numId w:val="1"/>
        </w:numPr>
        <w:pBdr>
          <w:top w:val="nil"/>
          <w:left w:val="nil"/>
          <w:bottom w:val="nil"/>
          <w:right w:val="nil"/>
          <w:between w:val="nil"/>
        </w:pBdr>
        <w:jc w:val="both"/>
      </w:pPr>
      <w:r>
        <w:t>The Act on Guarantee of Rights of and Support for Persons with Developmental Disabilities requires the Prosecutor General and the Commissioner General of the Korean National Police Agency to authorize prosecutors and police officers exclusively in charge of persons with developmental disabilities.</w:t>
      </w:r>
      <w:r>
        <w:rPr>
          <w:vertAlign w:val="superscript"/>
        </w:rPr>
        <w:footnoteReference w:id="26"/>
      </w:r>
      <w:r>
        <w:t xml:space="preserve"> However, criminal cases concerning persons with developmental or autistic disabilities are often not assigned to them. According to data released by the National Police Agency, as of 2021, there were 1,009 judicial police officers authorized as exclusively in charge of cases of persons with developmental disabilities and they handled 1,653 cases (1,448 victims and 205 suspects), meaning that one police officer handled just 1.6 cases. According to data released by the Supreme Prosecutors' Office, as of 2021, there were 100 prosecutors authorized as exclusively in charge of cases of persons with developmental disabilities, but the number of disability-related cases they carried out has not even been counted. Both institutions do not count the total number of cases related to persons with developmental disabilities, making it difficult to understand how well the disability-exclusive officers system works. Furthermore, there is no system considering disability in case of special judicial police officers such as labor supervisors, making it almost impossible to reflect opinions of persons with developmental disabilities in the investigation. </w:t>
      </w:r>
    </w:p>
    <w:p w14:paraId="10D2A346" w14:textId="77777777" w:rsidR="00C27DD9" w:rsidRDefault="00C27DD9" w:rsidP="00C27DD9">
      <w:pPr>
        <w:pBdr>
          <w:top w:val="nil"/>
          <w:left w:val="nil"/>
          <w:bottom w:val="nil"/>
          <w:right w:val="nil"/>
          <w:between w:val="nil"/>
        </w:pBdr>
        <w:jc w:val="both"/>
      </w:pPr>
    </w:p>
    <w:p w14:paraId="7BCE7EC1" w14:textId="77777777" w:rsidR="00C27DD9" w:rsidRDefault="00C27DD9" w:rsidP="00C27DD9">
      <w:pPr>
        <w:numPr>
          <w:ilvl w:val="0"/>
          <w:numId w:val="1"/>
        </w:numPr>
        <w:pBdr>
          <w:top w:val="nil"/>
          <w:left w:val="nil"/>
          <w:bottom w:val="nil"/>
          <w:right w:val="nil"/>
          <w:between w:val="nil"/>
        </w:pBdr>
        <w:jc w:val="both"/>
      </w:pPr>
      <w:r>
        <w:lastRenderedPageBreak/>
        <w:t>In Korea, a judicial police officer investigates a crime and, when considers that the suspect is not guilty of a crime, may not refer the case to the prosecutor. In this case, the complainant, the accuser, the victim or their legal representative may file an objection, and the judicial police officer who receives the objection shall forward the case to the prosecutor without delay.</w:t>
      </w:r>
      <w:r>
        <w:rPr>
          <w:vertAlign w:val="superscript"/>
        </w:rPr>
        <w:footnoteReference w:id="27"/>
      </w:r>
      <w:r>
        <w:t xml:space="preserve"> Objection is the only way to dispute the conclusion of a case by judicial police officers. However, the newly amended Criminal Procedure Act of May 2022, taking effect in September of the same year, excludes the accuser from those who can file an objection. If persons with disabilities, who have difficulty filing a case by themselves, suffer from abuse or other damage, the Advocacy Agency for Persons with Disabilities reports the perpetrator on their behalf as an accuser. Without the accuser's right to file an objection, it will be difficult to contest the judicial police officers’ decision to close the case. As a result, it is expected that it will be difficult for the disabled to receive relief from criminal damage. </w:t>
      </w:r>
    </w:p>
    <w:p w14:paraId="3BE1B982" w14:textId="77777777" w:rsidR="00C27DD9" w:rsidRDefault="00C27DD9" w:rsidP="00C27DD9">
      <w:pPr>
        <w:jc w:val="both"/>
      </w:pPr>
    </w:p>
    <w:p w14:paraId="5D9692C1" w14:textId="77777777" w:rsidR="00C27DD9" w:rsidRDefault="00C27DD9" w:rsidP="00C27DD9">
      <w:pPr>
        <w:jc w:val="both"/>
        <w:rPr>
          <w:b/>
        </w:rPr>
      </w:pPr>
      <w:r>
        <w:rPr>
          <w:b/>
        </w:rPr>
        <w:t>Suggested recommendations</w:t>
      </w:r>
    </w:p>
    <w:p w14:paraId="7488F0D8" w14:textId="77777777" w:rsidR="00C27DD9" w:rsidRDefault="00C27DD9" w:rsidP="00C27DD9">
      <w:pPr>
        <w:jc w:val="both"/>
        <w:rPr>
          <w:b/>
        </w:rPr>
      </w:pPr>
    </w:p>
    <w:p w14:paraId="448C7C8A" w14:textId="77777777" w:rsidR="00C27DD9" w:rsidRDefault="00C27DD9" w:rsidP="00C27DD9">
      <w:pPr>
        <w:numPr>
          <w:ilvl w:val="0"/>
          <w:numId w:val="1"/>
        </w:numPr>
        <w:pBdr>
          <w:top w:val="nil"/>
          <w:left w:val="nil"/>
          <w:bottom w:val="nil"/>
          <w:right w:val="nil"/>
          <w:between w:val="nil"/>
        </w:pBdr>
        <w:jc w:val="both"/>
        <w:rPr>
          <w:b/>
        </w:rPr>
      </w:pPr>
      <w:r>
        <w:rPr>
          <w:b/>
        </w:rPr>
        <w:t xml:space="preserve">The Government should establish a system to assist persons with disabilities who experience difficulty communicating in criminal proceedings and provide to all investigators, including judicial police officers and prosecutors, not just certain special officers, to have understanding and sensitivity on disability and persons with disabilities. </w:t>
      </w:r>
    </w:p>
    <w:p w14:paraId="5C928D87" w14:textId="77777777" w:rsidR="00C27DD9" w:rsidRDefault="00C27DD9" w:rsidP="00C27DD9">
      <w:pPr>
        <w:numPr>
          <w:ilvl w:val="0"/>
          <w:numId w:val="1"/>
        </w:numPr>
        <w:pBdr>
          <w:top w:val="nil"/>
          <w:left w:val="nil"/>
          <w:bottom w:val="nil"/>
          <w:right w:val="nil"/>
          <w:between w:val="nil"/>
        </w:pBdr>
        <w:jc w:val="both"/>
        <w:rPr>
          <w:b/>
        </w:rPr>
      </w:pPr>
      <w:r>
        <w:rPr>
          <w:b/>
        </w:rPr>
        <w:t xml:space="preserve">The Government should reform criminal procedures, such as the complainant's right to file an objection, so that persons with disabilities can receive relief from criminal damages. </w:t>
      </w:r>
    </w:p>
    <w:p w14:paraId="7D4C543F" w14:textId="77777777" w:rsidR="00C27DD9" w:rsidRDefault="00C27DD9" w:rsidP="00C27DD9">
      <w:pPr>
        <w:jc w:val="both"/>
      </w:pPr>
    </w:p>
    <w:p w14:paraId="7448FDC7" w14:textId="77777777" w:rsidR="00C27DD9" w:rsidRDefault="00C27DD9" w:rsidP="00C27DD9">
      <w:pPr>
        <w:pStyle w:val="2"/>
        <w:jc w:val="both"/>
        <w:rPr>
          <w:rFonts w:ascii="Arial" w:eastAsia="Arial" w:hAnsi="Arial" w:cs="Arial"/>
        </w:rPr>
      </w:pPr>
      <w:bookmarkStart w:id="13" w:name="_Toc109413394"/>
      <w:r>
        <w:rPr>
          <w:rFonts w:ascii="Arial" w:eastAsia="Arial" w:hAnsi="Arial" w:cs="Arial"/>
        </w:rPr>
        <w:t>J. Lack of measures to ensure persons with disabilities to work as judges, prosecutors and lawyers (Art. 13, LOIPR para. 13-e)</w:t>
      </w:r>
      <w:bookmarkEnd w:id="13"/>
    </w:p>
    <w:p w14:paraId="2F3CB61A" w14:textId="77777777" w:rsidR="00C27DD9" w:rsidRDefault="00C27DD9" w:rsidP="00C27DD9">
      <w:pPr>
        <w:jc w:val="both"/>
      </w:pPr>
    </w:p>
    <w:p w14:paraId="4722D232" w14:textId="77777777" w:rsidR="00C27DD9" w:rsidRDefault="00C27DD9" w:rsidP="00C27DD9">
      <w:pPr>
        <w:numPr>
          <w:ilvl w:val="0"/>
          <w:numId w:val="1"/>
        </w:numPr>
        <w:pBdr>
          <w:top w:val="nil"/>
          <w:left w:val="nil"/>
          <w:bottom w:val="nil"/>
          <w:right w:val="nil"/>
          <w:between w:val="nil"/>
        </w:pBdr>
        <w:jc w:val="both"/>
      </w:pPr>
      <w:r>
        <w:t>The Government is not taking appropriate measures for persons with disabilities to serve as lawyers. All persons with disabilities, including lawyers with disabilities, experience difficulty accessing the buildings or websites of the courts and prosecutor’s offices. According to the study on the "Research and Improvement of Judicial Support for Persons with Disabilities,” funded by the Supreme Court of Korea in 2021, persons with disabilities have difficulty using courtrooms and main entrances, and there was insufficient reasonable accommodation for persons with visual impairments. Prosecutors’ office and police office are in a similar situation. In addition, according to the study above, court-related websites were not fully accessible by persons with visual or hearing impairments. There are items that do not comply with web accessibility on the digital litigation website operated by the Supreme Court, and the judgment file is not provided in an accessible file format by persons with visual impairments.</w:t>
      </w:r>
    </w:p>
    <w:p w14:paraId="1DE69E56" w14:textId="77777777" w:rsidR="00C27DD9" w:rsidRDefault="00C27DD9" w:rsidP="00C27DD9">
      <w:pPr>
        <w:jc w:val="both"/>
      </w:pPr>
    </w:p>
    <w:p w14:paraId="3354F860" w14:textId="77777777" w:rsidR="00C27DD9" w:rsidRDefault="00C27DD9" w:rsidP="00C27DD9">
      <w:pPr>
        <w:numPr>
          <w:ilvl w:val="0"/>
          <w:numId w:val="1"/>
        </w:numPr>
        <w:pBdr>
          <w:top w:val="nil"/>
          <w:left w:val="nil"/>
          <w:bottom w:val="nil"/>
          <w:right w:val="nil"/>
          <w:between w:val="nil"/>
        </w:pBdr>
        <w:jc w:val="both"/>
      </w:pPr>
      <w:r>
        <w:t xml:space="preserve">In Korea, in order to become a judge, prosecutor, or lawyer, one must graduate from a law school and pass the bar exam. From 2009 to 2018, 135 people with disabilities </w:t>
      </w:r>
      <w:r>
        <w:lastRenderedPageBreak/>
        <w:t>entered law schools, accounting for only 0.65 percent of the total 20,776 students.</w:t>
      </w:r>
      <w:r>
        <w:rPr>
          <w:vertAlign w:val="superscript"/>
        </w:rPr>
        <w:footnoteReference w:id="28"/>
      </w:r>
      <w:r>
        <w:t xml:space="preserve"> Although the bar exam acceptance rate of students with disabilities is unknown since the Ministry of Justice, which organizes the bar exam, does not publish such data, it is rare to find judges, prosecutors or lawyers with disabilities in Korea. However, disabled students are at a disadvantage in the competition where only about 50% of the law school graduates pass the five-day (third day is for rest), nine hours per day, bar exam because sufficient rest time is not guaranteed and reasonable accommodation is not provided in accordance with the individual’s severity of disability. </w:t>
      </w:r>
    </w:p>
    <w:p w14:paraId="5DC93804" w14:textId="77777777" w:rsidR="00C27DD9" w:rsidRDefault="00C27DD9" w:rsidP="00C27DD9">
      <w:pPr>
        <w:jc w:val="both"/>
      </w:pPr>
    </w:p>
    <w:p w14:paraId="0B76D3B0" w14:textId="77777777" w:rsidR="00C27DD9" w:rsidRDefault="00C27DD9" w:rsidP="00C27DD9">
      <w:pPr>
        <w:jc w:val="both"/>
        <w:rPr>
          <w:b/>
        </w:rPr>
      </w:pPr>
      <w:r>
        <w:rPr>
          <w:b/>
        </w:rPr>
        <w:t>Suggested recommendations</w:t>
      </w:r>
    </w:p>
    <w:p w14:paraId="68A3BF6E" w14:textId="77777777" w:rsidR="00C27DD9" w:rsidRDefault="00C27DD9" w:rsidP="00C27DD9">
      <w:pPr>
        <w:jc w:val="both"/>
        <w:rPr>
          <w:b/>
        </w:rPr>
      </w:pPr>
    </w:p>
    <w:p w14:paraId="6CF3DD83" w14:textId="77777777" w:rsidR="00C27DD9" w:rsidRDefault="00C27DD9" w:rsidP="00C27DD9">
      <w:pPr>
        <w:numPr>
          <w:ilvl w:val="0"/>
          <w:numId w:val="1"/>
        </w:numPr>
        <w:pBdr>
          <w:top w:val="nil"/>
          <w:left w:val="nil"/>
          <w:bottom w:val="nil"/>
          <w:right w:val="nil"/>
          <w:between w:val="nil"/>
        </w:pBdr>
        <w:jc w:val="both"/>
        <w:rPr>
          <w:b/>
        </w:rPr>
      </w:pPr>
      <w:r>
        <w:rPr>
          <w:b/>
        </w:rPr>
        <w:t xml:space="preserve">The courts and the prosecutor’s office buildings, their internal facilities and websites, etc. should be improved so that all persons with disabilities, including legal professionals with disabilities, can access the facilities and documents. </w:t>
      </w:r>
    </w:p>
    <w:p w14:paraId="6285E2C6" w14:textId="77777777" w:rsidR="00C27DD9" w:rsidRDefault="00C27DD9" w:rsidP="00C27DD9">
      <w:pPr>
        <w:numPr>
          <w:ilvl w:val="0"/>
          <w:numId w:val="1"/>
        </w:numPr>
        <w:pBdr>
          <w:top w:val="nil"/>
          <w:left w:val="nil"/>
          <w:bottom w:val="nil"/>
          <w:right w:val="nil"/>
          <w:between w:val="nil"/>
        </w:pBdr>
        <w:jc w:val="both"/>
        <w:rPr>
          <w:b/>
        </w:rPr>
      </w:pPr>
      <w:r>
        <w:rPr>
          <w:b/>
        </w:rPr>
        <w:t>The Government should reform the examination system to abolish any disadvantages of persons with disabilities from becoming a lawyer including expanding provision of reasonable accommodation for law school entrance exam and for bar examination</w:t>
      </w:r>
      <w:r>
        <w:rPr>
          <w:rFonts w:ascii="돋움" w:eastAsia="돋움" w:hAnsi="돋움" w:cs="돋움"/>
          <w:b/>
        </w:rPr>
        <w:t>.</w:t>
      </w:r>
    </w:p>
    <w:p w14:paraId="4559AD41" w14:textId="77777777" w:rsidR="00C27DD9" w:rsidRDefault="00C27DD9" w:rsidP="00C27DD9">
      <w:pPr>
        <w:jc w:val="both"/>
      </w:pPr>
    </w:p>
    <w:p w14:paraId="1C5882F6" w14:textId="77777777" w:rsidR="00C27DD9" w:rsidRDefault="00C27DD9" w:rsidP="00C27DD9">
      <w:pPr>
        <w:jc w:val="both"/>
      </w:pPr>
    </w:p>
    <w:p w14:paraId="0AA4E3DF" w14:textId="77777777" w:rsidR="00C27DD9" w:rsidRDefault="00C27DD9" w:rsidP="00C27DD9">
      <w:pPr>
        <w:pStyle w:val="2"/>
        <w:jc w:val="both"/>
        <w:rPr>
          <w:rFonts w:ascii="Arial" w:eastAsia="Arial" w:hAnsi="Arial" w:cs="Arial"/>
        </w:rPr>
      </w:pPr>
      <w:bookmarkStart w:id="14" w:name="_Toc109413395"/>
      <w:r>
        <w:rPr>
          <w:rFonts w:ascii="Arial" w:eastAsia="Arial" w:hAnsi="Arial" w:cs="Arial"/>
        </w:rPr>
        <w:t>K. Access to public information in accessible and Easy Read formats (Art. 21, LOIPR para. 22(c))</w:t>
      </w:r>
      <w:bookmarkEnd w:id="14"/>
      <w:r>
        <w:rPr>
          <w:rFonts w:ascii="Arial" w:eastAsia="Arial" w:hAnsi="Arial" w:cs="Arial"/>
        </w:rPr>
        <w:t xml:space="preserve"> </w:t>
      </w:r>
    </w:p>
    <w:p w14:paraId="72C6A6F1" w14:textId="77777777" w:rsidR="00C27DD9" w:rsidRDefault="00C27DD9" w:rsidP="00C27DD9">
      <w:pPr>
        <w:jc w:val="both"/>
      </w:pPr>
    </w:p>
    <w:p w14:paraId="49FF6FF3" w14:textId="77777777" w:rsidR="00C27DD9" w:rsidRDefault="00C27DD9" w:rsidP="006C2E12">
      <w:pPr>
        <w:numPr>
          <w:ilvl w:val="0"/>
          <w:numId w:val="1"/>
        </w:numPr>
        <w:pBdr>
          <w:top w:val="nil"/>
          <w:left w:val="nil"/>
          <w:bottom w:val="nil"/>
          <w:right w:val="nil"/>
          <w:between w:val="nil"/>
        </w:pBdr>
        <w:jc w:val="both"/>
      </w:pPr>
      <w:r>
        <w:t>With regard to whether the state provides public information in accessible and Easy Read formats, the Government does not provide information on whether the public institutions, including judicial and administrative bodies, provide information in accessible and Easy Read formats for each disability types while only mentioning that it operates accessible websites and certain contents specifically for persons with developmental disabilities.</w:t>
      </w:r>
      <w:r>
        <w:rPr>
          <w:vertAlign w:val="superscript"/>
        </w:rPr>
        <w:footnoteReference w:id="29"/>
      </w:r>
      <w:r>
        <w:t xml:space="preserve"> Furthermore, the Government does not provide information on whether public institutions are equipped with sufficient assistive devices, such as voice amplifiers for hearing impairments so that the information can be accurately provided by voice, or whether the officials in charge are familiar with the assistive devices and how to operate them. Besides, it does not provide information on whether the public institutions provide exact information to the deaf and hard of hearing people about how to use the assistive devices. </w:t>
      </w:r>
    </w:p>
    <w:p w14:paraId="6776959E" w14:textId="77777777" w:rsidR="00C27DD9" w:rsidRDefault="00C27DD9" w:rsidP="00C27DD9">
      <w:pPr>
        <w:pBdr>
          <w:top w:val="nil"/>
          <w:left w:val="nil"/>
          <w:bottom w:val="nil"/>
          <w:right w:val="nil"/>
          <w:between w:val="nil"/>
        </w:pBdr>
        <w:jc w:val="both"/>
      </w:pPr>
    </w:p>
    <w:p w14:paraId="4B56AE28" w14:textId="4F654E29" w:rsidR="00C27DD9" w:rsidRDefault="00C27DD9" w:rsidP="00C27DD9">
      <w:pPr>
        <w:numPr>
          <w:ilvl w:val="0"/>
          <w:numId w:val="1"/>
        </w:numPr>
        <w:pBdr>
          <w:top w:val="nil"/>
          <w:left w:val="nil"/>
          <w:bottom w:val="nil"/>
          <w:right w:val="nil"/>
          <w:between w:val="nil"/>
        </w:pBdr>
        <w:jc w:val="both"/>
      </w:pPr>
      <w:r>
        <w:t xml:space="preserve">The Government does not provide information on whether public institutions provide braille documents or other accessible documents to people with visual impairments having the same content as written documents. It also does not provide information on whether people with visual impairments are provided with sufficient guidance to easily request assistance for accessible documents. For example, the courts allow persons with disabilities to request braille documents by submitting an application form for legal </w:t>
      </w:r>
      <w:r>
        <w:lastRenderedPageBreak/>
        <w:t xml:space="preserve">assistance (reasonable accommodation) for persons with disabilities. Yet, the application form displays only two documents - Judgment and Notice of Hearing - as eligible for request for braille documents. Other important court documents are not displayed on the application form for selection. Besides the courts, it is even more difficult to find any information on how to request documents in braille from public institutions. </w:t>
      </w:r>
    </w:p>
    <w:p w14:paraId="5764139D" w14:textId="77777777" w:rsidR="00C27DD9" w:rsidRDefault="00C27DD9" w:rsidP="00C27DD9">
      <w:pPr>
        <w:jc w:val="both"/>
      </w:pPr>
    </w:p>
    <w:p w14:paraId="35515B22" w14:textId="77777777" w:rsidR="00C27DD9" w:rsidRDefault="00C27DD9" w:rsidP="00C27DD9">
      <w:pPr>
        <w:numPr>
          <w:ilvl w:val="0"/>
          <w:numId w:val="1"/>
        </w:numPr>
        <w:pBdr>
          <w:top w:val="nil"/>
          <w:left w:val="nil"/>
          <w:bottom w:val="nil"/>
          <w:right w:val="nil"/>
          <w:between w:val="nil"/>
        </w:pBdr>
        <w:jc w:val="both"/>
      </w:pPr>
      <w:r>
        <w:t xml:space="preserve">The Government does not provide information on, in the case of investigation, whether persons with visual impairments can easily confirm whether their testimonies were accurately written in the investigative agencies’ reports such as by providing the documents in braille so that they can determine whether to sign on the documents for authentication. Article 224 of the Criminal Procedure Act stipulates that the statement of a criminal suspect shall be entered in the protocol and the protocol shall be made available to the criminal suspect for inspection or shall be read to the suspect. In practice, persons without disabilities can review their statements to confirm whether they are correctly stated and, if incorrect, may request for correction and sign the document. On the other hand, for persons with disabilities, instead of providing accessible documents including in braille, an investigative officer in charge would read the statement for the person concerned and that person would have to decide whether to sign on the document for authentication, relying on the officer’s voice, speed of reading and means of reading. This results in practical inequality for persons with disabilities in accessing their core information of records for decision making procedure. </w:t>
      </w:r>
    </w:p>
    <w:p w14:paraId="0D21ECD0" w14:textId="77777777" w:rsidR="00C27DD9" w:rsidRDefault="00C27DD9" w:rsidP="00C27DD9">
      <w:pPr>
        <w:jc w:val="both"/>
      </w:pPr>
    </w:p>
    <w:p w14:paraId="6986A9A6" w14:textId="77777777" w:rsidR="00C27DD9" w:rsidRDefault="00C27DD9" w:rsidP="00C27DD9">
      <w:pPr>
        <w:numPr>
          <w:ilvl w:val="0"/>
          <w:numId w:val="1"/>
        </w:numPr>
        <w:pBdr>
          <w:top w:val="nil"/>
          <w:left w:val="nil"/>
          <w:bottom w:val="nil"/>
          <w:right w:val="nil"/>
          <w:between w:val="nil"/>
        </w:pBdr>
        <w:jc w:val="both"/>
      </w:pPr>
      <w:r>
        <w:t>The Government does not provide information on whether public institutions provide sufficient information to persons with developmental disabilities in Easy Read format or other accessible formats, having the same content as written documents. Although it mentions that the National Library for the Disabled offers Nurijip - online content developed exclusively for persons with developmental disabilities, it is far from each public institution sufficiently providing important information to persons with developmental disabilities on an equal manner as to persons without disabilities.</w:t>
      </w:r>
    </w:p>
    <w:p w14:paraId="6E272715" w14:textId="77777777" w:rsidR="00C27DD9" w:rsidRDefault="00C27DD9" w:rsidP="00C27DD9">
      <w:pPr>
        <w:pBdr>
          <w:top w:val="nil"/>
          <w:left w:val="nil"/>
          <w:bottom w:val="nil"/>
          <w:right w:val="nil"/>
          <w:between w:val="nil"/>
        </w:pBdr>
        <w:jc w:val="both"/>
      </w:pPr>
    </w:p>
    <w:p w14:paraId="6F135267" w14:textId="77777777" w:rsidR="00C27DD9" w:rsidRDefault="00C27DD9" w:rsidP="00C27DD9">
      <w:pPr>
        <w:jc w:val="both"/>
      </w:pPr>
    </w:p>
    <w:p w14:paraId="534D2A56" w14:textId="77777777" w:rsidR="00C27DD9" w:rsidRDefault="00C27DD9" w:rsidP="00C27DD9">
      <w:pPr>
        <w:jc w:val="both"/>
        <w:rPr>
          <w:b/>
        </w:rPr>
      </w:pPr>
      <w:r>
        <w:rPr>
          <w:b/>
        </w:rPr>
        <w:t>Suggested recommendations</w:t>
      </w:r>
    </w:p>
    <w:p w14:paraId="525DF4E4" w14:textId="77777777" w:rsidR="00C27DD9" w:rsidRDefault="00C27DD9" w:rsidP="00C27DD9">
      <w:pPr>
        <w:jc w:val="both"/>
        <w:rPr>
          <w:b/>
        </w:rPr>
      </w:pPr>
    </w:p>
    <w:p w14:paraId="7988ABE3" w14:textId="77777777" w:rsidR="00C27DD9" w:rsidRDefault="00C27DD9" w:rsidP="00C27DD9">
      <w:pPr>
        <w:numPr>
          <w:ilvl w:val="0"/>
          <w:numId w:val="1"/>
        </w:numPr>
        <w:pBdr>
          <w:top w:val="nil"/>
          <w:left w:val="nil"/>
          <w:bottom w:val="nil"/>
          <w:right w:val="nil"/>
          <w:between w:val="nil"/>
        </w:pBdr>
        <w:jc w:val="both"/>
        <w:rPr>
          <w:b/>
        </w:rPr>
      </w:pPr>
      <w:r>
        <w:rPr>
          <w:b/>
        </w:rPr>
        <w:t xml:space="preserve">The Government should expand auxiliary equipment and reasonable accommodation related to the persons with disabilities’ freedom of expression and access to information of public institutions, including voice amplifiers, braille printers, reading aids, etc. </w:t>
      </w:r>
    </w:p>
    <w:p w14:paraId="0B37143C" w14:textId="77777777" w:rsidR="00C27DD9" w:rsidRDefault="00C27DD9" w:rsidP="00C27DD9">
      <w:pPr>
        <w:numPr>
          <w:ilvl w:val="0"/>
          <w:numId w:val="1"/>
        </w:numPr>
        <w:pBdr>
          <w:top w:val="nil"/>
          <w:left w:val="nil"/>
          <w:bottom w:val="nil"/>
          <w:right w:val="nil"/>
          <w:between w:val="nil"/>
        </w:pBdr>
        <w:jc w:val="both"/>
        <w:rPr>
          <w:b/>
        </w:rPr>
      </w:pPr>
      <w:r>
        <w:rPr>
          <w:b/>
        </w:rPr>
        <w:t xml:space="preserve">The Government should provide sufficient education and training to public officers on accurate knowledge of how to use assistive devices, how to write Easy Read documents, etc. </w:t>
      </w:r>
    </w:p>
    <w:p w14:paraId="5B100382" w14:textId="77777777" w:rsidR="00C27DD9" w:rsidRDefault="00C27DD9" w:rsidP="00C27DD9">
      <w:pPr>
        <w:numPr>
          <w:ilvl w:val="0"/>
          <w:numId w:val="1"/>
        </w:numPr>
        <w:pBdr>
          <w:top w:val="nil"/>
          <w:left w:val="nil"/>
          <w:bottom w:val="nil"/>
          <w:right w:val="nil"/>
          <w:between w:val="nil"/>
        </w:pBdr>
        <w:jc w:val="both"/>
        <w:rPr>
          <w:b/>
        </w:rPr>
      </w:pPr>
      <w:r>
        <w:rPr>
          <w:b/>
        </w:rPr>
        <w:t xml:space="preserve">The Government should reinforce its provision of guidance to persons with disabilities that they can be provided with reasonable accommodation from public institutions for their freedom of expression and access to information in accordance with their disabilities. </w:t>
      </w:r>
    </w:p>
    <w:p w14:paraId="10637788" w14:textId="77777777" w:rsidR="00C27DD9" w:rsidRDefault="00C27DD9" w:rsidP="00C27DD9">
      <w:pPr>
        <w:jc w:val="both"/>
      </w:pPr>
    </w:p>
    <w:p w14:paraId="52ED660F" w14:textId="77777777" w:rsidR="00C27DD9" w:rsidRDefault="00C27DD9" w:rsidP="00C27DD9">
      <w:pPr>
        <w:pStyle w:val="2"/>
        <w:jc w:val="both"/>
        <w:rPr>
          <w:rFonts w:ascii="Arial" w:eastAsia="Arial" w:hAnsi="Arial" w:cs="Arial"/>
        </w:rPr>
      </w:pPr>
      <w:bookmarkStart w:id="15" w:name="_Toc109413396"/>
      <w:r>
        <w:rPr>
          <w:rFonts w:ascii="Arial" w:eastAsia="Arial" w:hAnsi="Arial" w:cs="Arial"/>
        </w:rPr>
        <w:lastRenderedPageBreak/>
        <w:t>L. Effective improvement of current inclusive education policy (Art. 24, LOIPR paras. 25-a, b)</w:t>
      </w:r>
      <w:bookmarkEnd w:id="15"/>
    </w:p>
    <w:p w14:paraId="78713C7D" w14:textId="77777777" w:rsidR="00C27DD9" w:rsidRDefault="00C27DD9" w:rsidP="00C27DD9">
      <w:pPr>
        <w:jc w:val="both"/>
      </w:pPr>
    </w:p>
    <w:p w14:paraId="2B2A8EF5" w14:textId="77777777" w:rsidR="00C27DD9" w:rsidRDefault="00C27DD9" w:rsidP="00C27DD9">
      <w:pPr>
        <w:numPr>
          <w:ilvl w:val="0"/>
          <w:numId w:val="1"/>
        </w:numPr>
        <w:pBdr>
          <w:top w:val="nil"/>
          <w:left w:val="nil"/>
          <w:bottom w:val="nil"/>
          <w:right w:val="nil"/>
          <w:between w:val="nil"/>
        </w:pBdr>
        <w:jc w:val="both"/>
      </w:pPr>
      <w:r>
        <w:t>The Government does not provide information on whether school curriculum is practically open to children with disabilities, and whether children with disabilities are provided with the same participation opportunities in an equal manner as children without disabilities. On the contrary, according to an institutional survey on after-school classes by public kindergartens, 51.7% of public kindergartens in Seoul did not have after-school special classes for children with disabilities,</w:t>
      </w:r>
      <w:r>
        <w:rPr>
          <w:vertAlign w:val="superscript"/>
        </w:rPr>
        <w:footnoteReference w:id="30"/>
      </w:r>
      <w:r>
        <w:t xml:space="preserve"> and children with disabilities in those kindergartens are strongly encouraged not to participate in after-school classes.</w:t>
      </w:r>
      <w:r>
        <w:rPr>
          <w:rFonts w:ascii="돋움" w:eastAsia="돋움" w:hAnsi="돋움" w:cs="돋움"/>
          <w:vertAlign w:val="superscript"/>
        </w:rPr>
        <w:footnoteReference w:id="31"/>
      </w:r>
      <w:r>
        <w:t xml:space="preserve"> This situation eventually excludes childrent with disabilities from after-school classes. Nonetheless, the Government has no countermeasures to rectify the situation. </w:t>
      </w:r>
    </w:p>
    <w:p w14:paraId="1ABB171C" w14:textId="77777777" w:rsidR="00C27DD9" w:rsidRDefault="00C27DD9" w:rsidP="00C27DD9">
      <w:pPr>
        <w:jc w:val="both"/>
      </w:pPr>
    </w:p>
    <w:p w14:paraId="1672594D" w14:textId="77777777" w:rsidR="00C27DD9" w:rsidRDefault="00C27DD9" w:rsidP="00C27DD9">
      <w:pPr>
        <w:numPr>
          <w:ilvl w:val="0"/>
          <w:numId w:val="1"/>
        </w:numPr>
        <w:pBdr>
          <w:top w:val="nil"/>
          <w:left w:val="nil"/>
          <w:bottom w:val="nil"/>
          <w:right w:val="nil"/>
          <w:between w:val="nil"/>
        </w:pBdr>
        <w:jc w:val="both"/>
      </w:pPr>
      <w:r>
        <w:t>At times, serious human rights violations occur in special schools against children with disabilities and such violations often become severe because the internal human rights violations of special schools tend to be secretive compared to general schools.</w:t>
      </w:r>
      <w:r>
        <w:rPr>
          <w:rFonts w:ascii="돋움" w:eastAsia="돋움" w:hAnsi="돋움" w:cs="돋움"/>
          <w:vertAlign w:val="superscript"/>
        </w:rPr>
        <w:footnoteReference w:id="32"/>
      </w:r>
      <w:r>
        <w:t xml:space="preserve"> The Government continues to establish more special schools in the country. The Seoul Metropolitan Office of Education announced that it will build nine new special schools by 2040.</w:t>
      </w:r>
      <w:r>
        <w:rPr>
          <w:vertAlign w:val="superscript"/>
        </w:rPr>
        <w:footnoteReference w:id="33"/>
      </w:r>
      <w:r>
        <w:t xml:space="preserve"> Special school-centered education policy for persons with disabilities goes against the spirit of CRPD Convention that pursues inclusive education, and also overlooks the fact that it could be a potential risk factor for the protection and promotion of human rights of persons with disabilities. According to the 2018 survey by the National Human Rights Commission of Korea, 55.2% of parents of children with disabilities who attend special schools responded that they experienced human rights violations or discrimination on the basis of disability from school.</w:t>
      </w:r>
      <w:r>
        <w:rPr>
          <w:vertAlign w:val="superscript"/>
        </w:rPr>
        <w:footnoteReference w:id="34"/>
      </w:r>
      <w:r>
        <w:t xml:space="preserve">  </w:t>
      </w:r>
    </w:p>
    <w:p w14:paraId="3BD8A76E" w14:textId="77777777" w:rsidR="00C27DD9" w:rsidRDefault="00C27DD9" w:rsidP="00C27DD9">
      <w:pPr>
        <w:jc w:val="both"/>
      </w:pPr>
    </w:p>
    <w:p w14:paraId="019BF33E" w14:textId="77777777" w:rsidR="00C27DD9" w:rsidRDefault="00C27DD9" w:rsidP="00C27DD9">
      <w:pPr>
        <w:jc w:val="both"/>
        <w:rPr>
          <w:b/>
        </w:rPr>
      </w:pPr>
      <w:r>
        <w:rPr>
          <w:b/>
        </w:rPr>
        <w:t>Suggested recommendations</w:t>
      </w:r>
    </w:p>
    <w:p w14:paraId="56CF418D" w14:textId="77777777" w:rsidR="00C27DD9" w:rsidRDefault="00C27DD9" w:rsidP="00C27DD9">
      <w:pPr>
        <w:jc w:val="both"/>
        <w:rPr>
          <w:b/>
        </w:rPr>
      </w:pPr>
    </w:p>
    <w:p w14:paraId="6812A89F" w14:textId="77777777" w:rsidR="00C27DD9" w:rsidRDefault="00C27DD9" w:rsidP="00C27DD9">
      <w:pPr>
        <w:numPr>
          <w:ilvl w:val="0"/>
          <w:numId w:val="1"/>
        </w:numPr>
        <w:pBdr>
          <w:top w:val="nil"/>
          <w:left w:val="nil"/>
          <w:bottom w:val="nil"/>
          <w:right w:val="nil"/>
          <w:between w:val="nil"/>
        </w:pBdr>
        <w:jc w:val="both"/>
        <w:rPr>
          <w:b/>
        </w:rPr>
      </w:pPr>
      <w:r>
        <w:rPr>
          <w:b/>
        </w:rPr>
        <w:t xml:space="preserve">The Government should establish policy to ensure prevention of children with disabilities from marginalization or segregation in education so that children with disabilities are not denied from participating in educational programs for </w:t>
      </w:r>
      <w:r>
        <w:rPr>
          <w:b/>
        </w:rPr>
        <w:lastRenderedPageBreak/>
        <w:t xml:space="preserve">reasons such as having a separate program for children with disabilities or educational institutions not having special classes </w:t>
      </w:r>
    </w:p>
    <w:p w14:paraId="2EDBBE5E" w14:textId="77777777" w:rsidR="00C27DD9" w:rsidRDefault="00C27DD9" w:rsidP="00C27DD9">
      <w:pPr>
        <w:numPr>
          <w:ilvl w:val="0"/>
          <w:numId w:val="1"/>
        </w:numPr>
        <w:pBdr>
          <w:top w:val="nil"/>
          <w:left w:val="nil"/>
          <w:bottom w:val="nil"/>
          <w:right w:val="nil"/>
          <w:between w:val="nil"/>
        </w:pBdr>
        <w:jc w:val="both"/>
        <w:rPr>
          <w:b/>
        </w:rPr>
      </w:pPr>
      <w:r>
        <w:rPr>
          <w:b/>
        </w:rPr>
        <w:t xml:space="preserve">The Government should establish concrete plans to substantiate inclusive education in mainstream education, rather than building new special schools, and increase the number of teachers and assistants for special education and/or inclusive education for after-school classes for children with disabilities. </w:t>
      </w:r>
    </w:p>
    <w:p w14:paraId="3F22F77D" w14:textId="77777777" w:rsidR="00C27DD9" w:rsidRDefault="00C27DD9" w:rsidP="00C27DD9">
      <w:pPr>
        <w:pStyle w:val="2"/>
        <w:jc w:val="both"/>
        <w:rPr>
          <w:rFonts w:ascii="Arial" w:eastAsia="Arial" w:hAnsi="Arial" w:cs="Arial"/>
        </w:rPr>
      </w:pPr>
      <w:bookmarkStart w:id="16" w:name="_Toc109413397"/>
      <w:r>
        <w:rPr>
          <w:rFonts w:ascii="Arial" w:eastAsia="Arial" w:hAnsi="Arial" w:cs="Arial"/>
        </w:rPr>
        <w:t>M. Participation in Political and Public Life (Art. 29, LOIPR para. 30)</w:t>
      </w:r>
      <w:bookmarkEnd w:id="16"/>
    </w:p>
    <w:p w14:paraId="3B7D39FF" w14:textId="77777777" w:rsidR="00C27DD9" w:rsidRDefault="00C27DD9" w:rsidP="00C27DD9">
      <w:pPr>
        <w:jc w:val="both"/>
      </w:pPr>
    </w:p>
    <w:p w14:paraId="4E26BF55" w14:textId="77777777" w:rsidR="00C27DD9" w:rsidRDefault="00C27DD9" w:rsidP="00C27DD9">
      <w:pPr>
        <w:numPr>
          <w:ilvl w:val="0"/>
          <w:numId w:val="1"/>
        </w:numPr>
        <w:pBdr>
          <w:top w:val="nil"/>
          <w:left w:val="nil"/>
          <w:bottom w:val="nil"/>
          <w:right w:val="nil"/>
          <w:between w:val="nil"/>
        </w:pBdr>
        <w:jc w:val="both"/>
      </w:pPr>
      <w:r>
        <w:t>Despite the Government stating that it provides each disability-specific convenience for voting,</w:t>
      </w:r>
      <w:r>
        <w:rPr>
          <w:vertAlign w:val="superscript"/>
        </w:rPr>
        <w:footnoteReference w:id="35"/>
      </w:r>
      <w:r>
        <w:t xml:space="preserve"> and the law stipulating access to polling stations for the vulnerables,</w:t>
      </w:r>
      <w:r>
        <w:rPr>
          <w:vertAlign w:val="superscript"/>
        </w:rPr>
        <w:footnoteReference w:id="36"/>
      </w:r>
      <w:r>
        <w:t xml:space="preserve"> voting rights of persons with disabilities are limited in that there are still many polling stations without ramps and lifts, being practically inaccessible for wheelchair users.</w:t>
      </w:r>
      <w:r>
        <w:rPr>
          <w:vertAlign w:val="superscript"/>
        </w:rPr>
        <w:footnoteReference w:id="37"/>
      </w:r>
      <w:r>
        <w:t xml:space="preserve"> </w:t>
      </w:r>
    </w:p>
    <w:p w14:paraId="3F86F599" w14:textId="77777777" w:rsidR="00C27DD9" w:rsidRDefault="00C27DD9" w:rsidP="00C27DD9">
      <w:pPr>
        <w:jc w:val="both"/>
      </w:pPr>
    </w:p>
    <w:p w14:paraId="3788C0A1" w14:textId="77777777" w:rsidR="00C27DD9" w:rsidRDefault="00C27DD9" w:rsidP="00C27DD9">
      <w:pPr>
        <w:numPr>
          <w:ilvl w:val="0"/>
          <w:numId w:val="1"/>
        </w:numPr>
        <w:pBdr>
          <w:top w:val="nil"/>
          <w:left w:val="nil"/>
          <w:bottom w:val="nil"/>
          <w:right w:val="nil"/>
          <w:between w:val="nil"/>
        </w:pBdr>
        <w:jc w:val="both"/>
      </w:pPr>
      <w:r>
        <w:t>Despite the Government's response that various information related to election is provided in consideration of accessible methods by different types of disability and the National Human Rights Commission of Korea's recommendation to provide “reasonable accommodation" to guarantee voting rights of persons with developmental disabilities, implementations have not been made such as providing picture ballots and Easy Read public bulletins.</w:t>
      </w:r>
      <w:r>
        <w:rPr>
          <w:vertAlign w:val="superscript"/>
        </w:rPr>
        <w:footnoteReference w:id="38"/>
      </w:r>
      <w:r>
        <w:t xml:space="preserve"> </w:t>
      </w:r>
    </w:p>
    <w:p w14:paraId="1452B65C" w14:textId="77777777" w:rsidR="00C27DD9" w:rsidRDefault="00C27DD9" w:rsidP="00C27DD9">
      <w:pPr>
        <w:jc w:val="both"/>
      </w:pPr>
    </w:p>
    <w:p w14:paraId="442AA10B" w14:textId="77777777" w:rsidR="00C27DD9" w:rsidRDefault="00C27DD9" w:rsidP="00C27DD9">
      <w:pPr>
        <w:numPr>
          <w:ilvl w:val="0"/>
          <w:numId w:val="1"/>
        </w:numPr>
        <w:pBdr>
          <w:top w:val="nil"/>
          <w:left w:val="nil"/>
          <w:bottom w:val="nil"/>
          <w:right w:val="nil"/>
          <w:between w:val="nil"/>
        </w:pBdr>
        <w:jc w:val="both"/>
      </w:pPr>
      <w:r>
        <w:t>During the 2022 Presidential election, voting rights electorate with disabilities were infringed because they were not allowed to vote with the assistants of their choice.</w:t>
      </w:r>
      <w:r>
        <w:rPr>
          <w:vertAlign w:val="superscript"/>
        </w:rPr>
        <w:footnoteReference w:id="39"/>
      </w:r>
      <w:r>
        <w:t xml:space="preserve"> Despite changes to the Election Commission's guidelines following the court's decision to allow voting assistance for persons with developmental disabilities, such information was not properly delivered to front-line voting clerks and the Article 157 (6) of the Public Official Election Act stipulating voting assistance for persons with disabilities is a non-mandatory, arbitrary provision.</w:t>
      </w:r>
      <w:r>
        <w:rPr>
          <w:vertAlign w:val="superscript"/>
        </w:rPr>
        <w:footnoteReference w:id="40"/>
      </w:r>
      <w:r>
        <w:t xml:space="preserve"> </w:t>
      </w:r>
    </w:p>
    <w:p w14:paraId="3270F09F" w14:textId="77777777" w:rsidR="00C27DD9" w:rsidRDefault="00C27DD9" w:rsidP="00C27DD9">
      <w:pPr>
        <w:jc w:val="both"/>
      </w:pPr>
    </w:p>
    <w:p w14:paraId="31CBE47F" w14:textId="77777777" w:rsidR="00C27DD9" w:rsidRDefault="00C27DD9" w:rsidP="00C27DD9">
      <w:pPr>
        <w:numPr>
          <w:ilvl w:val="0"/>
          <w:numId w:val="1"/>
        </w:numPr>
        <w:pBdr>
          <w:top w:val="nil"/>
          <w:left w:val="nil"/>
          <w:bottom w:val="nil"/>
          <w:right w:val="nil"/>
          <w:between w:val="nil"/>
        </w:pBdr>
        <w:jc w:val="both"/>
      </w:pPr>
      <w:r>
        <w:t>The Government stated that it provides Subsidies for Fielding Disabled Persons to Run in Elections, based on the article 26-2 of the Political Funds Act, as a way to support the participation of the persons with disabilities in politics. However, such a subsidy system operates in favor of the two large parties that can nominate candidates to 5% or 3% or 1% of entire constituencies, damaging the diversity in politics.</w:t>
      </w:r>
      <w:r>
        <w:rPr>
          <w:vertAlign w:val="superscript"/>
        </w:rPr>
        <w:footnoteReference w:id="41"/>
      </w:r>
    </w:p>
    <w:p w14:paraId="7609A2B7" w14:textId="77777777" w:rsidR="00C27DD9" w:rsidRDefault="00C27DD9" w:rsidP="00C27DD9">
      <w:pPr>
        <w:pBdr>
          <w:top w:val="nil"/>
          <w:left w:val="nil"/>
          <w:bottom w:val="nil"/>
          <w:right w:val="nil"/>
          <w:between w:val="nil"/>
        </w:pBdr>
        <w:jc w:val="both"/>
      </w:pPr>
    </w:p>
    <w:p w14:paraId="6AB44ABA" w14:textId="77777777" w:rsidR="00C27DD9" w:rsidRDefault="00C27DD9" w:rsidP="00C27DD9">
      <w:pPr>
        <w:numPr>
          <w:ilvl w:val="0"/>
          <w:numId w:val="1"/>
        </w:numPr>
        <w:pBdr>
          <w:top w:val="nil"/>
          <w:left w:val="nil"/>
          <w:bottom w:val="nil"/>
          <w:right w:val="nil"/>
          <w:between w:val="nil"/>
        </w:pBdr>
        <w:jc w:val="both"/>
      </w:pPr>
      <w:r>
        <w:lastRenderedPageBreak/>
        <w:t>Furthermore, article 47(2) of the Act on Medical Treatment and Custody, etc.</w:t>
      </w:r>
      <w:r>
        <w:rPr>
          <w:vertAlign w:val="superscript"/>
        </w:rPr>
        <w:footnoteReference w:id="42"/>
      </w:r>
      <w:r>
        <w:t xml:space="preserve">  has suspended the voting rights of inmates with disabilities subject to medical treatment and custody until the performance of medical treatment and custody terminates or such person is exempted from such performances. According to the article, a person who is in the medical treatment and detention facility is deprived of voting rights without exception.</w:t>
      </w:r>
    </w:p>
    <w:p w14:paraId="21A3B257" w14:textId="77777777" w:rsidR="00C27DD9" w:rsidRDefault="00C27DD9" w:rsidP="00C27DD9">
      <w:pPr>
        <w:pBdr>
          <w:top w:val="nil"/>
          <w:left w:val="nil"/>
          <w:bottom w:val="nil"/>
          <w:right w:val="nil"/>
          <w:between w:val="nil"/>
        </w:pBdr>
        <w:ind w:left="720"/>
        <w:jc w:val="both"/>
      </w:pPr>
    </w:p>
    <w:p w14:paraId="1FFD753F" w14:textId="77777777" w:rsidR="00C27DD9" w:rsidRDefault="00C27DD9" w:rsidP="00C27DD9">
      <w:pPr>
        <w:jc w:val="both"/>
        <w:rPr>
          <w:b/>
        </w:rPr>
      </w:pPr>
      <w:r>
        <w:rPr>
          <w:b/>
        </w:rPr>
        <w:t>Suggested recommendations</w:t>
      </w:r>
    </w:p>
    <w:p w14:paraId="5987A9DB" w14:textId="77777777" w:rsidR="00C27DD9" w:rsidRDefault="00C27DD9" w:rsidP="00C27DD9">
      <w:pPr>
        <w:jc w:val="both"/>
        <w:rPr>
          <w:b/>
        </w:rPr>
      </w:pPr>
    </w:p>
    <w:p w14:paraId="448C2AB3" w14:textId="77777777" w:rsidR="00C27DD9" w:rsidRDefault="00C27DD9" w:rsidP="00C27DD9">
      <w:pPr>
        <w:numPr>
          <w:ilvl w:val="0"/>
          <w:numId w:val="1"/>
        </w:numPr>
        <w:pBdr>
          <w:top w:val="nil"/>
          <w:left w:val="nil"/>
          <w:bottom w:val="nil"/>
          <w:right w:val="nil"/>
          <w:between w:val="nil"/>
        </w:pBdr>
        <w:jc w:val="both"/>
        <w:rPr>
          <w:b/>
        </w:rPr>
      </w:pPr>
      <w:r>
        <w:rPr>
          <w:b/>
        </w:rPr>
        <w:t>The Government should establish a monitoring mechanism, with DPO/NGO participation, to enhance accessibility of polling stations and abolish a clause that stipulates exceptions to establishing reasonable accommodation in polling stations.</w:t>
      </w:r>
      <w:r>
        <w:rPr>
          <w:b/>
          <w:vertAlign w:val="superscript"/>
        </w:rPr>
        <w:footnoteReference w:id="43"/>
      </w:r>
      <w:r>
        <w:rPr>
          <w:b/>
        </w:rPr>
        <w:t xml:space="preserve"> </w:t>
      </w:r>
    </w:p>
    <w:p w14:paraId="504EDD55" w14:textId="77777777" w:rsidR="00C27DD9" w:rsidRDefault="00C27DD9" w:rsidP="00C27DD9">
      <w:pPr>
        <w:numPr>
          <w:ilvl w:val="0"/>
          <w:numId w:val="1"/>
        </w:numPr>
        <w:pBdr>
          <w:top w:val="nil"/>
          <w:left w:val="nil"/>
          <w:bottom w:val="nil"/>
          <w:right w:val="nil"/>
          <w:between w:val="nil"/>
        </w:pBdr>
        <w:jc w:val="both"/>
        <w:rPr>
          <w:b/>
        </w:rPr>
      </w:pPr>
      <w:r>
        <w:rPr>
          <w:b/>
        </w:rPr>
        <w:t xml:space="preserve">The Government should provide picture voting forms and Easy Read election campaign pamphlets and other information to persons with developmental disabilities. </w:t>
      </w:r>
    </w:p>
    <w:p w14:paraId="7C8DEA94" w14:textId="77777777" w:rsidR="00C27DD9" w:rsidRDefault="00C27DD9" w:rsidP="00C27DD9">
      <w:pPr>
        <w:numPr>
          <w:ilvl w:val="0"/>
          <w:numId w:val="1"/>
        </w:numPr>
        <w:pBdr>
          <w:top w:val="nil"/>
          <w:left w:val="nil"/>
          <w:bottom w:val="nil"/>
          <w:right w:val="nil"/>
          <w:between w:val="nil"/>
        </w:pBdr>
        <w:jc w:val="both"/>
        <w:rPr>
          <w:b/>
        </w:rPr>
      </w:pPr>
      <w:r>
        <w:rPr>
          <w:b/>
        </w:rPr>
        <w:t>The Government should amend laws and regulations to guarantee substantial political rights of persons with disabilities, to ensure voting assistance is made in respect of the will of the persons with disabilities, and reinforce training for voting clerks.</w:t>
      </w:r>
    </w:p>
    <w:p w14:paraId="6B6D34C3" w14:textId="77777777" w:rsidR="00C27DD9" w:rsidRDefault="00C27DD9" w:rsidP="00C27DD9">
      <w:pPr>
        <w:numPr>
          <w:ilvl w:val="0"/>
          <w:numId w:val="1"/>
        </w:numPr>
        <w:pBdr>
          <w:top w:val="nil"/>
          <w:left w:val="nil"/>
          <w:bottom w:val="nil"/>
          <w:right w:val="nil"/>
          <w:between w:val="nil"/>
        </w:pBdr>
        <w:jc w:val="both"/>
        <w:rPr>
          <w:b/>
        </w:rPr>
      </w:pPr>
      <w:r>
        <w:rPr>
          <w:b/>
        </w:rPr>
        <w:t>The Government should amend the provision of Subsidies for Fielding Disabled Persons to Run in Elections to provide subsidy upon the ratio of candidates with disabilities compared to all candidates from a party, as current system of providing subsidy upon the ratio of candidates with disabilities to entire constituencies is disadvantageous to minor parties.</w:t>
      </w:r>
    </w:p>
    <w:p w14:paraId="578E0690" w14:textId="77777777" w:rsidR="00C27DD9" w:rsidRDefault="00C27DD9" w:rsidP="00C27DD9">
      <w:pPr>
        <w:numPr>
          <w:ilvl w:val="0"/>
          <w:numId w:val="1"/>
        </w:numPr>
        <w:pBdr>
          <w:top w:val="nil"/>
          <w:left w:val="nil"/>
          <w:bottom w:val="nil"/>
          <w:right w:val="nil"/>
          <w:between w:val="nil"/>
        </w:pBdr>
        <w:jc w:val="both"/>
        <w:rPr>
          <w:b/>
        </w:rPr>
      </w:pPr>
      <w:r>
        <w:rPr>
          <w:b/>
        </w:rPr>
        <w:t xml:space="preserve">The Government should abrogate Article(2) of the Act on Medical Treatment and Custody, etc. </w:t>
      </w:r>
    </w:p>
    <w:p w14:paraId="7E9EA78A" w14:textId="77777777" w:rsidR="00C27DD9" w:rsidRDefault="00C27DD9" w:rsidP="00C27DD9">
      <w:pPr>
        <w:jc w:val="both"/>
      </w:pPr>
    </w:p>
    <w:p w14:paraId="278E422F" w14:textId="36B81A64" w:rsidR="00C27DD9" w:rsidRDefault="00C27DD9" w:rsidP="00C27DD9">
      <w:pPr>
        <w:pStyle w:val="2"/>
        <w:jc w:val="both"/>
        <w:rPr>
          <w:rFonts w:ascii="Arial" w:eastAsia="Arial" w:hAnsi="Arial" w:cs="Arial"/>
        </w:rPr>
      </w:pPr>
      <w:bookmarkStart w:id="17" w:name="_Toc109413398"/>
      <w:r>
        <w:rPr>
          <w:rFonts w:ascii="Arial Unicode MS" w:eastAsia="Arial Unicode MS" w:hAnsi="Arial Unicode MS" w:cs="Arial Unicode MS"/>
        </w:rPr>
        <w:t xml:space="preserve">N. </w:t>
      </w:r>
      <w:r w:rsidR="000D6C99" w:rsidRPr="000D6C99">
        <w:rPr>
          <w:rFonts w:ascii="Arial Unicode MS" w:eastAsia="Arial Unicode MS" w:hAnsi="Arial Unicode MS" w:cs="Arial Unicode MS"/>
        </w:rPr>
        <w:t>Rights of persons of disabilities deprived of liberty</w:t>
      </w:r>
      <w:r w:rsidR="000D6C99">
        <w:rPr>
          <w:rFonts w:ascii="Arial Unicode MS" w:eastAsiaTheme="minorEastAsia" w:hAnsi="Arial Unicode MS" w:cs="Arial Unicode MS"/>
        </w:rPr>
        <w:t xml:space="preserve"> </w:t>
      </w:r>
      <w:r w:rsidR="000D6C99" w:rsidRPr="000D6C99">
        <w:rPr>
          <w:rFonts w:ascii="Arial Unicode MS" w:eastAsia="Arial Unicode MS" w:hAnsi="Arial Unicode MS" w:cs="Arial Unicode MS"/>
        </w:rPr>
        <w:t>(</w:t>
      </w:r>
      <w:r w:rsidR="000D6C99">
        <w:rPr>
          <w:rFonts w:ascii="Arial Unicode MS" w:eastAsiaTheme="minorEastAsia" w:hAnsi="Arial Unicode MS" w:cs="Arial Unicode MS"/>
        </w:rPr>
        <w:t xml:space="preserve">arts. </w:t>
      </w:r>
      <w:r w:rsidR="000D6C99" w:rsidRPr="000D6C99">
        <w:rPr>
          <w:rFonts w:ascii="Arial Unicode MS" w:eastAsia="Arial Unicode MS" w:hAnsi="Arial Unicode MS" w:cs="Arial Unicode MS"/>
        </w:rPr>
        <w:t>14</w:t>
      </w:r>
      <w:r w:rsidR="000D6C99">
        <w:rPr>
          <w:rFonts w:ascii="Arial Unicode MS" w:eastAsiaTheme="minorEastAsia" w:hAnsi="Arial Unicode MS" w:cs="Arial Unicode MS"/>
        </w:rPr>
        <w:t>-15</w:t>
      </w:r>
      <w:r w:rsidR="000D6C99" w:rsidRPr="000D6C99">
        <w:rPr>
          <w:rFonts w:ascii="Arial Unicode MS" w:eastAsia="Arial Unicode MS" w:hAnsi="Arial Unicode MS" w:cs="Arial Unicode MS"/>
        </w:rPr>
        <w:t xml:space="preserve">, </w:t>
      </w:r>
      <w:r w:rsidR="006A2C7B">
        <w:rPr>
          <w:rFonts w:ascii="Arial Unicode MS" w:eastAsiaTheme="minorEastAsia" w:hAnsi="Arial Unicode MS" w:cs="Arial Unicode MS"/>
        </w:rPr>
        <w:t xml:space="preserve">LOIPR </w:t>
      </w:r>
      <w:r w:rsidR="000D6C99" w:rsidRPr="000D6C99">
        <w:rPr>
          <w:rFonts w:ascii="Arial Unicode MS" w:eastAsia="Arial Unicode MS" w:hAnsi="Arial Unicode MS" w:cs="Arial Unicode MS"/>
        </w:rPr>
        <w:t>para</w:t>
      </w:r>
      <w:r w:rsidR="000D6C99">
        <w:rPr>
          <w:rFonts w:ascii="Arial Unicode MS" w:eastAsiaTheme="minorEastAsia" w:hAnsi="Arial Unicode MS" w:cs="Arial Unicode MS"/>
        </w:rPr>
        <w:t>s</w:t>
      </w:r>
      <w:r w:rsidR="000D6C99" w:rsidRPr="000D6C99">
        <w:rPr>
          <w:rFonts w:ascii="Arial Unicode MS" w:eastAsia="Arial Unicode MS" w:hAnsi="Arial Unicode MS" w:cs="Arial Unicode MS"/>
        </w:rPr>
        <w:t>. 14-a, c, d</w:t>
      </w:r>
      <w:r w:rsidR="000D6C99">
        <w:rPr>
          <w:rFonts w:ascii="Arial Unicode MS" w:eastAsiaTheme="minorEastAsia" w:hAnsi="Arial Unicode MS" w:cs="Arial Unicode MS"/>
        </w:rPr>
        <w:t xml:space="preserve">; </w:t>
      </w:r>
      <w:r w:rsidR="000D6C99" w:rsidRPr="000D6C99">
        <w:rPr>
          <w:rFonts w:ascii="Arial Unicode MS" w:eastAsia="Arial Unicode MS" w:hAnsi="Arial Unicode MS" w:cs="Arial Unicode MS"/>
        </w:rPr>
        <w:t>15-a, b)</w:t>
      </w:r>
      <w:bookmarkEnd w:id="17"/>
    </w:p>
    <w:p w14:paraId="178DD207" w14:textId="77777777" w:rsidR="00C27DD9" w:rsidRDefault="00C27DD9" w:rsidP="00C27DD9">
      <w:pPr>
        <w:jc w:val="both"/>
      </w:pPr>
    </w:p>
    <w:p w14:paraId="40F58A84" w14:textId="551A8973" w:rsidR="002949F2" w:rsidRPr="002949F2" w:rsidRDefault="000D6C99" w:rsidP="000D6C99">
      <w:pPr>
        <w:numPr>
          <w:ilvl w:val="0"/>
          <w:numId w:val="1"/>
        </w:numPr>
        <w:pBdr>
          <w:top w:val="nil"/>
          <w:left w:val="nil"/>
          <w:bottom w:val="nil"/>
          <w:right w:val="nil"/>
          <w:between w:val="nil"/>
        </w:pBdr>
        <w:jc w:val="both"/>
        <w:rPr>
          <w:bCs/>
        </w:rPr>
      </w:pPr>
      <w:r w:rsidRPr="000D6C99">
        <w:rPr>
          <w:bCs/>
        </w:rPr>
        <w:t xml:space="preserve">The </w:t>
      </w:r>
      <w:r w:rsidR="00E958E8">
        <w:rPr>
          <w:rFonts w:eastAsiaTheme="minorEastAsia"/>
          <w:bCs/>
        </w:rPr>
        <w:t xml:space="preserve">Government detains </w:t>
      </w:r>
      <w:r w:rsidR="002949F2" w:rsidRPr="002949F2">
        <w:rPr>
          <w:rFonts w:eastAsiaTheme="minorEastAsia"/>
          <w:bCs/>
        </w:rPr>
        <w:t xml:space="preserve">those who have "committed an offensive act in a state of mental disorder, addiction to narcotics, alcohol or other drugs, or psychosexual disorders" in </w:t>
      </w:r>
      <w:r w:rsidR="00ED1C05">
        <w:rPr>
          <w:rFonts w:eastAsiaTheme="minorEastAsia"/>
          <w:bCs/>
        </w:rPr>
        <w:t>the M</w:t>
      </w:r>
      <w:r w:rsidR="002949F2" w:rsidRPr="002949F2">
        <w:rPr>
          <w:rFonts w:eastAsiaTheme="minorEastAsia"/>
          <w:bCs/>
        </w:rPr>
        <w:t xml:space="preserve">edical </w:t>
      </w:r>
      <w:r w:rsidR="00ED1C05">
        <w:rPr>
          <w:rFonts w:eastAsiaTheme="minorEastAsia"/>
          <w:bCs/>
        </w:rPr>
        <w:t>T</w:t>
      </w:r>
      <w:r w:rsidR="002949F2" w:rsidRPr="002949F2">
        <w:rPr>
          <w:rFonts w:eastAsiaTheme="minorEastAsia"/>
          <w:bCs/>
        </w:rPr>
        <w:t xml:space="preserve">reatment and </w:t>
      </w:r>
      <w:r w:rsidR="00ED1C05">
        <w:rPr>
          <w:rFonts w:eastAsiaTheme="minorEastAsia"/>
          <w:bCs/>
        </w:rPr>
        <w:t>D</w:t>
      </w:r>
      <w:r w:rsidR="002949F2" w:rsidRPr="002949F2">
        <w:rPr>
          <w:rFonts w:eastAsiaTheme="minorEastAsia"/>
          <w:bCs/>
        </w:rPr>
        <w:t xml:space="preserve">etention </w:t>
      </w:r>
      <w:r w:rsidR="00ED1C05">
        <w:rPr>
          <w:rFonts w:eastAsiaTheme="minorEastAsia"/>
          <w:bCs/>
        </w:rPr>
        <w:t>C</w:t>
      </w:r>
      <w:r w:rsidR="002949F2" w:rsidRPr="002949F2">
        <w:rPr>
          <w:rFonts w:eastAsiaTheme="minorEastAsia"/>
          <w:bCs/>
        </w:rPr>
        <w:t>enter for reasons of risk of recommitting crime and need for treatment.</w:t>
      </w:r>
      <w:r w:rsidR="002949F2">
        <w:rPr>
          <w:rStyle w:val="a8"/>
          <w:bCs/>
        </w:rPr>
        <w:footnoteReference w:id="44"/>
      </w:r>
      <w:r w:rsidR="002949F2" w:rsidRPr="002949F2">
        <w:rPr>
          <w:rFonts w:eastAsiaTheme="minorEastAsia"/>
          <w:bCs/>
        </w:rPr>
        <w:t xml:space="preserve"> Most of the inmates detained at the </w:t>
      </w:r>
      <w:r w:rsidR="00ED1C05">
        <w:rPr>
          <w:rFonts w:eastAsiaTheme="minorEastAsia"/>
          <w:bCs/>
        </w:rPr>
        <w:lastRenderedPageBreak/>
        <w:t>M</w:t>
      </w:r>
      <w:r w:rsidR="002949F2" w:rsidRPr="002949F2">
        <w:rPr>
          <w:rFonts w:eastAsiaTheme="minorEastAsia"/>
          <w:bCs/>
        </w:rPr>
        <w:t xml:space="preserve">edical </w:t>
      </w:r>
      <w:r w:rsidR="00ED1C05">
        <w:rPr>
          <w:rFonts w:eastAsiaTheme="minorEastAsia"/>
          <w:bCs/>
        </w:rPr>
        <w:t>T</w:t>
      </w:r>
      <w:r w:rsidR="002949F2" w:rsidRPr="002949F2">
        <w:rPr>
          <w:rFonts w:eastAsiaTheme="minorEastAsia"/>
          <w:bCs/>
        </w:rPr>
        <w:t xml:space="preserve">reatment and </w:t>
      </w:r>
      <w:r w:rsidR="00ED1C05">
        <w:rPr>
          <w:rFonts w:eastAsiaTheme="minorEastAsia"/>
          <w:bCs/>
        </w:rPr>
        <w:t>D</w:t>
      </w:r>
      <w:r w:rsidR="002949F2" w:rsidRPr="002949F2">
        <w:rPr>
          <w:rFonts w:eastAsiaTheme="minorEastAsia"/>
          <w:bCs/>
        </w:rPr>
        <w:t xml:space="preserve">etention </w:t>
      </w:r>
      <w:r w:rsidR="00ED1C05">
        <w:rPr>
          <w:rFonts w:eastAsiaTheme="minorEastAsia"/>
          <w:bCs/>
        </w:rPr>
        <w:t>C</w:t>
      </w:r>
      <w:r w:rsidR="002949F2" w:rsidRPr="002949F2">
        <w:rPr>
          <w:rFonts w:eastAsiaTheme="minorEastAsia"/>
          <w:bCs/>
        </w:rPr>
        <w:t>enter are persons with developmental or psychosocial disabilities.</w:t>
      </w:r>
      <w:r w:rsidR="002949F2">
        <w:rPr>
          <w:rStyle w:val="a8"/>
          <w:bCs/>
        </w:rPr>
        <w:footnoteReference w:id="45"/>
      </w:r>
      <w:r w:rsidR="002949F2" w:rsidRPr="002949F2">
        <w:rPr>
          <w:rFonts w:eastAsiaTheme="minorEastAsia"/>
          <w:bCs/>
        </w:rPr>
        <w:t xml:space="preserve"> The Government does not provide </w:t>
      </w:r>
      <w:r w:rsidR="002949F2">
        <w:rPr>
          <w:rFonts w:eastAsiaTheme="minorEastAsia"/>
          <w:bCs/>
        </w:rPr>
        <w:t>specific</w:t>
      </w:r>
      <w:r w:rsidR="002949F2" w:rsidRPr="002949F2">
        <w:rPr>
          <w:rFonts w:eastAsiaTheme="minorEastAsia"/>
          <w:bCs/>
        </w:rPr>
        <w:t xml:space="preserve"> statistics </w:t>
      </w:r>
      <w:r w:rsidR="002949F2">
        <w:rPr>
          <w:rFonts w:eastAsiaTheme="minorEastAsia"/>
          <w:bCs/>
        </w:rPr>
        <w:t>by</w:t>
      </w:r>
      <w:r w:rsidR="002949F2" w:rsidRPr="002949F2">
        <w:rPr>
          <w:rFonts w:eastAsiaTheme="minorEastAsia"/>
          <w:bCs/>
        </w:rPr>
        <w:t xml:space="preserve"> the types of disabilities of inmates. This implies that proper treatment in consideration of each inmate's disability </w:t>
      </w:r>
      <w:r w:rsidR="002949F2">
        <w:rPr>
          <w:rFonts w:eastAsiaTheme="minorEastAsia"/>
          <w:bCs/>
        </w:rPr>
        <w:t>has</w:t>
      </w:r>
      <w:r w:rsidR="002949F2" w:rsidRPr="002949F2">
        <w:rPr>
          <w:rFonts w:eastAsiaTheme="minorEastAsia"/>
          <w:bCs/>
        </w:rPr>
        <w:t xml:space="preserve"> not </w:t>
      </w:r>
      <w:r w:rsidR="002949F2">
        <w:rPr>
          <w:rFonts w:eastAsiaTheme="minorEastAsia"/>
          <w:bCs/>
        </w:rPr>
        <w:t xml:space="preserve">been </w:t>
      </w:r>
      <w:r w:rsidR="002949F2" w:rsidRPr="002949F2">
        <w:rPr>
          <w:rFonts w:eastAsiaTheme="minorEastAsia"/>
          <w:bCs/>
        </w:rPr>
        <w:t>sufficiently provided.</w:t>
      </w:r>
      <w:r w:rsidR="002949F2" w:rsidRPr="002949F2">
        <w:rPr>
          <w:rFonts w:eastAsiaTheme="minorEastAsia"/>
          <w:bCs/>
        </w:rPr>
        <w:t xml:space="preserve"> </w:t>
      </w:r>
    </w:p>
    <w:p w14:paraId="23E4E55A" w14:textId="77777777" w:rsidR="000D6C99" w:rsidRPr="000D6C99" w:rsidRDefault="000D6C99" w:rsidP="000D6C99">
      <w:pPr>
        <w:pBdr>
          <w:top w:val="nil"/>
          <w:left w:val="nil"/>
          <w:bottom w:val="nil"/>
          <w:right w:val="nil"/>
          <w:between w:val="nil"/>
        </w:pBdr>
        <w:ind w:left="720"/>
        <w:jc w:val="both"/>
        <w:rPr>
          <w:rFonts w:hint="eastAsia"/>
          <w:bCs/>
        </w:rPr>
      </w:pPr>
    </w:p>
    <w:p w14:paraId="0AD10B60" w14:textId="4EA6C110" w:rsidR="00ED1C05" w:rsidRPr="00ED1C05" w:rsidRDefault="00ED1C05" w:rsidP="000D6C99">
      <w:pPr>
        <w:numPr>
          <w:ilvl w:val="0"/>
          <w:numId w:val="1"/>
        </w:numPr>
        <w:pBdr>
          <w:top w:val="nil"/>
          <w:left w:val="nil"/>
          <w:bottom w:val="nil"/>
          <w:right w:val="nil"/>
          <w:between w:val="nil"/>
        </w:pBdr>
        <w:jc w:val="both"/>
        <w:rPr>
          <w:bCs/>
        </w:rPr>
      </w:pPr>
      <w:r w:rsidRPr="00ED1C05">
        <w:rPr>
          <w:bCs/>
        </w:rPr>
        <w:t xml:space="preserve">There is only one "Medical Treatment and Detention Center" in the Republic of Korea, and 93.8% of </w:t>
      </w:r>
      <w:r>
        <w:rPr>
          <w:rFonts w:eastAsiaTheme="minorEastAsia"/>
          <w:bCs/>
        </w:rPr>
        <w:t>the Center’</w:t>
      </w:r>
      <w:r>
        <w:rPr>
          <w:rFonts w:eastAsiaTheme="minorEastAsia" w:hint="eastAsia"/>
          <w:bCs/>
        </w:rPr>
        <w:t>s</w:t>
      </w:r>
      <w:r>
        <w:rPr>
          <w:rFonts w:eastAsiaTheme="minorEastAsia"/>
          <w:bCs/>
        </w:rPr>
        <w:t xml:space="preserve"> </w:t>
      </w:r>
      <w:r w:rsidRPr="00ED1C05">
        <w:rPr>
          <w:bCs/>
        </w:rPr>
        <w:t xml:space="preserve">wards </w:t>
      </w:r>
      <w:r>
        <w:rPr>
          <w:rFonts w:eastAsiaTheme="minorEastAsia"/>
          <w:bCs/>
        </w:rPr>
        <w:t>accommodate</w:t>
      </w:r>
      <w:r w:rsidRPr="00ED1C05">
        <w:rPr>
          <w:bCs/>
        </w:rPr>
        <w:t xml:space="preserve"> 7</w:t>
      </w:r>
      <w:r>
        <w:rPr>
          <w:rFonts w:eastAsiaTheme="minorEastAsia"/>
          <w:bCs/>
        </w:rPr>
        <w:t xml:space="preserve"> to </w:t>
      </w:r>
      <w:r w:rsidRPr="00ED1C05">
        <w:rPr>
          <w:bCs/>
        </w:rPr>
        <w:t>8 persons, which have long been criticized for overcrowding.</w:t>
      </w:r>
      <w:r>
        <w:rPr>
          <w:rStyle w:val="a8"/>
          <w:bCs/>
        </w:rPr>
        <w:footnoteReference w:id="46"/>
      </w:r>
      <w:r w:rsidRPr="00ED1C05">
        <w:rPr>
          <w:bCs/>
        </w:rPr>
        <w:t xml:space="preserve"> Furthermore, the ratio of medical staff to inmates has been more than 1:100 and this has also been continuously criticized for long-term institutionalization without providing sufficient treatment to inmates.</w:t>
      </w:r>
      <w:r>
        <w:rPr>
          <w:rStyle w:val="a8"/>
          <w:bCs/>
        </w:rPr>
        <w:footnoteReference w:id="47"/>
      </w:r>
    </w:p>
    <w:p w14:paraId="62E09718" w14:textId="77777777" w:rsidR="000D6C99" w:rsidRPr="000D6C99" w:rsidRDefault="000D6C99" w:rsidP="000D6C99">
      <w:pPr>
        <w:pBdr>
          <w:top w:val="nil"/>
          <w:left w:val="nil"/>
          <w:bottom w:val="nil"/>
          <w:right w:val="nil"/>
          <w:between w:val="nil"/>
        </w:pBdr>
        <w:ind w:left="720"/>
        <w:jc w:val="both"/>
        <w:rPr>
          <w:rFonts w:hint="eastAsia"/>
          <w:bCs/>
        </w:rPr>
      </w:pPr>
    </w:p>
    <w:p w14:paraId="42767E54" w14:textId="0A8C693E" w:rsidR="004E05F8" w:rsidRPr="004E05F8" w:rsidRDefault="004E05F8" w:rsidP="000D6C99">
      <w:pPr>
        <w:numPr>
          <w:ilvl w:val="0"/>
          <w:numId w:val="1"/>
        </w:numPr>
        <w:pBdr>
          <w:top w:val="nil"/>
          <w:left w:val="nil"/>
          <w:bottom w:val="nil"/>
          <w:right w:val="nil"/>
          <w:between w:val="nil"/>
        </w:pBdr>
        <w:jc w:val="both"/>
        <w:rPr>
          <w:bCs/>
        </w:rPr>
      </w:pPr>
      <w:r w:rsidRPr="004E05F8">
        <w:rPr>
          <w:bCs/>
        </w:rPr>
        <w:t>The Act on Medical Treatment And Custody allows long-term detention of persons for up to 15 years. The detention period may be prolonged up to 21 years, including an extension period in cases of persons who commited the crime of murder.</w:t>
      </w:r>
      <w:r>
        <w:rPr>
          <w:rStyle w:val="a8"/>
          <w:bCs/>
        </w:rPr>
        <w:footnoteReference w:id="48"/>
      </w:r>
      <w:r w:rsidRPr="004E05F8">
        <w:rPr>
          <w:bCs/>
        </w:rPr>
        <w:t xml:space="preserve"> As a result, persons with disabilities are detained in the Center for longer periods than their criminal sentences. As of 2020, 32.8% of people who was sentenced to medical treatment and custody were sentenced for five years or more.</w:t>
      </w:r>
      <w:r>
        <w:rPr>
          <w:rStyle w:val="a8"/>
          <w:bCs/>
        </w:rPr>
        <w:footnoteReference w:id="49"/>
      </w:r>
      <w:r w:rsidRPr="004E05F8">
        <w:rPr>
          <w:bCs/>
        </w:rPr>
        <w:t xml:space="preserve"> Furthermore, the Act allows isolation and physical restraints of persons with disabilities detained in the Center.</w:t>
      </w:r>
      <w:r>
        <w:rPr>
          <w:rStyle w:val="a8"/>
          <w:rFonts w:eastAsiaTheme="minorEastAsia"/>
          <w:bCs/>
        </w:rPr>
        <w:footnoteReference w:id="50"/>
      </w:r>
    </w:p>
    <w:p w14:paraId="7E31FD97" w14:textId="77777777" w:rsidR="000D6C99" w:rsidRPr="000D6C99" w:rsidRDefault="000D6C99" w:rsidP="000D6C99">
      <w:pPr>
        <w:pBdr>
          <w:top w:val="nil"/>
          <w:left w:val="nil"/>
          <w:bottom w:val="nil"/>
          <w:right w:val="nil"/>
          <w:between w:val="nil"/>
        </w:pBdr>
        <w:ind w:left="720"/>
        <w:jc w:val="both"/>
        <w:rPr>
          <w:rFonts w:hint="eastAsia"/>
          <w:bCs/>
        </w:rPr>
      </w:pPr>
    </w:p>
    <w:p w14:paraId="2266D218" w14:textId="017538FC" w:rsidR="00D52548" w:rsidRPr="00D52548" w:rsidRDefault="00D52548" w:rsidP="000D6C99">
      <w:pPr>
        <w:numPr>
          <w:ilvl w:val="0"/>
          <w:numId w:val="1"/>
        </w:numPr>
        <w:pBdr>
          <w:top w:val="nil"/>
          <w:left w:val="nil"/>
          <w:bottom w:val="nil"/>
          <w:right w:val="nil"/>
          <w:between w:val="nil"/>
        </w:pBdr>
        <w:jc w:val="both"/>
        <w:rPr>
          <w:bCs/>
        </w:rPr>
      </w:pPr>
      <w:r w:rsidRPr="00D52548">
        <w:rPr>
          <w:bCs/>
        </w:rPr>
        <w:t xml:space="preserve">It is also problematic that persons with developmental disabilities, who are not subjects for medical treatment, are detained at the Center. The medical treatment and programs in the Center do not consider the characteristics of persons with developmental disabilities. The treatments for persons with developmental disabilities are mostly using drugs - which are not helpful for persons with developmental disabilities - and there are few professionals who understand developmental disabilities. Recently, it has been </w:t>
      </w:r>
      <w:r w:rsidRPr="00D52548">
        <w:rPr>
          <w:bCs/>
        </w:rPr>
        <w:lastRenderedPageBreak/>
        <w:t>revealed that a person with developmental disability was detained for over eleven years and four months for reason of need for medical treatment.</w:t>
      </w:r>
      <w:r w:rsidR="001C50D5">
        <w:rPr>
          <w:rStyle w:val="a8"/>
          <w:bCs/>
        </w:rPr>
        <w:footnoteReference w:id="51"/>
      </w:r>
      <w:r w:rsidRPr="00D52548">
        <w:rPr>
          <w:bCs/>
        </w:rPr>
        <w:t xml:space="preserve"> </w:t>
      </w:r>
    </w:p>
    <w:p w14:paraId="5C5EBD4E" w14:textId="77777777" w:rsidR="000D6C99" w:rsidRPr="000D6C99" w:rsidRDefault="000D6C99" w:rsidP="000D6C99">
      <w:pPr>
        <w:pBdr>
          <w:top w:val="nil"/>
          <w:left w:val="nil"/>
          <w:bottom w:val="nil"/>
          <w:right w:val="nil"/>
          <w:between w:val="nil"/>
        </w:pBdr>
        <w:ind w:left="720"/>
        <w:jc w:val="both"/>
        <w:rPr>
          <w:rFonts w:hint="eastAsia"/>
          <w:bCs/>
        </w:rPr>
      </w:pPr>
    </w:p>
    <w:p w14:paraId="746563C5" w14:textId="09F421FD" w:rsidR="002521CB" w:rsidRPr="002521CB" w:rsidRDefault="002521CB" w:rsidP="002521CB">
      <w:pPr>
        <w:numPr>
          <w:ilvl w:val="0"/>
          <w:numId w:val="1"/>
        </w:numPr>
        <w:pBdr>
          <w:top w:val="nil"/>
          <w:left w:val="nil"/>
          <w:bottom w:val="nil"/>
          <w:right w:val="nil"/>
          <w:between w:val="nil"/>
        </w:pBdr>
        <w:jc w:val="both"/>
        <w:rPr>
          <w:bCs/>
        </w:rPr>
      </w:pPr>
      <w:r w:rsidRPr="002521CB">
        <w:rPr>
          <w:bCs/>
        </w:rPr>
        <w:t>It is known that the treatment of persons with disabilities detained in detention facilities are poor. As of 2020, there are only 9 facilities out of 54 correctional facilities that perform special functions for inmates with disabilities.</w:t>
      </w:r>
      <w:r>
        <w:rPr>
          <w:rStyle w:val="a8"/>
          <w:bCs/>
        </w:rPr>
        <w:footnoteReference w:id="52"/>
      </w:r>
      <w:r w:rsidRPr="002521CB">
        <w:rPr>
          <w:bCs/>
        </w:rPr>
        <w:t xml:space="preserve"> In most correctional facilities, both physical assistance such as reasonable accommodation, diagnostic equipment, auxiliary equipment, and personal assistance such as medical personnel, sign language interpreters, and communication assistants are lacking.</w:t>
      </w:r>
      <w:r>
        <w:rPr>
          <w:rStyle w:val="a8"/>
          <w:bCs/>
        </w:rPr>
        <w:footnoteReference w:id="53"/>
      </w:r>
      <w:r w:rsidRPr="002521CB">
        <w:rPr>
          <w:bCs/>
        </w:rPr>
        <w:t xml:space="preserve"> According to the research on 717 persons of disabilities detained in the correctional facilities, only 30.6% of them were aware of the procedures of remedy for human rights violations.</w:t>
      </w:r>
      <w:r>
        <w:rPr>
          <w:rStyle w:val="a8"/>
          <w:bCs/>
        </w:rPr>
        <w:footnoteReference w:id="54"/>
      </w:r>
    </w:p>
    <w:p w14:paraId="0911CB7D" w14:textId="77777777" w:rsidR="000D6C99" w:rsidRPr="000D6C99" w:rsidRDefault="000D6C99" w:rsidP="000D6C99">
      <w:pPr>
        <w:pBdr>
          <w:top w:val="nil"/>
          <w:left w:val="nil"/>
          <w:bottom w:val="nil"/>
          <w:right w:val="nil"/>
          <w:between w:val="nil"/>
        </w:pBdr>
        <w:ind w:left="720"/>
        <w:jc w:val="both"/>
        <w:rPr>
          <w:rFonts w:hint="eastAsia"/>
          <w:bCs/>
        </w:rPr>
      </w:pPr>
    </w:p>
    <w:p w14:paraId="5250F552" w14:textId="75F66872" w:rsidR="000D6C99" w:rsidRPr="0092167E" w:rsidRDefault="000D6C99" w:rsidP="000D6C99">
      <w:pPr>
        <w:pBdr>
          <w:top w:val="nil"/>
          <w:left w:val="nil"/>
          <w:bottom w:val="nil"/>
          <w:right w:val="nil"/>
          <w:between w:val="nil"/>
        </w:pBdr>
        <w:jc w:val="both"/>
        <w:rPr>
          <w:b/>
        </w:rPr>
      </w:pPr>
      <w:r w:rsidRPr="0092167E">
        <w:rPr>
          <w:b/>
        </w:rPr>
        <w:t>Suggested Recommendations</w:t>
      </w:r>
    </w:p>
    <w:p w14:paraId="06E039E9" w14:textId="77777777" w:rsidR="000D6C99" w:rsidRPr="0092167E" w:rsidRDefault="000D6C99" w:rsidP="000D6C99">
      <w:pPr>
        <w:pBdr>
          <w:top w:val="nil"/>
          <w:left w:val="nil"/>
          <w:bottom w:val="nil"/>
          <w:right w:val="nil"/>
          <w:between w:val="nil"/>
        </w:pBdr>
        <w:ind w:left="720"/>
        <w:jc w:val="both"/>
        <w:rPr>
          <w:rFonts w:hint="eastAsia"/>
          <w:b/>
        </w:rPr>
      </w:pPr>
    </w:p>
    <w:p w14:paraId="631A616E" w14:textId="3939EBE9" w:rsidR="000D6C99" w:rsidRPr="0092167E" w:rsidRDefault="000D6C99" w:rsidP="000D6C99">
      <w:pPr>
        <w:numPr>
          <w:ilvl w:val="0"/>
          <w:numId w:val="1"/>
        </w:numPr>
        <w:pBdr>
          <w:top w:val="nil"/>
          <w:left w:val="nil"/>
          <w:bottom w:val="nil"/>
          <w:right w:val="nil"/>
          <w:between w:val="nil"/>
        </w:pBdr>
        <w:jc w:val="both"/>
        <w:rPr>
          <w:b/>
        </w:rPr>
      </w:pPr>
      <w:r w:rsidRPr="0092167E">
        <w:rPr>
          <w:b/>
        </w:rPr>
        <w:t xml:space="preserve">The </w:t>
      </w:r>
      <w:r w:rsidR="002521CB">
        <w:rPr>
          <w:rFonts w:eastAsiaTheme="minorEastAsia"/>
          <w:b/>
        </w:rPr>
        <w:t>Government</w:t>
      </w:r>
      <w:r w:rsidRPr="0092167E">
        <w:rPr>
          <w:b/>
        </w:rPr>
        <w:t xml:space="preserve"> should disclose the statistics by the types of disabilities of the persons with disabilities detained in the medical treatment and detention center and the correctional facilities transparently.</w:t>
      </w:r>
    </w:p>
    <w:p w14:paraId="0618A53C" w14:textId="625CEDF1" w:rsidR="000D6C99" w:rsidRPr="0092167E" w:rsidRDefault="000D6C99" w:rsidP="000D6C99">
      <w:pPr>
        <w:numPr>
          <w:ilvl w:val="0"/>
          <w:numId w:val="1"/>
        </w:numPr>
        <w:pBdr>
          <w:top w:val="nil"/>
          <w:left w:val="nil"/>
          <w:bottom w:val="nil"/>
          <w:right w:val="nil"/>
          <w:between w:val="nil"/>
        </w:pBdr>
        <w:jc w:val="both"/>
        <w:rPr>
          <w:b/>
        </w:rPr>
      </w:pPr>
      <w:r w:rsidRPr="0092167E">
        <w:rPr>
          <w:b/>
        </w:rPr>
        <w:t xml:space="preserve">The </w:t>
      </w:r>
      <w:r w:rsidR="002521CB">
        <w:rPr>
          <w:rFonts w:eastAsiaTheme="minorEastAsia"/>
          <w:b/>
        </w:rPr>
        <w:t>Government</w:t>
      </w:r>
      <w:r w:rsidR="002521CB" w:rsidRPr="0092167E">
        <w:rPr>
          <w:b/>
        </w:rPr>
        <w:t xml:space="preserve"> </w:t>
      </w:r>
      <w:r w:rsidRPr="0092167E">
        <w:rPr>
          <w:b/>
        </w:rPr>
        <w:t xml:space="preserve">should take legislative and administrative measures to resolve the problems of overcrowding and the shortage of professionals, such as medical staff in the medical treatment and detention center and the correctional facilities. </w:t>
      </w:r>
    </w:p>
    <w:p w14:paraId="7A87B454" w14:textId="5525D59C" w:rsidR="000D6C99" w:rsidRPr="0092167E" w:rsidRDefault="000D6C99" w:rsidP="000D6C99">
      <w:pPr>
        <w:numPr>
          <w:ilvl w:val="0"/>
          <w:numId w:val="1"/>
        </w:numPr>
        <w:pBdr>
          <w:top w:val="nil"/>
          <w:left w:val="nil"/>
          <w:bottom w:val="nil"/>
          <w:right w:val="nil"/>
          <w:between w:val="nil"/>
        </w:pBdr>
        <w:jc w:val="both"/>
        <w:rPr>
          <w:b/>
        </w:rPr>
      </w:pPr>
      <w:r w:rsidRPr="0092167E">
        <w:rPr>
          <w:b/>
        </w:rPr>
        <w:t xml:space="preserve">The </w:t>
      </w:r>
      <w:r w:rsidR="002521CB">
        <w:rPr>
          <w:rFonts w:eastAsiaTheme="minorEastAsia"/>
          <w:b/>
        </w:rPr>
        <w:t>Government</w:t>
      </w:r>
      <w:r w:rsidR="002521CB" w:rsidRPr="0092167E">
        <w:rPr>
          <w:b/>
        </w:rPr>
        <w:t xml:space="preserve"> </w:t>
      </w:r>
      <w:r w:rsidRPr="0092167E">
        <w:rPr>
          <w:b/>
        </w:rPr>
        <w:t xml:space="preserve">should take legislative and administrative measures to prohibit long-term detentions in the medical treatment and detention center-especially those that fail to take into account the characteristics of disability- and to provide alternatives such as treatment in a society. </w:t>
      </w:r>
    </w:p>
    <w:p w14:paraId="431DE9EF" w14:textId="1BD6DFB2" w:rsidR="000D6C99" w:rsidRPr="0092167E" w:rsidRDefault="000D6C99" w:rsidP="000D6C99">
      <w:pPr>
        <w:numPr>
          <w:ilvl w:val="0"/>
          <w:numId w:val="1"/>
        </w:numPr>
        <w:pBdr>
          <w:top w:val="nil"/>
          <w:left w:val="nil"/>
          <w:bottom w:val="nil"/>
          <w:right w:val="nil"/>
          <w:between w:val="nil"/>
        </w:pBdr>
        <w:jc w:val="both"/>
        <w:rPr>
          <w:b/>
        </w:rPr>
      </w:pPr>
      <w:r w:rsidRPr="0092167E">
        <w:rPr>
          <w:b/>
        </w:rPr>
        <w:t xml:space="preserve">The </w:t>
      </w:r>
      <w:r w:rsidR="002521CB">
        <w:rPr>
          <w:rFonts w:eastAsiaTheme="minorEastAsia"/>
          <w:b/>
        </w:rPr>
        <w:t>Government</w:t>
      </w:r>
      <w:r w:rsidR="002521CB" w:rsidRPr="0092167E">
        <w:rPr>
          <w:b/>
        </w:rPr>
        <w:t xml:space="preserve"> </w:t>
      </w:r>
      <w:r w:rsidRPr="0092167E">
        <w:rPr>
          <w:b/>
        </w:rPr>
        <w:t xml:space="preserve">should expand the facilities that perform special functions of the persons of disabilities and take legislative and administrative measures to provide necessary convenience for the persons of disabilities detained in the all correctional facilities. </w:t>
      </w:r>
    </w:p>
    <w:p w14:paraId="5D122F68" w14:textId="1D333659" w:rsidR="00C27DD9" w:rsidRPr="002521CB" w:rsidRDefault="000D6C99" w:rsidP="00C27DD9">
      <w:pPr>
        <w:numPr>
          <w:ilvl w:val="0"/>
          <w:numId w:val="1"/>
        </w:numPr>
        <w:pBdr>
          <w:top w:val="nil"/>
          <w:left w:val="nil"/>
          <w:bottom w:val="nil"/>
          <w:right w:val="nil"/>
          <w:between w:val="nil"/>
        </w:pBdr>
        <w:jc w:val="both"/>
        <w:rPr>
          <w:rFonts w:hint="eastAsia"/>
          <w:b/>
        </w:rPr>
      </w:pPr>
      <w:r w:rsidRPr="0092167E">
        <w:rPr>
          <w:b/>
        </w:rPr>
        <w:t xml:space="preserve">The </w:t>
      </w:r>
      <w:r w:rsidR="002521CB">
        <w:rPr>
          <w:rFonts w:eastAsiaTheme="minorEastAsia"/>
          <w:b/>
        </w:rPr>
        <w:t>Government</w:t>
      </w:r>
      <w:r w:rsidR="002521CB" w:rsidRPr="0092167E">
        <w:rPr>
          <w:b/>
        </w:rPr>
        <w:t xml:space="preserve"> </w:t>
      </w:r>
      <w:r w:rsidRPr="0092167E">
        <w:rPr>
          <w:b/>
        </w:rPr>
        <w:t>should provide the information of the procedures of remedy to the persons with disabilities deprived of the liberty in consideration of the types of disabilities, and construct the system in which the persons with disabilities can receive assistance in the procedures of remedy and communications in the procedures.</w:t>
      </w:r>
      <w:bookmarkStart w:id="18" w:name="_g3wff72midhz" w:colFirst="0" w:colLast="0"/>
      <w:bookmarkEnd w:id="18"/>
    </w:p>
    <w:p w14:paraId="30FCD355" w14:textId="77777777" w:rsidR="005A4F48" w:rsidRDefault="00000000" w:rsidP="00C27DD9">
      <w:pPr>
        <w:jc w:val="both"/>
      </w:pPr>
    </w:p>
    <w:sectPr w:rsidR="005A4F4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00917F" w14:textId="77777777" w:rsidR="0017700A" w:rsidRDefault="0017700A" w:rsidP="00C27DD9">
      <w:pPr>
        <w:spacing w:line="240" w:lineRule="auto"/>
      </w:pPr>
      <w:r>
        <w:separator/>
      </w:r>
    </w:p>
  </w:endnote>
  <w:endnote w:type="continuationSeparator" w:id="0">
    <w:p w14:paraId="67DF4524" w14:textId="77777777" w:rsidR="0017700A" w:rsidRDefault="0017700A" w:rsidP="00C27D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돋움">
    <w:altName w:val="Dotum"/>
    <w:panose1 w:val="020B0600000101010101"/>
    <w:charset w:val="81"/>
    <w:family w:val="modern"/>
    <w:pitch w:val="variable"/>
    <w:sig w:usb0="B00002AF" w:usb1="69D77CFB" w:usb2="00000030" w:usb3="00000000" w:csb0="0008009F" w:csb1="00000000"/>
  </w:font>
  <w:font w:name="Arial Unicode MS">
    <w:altName w:val="Arial"/>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AAC52E" w14:textId="77777777" w:rsidR="00C27DD9" w:rsidRDefault="00C27DD9">
    <w:pPr>
      <w:jc w:val="right"/>
    </w:pPr>
    <w:r>
      <w:fldChar w:fldCharType="begin"/>
    </w:r>
    <w:r>
      <w:instrText>PAGE</w:instrText>
    </w:r>
    <w:r>
      <w:fldChar w:fldCharType="separate"/>
    </w:r>
    <w:r>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2DC0D6" w14:textId="77777777" w:rsidR="00C27DD9" w:rsidRDefault="00C27DD9">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15DA5E" w14:textId="77777777" w:rsidR="0017700A" w:rsidRDefault="0017700A" w:rsidP="00C27DD9">
      <w:pPr>
        <w:spacing w:line="240" w:lineRule="auto"/>
      </w:pPr>
      <w:r>
        <w:separator/>
      </w:r>
    </w:p>
  </w:footnote>
  <w:footnote w:type="continuationSeparator" w:id="0">
    <w:p w14:paraId="66522ACD" w14:textId="77777777" w:rsidR="0017700A" w:rsidRDefault="0017700A" w:rsidP="00C27DD9">
      <w:pPr>
        <w:spacing w:line="240" w:lineRule="auto"/>
      </w:pPr>
      <w:r>
        <w:continuationSeparator/>
      </w:r>
    </w:p>
  </w:footnote>
  <w:footnote w:id="1">
    <w:p w14:paraId="10D57DD5" w14:textId="77777777" w:rsidR="00C27DD9" w:rsidRPr="0092167E" w:rsidRDefault="00C27DD9" w:rsidP="006C2E12">
      <w:pPr>
        <w:spacing w:line="240" w:lineRule="auto"/>
        <w:rPr>
          <w:sz w:val="18"/>
          <w:szCs w:val="18"/>
        </w:rPr>
      </w:pPr>
      <w:r w:rsidRPr="0092167E">
        <w:rPr>
          <w:sz w:val="18"/>
          <w:szCs w:val="18"/>
          <w:vertAlign w:val="superscript"/>
        </w:rPr>
        <w:footnoteRef/>
      </w:r>
      <w:r w:rsidRPr="0092167E">
        <w:rPr>
          <w:sz w:val="18"/>
          <w:szCs w:val="18"/>
        </w:rPr>
        <w:t xml:space="preserve"> Human Rights Watch, “National Assembly of South Korea should act swiftly to enact anti-discrimination legislation”, 11 November 2021. </w:t>
      </w:r>
      <w:hyperlink r:id="rId1">
        <w:r w:rsidRPr="0092167E">
          <w:rPr>
            <w:color w:val="1155CC"/>
            <w:sz w:val="18"/>
            <w:szCs w:val="18"/>
            <w:u w:val="single"/>
          </w:rPr>
          <w:t>https://www.hrw.org/news/2021/11/11/national-assembly-south-korea-should-act-swiftly-enact-anti-discrimination</w:t>
        </w:r>
      </w:hyperlink>
    </w:p>
  </w:footnote>
  <w:footnote w:id="2">
    <w:p w14:paraId="6949005C" w14:textId="77777777" w:rsidR="00C27DD9" w:rsidRPr="0092167E" w:rsidRDefault="00C27DD9" w:rsidP="006C2E12">
      <w:pPr>
        <w:spacing w:line="240" w:lineRule="auto"/>
        <w:rPr>
          <w:sz w:val="18"/>
          <w:szCs w:val="18"/>
        </w:rPr>
      </w:pPr>
      <w:r w:rsidRPr="0092167E">
        <w:rPr>
          <w:sz w:val="18"/>
          <w:szCs w:val="18"/>
          <w:vertAlign w:val="superscript"/>
        </w:rPr>
        <w:footnoteRef/>
      </w:r>
      <w:r w:rsidRPr="0092167E">
        <w:rPr>
          <w:sz w:val="18"/>
          <w:szCs w:val="18"/>
        </w:rPr>
        <w:t xml:space="preserve"> UN Committee on Economic, Social and Cultural Rights (CESCR), Consideration of reports submitted by States parties under articles 16 and 17 of the Covenant: concluding observations of the Committee on Economic, Social and Cultural Rights: Republic of Korea, 17 December 2009, E/C.12/KOR/CO/3, at para. 9; UN Committee on the Elimination of Discrimination Against Women (CEDAW), Concluding observations of the Committee on the Elimination of Discrimination against Women - Republic of Korea, 1 August 2011, CEDAW/C/KOR/CO/7, at para. 15.; UN Committee on the Rights of the Child (CRC), Concluding observations: Republic of Korea, 2 February 2012, CRC/C/KOR/CO/3-4, at para. 29.; UN Human Rights Committee (HRC), Concluding observations on the fourth periodic report of the Republic of Korea, 3 December 2015, CCPR/C/KOR/CO/4, at para. 12-</w:t>
      </w:r>
      <w:proofErr w:type="gramStart"/>
      <w:r w:rsidRPr="0092167E">
        <w:rPr>
          <w:sz w:val="18"/>
          <w:szCs w:val="18"/>
        </w:rPr>
        <w:t>13.;</w:t>
      </w:r>
      <w:proofErr w:type="gramEnd"/>
      <w:r w:rsidRPr="0092167E">
        <w:rPr>
          <w:sz w:val="18"/>
          <w:szCs w:val="18"/>
        </w:rPr>
        <w:t xml:space="preserve"> UN Committee on Economic, Social and Cultural Rights (CESCR), Concluding observations on the fourth periodic report of the Republic of Korea, 19 October 2017, E/C.12/KOR/CO/4, at para. 23.; UN Committee on the Elimination of Discrimination Against Women (CEDAW), Concluding observations on the eighth periodic report of the Republic of Korea, 14 March 2018, CEDAW/C/KOR/CO/8, at para. 13; Committee on the Elimination of Racial Discrimination (CERD), Concluding observations on the combined 17th to 19th periodic reports of Republic of Korea, 14 December 2018, CERD/C/KOR/CO/17-19, at para. 43; UN Human Rights Council, Report of the Working Group on the Universal Periodic Review: Republic of Korea, 12 December 2012, A/HRC/22/10, at para. 124.24, 124.33; UN Human Rights Council, Report of the Working Group on the Universal Periodic Review: Republic of Korea, 13 November 2017, A/HRC/WG.6/28/L.8, Twenty-four countries have recommended the enactment of anti-discrimination laws.</w:t>
      </w:r>
    </w:p>
  </w:footnote>
  <w:footnote w:id="3">
    <w:p w14:paraId="309FBB2A" w14:textId="53BF8C50" w:rsidR="00C27DD9" w:rsidRPr="0092167E" w:rsidRDefault="00C27DD9" w:rsidP="006C2E12">
      <w:pPr>
        <w:spacing w:line="240" w:lineRule="auto"/>
        <w:rPr>
          <w:sz w:val="18"/>
          <w:szCs w:val="18"/>
        </w:rPr>
      </w:pPr>
      <w:r w:rsidRPr="0092167E">
        <w:rPr>
          <w:sz w:val="18"/>
          <w:szCs w:val="18"/>
          <w:vertAlign w:val="superscript"/>
        </w:rPr>
        <w:footnoteRef/>
      </w:r>
      <w:r w:rsidRPr="0092167E">
        <w:rPr>
          <w:sz w:val="18"/>
          <w:szCs w:val="18"/>
        </w:rPr>
        <w:t xml:space="preserve">  Hankyoreh, “This is not the end”: S. Korean activist ends 46-day hunger strike for anti-discrimination act”, 27 May 2022. </w:t>
      </w:r>
      <w:hyperlink r:id="rId2">
        <w:r w:rsidRPr="0092167E">
          <w:rPr>
            <w:color w:val="1155CC"/>
            <w:sz w:val="18"/>
            <w:szCs w:val="18"/>
            <w:u w:val="single"/>
          </w:rPr>
          <w:t>https://english.hani.co.kr/arti/english_edition/e_national/1044700.html</w:t>
        </w:r>
      </w:hyperlink>
    </w:p>
  </w:footnote>
  <w:footnote w:id="4">
    <w:p w14:paraId="7ADC09C1" w14:textId="77777777" w:rsidR="00C27DD9" w:rsidRPr="0092167E" w:rsidRDefault="00C27DD9" w:rsidP="006C2E12">
      <w:pPr>
        <w:spacing w:line="240" w:lineRule="auto"/>
        <w:rPr>
          <w:sz w:val="18"/>
          <w:szCs w:val="18"/>
        </w:rPr>
      </w:pPr>
      <w:r w:rsidRPr="0092167E">
        <w:rPr>
          <w:sz w:val="18"/>
          <w:szCs w:val="18"/>
          <w:vertAlign w:val="superscript"/>
        </w:rPr>
        <w:footnoteRef/>
      </w:r>
      <w:r w:rsidRPr="0092167E">
        <w:rPr>
          <w:sz w:val="18"/>
          <w:szCs w:val="18"/>
        </w:rPr>
        <w:t xml:space="preserve"> Prevention of Acquired Immunodeficiency Syndrome Act, Article 19 (Prohibition against Carrying and Spreading AIDS) No infected person shall perform any act of carrying and spreading AIDS to another person through blood or body fluids.</w:t>
      </w:r>
    </w:p>
  </w:footnote>
  <w:footnote w:id="5">
    <w:p w14:paraId="666F2699" w14:textId="77777777" w:rsidR="00C27DD9" w:rsidRPr="0092167E" w:rsidRDefault="00C27DD9" w:rsidP="006C2E12">
      <w:pPr>
        <w:spacing w:line="240" w:lineRule="auto"/>
        <w:rPr>
          <w:sz w:val="18"/>
          <w:szCs w:val="18"/>
        </w:rPr>
      </w:pPr>
      <w:r w:rsidRPr="0092167E">
        <w:rPr>
          <w:sz w:val="18"/>
          <w:szCs w:val="18"/>
          <w:vertAlign w:val="superscript"/>
        </w:rPr>
        <w:footnoteRef/>
      </w:r>
      <w:r w:rsidRPr="0092167E">
        <w:rPr>
          <w:sz w:val="18"/>
          <w:szCs w:val="18"/>
        </w:rPr>
        <w:t xml:space="preserve"> The purpose of the Act on Welfare of Persons with Disabilities is to alleviate difficulties that specific disabled persons experience in daily life by providing certain benefits from a welfare point of view. Therefore, it requires objective and clear provision on the scope of disability. However, the scope of disabled persons subject to the law, who are acknowledged and registered by the government, is very narrow and such measurement and classification is based on the medical model of disability. With the implementation of the Disabled Registration System in 1988 and the general revision of the Act on Welfare of Persons with Disabilities in 1989, the initial scope of disability included five impairment types (physical, visual, hearing, speech, intellectual). Then, through the first expansion of disability scope in 2000 and the second expansion of disability scope in 2003, the scope of disability was expanded to the current 15 types (physical, brain lesion, visual, hearing, speech, intellectual, autism, psychological, kidney, heart, respiratory, liver, facial, intestinal/urorrhea, epilepsy). However, as of 2019, </w:t>
      </w:r>
      <w:r w:rsidRPr="0092167E">
        <w:rPr>
          <w:sz w:val="18"/>
          <w:szCs w:val="18"/>
          <w:u w:val="single"/>
        </w:rPr>
        <w:t>Korea’s disability prevalence rate is about 5.4%, which is substantially low compared to the OECD members’ average of 24.5%</w:t>
      </w:r>
      <w:r w:rsidRPr="0092167E">
        <w:rPr>
          <w:sz w:val="18"/>
          <w:szCs w:val="18"/>
        </w:rPr>
        <w:t>.</w:t>
      </w:r>
    </w:p>
  </w:footnote>
  <w:footnote w:id="6">
    <w:p w14:paraId="5128B497" w14:textId="77777777" w:rsidR="00C27DD9" w:rsidRPr="0092167E" w:rsidRDefault="00C27DD9" w:rsidP="006C2E12">
      <w:pPr>
        <w:spacing w:line="240" w:lineRule="auto"/>
        <w:rPr>
          <w:sz w:val="18"/>
          <w:szCs w:val="18"/>
        </w:rPr>
      </w:pPr>
      <w:r w:rsidRPr="0092167E">
        <w:rPr>
          <w:sz w:val="18"/>
          <w:szCs w:val="18"/>
          <w:vertAlign w:val="superscript"/>
        </w:rPr>
        <w:footnoteRef/>
      </w:r>
      <w:r w:rsidRPr="0092167E">
        <w:rPr>
          <w:sz w:val="18"/>
          <w:szCs w:val="18"/>
        </w:rPr>
        <w:t xml:space="preserve"> In 2014, the UN CRPD Committee expressed its concern that the Act on Welfare of Persons with Disabilities is based on the medical model of disability, and recommended the adoption of a human rights model of disability approach. In addition, the Committee pointed out that the disability determination and grading system does not comprehensively consider various needs of persons with disabilities since they are depended only on medical circumstances and, as a result, limits eligibility of persons with disabilities to receive welfare services and assistance.</w:t>
      </w:r>
    </w:p>
  </w:footnote>
  <w:footnote w:id="7">
    <w:p w14:paraId="21A4EC1C" w14:textId="4741FC0B" w:rsidR="00C27DD9" w:rsidRPr="0092167E" w:rsidRDefault="00C27DD9" w:rsidP="006C2E12">
      <w:pPr>
        <w:spacing w:line="240" w:lineRule="auto"/>
        <w:rPr>
          <w:sz w:val="18"/>
          <w:szCs w:val="18"/>
        </w:rPr>
      </w:pPr>
      <w:r w:rsidRPr="0092167E">
        <w:rPr>
          <w:sz w:val="18"/>
          <w:szCs w:val="18"/>
          <w:vertAlign w:val="superscript"/>
        </w:rPr>
        <w:footnoteRef/>
      </w:r>
      <w:r w:rsidRPr="0092167E">
        <w:rPr>
          <w:rFonts w:eastAsia="Arial Unicode MS"/>
          <w:sz w:val="18"/>
          <w:szCs w:val="18"/>
        </w:rPr>
        <w:t xml:space="preserve"> </w:t>
      </w:r>
      <w:r w:rsidR="00B71041">
        <w:rPr>
          <w:rFonts w:eastAsiaTheme="minorEastAsia"/>
          <w:sz w:val="18"/>
          <w:szCs w:val="18"/>
        </w:rPr>
        <w:t>In 2019, the National Human Rights Commission of Korea recognized discrimination on the National Rehabilitation Hospital’</w:t>
      </w:r>
      <w:r w:rsidR="00B71041">
        <w:rPr>
          <w:rFonts w:eastAsiaTheme="minorEastAsia" w:hint="eastAsia"/>
          <w:sz w:val="18"/>
          <w:szCs w:val="18"/>
        </w:rPr>
        <w:t>s</w:t>
      </w:r>
      <w:r w:rsidR="00B71041">
        <w:rPr>
          <w:rFonts w:eastAsiaTheme="minorEastAsia"/>
          <w:sz w:val="18"/>
          <w:szCs w:val="18"/>
        </w:rPr>
        <w:t xml:space="preserve"> refusal to hospitalize HIV/AIDS infected person on the ground of the Disability Non-discrimination Act (Case no.: 17Jin-Jung1037600). Nonetheless, the Government still does not institutionally guarantee HIV infected persons’</w:t>
      </w:r>
      <w:r w:rsidR="00B71041">
        <w:rPr>
          <w:rFonts w:eastAsiaTheme="minorEastAsia" w:hint="eastAsia"/>
          <w:sz w:val="18"/>
          <w:szCs w:val="18"/>
        </w:rPr>
        <w:t xml:space="preserve"> </w:t>
      </w:r>
      <w:r w:rsidR="00B71041">
        <w:rPr>
          <w:rFonts w:eastAsiaTheme="minorEastAsia"/>
          <w:sz w:val="18"/>
          <w:szCs w:val="18"/>
        </w:rPr>
        <w:t xml:space="preserve">disability registration. </w:t>
      </w:r>
    </w:p>
  </w:footnote>
  <w:footnote w:id="8">
    <w:p w14:paraId="4F02AD30" w14:textId="77777777" w:rsidR="00C27DD9" w:rsidRPr="0092167E" w:rsidRDefault="00C27DD9" w:rsidP="006C2E12">
      <w:pPr>
        <w:spacing w:line="240" w:lineRule="auto"/>
        <w:rPr>
          <w:sz w:val="18"/>
          <w:szCs w:val="18"/>
        </w:rPr>
      </w:pPr>
      <w:r w:rsidRPr="0092167E">
        <w:rPr>
          <w:sz w:val="18"/>
          <w:szCs w:val="18"/>
          <w:vertAlign w:val="superscript"/>
        </w:rPr>
        <w:footnoteRef/>
      </w:r>
      <w:r w:rsidRPr="0092167E">
        <w:rPr>
          <w:sz w:val="18"/>
          <w:szCs w:val="18"/>
        </w:rPr>
        <w:t xml:space="preserve"> </w:t>
      </w:r>
      <w:r w:rsidRPr="0092167E">
        <w:rPr>
          <w:i/>
          <w:sz w:val="18"/>
          <w:szCs w:val="18"/>
        </w:rPr>
        <w:t>see</w:t>
      </w:r>
      <w:r w:rsidRPr="0092167E">
        <w:rPr>
          <w:sz w:val="18"/>
          <w:szCs w:val="18"/>
        </w:rPr>
        <w:t xml:space="preserve"> para. 23 of the combined second and third periodic reports of the Republic of Korea (CRPD/C/KOR/2-3), 2019.</w:t>
      </w:r>
    </w:p>
  </w:footnote>
  <w:footnote w:id="9">
    <w:p w14:paraId="34BADB10" w14:textId="77777777" w:rsidR="00C27DD9" w:rsidRPr="0092167E" w:rsidRDefault="00C27DD9" w:rsidP="006C2E12">
      <w:pPr>
        <w:spacing w:line="240" w:lineRule="auto"/>
        <w:rPr>
          <w:sz w:val="18"/>
          <w:szCs w:val="18"/>
        </w:rPr>
      </w:pPr>
      <w:r w:rsidRPr="0092167E">
        <w:rPr>
          <w:sz w:val="18"/>
          <w:szCs w:val="18"/>
          <w:vertAlign w:val="superscript"/>
        </w:rPr>
        <w:footnoteRef/>
      </w:r>
      <w:r w:rsidRPr="0092167E">
        <w:rPr>
          <w:sz w:val="18"/>
          <w:szCs w:val="18"/>
        </w:rPr>
        <w:t xml:space="preserve"> Article 98 of the Civil Procedure Act</w:t>
      </w:r>
    </w:p>
  </w:footnote>
  <w:footnote w:id="10">
    <w:p w14:paraId="7F72B95E" w14:textId="77777777" w:rsidR="00C27DD9" w:rsidRPr="0092167E" w:rsidRDefault="00C27DD9" w:rsidP="006C2E12">
      <w:pPr>
        <w:spacing w:line="240" w:lineRule="auto"/>
        <w:rPr>
          <w:sz w:val="18"/>
          <w:szCs w:val="18"/>
        </w:rPr>
      </w:pPr>
      <w:r w:rsidRPr="0092167E">
        <w:rPr>
          <w:sz w:val="18"/>
          <w:szCs w:val="18"/>
          <w:vertAlign w:val="superscript"/>
        </w:rPr>
        <w:footnoteRef/>
      </w:r>
      <w:r w:rsidRPr="0092167E">
        <w:rPr>
          <w:sz w:val="18"/>
          <w:szCs w:val="18"/>
        </w:rPr>
        <w:t xml:space="preserve"> Enforcement Regulation on the Inclusion of Attorney Fees to Litigation Costs, article 3(1)</w:t>
      </w:r>
    </w:p>
  </w:footnote>
  <w:footnote w:id="11">
    <w:p w14:paraId="6F3E5311" w14:textId="056481FB" w:rsidR="00C27DD9" w:rsidRPr="0092167E" w:rsidRDefault="00C27DD9" w:rsidP="006C2E12">
      <w:pPr>
        <w:spacing w:line="240" w:lineRule="auto"/>
        <w:rPr>
          <w:sz w:val="18"/>
          <w:szCs w:val="18"/>
        </w:rPr>
      </w:pPr>
      <w:r w:rsidRPr="0092167E">
        <w:rPr>
          <w:sz w:val="18"/>
          <w:szCs w:val="18"/>
          <w:vertAlign w:val="superscript"/>
        </w:rPr>
        <w:footnoteRef/>
      </w:r>
      <w:r w:rsidRPr="0092167E">
        <w:rPr>
          <w:sz w:val="18"/>
          <w:szCs w:val="18"/>
        </w:rPr>
        <w:t xml:space="preserve"> </w:t>
      </w:r>
      <w:r w:rsidRPr="0092167E">
        <w:rPr>
          <w:i/>
          <w:sz w:val="18"/>
          <w:szCs w:val="18"/>
        </w:rPr>
        <w:t>see</w:t>
      </w:r>
      <w:r w:rsidRPr="0092167E">
        <w:rPr>
          <w:sz w:val="18"/>
          <w:szCs w:val="18"/>
        </w:rPr>
        <w:t xml:space="preserve"> para. 19 of the combined second and third periodic reports of the Republic of Korea (CRPD/C/KOR/2-3), 2019.</w:t>
      </w:r>
    </w:p>
  </w:footnote>
  <w:footnote w:id="12">
    <w:p w14:paraId="4505A032" w14:textId="21488B85" w:rsidR="00C27DD9" w:rsidRPr="0092167E" w:rsidRDefault="00C27DD9" w:rsidP="006C2E12">
      <w:pPr>
        <w:spacing w:line="240" w:lineRule="auto"/>
        <w:rPr>
          <w:sz w:val="18"/>
          <w:szCs w:val="18"/>
        </w:rPr>
      </w:pPr>
      <w:r w:rsidRPr="0092167E">
        <w:rPr>
          <w:sz w:val="18"/>
          <w:szCs w:val="18"/>
          <w:vertAlign w:val="superscript"/>
        </w:rPr>
        <w:footnoteRef/>
      </w:r>
      <w:r w:rsidRPr="0092167E">
        <w:rPr>
          <w:sz w:val="18"/>
          <w:szCs w:val="18"/>
        </w:rPr>
        <w:t xml:space="preserve"> Wheelchair users have asked intercity bus companies to provide wheelchair-accessible buses. The appeals court ruled that all buses operated by the above companies should be provided with wheelchair boarding facilities. However, the Supreme Court judged that intercity bus companies were obligated to equip wheelchair boarding facilities only for buses on specific and realistic routes for plaintiffs to board. And they refused to admit liability for damages to intercity bus companies, saying they were not intentional or negligent. In addition, the fact that the Republic of Korea and local governments neglected guidance and supervision and caused discrimination by intercity bus companies was not regarded as discrimination under the Act on the Prohibition of Discrimination against Persons with Disabilities (Disability Non-discrimination Act) (February 17, 2021).</w:t>
      </w:r>
    </w:p>
  </w:footnote>
  <w:footnote w:id="13">
    <w:p w14:paraId="03DF8319" w14:textId="01D2A705" w:rsidR="00C27DD9" w:rsidRPr="00B71041" w:rsidRDefault="00C27DD9" w:rsidP="006C2E12">
      <w:pPr>
        <w:spacing w:line="240" w:lineRule="auto"/>
        <w:rPr>
          <w:rFonts w:eastAsiaTheme="minorEastAsia" w:hint="eastAsia"/>
          <w:sz w:val="18"/>
          <w:szCs w:val="18"/>
        </w:rPr>
      </w:pPr>
      <w:r w:rsidRPr="0092167E">
        <w:rPr>
          <w:sz w:val="18"/>
          <w:szCs w:val="18"/>
          <w:vertAlign w:val="superscript"/>
        </w:rPr>
        <w:footnoteRef/>
      </w:r>
      <w:r w:rsidRPr="0092167E">
        <w:rPr>
          <w:sz w:val="18"/>
          <w:szCs w:val="18"/>
        </w:rPr>
        <w:t xml:space="preserve"> </w:t>
      </w:r>
      <w:r w:rsidR="00B71041" w:rsidRPr="00B71041">
        <w:rPr>
          <w:rFonts w:eastAsiaTheme="minorEastAsia"/>
          <w:sz w:val="18"/>
          <w:szCs w:val="18"/>
        </w:rPr>
        <w:t>Intercity bus companies installed wheelchair spaces on buses differently from related laws. So when a wheelchair user boarded the bus, he had no choice but to look at the side, not the front, unlike others. He filed a claim against the intercity bus company for suspension of discrimination and compensation. The Supreme Court recognized the fact that the intercity bus company installed wheelchair spaces out of compliance with related laws as a discriminatory act, but did not recognize the liability for damages because there was no intention or negligence</w:t>
      </w:r>
      <w:r w:rsidR="00B71041">
        <w:rPr>
          <w:rFonts w:eastAsiaTheme="minorEastAsia"/>
          <w:sz w:val="18"/>
          <w:szCs w:val="18"/>
        </w:rPr>
        <w:t xml:space="preserve"> </w:t>
      </w:r>
      <w:r w:rsidR="00B71041" w:rsidRPr="00B71041">
        <w:rPr>
          <w:rFonts w:eastAsiaTheme="minorEastAsia"/>
          <w:sz w:val="18"/>
          <w:szCs w:val="18"/>
        </w:rPr>
        <w:t>(April 1, 2021).</w:t>
      </w:r>
    </w:p>
  </w:footnote>
  <w:footnote w:id="14">
    <w:p w14:paraId="30B4FCE5" w14:textId="77777777" w:rsidR="00C27DD9" w:rsidRPr="0092167E" w:rsidRDefault="00C27DD9" w:rsidP="006C2E12">
      <w:pPr>
        <w:spacing w:line="240" w:lineRule="auto"/>
        <w:rPr>
          <w:sz w:val="18"/>
          <w:szCs w:val="18"/>
        </w:rPr>
      </w:pPr>
      <w:r w:rsidRPr="0092167E">
        <w:rPr>
          <w:sz w:val="18"/>
          <w:szCs w:val="18"/>
          <w:vertAlign w:val="superscript"/>
        </w:rPr>
        <w:footnoteRef/>
      </w:r>
      <w:r w:rsidRPr="0092167E">
        <w:rPr>
          <w:sz w:val="18"/>
          <w:szCs w:val="18"/>
        </w:rPr>
        <w:t xml:space="preserve"> </w:t>
      </w:r>
      <w:r w:rsidRPr="0092167E">
        <w:rPr>
          <w:i/>
          <w:sz w:val="18"/>
          <w:szCs w:val="18"/>
        </w:rPr>
        <w:t>see</w:t>
      </w:r>
      <w:r w:rsidRPr="0092167E">
        <w:rPr>
          <w:sz w:val="18"/>
          <w:szCs w:val="18"/>
        </w:rPr>
        <w:t xml:space="preserve"> para. 48 of the combined second and third periodic reports of the Republic of Korea (CRPD/C/KOR/2-3), 2019.</w:t>
      </w:r>
    </w:p>
  </w:footnote>
  <w:footnote w:id="15">
    <w:p w14:paraId="2A56BA7B" w14:textId="419ED52A" w:rsidR="00C27DD9" w:rsidRPr="0092167E" w:rsidRDefault="00C27DD9" w:rsidP="006C2E12">
      <w:pPr>
        <w:spacing w:line="240" w:lineRule="auto"/>
        <w:rPr>
          <w:sz w:val="18"/>
          <w:szCs w:val="18"/>
        </w:rPr>
      </w:pPr>
      <w:r w:rsidRPr="0092167E">
        <w:rPr>
          <w:sz w:val="18"/>
          <w:szCs w:val="18"/>
          <w:vertAlign w:val="superscript"/>
        </w:rPr>
        <w:footnoteRef/>
      </w:r>
      <w:r w:rsidRPr="0092167E">
        <w:rPr>
          <w:sz w:val="18"/>
          <w:szCs w:val="18"/>
        </w:rPr>
        <w:t xml:space="preserve"> According to the Enforcement Decree of the Convenience Act for Persons with Disabilities, retail stores such as supermarkets, daily necessities stores, and restaurants with a total floor area of less than 50 square meters in a building are exempt from the obligation to install convenience facilities. The number of grocery and tobacco retail stores is 70,574 (about 65.6%) out of 107,505, and the number of restaurants and bars is 193,867 (about 26.6%) out of 727,377 [Statistics Source: Korean Statistical Information Service (www.kosis.kr) of Statistics Korea]</w:t>
      </w:r>
    </w:p>
  </w:footnote>
  <w:footnote w:id="16">
    <w:p w14:paraId="20AA3121" w14:textId="252E2AF4" w:rsidR="00C27DD9" w:rsidRPr="0092167E" w:rsidRDefault="00C27DD9" w:rsidP="006C2E12">
      <w:pPr>
        <w:spacing w:line="240" w:lineRule="auto"/>
        <w:rPr>
          <w:sz w:val="18"/>
          <w:szCs w:val="18"/>
        </w:rPr>
      </w:pPr>
      <w:r w:rsidRPr="0092167E">
        <w:rPr>
          <w:sz w:val="18"/>
          <w:szCs w:val="18"/>
          <w:vertAlign w:val="superscript"/>
        </w:rPr>
        <w:footnoteRef/>
      </w:r>
      <w:r w:rsidRPr="0092167E">
        <w:rPr>
          <w:sz w:val="18"/>
          <w:szCs w:val="18"/>
        </w:rPr>
        <w:t xml:space="preserve"> In 2018, the number of buildings subject to mandatory installation of convenience facilities was 199,754, and considering that the number of buildings in Korea was 7,191,912, the complete survey on actual condition of the convenience facilities for people with disabilities surveyed only about 2.78% of the total number of buildings (Source: Able News, ‘Survey on Actual Condition of the Convenience Facilities for Persons with Disabilities that Tolerates Discrimination’, May 6, 2022</w:t>
      </w:r>
      <w:r w:rsidR="00756262" w:rsidRPr="0092167E">
        <w:rPr>
          <w:rFonts w:eastAsiaTheme="minorEastAsia"/>
          <w:sz w:val="18"/>
          <w:szCs w:val="18"/>
        </w:rPr>
        <w:t xml:space="preserve">, </w:t>
      </w:r>
      <w:hyperlink r:id="rId3" w:history="1">
        <w:r w:rsidR="00756262" w:rsidRPr="0092167E">
          <w:rPr>
            <w:rStyle w:val="a3"/>
            <w:sz w:val="18"/>
            <w:szCs w:val="18"/>
          </w:rPr>
          <w:t>https://ablenews.co.kr/News/NewsContent.aspx?CategoryCode=0006&amp;NewsCode=000620220503154129929458</w:t>
        </w:r>
      </w:hyperlink>
      <w:r w:rsidRPr="0092167E">
        <w:rPr>
          <w:sz w:val="18"/>
          <w:szCs w:val="18"/>
        </w:rPr>
        <w:t>)</w:t>
      </w:r>
    </w:p>
  </w:footnote>
  <w:footnote w:id="17">
    <w:p w14:paraId="3C2B7816" w14:textId="77777777" w:rsidR="00C27DD9" w:rsidRPr="0092167E" w:rsidRDefault="00C27DD9" w:rsidP="006C2E12">
      <w:pPr>
        <w:spacing w:line="240" w:lineRule="auto"/>
        <w:rPr>
          <w:sz w:val="18"/>
          <w:szCs w:val="18"/>
        </w:rPr>
      </w:pPr>
      <w:r w:rsidRPr="0092167E">
        <w:rPr>
          <w:sz w:val="18"/>
          <w:szCs w:val="18"/>
          <w:vertAlign w:val="superscript"/>
        </w:rPr>
        <w:footnoteRef/>
      </w:r>
      <w:r w:rsidRPr="0092167E">
        <w:rPr>
          <w:sz w:val="18"/>
          <w:szCs w:val="18"/>
        </w:rPr>
        <w:t xml:space="preserve"> Amendment of the Act on the Guarantee of Convenience Promotion of Persons with Disabilities, Senior Citizens, and Pregnant Women and Nursing Mothers (Bill no. 12176). The bill requires all buildings, regardless of their sizes, to install reasonable accommodation and provide grounds for the government's financial assistance for installation. </w:t>
      </w:r>
    </w:p>
  </w:footnote>
  <w:footnote w:id="18">
    <w:p w14:paraId="6AAAA733" w14:textId="4D95063A" w:rsidR="00C27DD9" w:rsidRPr="0092167E" w:rsidRDefault="00C27DD9" w:rsidP="006C2E12">
      <w:pPr>
        <w:spacing w:line="240" w:lineRule="auto"/>
        <w:rPr>
          <w:sz w:val="18"/>
          <w:szCs w:val="18"/>
        </w:rPr>
      </w:pPr>
      <w:r w:rsidRPr="0092167E">
        <w:rPr>
          <w:sz w:val="18"/>
          <w:szCs w:val="18"/>
          <w:vertAlign w:val="superscript"/>
        </w:rPr>
        <w:footnoteRef/>
      </w:r>
      <w:r w:rsidRPr="0092167E">
        <w:rPr>
          <w:sz w:val="18"/>
          <w:szCs w:val="18"/>
        </w:rPr>
        <w:t xml:space="preserve"> </w:t>
      </w:r>
      <w:r w:rsidRPr="0092167E">
        <w:rPr>
          <w:i/>
          <w:sz w:val="18"/>
          <w:szCs w:val="18"/>
        </w:rPr>
        <w:t>see</w:t>
      </w:r>
      <w:r w:rsidRPr="0092167E">
        <w:rPr>
          <w:sz w:val="18"/>
          <w:szCs w:val="18"/>
        </w:rPr>
        <w:t xml:space="preserve"> paras. 58-62 of the combined second and third periodic reports of the Republic of Korea (CRPD/C/KOR/2-3), 2019.</w:t>
      </w:r>
    </w:p>
  </w:footnote>
  <w:footnote w:id="19">
    <w:p w14:paraId="2FDD4D1C" w14:textId="77777777" w:rsidR="00C27DD9" w:rsidRPr="0092167E" w:rsidRDefault="00C27DD9" w:rsidP="006C2E12">
      <w:pPr>
        <w:spacing w:line="240" w:lineRule="auto"/>
        <w:rPr>
          <w:sz w:val="18"/>
          <w:szCs w:val="18"/>
        </w:rPr>
      </w:pPr>
      <w:r w:rsidRPr="0092167E">
        <w:rPr>
          <w:sz w:val="18"/>
          <w:szCs w:val="18"/>
          <w:vertAlign w:val="superscript"/>
        </w:rPr>
        <w:footnoteRef/>
      </w:r>
      <w:r w:rsidRPr="0092167E">
        <w:rPr>
          <w:sz w:val="18"/>
          <w:szCs w:val="18"/>
        </w:rPr>
        <w:t xml:space="preserve"> As of December 31, 2020, out of 20,811 cases of commencement of guardianships, 16,504 cases (79%) were adult guardianship, 2,049 cases (9.8%) were limited guardianship, 2,243 cases (10%) were specific guardianship, and 16 cases (0.07%) were voluntary guardianship. Adult guardianship accounted for an overwhelming majority of cases (Source: Supreme Court Judicial Yearbook).</w:t>
      </w:r>
    </w:p>
  </w:footnote>
  <w:footnote w:id="20">
    <w:p w14:paraId="57E3EF21" w14:textId="77777777" w:rsidR="00C27DD9" w:rsidRPr="0092167E" w:rsidRDefault="00C27DD9" w:rsidP="006C2E12">
      <w:pPr>
        <w:spacing w:line="240" w:lineRule="auto"/>
        <w:rPr>
          <w:sz w:val="18"/>
          <w:szCs w:val="18"/>
        </w:rPr>
      </w:pPr>
      <w:r w:rsidRPr="0092167E">
        <w:rPr>
          <w:sz w:val="18"/>
          <w:szCs w:val="18"/>
          <w:vertAlign w:val="superscript"/>
        </w:rPr>
        <w:footnoteRef/>
      </w:r>
      <w:r w:rsidRPr="0092167E">
        <w:rPr>
          <w:sz w:val="18"/>
          <w:szCs w:val="18"/>
        </w:rPr>
        <w:t xml:space="preserve"> Constitutional Court of Korea, 2020Hun-Ga8(Public Officials Case), 2021Hun-Ma1288(Social Workers Case)</w:t>
      </w:r>
    </w:p>
  </w:footnote>
  <w:footnote w:id="21">
    <w:p w14:paraId="5E59BB86" w14:textId="77777777" w:rsidR="00C27DD9" w:rsidRPr="0092167E" w:rsidRDefault="00C27DD9" w:rsidP="006C2E12">
      <w:pPr>
        <w:spacing w:line="240" w:lineRule="auto"/>
        <w:rPr>
          <w:sz w:val="18"/>
          <w:szCs w:val="18"/>
        </w:rPr>
      </w:pPr>
      <w:r w:rsidRPr="0092167E">
        <w:rPr>
          <w:sz w:val="18"/>
          <w:szCs w:val="18"/>
          <w:vertAlign w:val="superscript"/>
        </w:rPr>
        <w:footnoteRef/>
      </w:r>
      <w:r w:rsidRPr="0092167E">
        <w:rPr>
          <w:sz w:val="18"/>
          <w:szCs w:val="18"/>
        </w:rPr>
        <w:t xml:space="preserve"> Reference: Supreme Court of Korea </w:t>
      </w:r>
    </w:p>
  </w:footnote>
  <w:footnote w:id="22">
    <w:p w14:paraId="337BEB28" w14:textId="77777777" w:rsidR="00C27DD9" w:rsidRPr="0092167E" w:rsidRDefault="00C27DD9" w:rsidP="006C2E12">
      <w:pPr>
        <w:spacing w:line="240" w:lineRule="auto"/>
        <w:rPr>
          <w:sz w:val="18"/>
          <w:szCs w:val="18"/>
        </w:rPr>
      </w:pPr>
      <w:r w:rsidRPr="0092167E">
        <w:rPr>
          <w:sz w:val="18"/>
          <w:szCs w:val="18"/>
          <w:vertAlign w:val="superscript"/>
        </w:rPr>
        <w:footnoteRef/>
      </w:r>
      <w:r w:rsidRPr="0092167E">
        <w:rPr>
          <w:sz w:val="18"/>
          <w:szCs w:val="18"/>
        </w:rPr>
        <w:t xml:space="preserve"> similar to “Deputyship” in the U.K.</w:t>
      </w:r>
    </w:p>
  </w:footnote>
  <w:footnote w:id="23">
    <w:p w14:paraId="33F93174" w14:textId="77777777" w:rsidR="00C27DD9" w:rsidRPr="0092167E" w:rsidRDefault="00C27DD9" w:rsidP="006C2E12">
      <w:pPr>
        <w:spacing w:line="240" w:lineRule="auto"/>
        <w:rPr>
          <w:sz w:val="18"/>
          <w:szCs w:val="18"/>
        </w:rPr>
      </w:pPr>
      <w:r w:rsidRPr="0092167E">
        <w:rPr>
          <w:sz w:val="18"/>
          <w:szCs w:val="18"/>
          <w:vertAlign w:val="superscript"/>
        </w:rPr>
        <w:footnoteRef/>
      </w:r>
      <w:r w:rsidRPr="0092167E">
        <w:rPr>
          <w:sz w:val="18"/>
          <w:szCs w:val="18"/>
        </w:rPr>
        <w:t xml:space="preserve"> similar to “Lasting Power of attorney” in the U.K.</w:t>
      </w:r>
    </w:p>
  </w:footnote>
  <w:footnote w:id="24">
    <w:p w14:paraId="79EAF366" w14:textId="77777777" w:rsidR="00C27DD9" w:rsidRPr="0092167E" w:rsidRDefault="00C27DD9" w:rsidP="006C2E12">
      <w:pPr>
        <w:spacing w:line="240" w:lineRule="auto"/>
        <w:rPr>
          <w:sz w:val="18"/>
          <w:szCs w:val="18"/>
        </w:rPr>
      </w:pPr>
      <w:r w:rsidRPr="0092167E">
        <w:rPr>
          <w:sz w:val="18"/>
          <w:szCs w:val="18"/>
          <w:vertAlign w:val="superscript"/>
        </w:rPr>
        <w:footnoteRef/>
      </w:r>
      <w:r w:rsidRPr="0092167E">
        <w:rPr>
          <w:sz w:val="18"/>
          <w:szCs w:val="18"/>
        </w:rPr>
        <w:t xml:space="preserve"> Article 26 (Prohibition of Discrimination in Providing Judicial and Administrative Procedures and Services) (6) A judicial institution shall confirm whether a person related to a case has a disability in communication or expression of opinion, and inform such person with a disability of the fact that </w:t>
      </w:r>
      <w:r w:rsidRPr="0092167E">
        <w:rPr>
          <w:sz w:val="18"/>
          <w:szCs w:val="18"/>
          <w:u w:val="single"/>
        </w:rPr>
        <w:t>he/she may receive assistance in criminal proceedings and of the details of such assistance</w:t>
      </w:r>
      <w:r w:rsidRPr="0092167E">
        <w:rPr>
          <w:sz w:val="18"/>
          <w:szCs w:val="18"/>
        </w:rPr>
        <w:t>. In such cases, if the relevant person with a disability requests assistance in criminal proceedings, the institution shall not refuse such request without good cause and take necessary measures therefor.</w:t>
      </w:r>
    </w:p>
  </w:footnote>
  <w:footnote w:id="25">
    <w:p w14:paraId="45887C1A" w14:textId="5C589690" w:rsidR="00C27DD9" w:rsidRPr="0092167E" w:rsidRDefault="00C27DD9" w:rsidP="006C2E12">
      <w:pPr>
        <w:spacing w:line="240" w:lineRule="auto"/>
        <w:rPr>
          <w:sz w:val="18"/>
          <w:szCs w:val="18"/>
        </w:rPr>
      </w:pPr>
      <w:r w:rsidRPr="0092167E">
        <w:rPr>
          <w:sz w:val="18"/>
          <w:szCs w:val="18"/>
          <w:vertAlign w:val="superscript"/>
        </w:rPr>
        <w:footnoteRef/>
      </w:r>
      <w:r w:rsidRPr="0092167E">
        <w:rPr>
          <w:sz w:val="18"/>
          <w:szCs w:val="18"/>
        </w:rPr>
        <w:t xml:space="preserve"> During the prosecution's investigation, no measures were taken to help the Defendant's psychological stability and smooth communication, such as the presence of a public defender or trustworthy person, for the Defendant, who lacks the ability to discriminate objects or make decisions due to mental disorders</w:t>
      </w:r>
      <w:r w:rsidR="00756262" w:rsidRPr="0092167E">
        <w:rPr>
          <w:rFonts w:eastAsiaTheme="minorEastAsia"/>
          <w:sz w:val="18"/>
          <w:szCs w:val="18"/>
        </w:rPr>
        <w:t xml:space="preserve"> </w:t>
      </w:r>
      <w:r w:rsidRPr="0092167E">
        <w:rPr>
          <w:sz w:val="18"/>
          <w:szCs w:val="18"/>
        </w:rPr>
        <w:t>(Haenam district court, August 23, 2017).</w:t>
      </w:r>
    </w:p>
  </w:footnote>
  <w:footnote w:id="26">
    <w:p w14:paraId="200DC897" w14:textId="4D670904" w:rsidR="00C27DD9" w:rsidRPr="0092167E" w:rsidRDefault="00C27DD9" w:rsidP="006C2E12">
      <w:pPr>
        <w:spacing w:line="240" w:lineRule="auto"/>
        <w:rPr>
          <w:sz w:val="18"/>
          <w:szCs w:val="18"/>
        </w:rPr>
      </w:pPr>
      <w:r w:rsidRPr="0092167E">
        <w:rPr>
          <w:sz w:val="18"/>
          <w:szCs w:val="18"/>
          <w:vertAlign w:val="superscript"/>
        </w:rPr>
        <w:footnoteRef/>
      </w:r>
      <w:r w:rsidRPr="0092167E">
        <w:rPr>
          <w:sz w:val="18"/>
          <w:szCs w:val="18"/>
        </w:rPr>
        <w:t xml:space="preserve"> Article 13 of the Act on Guarantee of Rights of and Support for Persons with Developmental Disabilities (</w:t>
      </w:r>
      <w:hyperlink r:id="rId4">
        <w:r w:rsidRPr="0092167E">
          <w:rPr>
            <w:color w:val="1155CC"/>
            <w:sz w:val="18"/>
            <w:szCs w:val="18"/>
            <w:u w:val="single"/>
          </w:rPr>
          <w:t>https://elaw.klri.re.kr/kor_service/lawView.do?hseq=53998&amp;lang=ENG</w:t>
        </w:r>
      </w:hyperlink>
      <w:r w:rsidRPr="0092167E">
        <w:rPr>
          <w:sz w:val="18"/>
          <w:szCs w:val="18"/>
        </w:rPr>
        <w:t>)</w:t>
      </w:r>
      <w:r w:rsidR="00756262" w:rsidRPr="0092167E">
        <w:rPr>
          <w:rFonts w:eastAsiaTheme="minorEastAsia"/>
          <w:sz w:val="18"/>
          <w:szCs w:val="18"/>
        </w:rPr>
        <w:t>.</w:t>
      </w:r>
      <w:r w:rsidRPr="0092167E">
        <w:rPr>
          <w:sz w:val="18"/>
          <w:szCs w:val="18"/>
        </w:rPr>
        <w:t xml:space="preserve"> </w:t>
      </w:r>
    </w:p>
  </w:footnote>
  <w:footnote w:id="27">
    <w:p w14:paraId="4BD505D9" w14:textId="4867B3BC" w:rsidR="00C27DD9" w:rsidRPr="0092167E" w:rsidRDefault="00C27DD9" w:rsidP="006C2E12">
      <w:pPr>
        <w:spacing w:line="240" w:lineRule="auto"/>
        <w:rPr>
          <w:sz w:val="18"/>
          <w:szCs w:val="18"/>
        </w:rPr>
      </w:pPr>
      <w:r w:rsidRPr="0092167E">
        <w:rPr>
          <w:sz w:val="18"/>
          <w:szCs w:val="18"/>
          <w:vertAlign w:val="superscript"/>
        </w:rPr>
        <w:footnoteRef/>
      </w:r>
      <w:r w:rsidRPr="0092167E">
        <w:rPr>
          <w:sz w:val="18"/>
          <w:szCs w:val="18"/>
        </w:rPr>
        <w:t xml:space="preserve"> Article 245-7 of the Criminal Procedure Act (</w:t>
      </w:r>
      <w:hyperlink r:id="rId5">
        <w:r w:rsidRPr="0092167E">
          <w:rPr>
            <w:color w:val="1155CC"/>
            <w:sz w:val="18"/>
            <w:szCs w:val="18"/>
            <w:u w:val="single"/>
          </w:rPr>
          <w:t>https://elaw.klri.re.kr/kor_service/lawView.do?hseq=55949&amp;lang=ENG</w:t>
        </w:r>
      </w:hyperlink>
      <w:r w:rsidRPr="0092167E">
        <w:rPr>
          <w:sz w:val="18"/>
          <w:szCs w:val="18"/>
        </w:rPr>
        <w:t>)</w:t>
      </w:r>
      <w:r w:rsidR="00756262" w:rsidRPr="0092167E">
        <w:rPr>
          <w:rFonts w:eastAsiaTheme="minorEastAsia"/>
          <w:sz w:val="18"/>
          <w:szCs w:val="18"/>
        </w:rPr>
        <w:t>.</w:t>
      </w:r>
      <w:r w:rsidRPr="0092167E">
        <w:rPr>
          <w:sz w:val="18"/>
          <w:szCs w:val="18"/>
        </w:rPr>
        <w:t xml:space="preserve"> </w:t>
      </w:r>
    </w:p>
  </w:footnote>
  <w:footnote w:id="28">
    <w:p w14:paraId="464E2A20" w14:textId="34F68BF0" w:rsidR="00C27DD9" w:rsidRPr="0092167E" w:rsidRDefault="00C27DD9" w:rsidP="006C2E12">
      <w:pPr>
        <w:spacing w:line="240" w:lineRule="auto"/>
        <w:rPr>
          <w:rFonts w:eastAsiaTheme="minorEastAsia" w:hint="eastAsia"/>
          <w:sz w:val="18"/>
          <w:szCs w:val="18"/>
        </w:rPr>
      </w:pPr>
      <w:r w:rsidRPr="0092167E">
        <w:rPr>
          <w:sz w:val="18"/>
          <w:szCs w:val="18"/>
          <w:vertAlign w:val="superscript"/>
        </w:rPr>
        <w:footnoteRef/>
      </w:r>
      <w:r w:rsidRPr="0092167E">
        <w:rPr>
          <w:sz w:val="18"/>
          <w:szCs w:val="18"/>
        </w:rPr>
        <w:t xml:space="preserve"> </w:t>
      </w:r>
      <w:hyperlink r:id="rId6" w:history="1">
        <w:r w:rsidR="00756262" w:rsidRPr="0092167E">
          <w:rPr>
            <w:rStyle w:val="a3"/>
            <w:sz w:val="18"/>
            <w:szCs w:val="18"/>
          </w:rPr>
          <w:t>https://ilyo.co.kr/?ac=article_view&amp;entry_id=309615</w:t>
        </w:r>
      </w:hyperlink>
      <w:r w:rsidR="00756262" w:rsidRPr="0092167E">
        <w:rPr>
          <w:rFonts w:eastAsiaTheme="minorEastAsia"/>
          <w:sz w:val="18"/>
          <w:szCs w:val="18"/>
        </w:rPr>
        <w:t xml:space="preserve"> </w:t>
      </w:r>
    </w:p>
  </w:footnote>
  <w:footnote w:id="29">
    <w:p w14:paraId="3FB2F4BA" w14:textId="1CED1C59" w:rsidR="00C27DD9" w:rsidRPr="0092167E" w:rsidRDefault="00C27DD9" w:rsidP="006C2E12">
      <w:pPr>
        <w:spacing w:line="240" w:lineRule="auto"/>
        <w:rPr>
          <w:sz w:val="18"/>
          <w:szCs w:val="18"/>
        </w:rPr>
      </w:pPr>
      <w:r w:rsidRPr="0092167E">
        <w:rPr>
          <w:sz w:val="18"/>
          <w:szCs w:val="18"/>
          <w:vertAlign w:val="superscript"/>
        </w:rPr>
        <w:footnoteRef/>
      </w:r>
      <w:r w:rsidRPr="0092167E">
        <w:rPr>
          <w:sz w:val="18"/>
          <w:szCs w:val="18"/>
        </w:rPr>
        <w:t xml:space="preserve"> </w:t>
      </w:r>
      <w:r w:rsidRPr="0092167E">
        <w:rPr>
          <w:i/>
          <w:sz w:val="18"/>
          <w:szCs w:val="18"/>
        </w:rPr>
        <w:t>see</w:t>
      </w:r>
      <w:r w:rsidRPr="0092167E">
        <w:rPr>
          <w:sz w:val="18"/>
          <w:szCs w:val="18"/>
        </w:rPr>
        <w:t xml:space="preserve"> para. 127 of the combined second and third periodic reports of the Republic of Korea (CRPD/C/KOR/2-3), 2019.</w:t>
      </w:r>
    </w:p>
  </w:footnote>
  <w:footnote w:id="30">
    <w:p w14:paraId="4F635B03" w14:textId="3F34E457" w:rsidR="00C27DD9" w:rsidRPr="0092167E" w:rsidRDefault="00C27DD9" w:rsidP="006C2E12">
      <w:pPr>
        <w:spacing w:line="240" w:lineRule="auto"/>
        <w:rPr>
          <w:rFonts w:eastAsiaTheme="minorEastAsia" w:hint="eastAsia"/>
          <w:sz w:val="18"/>
          <w:szCs w:val="18"/>
        </w:rPr>
      </w:pPr>
      <w:r w:rsidRPr="0092167E">
        <w:rPr>
          <w:sz w:val="18"/>
          <w:szCs w:val="18"/>
          <w:vertAlign w:val="superscript"/>
        </w:rPr>
        <w:footnoteRef/>
      </w:r>
      <w:r w:rsidRPr="0092167E">
        <w:rPr>
          <w:sz w:val="18"/>
          <w:szCs w:val="18"/>
        </w:rPr>
        <w:t xml:space="preserve"> A Study on the Performance and Development of After-school Curriculum for Public Kindergartens</w:t>
      </w:r>
      <w:r w:rsidR="00756262" w:rsidRPr="0092167E">
        <w:rPr>
          <w:rFonts w:eastAsiaTheme="minorEastAsia"/>
          <w:sz w:val="18"/>
          <w:szCs w:val="18"/>
        </w:rPr>
        <w:t>,</w:t>
      </w:r>
      <w:r w:rsidRPr="0092167E">
        <w:rPr>
          <w:sz w:val="18"/>
          <w:szCs w:val="18"/>
        </w:rPr>
        <w:t xml:space="preserve"> November 2021</w:t>
      </w:r>
      <w:r w:rsidR="00756262" w:rsidRPr="0092167E">
        <w:rPr>
          <w:rFonts w:eastAsiaTheme="minorEastAsia"/>
          <w:sz w:val="18"/>
          <w:szCs w:val="18"/>
        </w:rPr>
        <w:t>,</w:t>
      </w:r>
      <w:r w:rsidRPr="0092167E">
        <w:rPr>
          <w:sz w:val="18"/>
          <w:szCs w:val="18"/>
        </w:rPr>
        <w:t xml:space="preserve"> Childcare Policy Research Institute</w:t>
      </w:r>
      <w:r w:rsidR="006C2E12" w:rsidRPr="0092167E">
        <w:rPr>
          <w:rFonts w:eastAsiaTheme="minorEastAsia"/>
          <w:sz w:val="18"/>
          <w:szCs w:val="18"/>
        </w:rPr>
        <w:t>.</w:t>
      </w:r>
    </w:p>
  </w:footnote>
  <w:footnote w:id="31">
    <w:p w14:paraId="31A75AF5" w14:textId="77777777" w:rsidR="00C27DD9" w:rsidRPr="0092167E" w:rsidRDefault="00C27DD9" w:rsidP="006C2E12">
      <w:pPr>
        <w:spacing w:line="240" w:lineRule="auto"/>
        <w:rPr>
          <w:sz w:val="18"/>
          <w:szCs w:val="18"/>
        </w:rPr>
      </w:pPr>
      <w:r w:rsidRPr="0092167E">
        <w:rPr>
          <w:sz w:val="18"/>
          <w:szCs w:val="18"/>
          <w:vertAlign w:val="superscript"/>
        </w:rPr>
        <w:footnoteRef/>
      </w:r>
      <w:r w:rsidRPr="0092167E">
        <w:rPr>
          <w:sz w:val="18"/>
          <w:szCs w:val="18"/>
        </w:rPr>
        <w:t xml:space="preserve"> Posted on an online community of parents of children with developmental disabilities, parents of children with disabilities were advised not to apply for after-school classes by public kindergartens, however, one of them applied for an after-school class, and got advised to withdraw it after a week.</w:t>
      </w:r>
    </w:p>
  </w:footnote>
  <w:footnote w:id="32">
    <w:p w14:paraId="7C592CD0" w14:textId="77777777" w:rsidR="00C27DD9" w:rsidRPr="0092167E" w:rsidRDefault="00C27DD9" w:rsidP="006C2E12">
      <w:pPr>
        <w:spacing w:line="240" w:lineRule="auto"/>
        <w:rPr>
          <w:sz w:val="18"/>
          <w:szCs w:val="18"/>
        </w:rPr>
      </w:pPr>
      <w:r w:rsidRPr="0092167E">
        <w:rPr>
          <w:sz w:val="18"/>
          <w:szCs w:val="18"/>
          <w:vertAlign w:val="superscript"/>
        </w:rPr>
        <w:footnoteRef/>
      </w:r>
      <w:r w:rsidRPr="0092167E">
        <w:rPr>
          <w:sz w:val="18"/>
          <w:szCs w:val="18"/>
        </w:rPr>
        <w:t xml:space="preserve"> A student with developmental disability of Hyedang Special School in Gumi, Gyeongsangnam-do Province died in September 2021, after being found lying on the school ground with a cut in his back of the head, laced wounds around his legs and numerous bruises in November 2020. Fellow students testified the homeroom teacher’s abuse, but the school argues that the students’ testimonies are not credible for their severe disabilities and that the student got bruises when he tripped over while lacing his shoes. In Gwangju, Jeollanam-do Province, DPOs alleged social service agents for a long-term continuous abuse against students of special education. (https://www.beminor.com/news/articleView.html?idxno=21999; https://www.gjdream.com/news/articleView.html?idxno=612075)  </w:t>
      </w:r>
    </w:p>
  </w:footnote>
  <w:footnote w:id="33">
    <w:p w14:paraId="0419102B" w14:textId="77777777" w:rsidR="00C27DD9" w:rsidRPr="0092167E" w:rsidRDefault="00C27DD9" w:rsidP="006C2E12">
      <w:pPr>
        <w:spacing w:line="240" w:lineRule="auto"/>
        <w:rPr>
          <w:sz w:val="18"/>
          <w:szCs w:val="18"/>
        </w:rPr>
      </w:pPr>
      <w:r w:rsidRPr="0092167E">
        <w:rPr>
          <w:sz w:val="18"/>
          <w:szCs w:val="18"/>
          <w:vertAlign w:val="superscript"/>
        </w:rPr>
        <w:footnoteRef/>
      </w:r>
      <w:r w:rsidRPr="0092167E">
        <w:rPr>
          <w:sz w:val="18"/>
          <w:szCs w:val="18"/>
        </w:rPr>
        <w:t xml:space="preserve"> Kyunghyang Shinmun, Seoul Metropolitan Office of Education to establish nine new special schools by 2040, September 7, 2021 (</w:t>
      </w:r>
      <w:hyperlink r:id="rId7">
        <w:r w:rsidRPr="0092167E">
          <w:rPr>
            <w:color w:val="1155CC"/>
            <w:sz w:val="18"/>
            <w:szCs w:val="18"/>
            <w:u w:val="single"/>
          </w:rPr>
          <w:t>https://www.khan.co.kr/national/education/article/202109072125005</w:t>
        </w:r>
      </w:hyperlink>
      <w:r w:rsidRPr="0092167E">
        <w:rPr>
          <w:sz w:val="18"/>
          <w:szCs w:val="18"/>
        </w:rPr>
        <w:t xml:space="preserve">). </w:t>
      </w:r>
    </w:p>
  </w:footnote>
  <w:footnote w:id="34">
    <w:p w14:paraId="508DE49D" w14:textId="77777777" w:rsidR="00C27DD9" w:rsidRPr="0092167E" w:rsidRDefault="00C27DD9" w:rsidP="006C2E12">
      <w:pPr>
        <w:spacing w:line="240" w:lineRule="auto"/>
        <w:rPr>
          <w:sz w:val="18"/>
          <w:szCs w:val="18"/>
        </w:rPr>
      </w:pPr>
      <w:r w:rsidRPr="0092167E">
        <w:rPr>
          <w:sz w:val="18"/>
          <w:szCs w:val="18"/>
          <w:vertAlign w:val="superscript"/>
        </w:rPr>
        <w:footnoteRef/>
      </w:r>
      <w:r w:rsidRPr="0092167E">
        <w:rPr>
          <w:sz w:val="18"/>
          <w:szCs w:val="18"/>
        </w:rPr>
        <w:t xml:space="preserve"> Hankyoreh, Half of special school parents said students with disabilities experience human rights violations and disability discrimination in school, November 12, 2018 (https://www.hani.co.kr/arti/society/society_general/869882.html). </w:t>
      </w:r>
    </w:p>
  </w:footnote>
  <w:footnote w:id="35">
    <w:p w14:paraId="6E882E34" w14:textId="640E09B8" w:rsidR="00C27DD9" w:rsidRPr="0092167E" w:rsidRDefault="00C27DD9" w:rsidP="006C2E12">
      <w:pPr>
        <w:spacing w:line="240" w:lineRule="auto"/>
        <w:rPr>
          <w:sz w:val="18"/>
          <w:szCs w:val="18"/>
        </w:rPr>
      </w:pPr>
      <w:r w:rsidRPr="0092167E">
        <w:rPr>
          <w:sz w:val="18"/>
          <w:szCs w:val="18"/>
          <w:vertAlign w:val="superscript"/>
        </w:rPr>
        <w:footnoteRef/>
      </w:r>
      <w:r w:rsidRPr="0092167E">
        <w:rPr>
          <w:sz w:val="18"/>
          <w:szCs w:val="18"/>
        </w:rPr>
        <w:t xml:space="preserve"> </w:t>
      </w:r>
      <w:r w:rsidRPr="0092167E">
        <w:rPr>
          <w:i/>
          <w:sz w:val="18"/>
          <w:szCs w:val="18"/>
        </w:rPr>
        <w:t>see</w:t>
      </w:r>
      <w:r w:rsidRPr="0092167E">
        <w:rPr>
          <w:sz w:val="18"/>
          <w:szCs w:val="18"/>
        </w:rPr>
        <w:t xml:space="preserve"> para. 173 of the combined second and third periodic reports of the Republic of Korea (CRPD/C/KOR/2-3), 2019.</w:t>
      </w:r>
    </w:p>
  </w:footnote>
  <w:footnote w:id="36">
    <w:p w14:paraId="7961728E" w14:textId="77777777" w:rsidR="00C27DD9" w:rsidRPr="0092167E" w:rsidRDefault="00C27DD9" w:rsidP="006C2E12">
      <w:pPr>
        <w:spacing w:line="240" w:lineRule="auto"/>
        <w:rPr>
          <w:sz w:val="18"/>
          <w:szCs w:val="18"/>
        </w:rPr>
      </w:pPr>
      <w:r w:rsidRPr="0092167E">
        <w:rPr>
          <w:sz w:val="18"/>
          <w:szCs w:val="18"/>
          <w:vertAlign w:val="superscript"/>
        </w:rPr>
        <w:footnoteRef/>
      </w:r>
      <w:r w:rsidRPr="0092167E">
        <w:rPr>
          <w:sz w:val="18"/>
          <w:szCs w:val="18"/>
        </w:rPr>
        <w:t xml:space="preserve"> Article 67-2 (Establishment and Equipment of Voting Stations) of the National Election Commission Regulations</w:t>
      </w:r>
    </w:p>
  </w:footnote>
  <w:footnote w:id="37">
    <w:p w14:paraId="2A74A08E" w14:textId="77777777" w:rsidR="00C27DD9" w:rsidRPr="0092167E" w:rsidRDefault="00C27DD9" w:rsidP="006C2E12">
      <w:pPr>
        <w:spacing w:line="240" w:lineRule="auto"/>
        <w:rPr>
          <w:sz w:val="18"/>
          <w:szCs w:val="18"/>
        </w:rPr>
      </w:pPr>
      <w:r w:rsidRPr="0092167E">
        <w:rPr>
          <w:sz w:val="18"/>
          <w:szCs w:val="18"/>
          <w:vertAlign w:val="superscript"/>
        </w:rPr>
        <w:footnoteRef/>
      </w:r>
      <w:r w:rsidRPr="0092167E">
        <w:rPr>
          <w:sz w:val="18"/>
          <w:szCs w:val="18"/>
        </w:rPr>
        <w:t xml:space="preserve"> A wheelchair-blocked high-threshold polling station, https://www.hani.co.kr/arti/area/honam/1035387.html</w:t>
      </w:r>
    </w:p>
  </w:footnote>
  <w:footnote w:id="38">
    <w:p w14:paraId="574041E0" w14:textId="77777777" w:rsidR="00C27DD9" w:rsidRPr="0092167E" w:rsidRDefault="00C27DD9" w:rsidP="006C2E12">
      <w:pPr>
        <w:spacing w:line="240" w:lineRule="auto"/>
        <w:rPr>
          <w:sz w:val="18"/>
          <w:szCs w:val="18"/>
        </w:rPr>
      </w:pPr>
      <w:r w:rsidRPr="0092167E">
        <w:rPr>
          <w:sz w:val="18"/>
          <w:szCs w:val="18"/>
          <w:vertAlign w:val="superscript"/>
        </w:rPr>
        <w:footnoteRef/>
      </w:r>
      <w:r w:rsidRPr="0092167E">
        <w:rPr>
          <w:sz w:val="18"/>
          <w:szCs w:val="18"/>
        </w:rPr>
        <w:t xml:space="preserve"> Presidential election: People asking for a 'picture' on the ballot, why?</w:t>
      </w:r>
    </w:p>
    <w:p w14:paraId="572C037E" w14:textId="77777777" w:rsidR="00C27DD9" w:rsidRPr="0092167E" w:rsidRDefault="00C27DD9" w:rsidP="006C2E12">
      <w:pPr>
        <w:spacing w:line="240" w:lineRule="auto"/>
        <w:rPr>
          <w:sz w:val="18"/>
          <w:szCs w:val="18"/>
        </w:rPr>
      </w:pPr>
      <w:r w:rsidRPr="0092167E">
        <w:rPr>
          <w:sz w:val="18"/>
          <w:szCs w:val="18"/>
        </w:rPr>
        <w:t>https://www.bbc.com/korean/features-60314583</w:t>
      </w:r>
    </w:p>
  </w:footnote>
  <w:footnote w:id="39">
    <w:p w14:paraId="4E8EDFCD" w14:textId="0030C218" w:rsidR="00C27DD9" w:rsidRPr="0092167E" w:rsidRDefault="00C27DD9" w:rsidP="006C2E12">
      <w:pPr>
        <w:spacing w:line="240" w:lineRule="auto"/>
        <w:rPr>
          <w:rFonts w:eastAsiaTheme="minorEastAsia" w:hint="eastAsia"/>
          <w:sz w:val="18"/>
          <w:szCs w:val="18"/>
        </w:rPr>
      </w:pPr>
      <w:r w:rsidRPr="0092167E">
        <w:rPr>
          <w:sz w:val="18"/>
          <w:szCs w:val="18"/>
          <w:vertAlign w:val="superscript"/>
        </w:rPr>
        <w:footnoteRef/>
      </w:r>
      <w:r w:rsidRPr="0092167E">
        <w:rPr>
          <w:sz w:val="18"/>
          <w:szCs w:val="18"/>
        </w:rPr>
        <w:t xml:space="preserve"> </w:t>
      </w:r>
      <w:r w:rsidR="006C2E12" w:rsidRPr="0092167E">
        <w:rPr>
          <w:rFonts w:eastAsiaTheme="minorEastAsia"/>
          <w:sz w:val="18"/>
          <w:szCs w:val="18"/>
        </w:rPr>
        <w:t xml:space="preserve">Beminor, </w:t>
      </w:r>
      <w:r w:rsidRPr="0092167E">
        <w:rPr>
          <w:sz w:val="18"/>
          <w:szCs w:val="18"/>
        </w:rPr>
        <w:t xml:space="preserve">Persons with developmental disabilities’ voting assistance was blocked on site, wiill they be able to vote in the district </w:t>
      </w:r>
      <w:proofErr w:type="gramStart"/>
      <w:r w:rsidRPr="0092167E">
        <w:rPr>
          <w:sz w:val="18"/>
          <w:szCs w:val="18"/>
        </w:rPr>
        <w:t>election?,</w:t>
      </w:r>
      <w:proofErr w:type="gramEnd"/>
      <w:r w:rsidRPr="0092167E">
        <w:rPr>
          <w:sz w:val="18"/>
          <w:szCs w:val="18"/>
        </w:rPr>
        <w:t xml:space="preserve"> </w:t>
      </w:r>
      <w:hyperlink r:id="rId8" w:history="1">
        <w:r w:rsidR="006C2E12" w:rsidRPr="0092167E">
          <w:rPr>
            <w:rStyle w:val="a3"/>
            <w:sz w:val="18"/>
            <w:szCs w:val="18"/>
          </w:rPr>
          <w:t>https://www.beminor.com/news/articleView.html?idxno=23323</w:t>
        </w:r>
      </w:hyperlink>
      <w:r w:rsidR="006C2E12" w:rsidRPr="0092167E">
        <w:rPr>
          <w:rFonts w:eastAsiaTheme="minorEastAsia"/>
          <w:sz w:val="18"/>
          <w:szCs w:val="18"/>
        </w:rPr>
        <w:t xml:space="preserve"> </w:t>
      </w:r>
    </w:p>
  </w:footnote>
  <w:footnote w:id="40">
    <w:p w14:paraId="5A2C8BF2" w14:textId="77777777" w:rsidR="00C27DD9" w:rsidRPr="0092167E" w:rsidRDefault="00C27DD9" w:rsidP="006C2E12">
      <w:pPr>
        <w:spacing w:line="240" w:lineRule="auto"/>
        <w:rPr>
          <w:sz w:val="18"/>
          <w:szCs w:val="18"/>
        </w:rPr>
      </w:pPr>
      <w:r w:rsidRPr="0092167E">
        <w:rPr>
          <w:sz w:val="18"/>
          <w:szCs w:val="18"/>
          <w:vertAlign w:val="superscript"/>
        </w:rPr>
        <w:footnoteRef/>
      </w:r>
      <w:r w:rsidRPr="0092167E">
        <w:rPr>
          <w:sz w:val="18"/>
          <w:szCs w:val="18"/>
        </w:rPr>
        <w:t xml:space="preserve"> Article 157 (6) of the Public Official Election Act: An elector may enter a polling station (in cases of a child who is a primary school pupil, excluding the balloting booth) along primary school pupil or younger child within the limit of not impeding the order of the polling station, and one who is unable to record his/her vote for himself due to a visual or physical impairment may be accompanied by his/her family or two persons nominated by him/her to assist in his/her voting.</w:t>
      </w:r>
    </w:p>
  </w:footnote>
  <w:footnote w:id="41">
    <w:p w14:paraId="7A019FE6" w14:textId="77777777" w:rsidR="00C27DD9" w:rsidRPr="0092167E" w:rsidRDefault="00C27DD9" w:rsidP="006C2E12">
      <w:pPr>
        <w:spacing w:line="240" w:lineRule="auto"/>
        <w:rPr>
          <w:sz w:val="18"/>
          <w:szCs w:val="18"/>
        </w:rPr>
      </w:pPr>
      <w:r w:rsidRPr="0092167E">
        <w:rPr>
          <w:sz w:val="18"/>
          <w:szCs w:val="18"/>
          <w:vertAlign w:val="superscript"/>
        </w:rPr>
        <w:footnoteRef/>
      </w:r>
      <w:r w:rsidRPr="0092167E">
        <w:rPr>
          <w:sz w:val="18"/>
          <w:szCs w:val="18"/>
        </w:rPr>
        <w:t xml:space="preserve"> Since the subsidy was introduced in 2010, only the two largest parties dominated the whole subsidy.</w:t>
      </w:r>
    </w:p>
  </w:footnote>
  <w:footnote w:id="42">
    <w:p w14:paraId="2B60245B" w14:textId="6F660F83" w:rsidR="00C27DD9" w:rsidRPr="0092167E" w:rsidRDefault="00C27DD9" w:rsidP="006C2E12">
      <w:pPr>
        <w:spacing w:line="240" w:lineRule="auto"/>
        <w:rPr>
          <w:sz w:val="18"/>
          <w:szCs w:val="18"/>
        </w:rPr>
      </w:pPr>
      <w:r w:rsidRPr="0092167E">
        <w:rPr>
          <w:sz w:val="18"/>
          <w:szCs w:val="18"/>
          <w:vertAlign w:val="superscript"/>
        </w:rPr>
        <w:footnoteRef/>
      </w:r>
      <w:r w:rsidRPr="0092167E">
        <w:rPr>
          <w:sz w:val="18"/>
          <w:szCs w:val="18"/>
        </w:rPr>
        <w:t xml:space="preserve"> Act </w:t>
      </w:r>
      <w:r w:rsidR="00E958E8">
        <w:rPr>
          <w:rFonts w:eastAsiaTheme="minorEastAsia"/>
          <w:sz w:val="18"/>
          <w:szCs w:val="18"/>
        </w:rPr>
        <w:t>o</w:t>
      </w:r>
      <w:r w:rsidRPr="0092167E">
        <w:rPr>
          <w:sz w:val="18"/>
          <w:szCs w:val="18"/>
        </w:rPr>
        <w:t xml:space="preserve">n Medical Treatment </w:t>
      </w:r>
      <w:r w:rsidR="00E958E8">
        <w:rPr>
          <w:rFonts w:eastAsiaTheme="minorEastAsia"/>
          <w:sz w:val="18"/>
          <w:szCs w:val="18"/>
        </w:rPr>
        <w:t>a</w:t>
      </w:r>
      <w:r w:rsidRPr="0092167E">
        <w:rPr>
          <w:sz w:val="18"/>
          <w:szCs w:val="18"/>
        </w:rPr>
        <w:t>nd Custody Article 47 (Sentence of Medical Treatment and Custody and Suspension of Qualification) The qualifications in each of the following subparagraphs of a person under medical treatment and custody shall be suspended until the performance of medical treatment and custody terminates or such person is exempted from such performance:</w:t>
      </w:r>
    </w:p>
    <w:p w14:paraId="225F7CD2" w14:textId="77777777" w:rsidR="00C27DD9" w:rsidRPr="0092167E" w:rsidRDefault="00C27DD9" w:rsidP="006C2E12">
      <w:pPr>
        <w:spacing w:line="240" w:lineRule="auto"/>
        <w:rPr>
          <w:sz w:val="18"/>
          <w:szCs w:val="18"/>
        </w:rPr>
      </w:pPr>
      <w:r w:rsidRPr="0092167E">
        <w:rPr>
          <w:sz w:val="18"/>
          <w:szCs w:val="18"/>
        </w:rPr>
        <w:t>1.Qualifications to become a public official;</w:t>
      </w:r>
    </w:p>
    <w:p w14:paraId="44443BE3" w14:textId="77777777" w:rsidR="00C27DD9" w:rsidRPr="0092167E" w:rsidRDefault="00C27DD9" w:rsidP="006C2E12">
      <w:pPr>
        <w:spacing w:line="240" w:lineRule="auto"/>
        <w:rPr>
          <w:sz w:val="18"/>
          <w:szCs w:val="18"/>
        </w:rPr>
      </w:pPr>
      <w:r w:rsidRPr="0092167E">
        <w:rPr>
          <w:sz w:val="18"/>
          <w:szCs w:val="18"/>
        </w:rPr>
        <w:t>2.Rights to vote and rights to be elected as provided for in public law;</w:t>
      </w:r>
    </w:p>
    <w:p w14:paraId="08BA44C4" w14:textId="77777777" w:rsidR="00C27DD9" w:rsidRPr="0092167E" w:rsidRDefault="00C27DD9" w:rsidP="006C2E12">
      <w:pPr>
        <w:spacing w:line="240" w:lineRule="auto"/>
        <w:rPr>
          <w:sz w:val="18"/>
          <w:szCs w:val="18"/>
        </w:rPr>
      </w:pPr>
      <w:r w:rsidRPr="0092167E">
        <w:rPr>
          <w:sz w:val="18"/>
          <w:szCs w:val="18"/>
        </w:rPr>
        <w:t>3.Qualifications to conduct duties, the requirements of which are stipulated by public law.</w:t>
      </w:r>
    </w:p>
  </w:footnote>
  <w:footnote w:id="43">
    <w:p w14:paraId="6CECC9C0" w14:textId="77777777" w:rsidR="00C27DD9" w:rsidRPr="0092167E" w:rsidRDefault="00C27DD9" w:rsidP="006C2E12">
      <w:pPr>
        <w:spacing w:line="240" w:lineRule="auto"/>
        <w:rPr>
          <w:b/>
          <w:sz w:val="18"/>
          <w:szCs w:val="18"/>
        </w:rPr>
      </w:pPr>
      <w:r w:rsidRPr="0092167E">
        <w:rPr>
          <w:sz w:val="18"/>
          <w:szCs w:val="18"/>
          <w:vertAlign w:val="superscript"/>
        </w:rPr>
        <w:footnoteRef/>
      </w:r>
      <w:r w:rsidRPr="0092167E">
        <w:rPr>
          <w:sz w:val="18"/>
          <w:szCs w:val="18"/>
        </w:rPr>
        <w:t xml:space="preserve"> National Eelection Commission Rule Article 67-2 (Establishment and Equipment of Voting Stations) (1) Voting Stations shall be installed on the first floor or at convenient facilities such as elevators for convenience of access to polling stations for the elderly, disabled, pregnant women, etc. </w:t>
      </w:r>
      <w:r w:rsidRPr="0092167E">
        <w:rPr>
          <w:b/>
          <w:sz w:val="18"/>
          <w:szCs w:val="18"/>
        </w:rPr>
        <w:t>However, this is not the case if there is no appropriate place for smooth voting management.</w:t>
      </w:r>
    </w:p>
  </w:footnote>
  <w:footnote w:id="44">
    <w:p w14:paraId="0AB9B5A6" w14:textId="77777777" w:rsidR="002949F2" w:rsidRPr="0092167E" w:rsidRDefault="002949F2" w:rsidP="002949F2">
      <w:pPr>
        <w:pStyle w:val="a7"/>
        <w:rPr>
          <w:rFonts w:eastAsiaTheme="minorEastAsia" w:hint="eastAsia"/>
          <w:sz w:val="18"/>
          <w:szCs w:val="18"/>
        </w:rPr>
      </w:pPr>
      <w:r w:rsidRPr="0092167E">
        <w:rPr>
          <w:rStyle w:val="a8"/>
          <w:sz w:val="18"/>
          <w:szCs w:val="18"/>
        </w:rPr>
        <w:footnoteRef/>
      </w:r>
      <w:r w:rsidRPr="0092167E">
        <w:rPr>
          <w:sz w:val="18"/>
          <w:szCs w:val="18"/>
        </w:rPr>
        <w:t xml:space="preserve"> </w:t>
      </w:r>
      <w:r w:rsidRPr="0092167E">
        <w:rPr>
          <w:i/>
          <w:iCs/>
          <w:sz w:val="18"/>
          <w:szCs w:val="18"/>
        </w:rPr>
        <w:t>See</w:t>
      </w:r>
      <w:r w:rsidRPr="0092167E">
        <w:rPr>
          <w:sz w:val="18"/>
          <w:szCs w:val="18"/>
        </w:rPr>
        <w:t xml:space="preserve"> A</w:t>
      </w:r>
      <w:r w:rsidRPr="0092167E">
        <w:rPr>
          <w:rFonts w:eastAsiaTheme="minorEastAsia"/>
          <w:sz w:val="18"/>
          <w:szCs w:val="18"/>
        </w:rPr>
        <w:t>ct on</w:t>
      </w:r>
      <w:r w:rsidRPr="0092167E">
        <w:rPr>
          <w:sz w:val="18"/>
          <w:szCs w:val="18"/>
        </w:rPr>
        <w:t xml:space="preserve"> M</w:t>
      </w:r>
      <w:r w:rsidRPr="0092167E">
        <w:rPr>
          <w:rFonts w:eastAsiaTheme="minorEastAsia"/>
          <w:sz w:val="18"/>
          <w:szCs w:val="18"/>
        </w:rPr>
        <w:t>edical</w:t>
      </w:r>
      <w:r w:rsidRPr="0092167E">
        <w:rPr>
          <w:sz w:val="18"/>
          <w:szCs w:val="18"/>
        </w:rPr>
        <w:t xml:space="preserve"> T</w:t>
      </w:r>
      <w:r w:rsidRPr="0092167E">
        <w:rPr>
          <w:rFonts w:eastAsiaTheme="minorEastAsia"/>
          <w:sz w:val="18"/>
          <w:szCs w:val="18"/>
        </w:rPr>
        <w:t>reatment and Custody (</w:t>
      </w:r>
      <w:hyperlink r:id="rId9" w:history="1">
        <w:r w:rsidRPr="0092167E">
          <w:rPr>
            <w:rStyle w:val="a3"/>
            <w:rFonts w:eastAsiaTheme="minorEastAsia"/>
            <w:sz w:val="18"/>
            <w:szCs w:val="18"/>
          </w:rPr>
          <w:t>https://elaw.klri.re.kr/kor_service/lawView.do?hseq=55101&amp;lang=ENG</w:t>
        </w:r>
      </w:hyperlink>
      <w:r w:rsidRPr="0092167E">
        <w:rPr>
          <w:rFonts w:eastAsiaTheme="minorEastAsia"/>
          <w:sz w:val="18"/>
          <w:szCs w:val="18"/>
        </w:rPr>
        <w:t xml:space="preserve">) </w:t>
      </w:r>
    </w:p>
  </w:footnote>
  <w:footnote w:id="45">
    <w:p w14:paraId="3C12E9FB" w14:textId="7A6A3BA8" w:rsidR="002949F2" w:rsidRPr="0092167E" w:rsidRDefault="002949F2" w:rsidP="002949F2">
      <w:pPr>
        <w:pStyle w:val="a7"/>
        <w:rPr>
          <w:rFonts w:eastAsiaTheme="minorEastAsia" w:hint="eastAsia"/>
          <w:sz w:val="18"/>
          <w:szCs w:val="18"/>
        </w:rPr>
      </w:pPr>
      <w:r w:rsidRPr="0092167E">
        <w:rPr>
          <w:rStyle w:val="a8"/>
          <w:sz w:val="18"/>
          <w:szCs w:val="18"/>
        </w:rPr>
        <w:footnoteRef/>
      </w:r>
      <w:r w:rsidRPr="0092167E">
        <w:rPr>
          <w:sz w:val="18"/>
          <w:szCs w:val="18"/>
        </w:rPr>
        <w:t xml:space="preserve"> As of 2021, 851 out of 926 </w:t>
      </w:r>
      <w:r>
        <w:rPr>
          <w:rFonts w:eastAsiaTheme="minorEastAsia"/>
          <w:sz w:val="18"/>
          <w:szCs w:val="18"/>
        </w:rPr>
        <w:t>inmates</w:t>
      </w:r>
      <w:r w:rsidRPr="0092167E">
        <w:rPr>
          <w:sz w:val="18"/>
          <w:szCs w:val="18"/>
        </w:rPr>
        <w:t xml:space="preserve"> are persons with disabilit</w:t>
      </w:r>
      <w:r>
        <w:rPr>
          <w:rFonts w:eastAsiaTheme="minorEastAsia"/>
          <w:sz w:val="18"/>
          <w:szCs w:val="18"/>
        </w:rPr>
        <w:t xml:space="preserve">ies </w:t>
      </w:r>
      <w:r w:rsidRPr="0092167E">
        <w:rPr>
          <w:sz w:val="18"/>
          <w:szCs w:val="18"/>
        </w:rPr>
        <w:t>(Statistics Korea, Current status of inmates in a medical treatment and detention center, https://www.index.go.kr/potal/main/EachDtlPageDetail.do?idx_cd=2813)</w:t>
      </w:r>
    </w:p>
  </w:footnote>
  <w:footnote w:id="46">
    <w:p w14:paraId="06F11758" w14:textId="77777777" w:rsidR="00ED1C05" w:rsidRPr="0092167E" w:rsidRDefault="00ED1C05" w:rsidP="00ED1C05">
      <w:pPr>
        <w:pStyle w:val="a7"/>
        <w:rPr>
          <w:rFonts w:eastAsiaTheme="minorEastAsia" w:hint="eastAsia"/>
          <w:sz w:val="18"/>
          <w:szCs w:val="18"/>
        </w:rPr>
      </w:pPr>
      <w:r w:rsidRPr="0092167E">
        <w:rPr>
          <w:rStyle w:val="a8"/>
          <w:sz w:val="18"/>
          <w:szCs w:val="18"/>
        </w:rPr>
        <w:footnoteRef/>
      </w:r>
      <w:r w:rsidRPr="0092167E">
        <w:rPr>
          <w:sz w:val="18"/>
          <w:szCs w:val="18"/>
        </w:rPr>
        <w:t xml:space="preserve"> The Kyunghyang Shinmun, 9 out of 10 wards in the medical treatment and detention center are for 7-8 persons "seriously overcrowded", 2017, </w:t>
      </w:r>
      <w:hyperlink r:id="rId10" w:history="1">
        <w:r w:rsidRPr="0092167E">
          <w:rPr>
            <w:rStyle w:val="a3"/>
            <w:sz w:val="18"/>
            <w:szCs w:val="18"/>
          </w:rPr>
          <w:t>https://www.khan.co.kr/national/court-law/article/201710160955011</w:t>
        </w:r>
      </w:hyperlink>
      <w:r w:rsidRPr="0092167E">
        <w:rPr>
          <w:rFonts w:eastAsiaTheme="minorEastAsia"/>
          <w:sz w:val="18"/>
          <w:szCs w:val="18"/>
        </w:rPr>
        <w:t xml:space="preserve"> </w:t>
      </w:r>
    </w:p>
  </w:footnote>
  <w:footnote w:id="47">
    <w:p w14:paraId="0F647809" w14:textId="77777777" w:rsidR="00ED1C05" w:rsidRPr="0092167E" w:rsidRDefault="00ED1C05" w:rsidP="00ED1C05">
      <w:pPr>
        <w:pStyle w:val="a7"/>
        <w:rPr>
          <w:rFonts w:eastAsiaTheme="minorEastAsia" w:hint="eastAsia"/>
          <w:sz w:val="18"/>
          <w:szCs w:val="18"/>
        </w:rPr>
      </w:pPr>
      <w:r w:rsidRPr="0092167E">
        <w:rPr>
          <w:rStyle w:val="a8"/>
          <w:sz w:val="18"/>
          <w:szCs w:val="18"/>
        </w:rPr>
        <w:footnoteRef/>
      </w:r>
      <w:r w:rsidRPr="0092167E">
        <w:rPr>
          <w:sz w:val="18"/>
          <w:szCs w:val="18"/>
        </w:rPr>
        <w:t xml:space="preserve"> The Hankook Ilbo, “A docter in the medical treatment and detention center said “Up to 200 patients to see… Can’t remember the medicine, 2022, </w:t>
      </w:r>
      <w:hyperlink r:id="rId11" w:history="1">
        <w:r w:rsidRPr="0092167E">
          <w:rPr>
            <w:rStyle w:val="a3"/>
            <w:sz w:val="18"/>
            <w:szCs w:val="18"/>
          </w:rPr>
          <w:t>https://www.hankookilbo.com/News/Read/A2022061619030005603</w:t>
        </w:r>
      </w:hyperlink>
      <w:r w:rsidRPr="0092167E">
        <w:rPr>
          <w:rFonts w:eastAsiaTheme="minorEastAsia"/>
          <w:sz w:val="18"/>
          <w:szCs w:val="18"/>
        </w:rPr>
        <w:t xml:space="preserve"> </w:t>
      </w:r>
    </w:p>
  </w:footnote>
  <w:footnote w:id="48">
    <w:p w14:paraId="5B14C4B9" w14:textId="77777777" w:rsidR="004E05F8" w:rsidRPr="0092167E" w:rsidRDefault="004E05F8" w:rsidP="004E05F8">
      <w:pPr>
        <w:pStyle w:val="a7"/>
        <w:rPr>
          <w:sz w:val="18"/>
          <w:szCs w:val="18"/>
        </w:rPr>
      </w:pPr>
      <w:r w:rsidRPr="0092167E">
        <w:rPr>
          <w:rStyle w:val="a8"/>
          <w:sz w:val="18"/>
          <w:szCs w:val="18"/>
        </w:rPr>
        <w:footnoteRef/>
      </w:r>
      <w:r w:rsidRPr="0092167E">
        <w:rPr>
          <w:sz w:val="18"/>
          <w:szCs w:val="18"/>
        </w:rPr>
        <w:t xml:space="preserve"> A</w:t>
      </w:r>
      <w:r w:rsidRPr="0092167E">
        <w:rPr>
          <w:rFonts w:eastAsiaTheme="minorEastAsia"/>
          <w:sz w:val="18"/>
          <w:szCs w:val="18"/>
        </w:rPr>
        <w:t>ct on</w:t>
      </w:r>
      <w:r w:rsidRPr="0092167E">
        <w:rPr>
          <w:sz w:val="18"/>
          <w:szCs w:val="18"/>
        </w:rPr>
        <w:t xml:space="preserve"> M</w:t>
      </w:r>
      <w:r w:rsidRPr="0092167E">
        <w:rPr>
          <w:rFonts w:eastAsiaTheme="minorEastAsia"/>
          <w:sz w:val="18"/>
          <w:szCs w:val="18"/>
        </w:rPr>
        <w:t>edical</w:t>
      </w:r>
      <w:r w:rsidRPr="0092167E">
        <w:rPr>
          <w:sz w:val="18"/>
          <w:szCs w:val="18"/>
        </w:rPr>
        <w:t xml:space="preserve"> T</w:t>
      </w:r>
      <w:r w:rsidRPr="0092167E">
        <w:rPr>
          <w:rFonts w:eastAsiaTheme="minorEastAsia"/>
          <w:sz w:val="18"/>
          <w:szCs w:val="18"/>
        </w:rPr>
        <w:t xml:space="preserve">reatment and Custody </w:t>
      </w:r>
      <w:r w:rsidRPr="0092167E">
        <w:rPr>
          <w:sz w:val="18"/>
          <w:szCs w:val="18"/>
        </w:rPr>
        <w:t>Article 16 (2) The period for which a person under medical treatment and custody shall be committed to a medical treatment and detention facility shall not exceed the following applicable periods:</w:t>
      </w:r>
    </w:p>
    <w:p w14:paraId="46CBD2A9" w14:textId="77777777" w:rsidR="004E05F8" w:rsidRPr="0092167E" w:rsidRDefault="004E05F8" w:rsidP="004E05F8">
      <w:pPr>
        <w:pStyle w:val="a7"/>
        <w:rPr>
          <w:sz w:val="18"/>
          <w:szCs w:val="18"/>
        </w:rPr>
      </w:pPr>
      <w:r w:rsidRPr="0092167E">
        <w:rPr>
          <w:sz w:val="18"/>
          <w:szCs w:val="18"/>
        </w:rPr>
        <w:t>1. Persons falling under Article 2 (1) 1 and 3: 15 years</w:t>
      </w:r>
    </w:p>
    <w:p w14:paraId="145D74FD" w14:textId="77777777" w:rsidR="004E05F8" w:rsidRPr="0092167E" w:rsidRDefault="004E05F8" w:rsidP="004E05F8">
      <w:pPr>
        <w:pStyle w:val="a7"/>
        <w:rPr>
          <w:rFonts w:eastAsiaTheme="minorEastAsia" w:hint="eastAsia"/>
          <w:sz w:val="18"/>
          <w:szCs w:val="18"/>
        </w:rPr>
      </w:pPr>
      <w:r w:rsidRPr="0092167E">
        <w:rPr>
          <w:sz w:val="18"/>
          <w:szCs w:val="18"/>
        </w:rPr>
        <w:t>(3) If a person under medical treatment and custody after being sentenced to medical treatment and custody for committing a homicide defined in subparagraph 3-2 of Article 2 of the Act on Electronic Monitoring (hereinafter referred to as “homicide”) is deemed likely to repeat such crime and require continuous medical treatment, the court may, upon the prosecutor’s request based on the application filed by the head of the medical treatment and detention facility, decide to extend the period referred to in the subparagraphs of paragraph (2) by up to two years for an extension on up to three occasions.</w:t>
      </w:r>
    </w:p>
  </w:footnote>
  <w:footnote w:id="49">
    <w:p w14:paraId="715A5B13" w14:textId="77777777" w:rsidR="004E05F8" w:rsidRPr="0092167E" w:rsidRDefault="004E05F8" w:rsidP="004E05F8">
      <w:pPr>
        <w:pStyle w:val="a7"/>
        <w:rPr>
          <w:rFonts w:eastAsiaTheme="minorEastAsia" w:hint="eastAsia"/>
          <w:sz w:val="18"/>
          <w:szCs w:val="18"/>
        </w:rPr>
      </w:pPr>
      <w:r w:rsidRPr="0092167E">
        <w:rPr>
          <w:rStyle w:val="a8"/>
          <w:sz w:val="18"/>
          <w:szCs w:val="18"/>
        </w:rPr>
        <w:footnoteRef/>
      </w:r>
      <w:r w:rsidRPr="0092167E">
        <w:rPr>
          <w:sz w:val="18"/>
          <w:szCs w:val="18"/>
        </w:rPr>
        <w:t xml:space="preserve"> Shon Yei-Chull et al, A Study on the Adequacy of Detention Period in a Medical Treatment and Detention Center, The Task of Research Service of the Ministry of Justice in 2021, 2022, p. 20.</w:t>
      </w:r>
    </w:p>
  </w:footnote>
  <w:footnote w:id="50">
    <w:p w14:paraId="13AA4218" w14:textId="77777777" w:rsidR="004E05F8" w:rsidRDefault="004E05F8" w:rsidP="004E05F8">
      <w:pPr>
        <w:pStyle w:val="a7"/>
        <w:rPr>
          <w:rFonts w:eastAsiaTheme="minorEastAsia"/>
          <w:sz w:val="18"/>
          <w:szCs w:val="18"/>
        </w:rPr>
      </w:pPr>
      <w:r w:rsidRPr="0092167E">
        <w:rPr>
          <w:rStyle w:val="a8"/>
          <w:sz w:val="18"/>
          <w:szCs w:val="18"/>
        </w:rPr>
        <w:footnoteRef/>
      </w:r>
      <w:r w:rsidRPr="0092167E">
        <w:rPr>
          <w:sz w:val="18"/>
          <w:szCs w:val="18"/>
        </w:rPr>
        <w:t xml:space="preserve"> A</w:t>
      </w:r>
      <w:r w:rsidRPr="0092167E">
        <w:rPr>
          <w:rFonts w:eastAsiaTheme="minorEastAsia"/>
          <w:sz w:val="18"/>
          <w:szCs w:val="18"/>
        </w:rPr>
        <w:t>ct on</w:t>
      </w:r>
      <w:r w:rsidRPr="0092167E">
        <w:rPr>
          <w:sz w:val="18"/>
          <w:szCs w:val="18"/>
        </w:rPr>
        <w:t xml:space="preserve"> M</w:t>
      </w:r>
      <w:r w:rsidRPr="0092167E">
        <w:rPr>
          <w:rFonts w:eastAsiaTheme="minorEastAsia"/>
          <w:sz w:val="18"/>
          <w:szCs w:val="18"/>
        </w:rPr>
        <w:t>edical</w:t>
      </w:r>
      <w:r w:rsidRPr="0092167E">
        <w:rPr>
          <w:sz w:val="18"/>
          <w:szCs w:val="18"/>
        </w:rPr>
        <w:t xml:space="preserve"> T</w:t>
      </w:r>
      <w:r w:rsidRPr="0092167E">
        <w:rPr>
          <w:rFonts w:eastAsiaTheme="minorEastAsia"/>
          <w:sz w:val="18"/>
          <w:szCs w:val="18"/>
        </w:rPr>
        <w:t xml:space="preserve">reatment and Custody </w:t>
      </w:r>
      <w:r w:rsidRPr="0092167E">
        <w:rPr>
          <w:sz w:val="18"/>
          <w:szCs w:val="18"/>
        </w:rPr>
        <w:t xml:space="preserve">Article 25-3(Prohibition on Isolation and Other Restrictions) </w:t>
      </w:r>
    </w:p>
    <w:p w14:paraId="05B642E7" w14:textId="77777777" w:rsidR="004E05F8" w:rsidRPr="0092167E" w:rsidRDefault="004E05F8" w:rsidP="004E05F8">
      <w:pPr>
        <w:pStyle w:val="a7"/>
        <w:rPr>
          <w:sz w:val="18"/>
          <w:szCs w:val="18"/>
        </w:rPr>
      </w:pPr>
      <w:r w:rsidRPr="0092167E">
        <w:rPr>
          <w:sz w:val="18"/>
          <w:szCs w:val="18"/>
        </w:rPr>
        <w:t>(1)</w:t>
      </w:r>
      <w:r>
        <w:rPr>
          <w:rFonts w:eastAsiaTheme="minorEastAsia"/>
          <w:sz w:val="18"/>
          <w:szCs w:val="18"/>
        </w:rPr>
        <w:t xml:space="preserve"> </w:t>
      </w:r>
      <w:r w:rsidRPr="0092167E">
        <w:rPr>
          <w:sz w:val="18"/>
          <w:szCs w:val="18"/>
        </w:rPr>
        <w:t xml:space="preserve">The head of a medical treatment and detention facility shall not physically restrict any person under medical treatment and custody or candidate for medical treatment and custody (hereinafter referred to as "person under medical treatment and custody, etc."), such as isolating or binding him/her, unless he/she falls under any of the following circumstances: Provided, That direct physical restrictions, such as binding a person under medical treatment and custody, etc., shall be permitted only in cases falling under subparagraph 1: </w:t>
      </w:r>
    </w:p>
    <w:p w14:paraId="3C314387" w14:textId="77777777" w:rsidR="004E05F8" w:rsidRPr="0092167E" w:rsidRDefault="004E05F8" w:rsidP="004E05F8">
      <w:pPr>
        <w:pStyle w:val="a7"/>
        <w:rPr>
          <w:sz w:val="18"/>
          <w:szCs w:val="18"/>
        </w:rPr>
      </w:pPr>
      <w:r w:rsidRPr="0092167E">
        <w:rPr>
          <w:sz w:val="18"/>
          <w:szCs w:val="18"/>
        </w:rPr>
        <w:t xml:space="preserve">1. Where the relevant person is highly likely to put himself/herself or other persons in danger and it is deemed significantly impracticable to avoid such danger with any method other than physical restriction; </w:t>
      </w:r>
    </w:p>
    <w:p w14:paraId="48F860F1" w14:textId="77777777" w:rsidR="004E05F8" w:rsidRPr="0092167E" w:rsidRDefault="004E05F8" w:rsidP="004E05F8">
      <w:pPr>
        <w:pStyle w:val="a7"/>
        <w:rPr>
          <w:sz w:val="18"/>
          <w:szCs w:val="18"/>
        </w:rPr>
      </w:pPr>
      <w:r w:rsidRPr="0092167E">
        <w:rPr>
          <w:sz w:val="18"/>
          <w:szCs w:val="18"/>
        </w:rPr>
        <w:t>2. Where the relevant person commits a serious unlawful act or disciplinary offense;</w:t>
      </w:r>
    </w:p>
    <w:p w14:paraId="7BABE1A7" w14:textId="77777777" w:rsidR="004E05F8" w:rsidRPr="0092167E" w:rsidRDefault="004E05F8" w:rsidP="004E05F8">
      <w:pPr>
        <w:pStyle w:val="a7"/>
        <w:rPr>
          <w:rFonts w:eastAsiaTheme="minorEastAsia" w:hint="eastAsia"/>
          <w:sz w:val="18"/>
          <w:szCs w:val="18"/>
        </w:rPr>
      </w:pPr>
      <w:r w:rsidRPr="0092167E">
        <w:rPr>
          <w:sz w:val="18"/>
          <w:szCs w:val="18"/>
        </w:rPr>
        <w:t>3. Where the relevant person commits any other serious act of disrupting order at the facility.</w:t>
      </w:r>
    </w:p>
  </w:footnote>
  <w:footnote w:id="51">
    <w:p w14:paraId="5CA7C8A3" w14:textId="77777777" w:rsidR="001C50D5" w:rsidRPr="0092167E" w:rsidRDefault="001C50D5" w:rsidP="001C50D5">
      <w:pPr>
        <w:pStyle w:val="a7"/>
        <w:rPr>
          <w:rFonts w:eastAsiaTheme="minorEastAsia" w:hint="eastAsia"/>
          <w:sz w:val="18"/>
          <w:szCs w:val="18"/>
        </w:rPr>
      </w:pPr>
      <w:r w:rsidRPr="0092167E">
        <w:rPr>
          <w:rStyle w:val="a8"/>
          <w:sz w:val="18"/>
          <w:szCs w:val="18"/>
        </w:rPr>
        <w:footnoteRef/>
      </w:r>
      <w:r w:rsidRPr="0092167E">
        <w:rPr>
          <w:sz w:val="18"/>
          <w:szCs w:val="18"/>
        </w:rPr>
        <w:t xml:space="preserve"> The Kyunghyang Shinmun, The reason why he was detained for more than 11 years after receiving a sentence of one year and six months… Because he was a person with developmental disability, 2021, </w:t>
      </w:r>
      <w:hyperlink r:id="rId12" w:history="1">
        <w:r w:rsidRPr="0092167E">
          <w:rPr>
            <w:rStyle w:val="a3"/>
            <w:sz w:val="18"/>
            <w:szCs w:val="18"/>
          </w:rPr>
          <w:t>https://www.khan.co.kr/national/national-general/article/202101210600075</w:t>
        </w:r>
      </w:hyperlink>
      <w:r w:rsidRPr="0092167E">
        <w:rPr>
          <w:rFonts w:eastAsiaTheme="minorEastAsia"/>
          <w:sz w:val="18"/>
          <w:szCs w:val="18"/>
        </w:rPr>
        <w:t xml:space="preserve"> </w:t>
      </w:r>
    </w:p>
  </w:footnote>
  <w:footnote w:id="52">
    <w:p w14:paraId="284D9E23" w14:textId="58871F61" w:rsidR="002521CB" w:rsidRPr="0092167E" w:rsidRDefault="002521CB" w:rsidP="002521CB">
      <w:pPr>
        <w:pStyle w:val="a7"/>
        <w:rPr>
          <w:rFonts w:eastAsiaTheme="minorEastAsia" w:hint="eastAsia"/>
          <w:sz w:val="18"/>
          <w:szCs w:val="18"/>
        </w:rPr>
      </w:pPr>
      <w:r w:rsidRPr="0092167E">
        <w:rPr>
          <w:rStyle w:val="a8"/>
          <w:sz w:val="18"/>
          <w:szCs w:val="18"/>
        </w:rPr>
        <w:footnoteRef/>
      </w:r>
      <w:r w:rsidRPr="0092167E">
        <w:rPr>
          <w:sz w:val="18"/>
          <w:szCs w:val="18"/>
        </w:rPr>
        <w:t xml:space="preserve"> </w:t>
      </w:r>
      <w:r w:rsidRPr="002521CB">
        <w:rPr>
          <w:sz w:val="18"/>
          <w:szCs w:val="18"/>
        </w:rPr>
        <w:t>Korea Correctional Service Statistics 2021</w:t>
      </w:r>
      <w:r w:rsidR="005B0659">
        <w:rPr>
          <w:rFonts w:eastAsiaTheme="minorEastAsia"/>
          <w:sz w:val="18"/>
          <w:szCs w:val="18"/>
        </w:rPr>
        <w:t xml:space="preserve"> (2021)</w:t>
      </w:r>
      <w:r>
        <w:rPr>
          <w:rFonts w:eastAsiaTheme="minorEastAsia"/>
          <w:sz w:val="18"/>
          <w:szCs w:val="18"/>
        </w:rPr>
        <w:t>,</w:t>
      </w:r>
      <w:r w:rsidRPr="002521CB">
        <w:rPr>
          <w:sz w:val="18"/>
          <w:szCs w:val="18"/>
        </w:rPr>
        <w:t xml:space="preserve"> </w:t>
      </w:r>
      <w:r w:rsidRPr="002521CB">
        <w:rPr>
          <w:sz w:val="18"/>
          <w:szCs w:val="18"/>
        </w:rPr>
        <w:t>Ministry of Justice</w:t>
      </w:r>
      <w:r>
        <w:rPr>
          <w:rFonts w:eastAsiaTheme="minorEastAsia"/>
          <w:sz w:val="18"/>
          <w:szCs w:val="18"/>
        </w:rPr>
        <w:t>, p. 56.</w:t>
      </w:r>
    </w:p>
  </w:footnote>
  <w:footnote w:id="53">
    <w:p w14:paraId="6B36505D" w14:textId="455F2E3A" w:rsidR="002521CB" w:rsidRPr="0092167E" w:rsidRDefault="002521CB" w:rsidP="002521CB">
      <w:pPr>
        <w:pStyle w:val="a7"/>
        <w:rPr>
          <w:rFonts w:eastAsiaTheme="minorEastAsia" w:hint="eastAsia"/>
          <w:sz w:val="18"/>
          <w:szCs w:val="18"/>
        </w:rPr>
      </w:pPr>
      <w:r w:rsidRPr="0092167E">
        <w:rPr>
          <w:rStyle w:val="a8"/>
          <w:sz w:val="18"/>
          <w:szCs w:val="18"/>
        </w:rPr>
        <w:footnoteRef/>
      </w:r>
      <w:r w:rsidRPr="0092167E">
        <w:rPr>
          <w:sz w:val="18"/>
          <w:szCs w:val="18"/>
        </w:rPr>
        <w:t xml:space="preserve"> </w:t>
      </w:r>
      <w:r w:rsidR="005B0659">
        <w:rPr>
          <w:rFonts w:eastAsiaTheme="minorEastAsia"/>
          <w:sz w:val="18"/>
          <w:szCs w:val="18"/>
        </w:rPr>
        <w:t>Suh Dong-myung, et al., Survey on reasonable accommodation of inmates with disabilities in detention facilities, published by the National Human Rights Commission of Korea (2020), p. 135.</w:t>
      </w:r>
    </w:p>
  </w:footnote>
  <w:footnote w:id="54">
    <w:p w14:paraId="5C99FA5C" w14:textId="3B198882" w:rsidR="002521CB" w:rsidRPr="005B0659" w:rsidRDefault="002521CB" w:rsidP="002521CB">
      <w:pPr>
        <w:pStyle w:val="a9"/>
        <w:spacing w:before="0" w:beforeAutospacing="0" w:after="0" w:afterAutospacing="0"/>
        <w:rPr>
          <w:rFonts w:ascii="Arial" w:eastAsiaTheme="minorEastAsia" w:hAnsi="Arial" w:cs="Arial" w:hint="eastAsia"/>
          <w:sz w:val="18"/>
          <w:szCs w:val="18"/>
          <w:lang w:val="ko"/>
        </w:rPr>
      </w:pPr>
      <w:r w:rsidRPr="0092167E">
        <w:rPr>
          <w:rStyle w:val="a8"/>
          <w:sz w:val="18"/>
          <w:szCs w:val="18"/>
        </w:rPr>
        <w:footnoteRef/>
      </w:r>
      <w:r w:rsidR="005B0659">
        <w:rPr>
          <w:sz w:val="18"/>
          <w:szCs w:val="18"/>
        </w:rPr>
        <w:t xml:space="preserve"> </w:t>
      </w:r>
      <w:r w:rsidR="005B0659" w:rsidRPr="005B0659">
        <w:rPr>
          <w:rFonts w:ascii="Arial" w:eastAsiaTheme="minorEastAsia" w:hAnsi="Arial" w:cs="Arial"/>
          <w:sz w:val="18"/>
          <w:szCs w:val="18"/>
          <w:lang w:val="ko"/>
        </w:rPr>
        <w:t>Suh Dong-myung, et al., Survey on reasonable accommodation of inmates with disabilities in detention facilities, published by the National Human Rights Commission of Korea (2020), p. 116.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04AD94" w14:textId="77777777" w:rsidR="00C27DD9" w:rsidRDefault="00C27DD9">
    <w:pPr>
      <w:jc w:val="right"/>
    </w:pPr>
    <w:r>
      <w:fldChar w:fldCharType="begin"/>
    </w:r>
    <w:r>
      <w:instrText>PAGE</w:instrText>
    </w:r>
    <w:r>
      <w:fldChar w:fldCharType="separate"/>
    </w:r>
    <w:r>
      <w:rPr>
        <w:noProof/>
      </w:rPr>
      <w:t>1</w:t>
    </w:r>
    <w:r>
      <w:fldChar w:fldCharType="end"/>
    </w:r>
    <w:r>
      <w:rPr>
        <w:noProof/>
      </w:rPr>
      <w:drawing>
        <wp:anchor distT="114300" distB="114300" distL="114300" distR="114300" simplePos="0" relativeHeight="251659264" behindDoc="1" locked="0" layoutInCell="1" hidden="0" allowOverlap="1" wp14:anchorId="57BC99DD" wp14:editId="7967998F">
          <wp:simplePos x="0" y="0"/>
          <wp:positionH relativeFrom="column">
            <wp:posOffset>4314825</wp:posOffset>
          </wp:positionH>
          <wp:positionV relativeFrom="paragraph">
            <wp:posOffset>-285749</wp:posOffset>
          </wp:positionV>
          <wp:extent cx="1646400" cy="555596"/>
          <wp:effectExtent l="0" t="0" r="0" b="0"/>
          <wp:wrapNone/>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646400" cy="555596"/>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E7332" w14:textId="77777777" w:rsidR="00C27DD9" w:rsidRDefault="00C27DD9">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D7743"/>
    <w:multiLevelType w:val="multilevel"/>
    <w:tmpl w:val="3BE4238E"/>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1" w15:restartNumberingAfterBreak="0">
    <w:nsid w:val="39FF2268"/>
    <w:multiLevelType w:val="multilevel"/>
    <w:tmpl w:val="3BE4238E"/>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 w15:restartNumberingAfterBreak="0">
    <w:nsid w:val="50E22ADB"/>
    <w:multiLevelType w:val="multilevel"/>
    <w:tmpl w:val="AB1CE5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77096155">
    <w:abstractNumId w:val="1"/>
  </w:num>
  <w:num w:numId="2" w16cid:durableId="273639409">
    <w:abstractNumId w:val="2"/>
  </w:num>
  <w:num w:numId="3" w16cid:durableId="5560152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grammar="clean"/>
  <w:defaultTabStop w:val="8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7DD9"/>
    <w:rsid w:val="0000165B"/>
    <w:rsid w:val="000D6C99"/>
    <w:rsid w:val="001019E0"/>
    <w:rsid w:val="0017700A"/>
    <w:rsid w:val="00196747"/>
    <w:rsid w:val="001C50D5"/>
    <w:rsid w:val="002521CB"/>
    <w:rsid w:val="002949F2"/>
    <w:rsid w:val="00332897"/>
    <w:rsid w:val="004863EA"/>
    <w:rsid w:val="004E05F8"/>
    <w:rsid w:val="005B0659"/>
    <w:rsid w:val="006A2C7B"/>
    <w:rsid w:val="006A6016"/>
    <w:rsid w:val="006C2E12"/>
    <w:rsid w:val="00756262"/>
    <w:rsid w:val="0092167E"/>
    <w:rsid w:val="00975712"/>
    <w:rsid w:val="00A523FC"/>
    <w:rsid w:val="00B71041"/>
    <w:rsid w:val="00C27DD9"/>
    <w:rsid w:val="00C40EBD"/>
    <w:rsid w:val="00D52548"/>
    <w:rsid w:val="00E17B55"/>
    <w:rsid w:val="00E958E8"/>
    <w:rsid w:val="00ED1C05"/>
    <w:rsid w:val="00EE27A0"/>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968952"/>
  <w15:chartTrackingRefBased/>
  <w15:docId w15:val="{2F8A2D0D-FB86-494F-A3CC-1F7FD5B8A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D6C99"/>
    <w:pPr>
      <w:spacing w:after="0" w:line="276" w:lineRule="auto"/>
      <w:jc w:val="left"/>
    </w:pPr>
    <w:rPr>
      <w:rFonts w:ascii="Arial" w:eastAsia="Arial" w:hAnsi="Arial" w:cs="Arial"/>
      <w:kern w:val="0"/>
      <w:sz w:val="22"/>
      <w:lang w:val="ko"/>
    </w:rPr>
  </w:style>
  <w:style w:type="paragraph" w:styleId="1">
    <w:name w:val="heading 1"/>
    <w:basedOn w:val="a"/>
    <w:next w:val="a"/>
    <w:link w:val="1Char"/>
    <w:uiPriority w:val="9"/>
    <w:qFormat/>
    <w:rsid w:val="00C27DD9"/>
    <w:pPr>
      <w:keepNext/>
      <w:keepLines/>
      <w:spacing w:before="400" w:after="120"/>
      <w:outlineLvl w:val="0"/>
    </w:pPr>
    <w:rPr>
      <w:b/>
      <w:sz w:val="30"/>
      <w:szCs w:val="30"/>
    </w:rPr>
  </w:style>
  <w:style w:type="paragraph" w:styleId="2">
    <w:name w:val="heading 2"/>
    <w:basedOn w:val="a"/>
    <w:next w:val="a"/>
    <w:link w:val="2Char"/>
    <w:uiPriority w:val="9"/>
    <w:unhideWhenUsed/>
    <w:qFormat/>
    <w:rsid w:val="00C27DD9"/>
    <w:pPr>
      <w:keepNext/>
      <w:keepLines/>
      <w:spacing w:before="400" w:after="120"/>
      <w:outlineLvl w:val="1"/>
    </w:pPr>
    <w:rPr>
      <w:rFonts w:ascii="돋움" w:eastAsia="돋움" w:hAnsi="돋움" w:cs="돋움"/>
      <w:b/>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C27DD9"/>
    <w:rPr>
      <w:rFonts w:ascii="Arial" w:eastAsia="Arial" w:hAnsi="Arial" w:cs="Arial"/>
      <w:b/>
      <w:kern w:val="0"/>
      <w:sz w:val="30"/>
      <w:szCs w:val="30"/>
      <w:lang w:val="ko"/>
    </w:rPr>
  </w:style>
  <w:style w:type="character" w:customStyle="1" w:styleId="2Char">
    <w:name w:val="제목 2 Char"/>
    <w:basedOn w:val="a0"/>
    <w:link w:val="2"/>
    <w:uiPriority w:val="9"/>
    <w:rsid w:val="00C27DD9"/>
    <w:rPr>
      <w:rFonts w:ascii="돋움" w:eastAsia="돋움" w:hAnsi="돋움" w:cs="돋움"/>
      <w:b/>
      <w:kern w:val="0"/>
      <w:sz w:val="26"/>
      <w:szCs w:val="26"/>
      <w:lang w:val="ko"/>
    </w:rPr>
  </w:style>
  <w:style w:type="character" w:styleId="a3">
    <w:name w:val="Hyperlink"/>
    <w:basedOn w:val="a0"/>
    <w:uiPriority w:val="99"/>
    <w:unhideWhenUsed/>
    <w:rsid w:val="006C2E12"/>
    <w:rPr>
      <w:color w:val="0563C1" w:themeColor="hyperlink"/>
      <w:u w:val="single"/>
    </w:rPr>
  </w:style>
  <w:style w:type="character" w:styleId="a4">
    <w:name w:val="Unresolved Mention"/>
    <w:basedOn w:val="a0"/>
    <w:uiPriority w:val="99"/>
    <w:semiHidden/>
    <w:unhideWhenUsed/>
    <w:rsid w:val="006C2E12"/>
    <w:rPr>
      <w:color w:val="605E5C"/>
      <w:shd w:val="clear" w:color="auto" w:fill="E1DFDD"/>
    </w:rPr>
  </w:style>
  <w:style w:type="paragraph" w:styleId="a5">
    <w:name w:val="header"/>
    <w:basedOn w:val="a"/>
    <w:link w:val="Char"/>
    <w:uiPriority w:val="99"/>
    <w:unhideWhenUsed/>
    <w:rsid w:val="000D6C99"/>
    <w:pPr>
      <w:tabs>
        <w:tab w:val="center" w:pos="4513"/>
        <w:tab w:val="right" w:pos="9026"/>
      </w:tabs>
      <w:spacing w:line="240" w:lineRule="auto"/>
    </w:pPr>
  </w:style>
  <w:style w:type="character" w:customStyle="1" w:styleId="Char">
    <w:name w:val="머리글 Char"/>
    <w:basedOn w:val="a0"/>
    <w:link w:val="a5"/>
    <w:uiPriority w:val="99"/>
    <w:rsid w:val="000D6C99"/>
    <w:rPr>
      <w:rFonts w:ascii="Arial" w:eastAsia="Arial" w:hAnsi="Arial" w:cs="Arial"/>
      <w:kern w:val="0"/>
      <w:sz w:val="22"/>
      <w:lang w:val="ko"/>
    </w:rPr>
  </w:style>
  <w:style w:type="paragraph" w:styleId="a6">
    <w:name w:val="footer"/>
    <w:basedOn w:val="a"/>
    <w:link w:val="Char0"/>
    <w:uiPriority w:val="99"/>
    <w:unhideWhenUsed/>
    <w:rsid w:val="000D6C99"/>
    <w:pPr>
      <w:tabs>
        <w:tab w:val="center" w:pos="4513"/>
        <w:tab w:val="right" w:pos="9026"/>
      </w:tabs>
      <w:spacing w:line="240" w:lineRule="auto"/>
    </w:pPr>
  </w:style>
  <w:style w:type="character" w:customStyle="1" w:styleId="Char0">
    <w:name w:val="바닥글 Char"/>
    <w:basedOn w:val="a0"/>
    <w:link w:val="a6"/>
    <w:uiPriority w:val="99"/>
    <w:rsid w:val="000D6C99"/>
    <w:rPr>
      <w:rFonts w:ascii="Arial" w:eastAsia="Arial" w:hAnsi="Arial" w:cs="Arial"/>
      <w:kern w:val="0"/>
      <w:sz w:val="22"/>
      <w:lang w:val="ko"/>
    </w:rPr>
  </w:style>
  <w:style w:type="paragraph" w:styleId="a7">
    <w:name w:val="footnote text"/>
    <w:basedOn w:val="a"/>
    <w:link w:val="Char1"/>
    <w:uiPriority w:val="99"/>
    <w:semiHidden/>
    <w:unhideWhenUsed/>
    <w:rsid w:val="00C40EBD"/>
    <w:pPr>
      <w:spacing w:line="240" w:lineRule="auto"/>
    </w:pPr>
    <w:rPr>
      <w:sz w:val="20"/>
      <w:szCs w:val="20"/>
    </w:rPr>
  </w:style>
  <w:style w:type="character" w:customStyle="1" w:styleId="Char1">
    <w:name w:val="각주 텍스트 Char"/>
    <w:basedOn w:val="a0"/>
    <w:link w:val="a7"/>
    <w:uiPriority w:val="99"/>
    <w:semiHidden/>
    <w:rsid w:val="00C40EBD"/>
    <w:rPr>
      <w:rFonts w:ascii="Arial" w:eastAsia="Arial" w:hAnsi="Arial" w:cs="Arial"/>
      <w:kern w:val="0"/>
      <w:szCs w:val="20"/>
      <w:lang w:val="ko"/>
    </w:rPr>
  </w:style>
  <w:style w:type="character" w:styleId="a8">
    <w:name w:val="footnote reference"/>
    <w:basedOn w:val="a0"/>
    <w:uiPriority w:val="99"/>
    <w:semiHidden/>
    <w:unhideWhenUsed/>
    <w:rsid w:val="00C40EBD"/>
    <w:rPr>
      <w:vertAlign w:val="superscript"/>
    </w:rPr>
  </w:style>
  <w:style w:type="paragraph" w:styleId="a9">
    <w:name w:val="Normal (Web)"/>
    <w:basedOn w:val="a"/>
    <w:uiPriority w:val="99"/>
    <w:unhideWhenUsed/>
    <w:rsid w:val="0092167E"/>
    <w:pPr>
      <w:spacing w:before="100" w:beforeAutospacing="1" w:after="100" w:afterAutospacing="1" w:line="240" w:lineRule="auto"/>
    </w:pPr>
    <w:rPr>
      <w:rFonts w:ascii="Times New Roman" w:eastAsia="Times New Roman" w:hAnsi="Times New Roman" w:cs="Times New Roman"/>
      <w:sz w:val="24"/>
      <w:szCs w:val="24"/>
      <w:lang w:val="en-GB"/>
    </w:rPr>
  </w:style>
  <w:style w:type="paragraph" w:styleId="10">
    <w:name w:val="toc 1"/>
    <w:basedOn w:val="a"/>
    <w:next w:val="a"/>
    <w:autoRedefine/>
    <w:uiPriority w:val="39"/>
    <w:unhideWhenUsed/>
    <w:rsid w:val="00E17B55"/>
    <w:pPr>
      <w:tabs>
        <w:tab w:val="right" w:pos="9019"/>
      </w:tabs>
      <w:spacing w:after="100"/>
    </w:pPr>
    <w:rPr>
      <w:b/>
      <w:bCs/>
      <w:noProof/>
    </w:rPr>
  </w:style>
  <w:style w:type="paragraph" w:styleId="20">
    <w:name w:val="toc 2"/>
    <w:basedOn w:val="a"/>
    <w:next w:val="a"/>
    <w:autoRedefine/>
    <w:uiPriority w:val="39"/>
    <w:unhideWhenUsed/>
    <w:rsid w:val="0092167E"/>
    <w:pPr>
      <w:spacing w:after="100"/>
      <w:ind w:left="220"/>
    </w:pPr>
  </w:style>
  <w:style w:type="paragraph" w:styleId="aa">
    <w:name w:val="List Paragraph"/>
    <w:basedOn w:val="a"/>
    <w:uiPriority w:val="34"/>
    <w:qFormat/>
    <w:rsid w:val="00ED1C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5809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mailto:international@minbyun.or.kr" TargetMode="Externa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footer" Target="footer1.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dlyu@minbyun.or.kr"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beminor.com/news/articleView.html?idxno=23323" TargetMode="External"/><Relationship Id="rId3" Type="http://schemas.openxmlformats.org/officeDocument/2006/relationships/hyperlink" Target="https://ablenews.co.kr/News/NewsContent.aspx?CategoryCode=0006&amp;NewsCode=000620220503154129929458" TargetMode="External"/><Relationship Id="rId7" Type="http://schemas.openxmlformats.org/officeDocument/2006/relationships/hyperlink" Target="https://www.khan.co.kr/national/education/article/202109072125005" TargetMode="External"/><Relationship Id="rId12" Type="http://schemas.openxmlformats.org/officeDocument/2006/relationships/hyperlink" Target="https://www.khan.co.kr/national/national-general/article/202101210600075" TargetMode="External"/><Relationship Id="rId2" Type="http://schemas.openxmlformats.org/officeDocument/2006/relationships/hyperlink" Target="https://english.hani.co.kr/arti/english_edition/e_national/1044700.html" TargetMode="External"/><Relationship Id="rId1" Type="http://schemas.openxmlformats.org/officeDocument/2006/relationships/hyperlink" Target="https://www.hrw.org/news/2021/11/11/national-assembly-south-korea-should-act-swiftly-enact-anti-discrimination" TargetMode="External"/><Relationship Id="rId6" Type="http://schemas.openxmlformats.org/officeDocument/2006/relationships/hyperlink" Target="https://ilyo.co.kr/?ac=article_view&amp;entry_id=309615" TargetMode="External"/><Relationship Id="rId11" Type="http://schemas.openxmlformats.org/officeDocument/2006/relationships/hyperlink" Target="https://www.hankookilbo.com/News/Read/A2022061619030005603" TargetMode="External"/><Relationship Id="rId5" Type="http://schemas.openxmlformats.org/officeDocument/2006/relationships/hyperlink" Target="https://elaw.klri.re.kr/kor_service/lawView.do?hseq=55949&amp;lang=ENG" TargetMode="External"/><Relationship Id="rId10" Type="http://schemas.openxmlformats.org/officeDocument/2006/relationships/hyperlink" Target="https://www.khan.co.kr/national/court-law/article/201710160955011" TargetMode="External"/><Relationship Id="rId4" Type="http://schemas.openxmlformats.org/officeDocument/2006/relationships/hyperlink" Target="https://elaw.klri.re.kr/kor_service/lawView.do?hseq=53998&amp;lang=ENG" TargetMode="External"/><Relationship Id="rId9" Type="http://schemas.openxmlformats.org/officeDocument/2006/relationships/hyperlink" Target="https://elaw.klri.re.kr/kor_service/lawView.do?hseq=55101&amp;lang=EN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86882EE-8ECA-4997-92ED-A9399EC87E83}">
  <ds:schemaRefs>
    <ds:schemaRef ds:uri="http://schemas.openxmlformats.org/officeDocument/2006/bibliography"/>
  </ds:schemaRefs>
</ds:datastoreItem>
</file>

<file path=customXml/itemProps2.xml><?xml version="1.0" encoding="utf-8"?>
<ds:datastoreItem xmlns:ds="http://schemas.openxmlformats.org/officeDocument/2006/customXml" ds:itemID="{5F1B24D1-AFFB-4632-83FE-6DD52597C166}"/>
</file>

<file path=customXml/itemProps3.xml><?xml version="1.0" encoding="utf-8"?>
<ds:datastoreItem xmlns:ds="http://schemas.openxmlformats.org/officeDocument/2006/customXml" ds:itemID="{A6746DFF-E996-4B89-BE15-5A3257F8F86D}"/>
</file>

<file path=customXml/itemProps4.xml><?xml version="1.0" encoding="utf-8"?>
<ds:datastoreItem xmlns:ds="http://schemas.openxmlformats.org/officeDocument/2006/customXml" ds:itemID="{773DBC88-B413-4019-ACF6-C0D78E455140}"/>
</file>

<file path=docProps/app.xml><?xml version="1.0" encoding="utf-8"?>
<Properties xmlns="http://schemas.openxmlformats.org/officeDocument/2006/extended-properties" xmlns:vt="http://schemas.openxmlformats.org/officeDocument/2006/docPropsVTypes">
  <Template>Normal</Template>
  <TotalTime>915</TotalTime>
  <Pages>23</Pages>
  <Words>7467</Words>
  <Characters>42567</Characters>
  <Application>Microsoft Office Word</Application>
  <DocSecurity>0</DocSecurity>
  <Lines>354</Lines>
  <Paragraphs>99</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49935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Dasol Lyu</dc:creator>
  <cp:keywords/>
  <dc:description/>
  <cp:lastModifiedBy>Dasol Lyu</cp:lastModifiedBy>
  <cp:revision>6</cp:revision>
  <dcterms:created xsi:type="dcterms:W3CDTF">2022-07-21T22:41:00Z</dcterms:created>
  <dcterms:modified xsi:type="dcterms:W3CDTF">2022-07-22T14:02:00Z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