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45FD3" w:rsidRDefault="00145FD3">
      <w:pPr>
        <w:spacing w:line="360" w:lineRule="auto"/>
        <w:jc w:val="center"/>
        <w:rPr>
          <w:rFonts w:ascii="Times New Roman" w:eastAsia="Times New Roman" w:hAnsi="Times New Roman" w:cs="Times New Roman"/>
          <w:b/>
          <w:sz w:val="24"/>
          <w:szCs w:val="24"/>
        </w:rPr>
      </w:pPr>
    </w:p>
    <w:p w14:paraId="00000002" w14:textId="77777777" w:rsidR="00145FD3" w:rsidRDefault="00145FD3">
      <w:pPr>
        <w:spacing w:line="360" w:lineRule="auto"/>
        <w:jc w:val="center"/>
        <w:rPr>
          <w:rFonts w:ascii="Times New Roman" w:eastAsia="Times New Roman" w:hAnsi="Times New Roman" w:cs="Times New Roman"/>
          <w:b/>
          <w:sz w:val="24"/>
          <w:szCs w:val="24"/>
        </w:rPr>
      </w:pPr>
    </w:p>
    <w:p w14:paraId="00000003" w14:textId="77777777" w:rsidR="00145FD3" w:rsidRDefault="00145FD3">
      <w:pPr>
        <w:spacing w:line="360" w:lineRule="auto"/>
        <w:jc w:val="center"/>
        <w:rPr>
          <w:rFonts w:ascii="Times New Roman" w:eastAsia="Times New Roman" w:hAnsi="Times New Roman" w:cs="Times New Roman"/>
          <w:b/>
          <w:sz w:val="24"/>
          <w:szCs w:val="24"/>
        </w:rPr>
      </w:pPr>
    </w:p>
    <w:p w14:paraId="00000004" w14:textId="77777777" w:rsidR="00145FD3" w:rsidRDefault="00145FD3">
      <w:pPr>
        <w:spacing w:line="360" w:lineRule="auto"/>
        <w:jc w:val="center"/>
        <w:rPr>
          <w:rFonts w:ascii="Times New Roman" w:eastAsia="Times New Roman" w:hAnsi="Times New Roman" w:cs="Times New Roman"/>
          <w:b/>
          <w:sz w:val="24"/>
          <w:szCs w:val="24"/>
        </w:rPr>
      </w:pPr>
    </w:p>
    <w:p w14:paraId="00000005" w14:textId="77777777" w:rsidR="00145FD3" w:rsidRDefault="001B6A5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rPr>
        <w:drawing>
          <wp:inline distT="0" distB="0" distL="0" distR="0" wp14:anchorId="5FC92C78" wp14:editId="43BBD883">
            <wp:extent cx="3145884" cy="1604748"/>
            <wp:effectExtent l="0" t="0" r="0" b="0"/>
            <wp:docPr id="2" name="image1.png" descr="A close up of a logo&#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generated with high confidence"/>
                    <pic:cNvPicPr preferRelativeResize="0"/>
                  </pic:nvPicPr>
                  <pic:blipFill>
                    <a:blip r:embed="rId8"/>
                    <a:srcRect t="25000" r="750" b="27608"/>
                    <a:stretch>
                      <a:fillRect/>
                    </a:stretch>
                  </pic:blipFill>
                  <pic:spPr>
                    <a:xfrm>
                      <a:off x="0" y="0"/>
                      <a:ext cx="3145884" cy="1604748"/>
                    </a:xfrm>
                    <a:prstGeom prst="rect">
                      <a:avLst/>
                    </a:prstGeom>
                    <a:ln/>
                  </pic:spPr>
                </pic:pic>
              </a:graphicData>
            </a:graphic>
          </wp:inline>
        </w:drawing>
      </w:r>
    </w:p>
    <w:p w14:paraId="00000006" w14:textId="77777777" w:rsidR="00145FD3" w:rsidRDefault="001B6A5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CEDAW Shadow Report</w:t>
      </w:r>
    </w:p>
    <w:p w14:paraId="00000007" w14:textId="77777777" w:rsidR="00145FD3" w:rsidRDefault="001B6A5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 September 2021</w:t>
      </w:r>
    </w:p>
    <w:p w14:paraId="00000008" w14:textId="77777777" w:rsidR="00145FD3" w:rsidRDefault="001B6A5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Submitted by the Muslim Personal Law Network </w:t>
      </w:r>
    </w:p>
    <w:p w14:paraId="00000009" w14:textId="77777777" w:rsidR="00145FD3" w:rsidRDefault="001B6A53">
      <w:pPr>
        <w:spacing w:line="360" w:lineRule="auto"/>
        <w:jc w:val="center"/>
        <w:rPr>
          <w:rFonts w:ascii="Times New Roman" w:eastAsia="Times New Roman" w:hAnsi="Times New Roman" w:cs="Times New Roman"/>
          <w:b/>
          <w:sz w:val="24"/>
          <w:szCs w:val="24"/>
        </w:rPr>
        <w:sectPr w:rsidR="00145FD3">
          <w:footerReference w:type="default" r:id="rId9"/>
          <w:pgSz w:w="11906" w:h="16838"/>
          <w:pgMar w:top="1440" w:right="1440" w:bottom="1440" w:left="1440" w:header="708" w:footer="708" w:gutter="0"/>
          <w:pgNumType w:start="1"/>
          <w:cols w:space="720"/>
        </w:sectPr>
      </w:pPr>
      <w:r>
        <w:rPr>
          <w:rFonts w:ascii="Times New Roman" w:eastAsia="Times New Roman" w:hAnsi="Times New Roman" w:cs="Times New Roman"/>
          <w:b/>
          <w:sz w:val="24"/>
          <w:szCs w:val="24"/>
        </w:rPr>
        <w:t>(South Africa)</w:t>
      </w:r>
    </w:p>
    <w:p w14:paraId="0000000A" w14:textId="77777777" w:rsidR="00145FD3" w:rsidRDefault="001B6A53">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lastRenderedPageBreak/>
        <w:t>Contents</w:t>
      </w:r>
    </w:p>
    <w:sdt>
      <w:sdtPr>
        <w:id w:val="1100839304"/>
        <w:docPartObj>
          <w:docPartGallery w:val="Table of Contents"/>
          <w:docPartUnique/>
        </w:docPartObj>
      </w:sdtPr>
      <w:sdtEndPr/>
      <w:sdtContent>
        <w:p w14:paraId="2038E18D" w14:textId="34F6D196" w:rsidR="00BD7880" w:rsidRDefault="001B6A53">
          <w:pPr>
            <w:pStyle w:val="TOC1"/>
            <w:tabs>
              <w:tab w:val="left" w:pos="440"/>
              <w:tab w:val="right" w:pos="9016"/>
            </w:tabs>
            <w:rPr>
              <w:rFonts w:asciiTheme="minorHAnsi" w:eastAsiaTheme="minorEastAsia" w:hAnsiTheme="minorHAnsi" w:cstheme="minorBidi"/>
              <w:noProof/>
              <w:sz w:val="24"/>
              <w:szCs w:val="24"/>
            </w:rPr>
          </w:pPr>
          <w:r>
            <w:fldChar w:fldCharType="begin"/>
          </w:r>
          <w:r>
            <w:instrText xml:space="preserve"> TOC \h \u \z </w:instrText>
          </w:r>
          <w:r>
            <w:fldChar w:fldCharType="separate"/>
          </w:r>
          <w:hyperlink w:anchor="_Toc82625497" w:history="1">
            <w:r w:rsidR="00BD7880" w:rsidRPr="00CC751C">
              <w:rPr>
                <w:rStyle w:val="Hyperlink"/>
                <w:rFonts w:ascii="Times New Roman" w:eastAsia="Times New Roman" w:hAnsi="Times New Roman" w:cs="Times New Roman"/>
                <w:noProof/>
              </w:rPr>
              <w:t>1.</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Introduction</w:t>
            </w:r>
            <w:r w:rsidR="00BD7880">
              <w:rPr>
                <w:noProof/>
                <w:webHidden/>
              </w:rPr>
              <w:tab/>
            </w:r>
            <w:r w:rsidR="00BD7880">
              <w:rPr>
                <w:noProof/>
                <w:webHidden/>
              </w:rPr>
              <w:fldChar w:fldCharType="begin"/>
            </w:r>
            <w:r w:rsidR="00BD7880">
              <w:rPr>
                <w:noProof/>
                <w:webHidden/>
              </w:rPr>
              <w:instrText xml:space="preserve"> PAGEREF _Toc82625497 \h </w:instrText>
            </w:r>
            <w:r w:rsidR="00BD7880">
              <w:rPr>
                <w:noProof/>
                <w:webHidden/>
              </w:rPr>
            </w:r>
            <w:r w:rsidR="00BD7880">
              <w:rPr>
                <w:noProof/>
                <w:webHidden/>
              </w:rPr>
              <w:fldChar w:fldCharType="separate"/>
            </w:r>
            <w:r w:rsidR="00BD7880">
              <w:rPr>
                <w:noProof/>
                <w:webHidden/>
              </w:rPr>
              <w:t>1</w:t>
            </w:r>
            <w:r w:rsidR="00BD7880">
              <w:rPr>
                <w:noProof/>
                <w:webHidden/>
              </w:rPr>
              <w:fldChar w:fldCharType="end"/>
            </w:r>
          </w:hyperlink>
        </w:p>
        <w:p w14:paraId="41319CB7" w14:textId="13328B4D" w:rsidR="00BD7880" w:rsidRDefault="00C37420">
          <w:pPr>
            <w:pStyle w:val="TOC1"/>
            <w:tabs>
              <w:tab w:val="left" w:pos="440"/>
              <w:tab w:val="right" w:pos="9016"/>
            </w:tabs>
            <w:rPr>
              <w:rFonts w:asciiTheme="minorHAnsi" w:eastAsiaTheme="minorEastAsia" w:hAnsiTheme="minorHAnsi" w:cstheme="minorBidi"/>
              <w:noProof/>
              <w:sz w:val="24"/>
              <w:szCs w:val="24"/>
            </w:rPr>
          </w:pPr>
          <w:hyperlink w:anchor="_Toc82625498" w:history="1">
            <w:r w:rsidR="00BD7880" w:rsidRPr="00CC751C">
              <w:rPr>
                <w:rStyle w:val="Hyperlink"/>
                <w:rFonts w:ascii="Times New Roman" w:eastAsia="Times New Roman" w:hAnsi="Times New Roman" w:cs="Times New Roman"/>
                <w:noProof/>
              </w:rPr>
              <w:t>2.</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Legal Framework</w:t>
            </w:r>
            <w:r w:rsidR="00BD7880">
              <w:rPr>
                <w:noProof/>
                <w:webHidden/>
              </w:rPr>
              <w:tab/>
            </w:r>
            <w:r w:rsidR="00BD7880">
              <w:rPr>
                <w:noProof/>
                <w:webHidden/>
              </w:rPr>
              <w:fldChar w:fldCharType="begin"/>
            </w:r>
            <w:r w:rsidR="00BD7880">
              <w:rPr>
                <w:noProof/>
                <w:webHidden/>
              </w:rPr>
              <w:instrText xml:space="preserve"> PAGEREF _Toc82625498 \h </w:instrText>
            </w:r>
            <w:r w:rsidR="00BD7880">
              <w:rPr>
                <w:noProof/>
                <w:webHidden/>
              </w:rPr>
            </w:r>
            <w:r w:rsidR="00BD7880">
              <w:rPr>
                <w:noProof/>
                <w:webHidden/>
              </w:rPr>
              <w:fldChar w:fldCharType="separate"/>
            </w:r>
            <w:r w:rsidR="00BD7880">
              <w:rPr>
                <w:noProof/>
                <w:webHidden/>
              </w:rPr>
              <w:t>1</w:t>
            </w:r>
            <w:r w:rsidR="00BD7880">
              <w:rPr>
                <w:noProof/>
                <w:webHidden/>
              </w:rPr>
              <w:fldChar w:fldCharType="end"/>
            </w:r>
          </w:hyperlink>
        </w:p>
        <w:p w14:paraId="2755DEB1" w14:textId="2819CB10" w:rsidR="00BD7880" w:rsidRDefault="00C37420">
          <w:pPr>
            <w:pStyle w:val="TOC1"/>
            <w:tabs>
              <w:tab w:val="left" w:pos="440"/>
              <w:tab w:val="right" w:pos="9016"/>
            </w:tabs>
            <w:rPr>
              <w:rFonts w:asciiTheme="minorHAnsi" w:eastAsiaTheme="minorEastAsia" w:hAnsiTheme="minorHAnsi" w:cstheme="minorBidi"/>
              <w:noProof/>
              <w:sz w:val="24"/>
              <w:szCs w:val="24"/>
            </w:rPr>
          </w:pPr>
          <w:hyperlink w:anchor="_Toc82625499" w:history="1">
            <w:r w:rsidR="00BD7880" w:rsidRPr="00CC751C">
              <w:rPr>
                <w:rStyle w:val="Hyperlink"/>
                <w:rFonts w:ascii="Times New Roman" w:eastAsia="Times New Roman" w:hAnsi="Times New Roman" w:cs="Times New Roman"/>
                <w:noProof/>
              </w:rPr>
              <w:t>3.</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Background</w:t>
            </w:r>
            <w:r w:rsidR="00BD7880">
              <w:rPr>
                <w:noProof/>
                <w:webHidden/>
              </w:rPr>
              <w:tab/>
            </w:r>
            <w:r w:rsidR="00BD7880">
              <w:rPr>
                <w:noProof/>
                <w:webHidden/>
              </w:rPr>
              <w:fldChar w:fldCharType="begin"/>
            </w:r>
            <w:r w:rsidR="00BD7880">
              <w:rPr>
                <w:noProof/>
                <w:webHidden/>
              </w:rPr>
              <w:instrText xml:space="preserve"> PAGEREF _Toc82625499 \h </w:instrText>
            </w:r>
            <w:r w:rsidR="00BD7880">
              <w:rPr>
                <w:noProof/>
                <w:webHidden/>
              </w:rPr>
            </w:r>
            <w:r w:rsidR="00BD7880">
              <w:rPr>
                <w:noProof/>
                <w:webHidden/>
              </w:rPr>
              <w:fldChar w:fldCharType="separate"/>
            </w:r>
            <w:r w:rsidR="00BD7880">
              <w:rPr>
                <w:noProof/>
                <w:webHidden/>
              </w:rPr>
              <w:t>2</w:t>
            </w:r>
            <w:r w:rsidR="00BD7880">
              <w:rPr>
                <w:noProof/>
                <w:webHidden/>
              </w:rPr>
              <w:fldChar w:fldCharType="end"/>
            </w:r>
          </w:hyperlink>
        </w:p>
        <w:p w14:paraId="244CE759" w14:textId="15760EEB" w:rsidR="00BD7880" w:rsidRDefault="00C37420">
          <w:pPr>
            <w:pStyle w:val="TOC1"/>
            <w:tabs>
              <w:tab w:val="left" w:pos="440"/>
              <w:tab w:val="right" w:pos="9016"/>
            </w:tabs>
            <w:rPr>
              <w:rFonts w:asciiTheme="minorHAnsi" w:eastAsiaTheme="minorEastAsia" w:hAnsiTheme="minorHAnsi" w:cstheme="minorBidi"/>
              <w:noProof/>
              <w:sz w:val="24"/>
              <w:szCs w:val="24"/>
            </w:rPr>
          </w:pPr>
          <w:hyperlink w:anchor="_Toc82625500" w:history="1">
            <w:r w:rsidR="00BD7880" w:rsidRPr="00CC751C">
              <w:rPr>
                <w:rStyle w:val="Hyperlink"/>
                <w:rFonts w:ascii="Times New Roman" w:eastAsia="Times New Roman" w:hAnsi="Times New Roman" w:cs="Times New Roman"/>
                <w:noProof/>
              </w:rPr>
              <w:t>4.</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Non-Compliance with CEDAW Articles</w:t>
            </w:r>
            <w:r w:rsidR="00BD7880">
              <w:rPr>
                <w:noProof/>
                <w:webHidden/>
              </w:rPr>
              <w:tab/>
            </w:r>
            <w:r w:rsidR="00BD7880">
              <w:rPr>
                <w:noProof/>
                <w:webHidden/>
              </w:rPr>
              <w:fldChar w:fldCharType="begin"/>
            </w:r>
            <w:r w:rsidR="00BD7880">
              <w:rPr>
                <w:noProof/>
                <w:webHidden/>
              </w:rPr>
              <w:instrText xml:space="preserve"> PAGEREF _Toc82625500 \h </w:instrText>
            </w:r>
            <w:r w:rsidR="00BD7880">
              <w:rPr>
                <w:noProof/>
                <w:webHidden/>
              </w:rPr>
            </w:r>
            <w:r w:rsidR="00BD7880">
              <w:rPr>
                <w:noProof/>
                <w:webHidden/>
              </w:rPr>
              <w:fldChar w:fldCharType="separate"/>
            </w:r>
            <w:r w:rsidR="00BD7880">
              <w:rPr>
                <w:noProof/>
                <w:webHidden/>
              </w:rPr>
              <w:t>3</w:t>
            </w:r>
            <w:r w:rsidR="00BD7880">
              <w:rPr>
                <w:noProof/>
                <w:webHidden/>
              </w:rPr>
              <w:fldChar w:fldCharType="end"/>
            </w:r>
          </w:hyperlink>
        </w:p>
        <w:p w14:paraId="3553F9E7" w14:textId="731AB54C" w:rsidR="00BD7880" w:rsidRDefault="00C37420">
          <w:pPr>
            <w:pStyle w:val="TOC2"/>
            <w:tabs>
              <w:tab w:val="left" w:pos="720"/>
              <w:tab w:val="right" w:pos="9016"/>
            </w:tabs>
            <w:rPr>
              <w:rFonts w:asciiTheme="minorHAnsi" w:eastAsiaTheme="minorEastAsia" w:hAnsiTheme="minorHAnsi" w:cstheme="minorBidi"/>
              <w:noProof/>
              <w:sz w:val="24"/>
              <w:szCs w:val="24"/>
            </w:rPr>
          </w:pPr>
          <w:hyperlink w:anchor="_Toc82625501" w:history="1">
            <w:r w:rsidR="00BD7880" w:rsidRPr="00CC751C">
              <w:rPr>
                <w:rStyle w:val="Hyperlink"/>
                <w:rFonts w:ascii="Times New Roman" w:eastAsia="Times New Roman" w:hAnsi="Times New Roman" w:cs="Times New Roman"/>
                <w:i/>
                <w:noProof/>
              </w:rPr>
              <w:t>a)</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i/>
                <w:noProof/>
              </w:rPr>
              <w:t>Discrimination, Policy Measures, Rights Protection and Law (Articles 1, 2, 3, and 5)</w:t>
            </w:r>
            <w:r w:rsidR="00BD7880">
              <w:rPr>
                <w:noProof/>
                <w:webHidden/>
              </w:rPr>
              <w:tab/>
            </w:r>
            <w:r w:rsidR="00BD7880">
              <w:rPr>
                <w:noProof/>
                <w:webHidden/>
              </w:rPr>
              <w:fldChar w:fldCharType="begin"/>
            </w:r>
            <w:r w:rsidR="00BD7880">
              <w:rPr>
                <w:noProof/>
                <w:webHidden/>
              </w:rPr>
              <w:instrText xml:space="preserve"> PAGEREF _Toc82625501 \h </w:instrText>
            </w:r>
            <w:r w:rsidR="00BD7880">
              <w:rPr>
                <w:noProof/>
                <w:webHidden/>
              </w:rPr>
            </w:r>
            <w:r w:rsidR="00BD7880">
              <w:rPr>
                <w:noProof/>
                <w:webHidden/>
              </w:rPr>
              <w:fldChar w:fldCharType="separate"/>
            </w:r>
            <w:r w:rsidR="00BD7880">
              <w:rPr>
                <w:noProof/>
                <w:webHidden/>
              </w:rPr>
              <w:t>3</w:t>
            </w:r>
            <w:r w:rsidR="00BD7880">
              <w:rPr>
                <w:noProof/>
                <w:webHidden/>
              </w:rPr>
              <w:fldChar w:fldCharType="end"/>
            </w:r>
          </w:hyperlink>
        </w:p>
        <w:p w14:paraId="71A6F213" w14:textId="28E9B659" w:rsidR="00BD7880" w:rsidRDefault="00C37420">
          <w:pPr>
            <w:pStyle w:val="TOC3"/>
            <w:tabs>
              <w:tab w:val="left" w:pos="960"/>
              <w:tab w:val="right" w:pos="9016"/>
            </w:tabs>
            <w:rPr>
              <w:rFonts w:asciiTheme="minorHAnsi" w:eastAsiaTheme="minorEastAsia" w:hAnsiTheme="minorHAnsi" w:cstheme="minorBidi"/>
              <w:noProof/>
              <w:sz w:val="24"/>
              <w:szCs w:val="24"/>
            </w:rPr>
          </w:pPr>
          <w:hyperlink w:anchor="_Toc82625502" w:history="1">
            <w:r w:rsidR="00BD7880" w:rsidRPr="00CC751C">
              <w:rPr>
                <w:rStyle w:val="Hyperlink"/>
                <w:rFonts w:ascii="Times New Roman" w:eastAsia="Times New Roman" w:hAnsi="Times New Roman" w:cs="Times New Roman"/>
                <w:noProof/>
              </w:rPr>
              <w:t>i.</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Muslim Women’s lived experience of discrimination</w:t>
            </w:r>
            <w:r w:rsidR="00BD7880">
              <w:rPr>
                <w:noProof/>
                <w:webHidden/>
              </w:rPr>
              <w:tab/>
            </w:r>
            <w:r w:rsidR="00BD7880">
              <w:rPr>
                <w:noProof/>
                <w:webHidden/>
              </w:rPr>
              <w:fldChar w:fldCharType="begin"/>
            </w:r>
            <w:r w:rsidR="00BD7880">
              <w:rPr>
                <w:noProof/>
                <w:webHidden/>
              </w:rPr>
              <w:instrText xml:space="preserve"> PAGEREF _Toc82625502 \h </w:instrText>
            </w:r>
            <w:r w:rsidR="00BD7880">
              <w:rPr>
                <w:noProof/>
                <w:webHidden/>
              </w:rPr>
            </w:r>
            <w:r w:rsidR="00BD7880">
              <w:rPr>
                <w:noProof/>
                <w:webHidden/>
              </w:rPr>
              <w:fldChar w:fldCharType="separate"/>
            </w:r>
            <w:r w:rsidR="00BD7880">
              <w:rPr>
                <w:noProof/>
                <w:webHidden/>
              </w:rPr>
              <w:t>4</w:t>
            </w:r>
            <w:r w:rsidR="00BD7880">
              <w:rPr>
                <w:noProof/>
                <w:webHidden/>
              </w:rPr>
              <w:fldChar w:fldCharType="end"/>
            </w:r>
          </w:hyperlink>
        </w:p>
        <w:p w14:paraId="2CA1B6F8" w14:textId="4F0E8F66" w:rsidR="00BD7880" w:rsidRDefault="00C37420">
          <w:pPr>
            <w:pStyle w:val="TOC3"/>
            <w:tabs>
              <w:tab w:val="left" w:pos="960"/>
              <w:tab w:val="right" w:pos="9016"/>
            </w:tabs>
            <w:rPr>
              <w:rFonts w:asciiTheme="minorHAnsi" w:eastAsiaTheme="minorEastAsia" w:hAnsiTheme="minorHAnsi" w:cstheme="minorBidi"/>
              <w:noProof/>
              <w:sz w:val="24"/>
              <w:szCs w:val="24"/>
            </w:rPr>
          </w:pPr>
          <w:hyperlink w:anchor="_Toc82625503" w:history="1">
            <w:r w:rsidR="00BD7880" w:rsidRPr="00CC751C">
              <w:rPr>
                <w:rStyle w:val="Hyperlink"/>
                <w:rFonts w:ascii="Times New Roman" w:eastAsia="Times New Roman" w:hAnsi="Times New Roman" w:cs="Times New Roman"/>
                <w:noProof/>
              </w:rPr>
              <w:t>ii.</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Redress Through Court processes</w:t>
            </w:r>
            <w:r w:rsidR="00BD7880">
              <w:rPr>
                <w:noProof/>
                <w:webHidden/>
              </w:rPr>
              <w:tab/>
            </w:r>
            <w:r w:rsidR="00BD7880">
              <w:rPr>
                <w:noProof/>
                <w:webHidden/>
              </w:rPr>
              <w:fldChar w:fldCharType="begin"/>
            </w:r>
            <w:r w:rsidR="00BD7880">
              <w:rPr>
                <w:noProof/>
                <w:webHidden/>
              </w:rPr>
              <w:instrText xml:space="preserve"> PAGEREF _Toc82625503 \h </w:instrText>
            </w:r>
            <w:r w:rsidR="00BD7880">
              <w:rPr>
                <w:noProof/>
                <w:webHidden/>
              </w:rPr>
            </w:r>
            <w:r w:rsidR="00BD7880">
              <w:rPr>
                <w:noProof/>
                <w:webHidden/>
              </w:rPr>
              <w:fldChar w:fldCharType="separate"/>
            </w:r>
            <w:r w:rsidR="00BD7880">
              <w:rPr>
                <w:noProof/>
                <w:webHidden/>
              </w:rPr>
              <w:t>4</w:t>
            </w:r>
            <w:r w:rsidR="00BD7880">
              <w:rPr>
                <w:noProof/>
                <w:webHidden/>
              </w:rPr>
              <w:fldChar w:fldCharType="end"/>
            </w:r>
          </w:hyperlink>
        </w:p>
        <w:p w14:paraId="52F50981" w14:textId="27775ED0" w:rsidR="00BD7880" w:rsidRDefault="00C37420">
          <w:pPr>
            <w:pStyle w:val="TOC2"/>
            <w:tabs>
              <w:tab w:val="right" w:pos="9016"/>
            </w:tabs>
            <w:rPr>
              <w:rFonts w:asciiTheme="minorHAnsi" w:eastAsiaTheme="minorEastAsia" w:hAnsiTheme="minorHAnsi" w:cstheme="minorBidi"/>
              <w:noProof/>
              <w:sz w:val="24"/>
              <w:szCs w:val="24"/>
            </w:rPr>
          </w:pPr>
          <w:hyperlink w:anchor="_Toc82625504" w:history="1">
            <w:r w:rsidR="00BD7880" w:rsidRPr="00CC751C">
              <w:rPr>
                <w:rStyle w:val="Hyperlink"/>
                <w:rFonts w:ascii="Times New Roman" w:eastAsia="Times New Roman" w:hAnsi="Times New Roman" w:cs="Times New Roman"/>
                <w:i/>
                <w:noProof/>
              </w:rPr>
              <w:t>b).  Marriage (Article 15 and 16)</w:t>
            </w:r>
            <w:r w:rsidR="00BD7880">
              <w:rPr>
                <w:noProof/>
                <w:webHidden/>
              </w:rPr>
              <w:tab/>
            </w:r>
            <w:r w:rsidR="00BD7880">
              <w:rPr>
                <w:noProof/>
                <w:webHidden/>
              </w:rPr>
              <w:fldChar w:fldCharType="begin"/>
            </w:r>
            <w:r w:rsidR="00BD7880">
              <w:rPr>
                <w:noProof/>
                <w:webHidden/>
              </w:rPr>
              <w:instrText xml:space="preserve"> PAGEREF _Toc82625504 \h </w:instrText>
            </w:r>
            <w:r w:rsidR="00BD7880">
              <w:rPr>
                <w:noProof/>
                <w:webHidden/>
              </w:rPr>
            </w:r>
            <w:r w:rsidR="00BD7880">
              <w:rPr>
                <w:noProof/>
                <w:webHidden/>
              </w:rPr>
              <w:fldChar w:fldCharType="separate"/>
            </w:r>
            <w:r w:rsidR="00BD7880">
              <w:rPr>
                <w:noProof/>
                <w:webHidden/>
              </w:rPr>
              <w:t>5</w:t>
            </w:r>
            <w:r w:rsidR="00BD7880">
              <w:rPr>
                <w:noProof/>
                <w:webHidden/>
              </w:rPr>
              <w:fldChar w:fldCharType="end"/>
            </w:r>
          </w:hyperlink>
        </w:p>
        <w:p w14:paraId="1D7A89A9" w14:textId="1D02954D" w:rsidR="00BD7880" w:rsidRDefault="00C37420">
          <w:pPr>
            <w:pStyle w:val="TOC3"/>
            <w:tabs>
              <w:tab w:val="left" w:pos="960"/>
              <w:tab w:val="right" w:pos="9016"/>
            </w:tabs>
            <w:rPr>
              <w:rFonts w:asciiTheme="minorHAnsi" w:eastAsiaTheme="minorEastAsia" w:hAnsiTheme="minorHAnsi" w:cstheme="minorBidi"/>
              <w:noProof/>
              <w:sz w:val="24"/>
              <w:szCs w:val="24"/>
            </w:rPr>
          </w:pPr>
          <w:hyperlink w:anchor="_Toc82625505" w:history="1">
            <w:r w:rsidR="00BD7880" w:rsidRPr="00CC751C">
              <w:rPr>
                <w:rStyle w:val="Hyperlink"/>
                <w:rFonts w:ascii="Times New Roman" w:eastAsia="Times New Roman" w:hAnsi="Times New Roman" w:cs="Times New Roman"/>
                <w:noProof/>
              </w:rPr>
              <w:t>i.</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Imam marriage officers</w:t>
            </w:r>
            <w:r w:rsidR="00BD7880">
              <w:rPr>
                <w:noProof/>
                <w:webHidden/>
              </w:rPr>
              <w:tab/>
            </w:r>
            <w:r w:rsidR="00BD7880">
              <w:rPr>
                <w:noProof/>
                <w:webHidden/>
              </w:rPr>
              <w:fldChar w:fldCharType="begin"/>
            </w:r>
            <w:r w:rsidR="00BD7880">
              <w:rPr>
                <w:noProof/>
                <w:webHidden/>
              </w:rPr>
              <w:instrText xml:space="preserve"> PAGEREF _Toc82625505 \h </w:instrText>
            </w:r>
            <w:r w:rsidR="00BD7880">
              <w:rPr>
                <w:noProof/>
                <w:webHidden/>
              </w:rPr>
            </w:r>
            <w:r w:rsidR="00BD7880">
              <w:rPr>
                <w:noProof/>
                <w:webHidden/>
              </w:rPr>
              <w:fldChar w:fldCharType="separate"/>
            </w:r>
            <w:r w:rsidR="00BD7880">
              <w:rPr>
                <w:noProof/>
                <w:webHidden/>
              </w:rPr>
              <w:t>6</w:t>
            </w:r>
            <w:r w:rsidR="00BD7880">
              <w:rPr>
                <w:noProof/>
                <w:webHidden/>
              </w:rPr>
              <w:fldChar w:fldCharType="end"/>
            </w:r>
          </w:hyperlink>
        </w:p>
        <w:p w14:paraId="00FFCC2D" w14:textId="7940E4AC" w:rsidR="00BD7880" w:rsidRDefault="00C37420">
          <w:pPr>
            <w:pStyle w:val="TOC3"/>
            <w:tabs>
              <w:tab w:val="left" w:pos="960"/>
              <w:tab w:val="right" w:pos="9016"/>
            </w:tabs>
            <w:rPr>
              <w:rFonts w:asciiTheme="minorHAnsi" w:eastAsiaTheme="minorEastAsia" w:hAnsiTheme="minorHAnsi" w:cstheme="minorBidi"/>
              <w:noProof/>
              <w:sz w:val="24"/>
              <w:szCs w:val="24"/>
            </w:rPr>
          </w:pPr>
          <w:hyperlink w:anchor="_Toc82625506" w:history="1">
            <w:r w:rsidR="00BD7880" w:rsidRPr="00CC751C">
              <w:rPr>
                <w:rStyle w:val="Hyperlink"/>
                <w:rFonts w:ascii="Times New Roman" w:eastAsia="Times New Roman" w:hAnsi="Times New Roman" w:cs="Times New Roman"/>
                <w:noProof/>
              </w:rPr>
              <w:t>ii.</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Muslim Women’s Inequality before the Law</w:t>
            </w:r>
            <w:r w:rsidR="00BD7880">
              <w:rPr>
                <w:noProof/>
                <w:webHidden/>
              </w:rPr>
              <w:tab/>
            </w:r>
            <w:r w:rsidR="00BD7880">
              <w:rPr>
                <w:noProof/>
                <w:webHidden/>
              </w:rPr>
              <w:fldChar w:fldCharType="begin"/>
            </w:r>
            <w:r w:rsidR="00BD7880">
              <w:rPr>
                <w:noProof/>
                <w:webHidden/>
              </w:rPr>
              <w:instrText xml:space="preserve"> PAGEREF _Toc82625506 \h </w:instrText>
            </w:r>
            <w:r w:rsidR="00BD7880">
              <w:rPr>
                <w:noProof/>
                <w:webHidden/>
              </w:rPr>
            </w:r>
            <w:r w:rsidR="00BD7880">
              <w:rPr>
                <w:noProof/>
                <w:webHidden/>
              </w:rPr>
              <w:fldChar w:fldCharType="separate"/>
            </w:r>
            <w:r w:rsidR="00BD7880">
              <w:rPr>
                <w:noProof/>
                <w:webHidden/>
              </w:rPr>
              <w:t>6</w:t>
            </w:r>
            <w:r w:rsidR="00BD7880">
              <w:rPr>
                <w:noProof/>
                <w:webHidden/>
              </w:rPr>
              <w:fldChar w:fldCharType="end"/>
            </w:r>
          </w:hyperlink>
        </w:p>
        <w:p w14:paraId="70487B2A" w14:textId="01206B4F" w:rsidR="00BD7880" w:rsidRDefault="00C37420">
          <w:pPr>
            <w:pStyle w:val="TOC3"/>
            <w:tabs>
              <w:tab w:val="left" w:pos="960"/>
              <w:tab w:val="right" w:pos="9016"/>
            </w:tabs>
            <w:rPr>
              <w:rFonts w:asciiTheme="minorHAnsi" w:eastAsiaTheme="minorEastAsia" w:hAnsiTheme="minorHAnsi" w:cstheme="minorBidi"/>
              <w:noProof/>
              <w:sz w:val="24"/>
              <w:szCs w:val="24"/>
            </w:rPr>
          </w:pPr>
          <w:hyperlink w:anchor="_Toc82625507" w:history="1">
            <w:r w:rsidR="00BD7880" w:rsidRPr="00CC751C">
              <w:rPr>
                <w:rStyle w:val="Hyperlink"/>
                <w:rFonts w:ascii="Times New Roman" w:eastAsia="Times New Roman" w:hAnsi="Times New Roman" w:cs="Times New Roman"/>
                <w:noProof/>
              </w:rPr>
              <w:t>iii.</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The States Responses to Legal Challenges</w:t>
            </w:r>
            <w:r w:rsidR="00BD7880">
              <w:rPr>
                <w:noProof/>
                <w:webHidden/>
              </w:rPr>
              <w:tab/>
            </w:r>
            <w:r w:rsidR="00BD7880">
              <w:rPr>
                <w:noProof/>
                <w:webHidden/>
              </w:rPr>
              <w:fldChar w:fldCharType="begin"/>
            </w:r>
            <w:r w:rsidR="00BD7880">
              <w:rPr>
                <w:noProof/>
                <w:webHidden/>
              </w:rPr>
              <w:instrText xml:space="preserve"> PAGEREF _Toc82625507 \h </w:instrText>
            </w:r>
            <w:r w:rsidR="00BD7880">
              <w:rPr>
                <w:noProof/>
                <w:webHidden/>
              </w:rPr>
            </w:r>
            <w:r w:rsidR="00BD7880">
              <w:rPr>
                <w:noProof/>
                <w:webHidden/>
              </w:rPr>
              <w:fldChar w:fldCharType="separate"/>
            </w:r>
            <w:r w:rsidR="00BD7880">
              <w:rPr>
                <w:noProof/>
                <w:webHidden/>
              </w:rPr>
              <w:t>7</w:t>
            </w:r>
            <w:r w:rsidR="00BD7880">
              <w:rPr>
                <w:noProof/>
                <w:webHidden/>
              </w:rPr>
              <w:fldChar w:fldCharType="end"/>
            </w:r>
          </w:hyperlink>
        </w:p>
        <w:p w14:paraId="27A9E988" w14:textId="3A4011D7" w:rsidR="00BD7880" w:rsidRDefault="00C37420">
          <w:pPr>
            <w:pStyle w:val="TOC1"/>
            <w:tabs>
              <w:tab w:val="left" w:pos="440"/>
              <w:tab w:val="right" w:pos="9016"/>
            </w:tabs>
            <w:rPr>
              <w:rFonts w:asciiTheme="minorHAnsi" w:eastAsiaTheme="minorEastAsia" w:hAnsiTheme="minorHAnsi" w:cstheme="minorBidi"/>
              <w:noProof/>
              <w:sz w:val="24"/>
              <w:szCs w:val="24"/>
            </w:rPr>
          </w:pPr>
          <w:hyperlink w:anchor="_Toc82625508" w:history="1">
            <w:r w:rsidR="00BD7880" w:rsidRPr="00CC751C">
              <w:rPr>
                <w:rStyle w:val="Hyperlink"/>
                <w:rFonts w:ascii="Times New Roman" w:eastAsia="Times New Roman" w:hAnsi="Times New Roman" w:cs="Times New Roman"/>
                <w:noProof/>
              </w:rPr>
              <w:t>5.</w:t>
            </w:r>
            <w:r w:rsidR="00BD7880">
              <w:rPr>
                <w:rFonts w:asciiTheme="minorHAnsi" w:eastAsiaTheme="minorEastAsia" w:hAnsiTheme="minorHAnsi" w:cstheme="minorBidi"/>
                <w:noProof/>
                <w:sz w:val="24"/>
                <w:szCs w:val="24"/>
              </w:rPr>
              <w:tab/>
            </w:r>
            <w:r w:rsidR="00BD7880" w:rsidRPr="00CC751C">
              <w:rPr>
                <w:rStyle w:val="Hyperlink"/>
                <w:rFonts w:ascii="Times New Roman" w:eastAsia="Times New Roman" w:hAnsi="Times New Roman" w:cs="Times New Roman"/>
                <w:noProof/>
              </w:rPr>
              <w:t>Conclusion and Recommendations</w:t>
            </w:r>
            <w:r w:rsidR="00BD7880">
              <w:rPr>
                <w:noProof/>
                <w:webHidden/>
              </w:rPr>
              <w:tab/>
            </w:r>
            <w:r w:rsidR="00BD7880">
              <w:rPr>
                <w:noProof/>
                <w:webHidden/>
              </w:rPr>
              <w:fldChar w:fldCharType="begin"/>
            </w:r>
            <w:r w:rsidR="00BD7880">
              <w:rPr>
                <w:noProof/>
                <w:webHidden/>
              </w:rPr>
              <w:instrText xml:space="preserve"> PAGEREF _Toc82625508 \h </w:instrText>
            </w:r>
            <w:r w:rsidR="00BD7880">
              <w:rPr>
                <w:noProof/>
                <w:webHidden/>
              </w:rPr>
            </w:r>
            <w:r w:rsidR="00BD7880">
              <w:rPr>
                <w:noProof/>
                <w:webHidden/>
              </w:rPr>
              <w:fldChar w:fldCharType="separate"/>
            </w:r>
            <w:r w:rsidR="00BD7880">
              <w:rPr>
                <w:noProof/>
                <w:webHidden/>
              </w:rPr>
              <w:t>8</w:t>
            </w:r>
            <w:r w:rsidR="00BD7880">
              <w:rPr>
                <w:noProof/>
                <w:webHidden/>
              </w:rPr>
              <w:fldChar w:fldCharType="end"/>
            </w:r>
          </w:hyperlink>
        </w:p>
        <w:p w14:paraId="00000016" w14:textId="3A6376C7" w:rsidR="00145FD3" w:rsidRDefault="001B6A53">
          <w:pPr>
            <w:pBdr>
              <w:top w:val="nil"/>
              <w:left w:val="nil"/>
              <w:bottom w:val="nil"/>
              <w:right w:val="nil"/>
              <w:between w:val="nil"/>
            </w:pBdr>
            <w:tabs>
              <w:tab w:val="left" w:pos="440"/>
              <w:tab w:val="right" w:pos="9016"/>
            </w:tabs>
            <w:spacing w:after="100"/>
            <w:rPr>
              <w:rFonts w:ascii="Cambria" w:eastAsia="Cambria" w:hAnsi="Cambria" w:cs="Cambria"/>
              <w:color w:val="000000"/>
            </w:rPr>
          </w:pPr>
          <w:r>
            <w:fldChar w:fldCharType="end"/>
          </w:r>
        </w:p>
      </w:sdtContent>
    </w:sdt>
    <w:p w14:paraId="00000017" w14:textId="77777777" w:rsidR="00145FD3" w:rsidRDefault="001B6A53">
      <w:pPr>
        <w:tabs>
          <w:tab w:val="left" w:pos="1980"/>
        </w:tabs>
        <w:spacing w:line="360" w:lineRule="auto"/>
        <w:rPr>
          <w:rFonts w:ascii="Times New Roman" w:eastAsia="Times New Roman" w:hAnsi="Times New Roman" w:cs="Times New Roman"/>
          <w:color w:val="000000"/>
        </w:rPr>
      </w:pPr>
      <w:r>
        <w:rPr>
          <w:rFonts w:ascii="Times New Roman" w:eastAsia="Times New Roman" w:hAnsi="Times New Roman" w:cs="Times New Roman"/>
          <w:b/>
          <w:color w:val="000000"/>
        </w:rPr>
        <w:tab/>
      </w:r>
    </w:p>
    <w:p w14:paraId="00000018" w14:textId="77777777" w:rsidR="00145FD3" w:rsidRDefault="00145FD3">
      <w:pPr>
        <w:spacing w:line="360" w:lineRule="auto"/>
        <w:jc w:val="center"/>
        <w:rPr>
          <w:rFonts w:ascii="Times New Roman" w:eastAsia="Times New Roman" w:hAnsi="Times New Roman" w:cs="Times New Roman"/>
          <w:b/>
          <w:sz w:val="24"/>
          <w:szCs w:val="24"/>
        </w:rPr>
      </w:pPr>
    </w:p>
    <w:p w14:paraId="00000019" w14:textId="77777777" w:rsidR="00145FD3" w:rsidRDefault="00145FD3">
      <w:pPr>
        <w:spacing w:line="360" w:lineRule="auto"/>
        <w:rPr>
          <w:rFonts w:ascii="Times New Roman" w:eastAsia="Times New Roman" w:hAnsi="Times New Roman" w:cs="Times New Roman"/>
          <w:sz w:val="24"/>
          <w:szCs w:val="24"/>
        </w:rPr>
      </w:pPr>
    </w:p>
    <w:p w14:paraId="0000001A" w14:textId="77777777" w:rsidR="00145FD3" w:rsidRDefault="001B6A53">
      <w:pPr>
        <w:tabs>
          <w:tab w:val="left" w:pos="5805"/>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1B" w14:textId="77777777" w:rsidR="00145FD3" w:rsidRDefault="001B6A53">
      <w:pPr>
        <w:tabs>
          <w:tab w:val="left" w:pos="5805"/>
        </w:tabs>
        <w:spacing w:line="360" w:lineRule="auto"/>
        <w:rPr>
          <w:rFonts w:ascii="Times New Roman" w:eastAsia="Times New Roman" w:hAnsi="Times New Roman" w:cs="Times New Roman"/>
          <w:sz w:val="24"/>
          <w:szCs w:val="24"/>
        </w:rPr>
        <w:sectPr w:rsidR="00145FD3">
          <w:headerReference w:type="default" r:id="rId10"/>
          <w:pgSz w:w="11906" w:h="16838"/>
          <w:pgMar w:top="1440" w:right="1440" w:bottom="1440" w:left="1440" w:header="708" w:footer="708" w:gutter="0"/>
          <w:pgNumType w:start="1"/>
          <w:cols w:space="720"/>
        </w:sectPr>
      </w:pPr>
      <w:r>
        <w:rPr>
          <w:rFonts w:ascii="Times New Roman" w:eastAsia="Times New Roman" w:hAnsi="Times New Roman" w:cs="Times New Roman"/>
          <w:sz w:val="24"/>
          <w:szCs w:val="24"/>
        </w:rPr>
        <w:tab/>
      </w:r>
    </w:p>
    <w:p w14:paraId="0000001C" w14:textId="77777777" w:rsidR="00145FD3" w:rsidRDefault="001B6A53">
      <w:pPr>
        <w:pStyle w:val="Heading1"/>
        <w:numPr>
          <w:ilvl w:val="0"/>
          <w:numId w:val="1"/>
        </w:numPr>
        <w:spacing w:line="360" w:lineRule="auto"/>
        <w:rPr>
          <w:rFonts w:ascii="Times New Roman" w:eastAsia="Times New Roman" w:hAnsi="Times New Roman" w:cs="Times New Roman"/>
          <w:sz w:val="24"/>
          <w:szCs w:val="24"/>
        </w:rPr>
      </w:pPr>
      <w:bookmarkStart w:id="0" w:name="_Toc82625497"/>
      <w:r>
        <w:rPr>
          <w:rFonts w:ascii="Times New Roman" w:eastAsia="Times New Roman" w:hAnsi="Times New Roman" w:cs="Times New Roman"/>
          <w:sz w:val="24"/>
          <w:szCs w:val="24"/>
        </w:rPr>
        <w:lastRenderedPageBreak/>
        <w:t>Introduction</w:t>
      </w:r>
      <w:bookmarkEnd w:id="0"/>
    </w:p>
    <w:p w14:paraId="0000001D"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Muslim Personal Law (MPL) Network submits this thematic report on Articles 1, 2, 3, 5, 15 and 16 for consideration by the Convention on the Elimination of All Forms of Discrimination Against Women (CEDAW) Committee in its review of the Government of South Africa, initially scheduled for reporting before the 78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CEDAW Committee in October 2020. The focus of this report is the lack of legal recognition and regulation of Muslim marriages. The MPL Network is a diverse, national collective of women working for change in gender-based consequences of the legal non-recognition of religious marriages and advocating for gender-egalitarian approaches to Muslim family laws. This report is submitted in consultation with </w:t>
      </w:r>
      <w:proofErr w:type="spellStart"/>
      <w:r>
        <w:rPr>
          <w:rFonts w:ascii="Times New Roman" w:eastAsia="Times New Roman" w:hAnsi="Times New Roman" w:cs="Times New Roman"/>
          <w:sz w:val="24"/>
          <w:szCs w:val="24"/>
        </w:rPr>
        <w:t>Musawah</w:t>
      </w:r>
      <w:proofErr w:type="spellEnd"/>
      <w:r>
        <w:rPr>
          <w:rFonts w:ascii="Times New Roman" w:eastAsia="Times New Roman" w:hAnsi="Times New Roman" w:cs="Times New Roman"/>
          <w:sz w:val="24"/>
          <w:szCs w:val="24"/>
        </w:rPr>
        <w:t xml:space="preserve">, the global movement for equality and justice in the Muslim family. </w:t>
      </w:r>
    </w:p>
    <w:p w14:paraId="0000001E"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the CEDAW Committee’s fifth engagement with South Africa which, after signing the CEDAW Convention on 29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January 1993, ratified it on 15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December 1995, without reservations. In response to the Committee’s list of issues and questions concerning the fifth periodic report by the South African state, the MPL Network proposes our report be used as a tool for constructive engagement with the State to recognise and protect the lives and dignity of Muslim women as wives in South Africa vis-à-vis intersecting forms of inequality and discrimination in their lived experience of marriage and family law. </w:t>
      </w:r>
    </w:p>
    <w:p w14:paraId="0000001F" w14:textId="77777777" w:rsidR="00145FD3" w:rsidRDefault="001B6A53">
      <w:pPr>
        <w:pStyle w:val="Heading1"/>
        <w:numPr>
          <w:ilvl w:val="0"/>
          <w:numId w:val="1"/>
        </w:numPr>
        <w:spacing w:line="360" w:lineRule="auto"/>
        <w:rPr>
          <w:rFonts w:ascii="Times New Roman" w:eastAsia="Times New Roman" w:hAnsi="Times New Roman" w:cs="Times New Roman"/>
          <w:sz w:val="24"/>
          <w:szCs w:val="24"/>
        </w:rPr>
      </w:pPr>
      <w:bookmarkStart w:id="1" w:name="_Toc82625498"/>
      <w:r>
        <w:rPr>
          <w:rFonts w:ascii="Times New Roman" w:eastAsia="Times New Roman" w:hAnsi="Times New Roman" w:cs="Times New Roman"/>
          <w:sz w:val="24"/>
          <w:szCs w:val="24"/>
        </w:rPr>
        <w:t>Legal Framework</w:t>
      </w:r>
      <w:bookmarkEnd w:id="1"/>
    </w:p>
    <w:p w14:paraId="00000020"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South Africa is a secular, liberal, 26-year-old democracy with an estimated population of just under 59 million, of which Muslims constitute approximately one million. Democracy gave rise to the enactment of a Constitution based on the values of dignity, equality and freedom. The Constitution, South Africa’s apex law, includes the Bill of Rights which provides for the rights to equality, dignity, privacy, freedom and security, religion and children, amongst others.</w:t>
      </w:r>
    </w:p>
    <w:p w14:paraId="00000021" w14:textId="77777777" w:rsidR="00145FD3" w:rsidRDefault="00145FD3">
      <w:pPr>
        <w:spacing w:line="360" w:lineRule="auto"/>
        <w:jc w:val="both"/>
        <w:rPr>
          <w:rFonts w:ascii="Times New Roman" w:eastAsia="Times New Roman" w:hAnsi="Times New Roman" w:cs="Times New Roman"/>
          <w:sz w:val="24"/>
          <w:szCs w:val="24"/>
        </w:rPr>
      </w:pPr>
    </w:p>
    <w:p w14:paraId="00000022" w14:textId="77777777" w:rsidR="00145FD3" w:rsidRDefault="001B6A5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South Africa’s domestic, international and regional legal frameworks are set out in </w:t>
      </w:r>
      <w:r>
        <w:rPr>
          <w:rFonts w:ascii="Times New Roman" w:eastAsia="Times New Roman" w:hAnsi="Times New Roman" w:cs="Times New Roman"/>
          <w:b/>
          <w:sz w:val="24"/>
          <w:szCs w:val="24"/>
        </w:rPr>
        <w:t xml:space="preserve">Appendix A. </w:t>
      </w:r>
      <w:r>
        <w:rPr>
          <w:rFonts w:ascii="Times New Roman" w:eastAsia="Times New Roman" w:hAnsi="Times New Roman" w:cs="Times New Roman"/>
          <w:sz w:val="24"/>
          <w:szCs w:val="24"/>
        </w:rPr>
        <w:t>These legal frameworks form a firm basis for various pieces of legislation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that govern marriage, divorce, customary marriages and civil unions. </w:t>
      </w:r>
    </w:p>
    <w:p w14:paraId="00000023"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marriage law, South Africa operates from a position of legal pluralism. In light of this legal leeway, the Constitutional Court has, on several occasions, been confronted with constitutional challenges to legislation which failed to recognise Muslim marriages in circumstances where the rights of a woman were violated. </w:t>
      </w:r>
    </w:p>
    <w:p w14:paraId="00000024" w14:textId="77777777" w:rsidR="00145FD3" w:rsidRDefault="001B6A53">
      <w:pPr>
        <w:pStyle w:val="Heading1"/>
        <w:numPr>
          <w:ilvl w:val="0"/>
          <w:numId w:val="1"/>
        </w:numPr>
        <w:rPr>
          <w:rFonts w:ascii="Times New Roman" w:eastAsia="Times New Roman" w:hAnsi="Times New Roman" w:cs="Times New Roman"/>
          <w:sz w:val="24"/>
          <w:szCs w:val="24"/>
        </w:rPr>
      </w:pPr>
      <w:bookmarkStart w:id="2" w:name="_Toc82625499"/>
      <w:r>
        <w:rPr>
          <w:rFonts w:ascii="Times New Roman" w:eastAsia="Times New Roman" w:hAnsi="Times New Roman" w:cs="Times New Roman"/>
          <w:sz w:val="24"/>
          <w:szCs w:val="24"/>
        </w:rPr>
        <w:t>Background</w:t>
      </w:r>
      <w:bookmarkEnd w:id="2"/>
      <w:r>
        <w:rPr>
          <w:rFonts w:ascii="Times New Roman" w:eastAsia="Times New Roman" w:hAnsi="Times New Roman" w:cs="Times New Roman"/>
          <w:sz w:val="24"/>
          <w:szCs w:val="24"/>
        </w:rPr>
        <w:t xml:space="preserve"> </w:t>
      </w:r>
    </w:p>
    <w:p w14:paraId="00000025"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South Africa’s current legislative framework does not meet the needs of its diverse religious and ethnic groups. </w:t>
      </w:r>
      <w:r>
        <w:rPr>
          <w:rFonts w:ascii="Times New Roman" w:eastAsia="Times New Roman" w:hAnsi="Times New Roman" w:cs="Times New Roman"/>
          <w:sz w:val="24"/>
          <w:szCs w:val="24"/>
        </w:rPr>
        <w:t xml:space="preserve">Civil marriages are registered in terms of the apartheid- era Marriage Act 25 of 1961 which is based on monogamous, heterosexual, Christian principles. </w:t>
      </w:r>
    </w:p>
    <w:p w14:paraId="00000026"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Post-apartheid, the State has enacted legislation to recognise and regulate polygynous African customary marriages and same-sex unions through t</w:t>
      </w:r>
      <w:r>
        <w:rPr>
          <w:rFonts w:ascii="Times New Roman" w:eastAsia="Times New Roman" w:hAnsi="Times New Roman" w:cs="Times New Roman"/>
          <w:color w:val="000000"/>
          <w:sz w:val="24"/>
          <w:szCs w:val="24"/>
        </w:rPr>
        <w:t xml:space="preserve">he Recognition of Customary Marriages Act and the Civil Unions Act respectively. This points to the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tate’s capacity to meet constitutional imperatives outlined in the Bill of Rights </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particularly the right to equality and the right to access to justice. However, </w:t>
      </w:r>
      <w:r>
        <w:rPr>
          <w:rFonts w:ascii="Times New Roman" w:eastAsia="Times New Roman" w:hAnsi="Times New Roman" w:cs="Times New Roman"/>
          <w:sz w:val="24"/>
          <w:szCs w:val="24"/>
        </w:rPr>
        <w:t xml:space="preserve">in the case of Muslim and other religious marriages, the state has, over 27 years, failed to provide legal protections, perpetuating the vulnerability of women and children. </w:t>
      </w:r>
    </w:p>
    <w:p w14:paraId="00000027"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Muslim Personal Law, the State embarked on extensive community consultations from 1994 to 2003 when a first draft of the Muslim Marriages Bill (MMB) was developed for community comment. In 2010, after extensive revisions and consultations, the Muslim Marriages Bill (2010) was submitted to Parliament, but never tabled for deliberations.  Instead the MMB has become a political toy brought out at every election to garner Muslim votes for the ruling party. </w:t>
      </w:r>
    </w:p>
    <w:p w14:paraId="00000028" w14:textId="77777777" w:rsidR="00145FD3" w:rsidRDefault="001B6A53">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 recently in 2018, the State instituted a process toward a single Marriage Act for South Africa to include the registration of all religious marriages. Two options were tabled by the Department of Justice’s Law Reform Commission (SALRC) – a Single Marriage Statute or an Omnibus Statute. In 2020,</w:t>
      </w:r>
      <w:r>
        <w:rPr>
          <w:rFonts w:ascii="Times New Roman" w:eastAsia="Times New Roman" w:hAnsi="Times New Roman" w:cs="Times New Roman"/>
          <w:sz w:val="24"/>
          <w:szCs w:val="24"/>
        </w:rPr>
        <w:t xml:space="preserve"> the Green Paper on Single Marriages Policy by the Department of </w:t>
      </w:r>
      <w:r>
        <w:rPr>
          <w:rFonts w:ascii="Times New Roman" w:eastAsia="Times New Roman" w:hAnsi="Times New Roman" w:cs="Times New Roman"/>
          <w:sz w:val="24"/>
          <w:szCs w:val="24"/>
        </w:rPr>
        <w:lastRenderedPageBreak/>
        <w:t xml:space="preserve">Home Affairs (DHA) was published for comment. </w:t>
      </w:r>
      <w:r>
        <w:rPr>
          <w:rFonts w:ascii="Times New Roman" w:eastAsia="Times New Roman" w:hAnsi="Times New Roman" w:cs="Times New Roman"/>
          <w:color w:val="000000"/>
          <w:sz w:val="24"/>
          <w:szCs w:val="24"/>
        </w:rPr>
        <w:t xml:space="preserve">These two unrelated processes suggest limited coordination between these two departments. </w:t>
      </w:r>
    </w:p>
    <w:p w14:paraId="00000029" w14:textId="77777777" w:rsidR="00145FD3" w:rsidRDefault="001B6A53">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our inputs to the State on both processes, the MPL Network supports any attempts to recognise and regulate Muslim marriages in South Africa. The State has not provided timelines for enactment of legislation and given its procrastination for 27 years, urgent action is required to hold it accountable.</w:t>
      </w:r>
    </w:p>
    <w:p w14:paraId="0000002A"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ongoing delay and obvious lack of political will to recognise Muslim marriages has exacerbated hardship for Muslim women. </w:t>
      </w:r>
    </w:p>
    <w:p w14:paraId="0000002B" w14:textId="77777777" w:rsidR="00145FD3" w:rsidRDefault="001B6A53">
      <w:pPr>
        <w:pStyle w:val="Heading1"/>
        <w:numPr>
          <w:ilvl w:val="0"/>
          <w:numId w:val="1"/>
        </w:numPr>
        <w:rPr>
          <w:rFonts w:ascii="Times New Roman" w:eastAsia="Times New Roman" w:hAnsi="Times New Roman" w:cs="Times New Roman"/>
          <w:sz w:val="24"/>
          <w:szCs w:val="24"/>
        </w:rPr>
      </w:pPr>
      <w:bookmarkStart w:id="3" w:name="_Toc82625500"/>
      <w:r>
        <w:rPr>
          <w:rFonts w:ascii="Times New Roman" w:eastAsia="Times New Roman" w:hAnsi="Times New Roman" w:cs="Times New Roman"/>
          <w:sz w:val="24"/>
          <w:szCs w:val="24"/>
        </w:rPr>
        <w:t>Non-Compliance with CEDAW Articles</w:t>
      </w:r>
      <w:bookmarkEnd w:id="3"/>
    </w:p>
    <w:p w14:paraId="0000002C" w14:textId="77777777" w:rsidR="00145FD3" w:rsidRDefault="001B6A53">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periodic CEDAW report the State contends that through the judgement in the </w:t>
      </w:r>
      <w:r>
        <w:rPr>
          <w:rFonts w:ascii="Times New Roman" w:eastAsia="Times New Roman" w:hAnsi="Times New Roman" w:cs="Times New Roman"/>
          <w:i/>
          <w:sz w:val="24"/>
          <w:szCs w:val="24"/>
        </w:rPr>
        <w:t>Hassam</w:t>
      </w:r>
      <w:r>
        <w:rPr>
          <w:rFonts w:ascii="Times New Roman" w:eastAsia="Times New Roman" w:hAnsi="Times New Roman" w:cs="Times New Roman"/>
          <w:i/>
          <w:sz w:val="24"/>
          <w:szCs w:val="24"/>
          <w:vertAlign w:val="superscript"/>
        </w:rPr>
        <w:footnoteReference w:id="2"/>
      </w:r>
      <w:r>
        <w:rPr>
          <w:rFonts w:ascii="Times New Roman" w:eastAsia="Times New Roman" w:hAnsi="Times New Roman" w:cs="Times New Roman"/>
          <w:sz w:val="24"/>
          <w:szCs w:val="24"/>
        </w:rPr>
        <w:t xml:space="preserve">  matter (para. 26), Muslim marriages have been recognised in the context of intestate succession regarding polygamous Muslim marriages. However, eleven years after this</w:t>
      </w:r>
      <w:r>
        <w:rPr>
          <w:rFonts w:ascii="Times New Roman" w:eastAsia="Times New Roman" w:hAnsi="Times New Roman" w:cs="Times New Roman"/>
          <w:i/>
          <w:sz w:val="24"/>
          <w:szCs w:val="24"/>
          <w:vertAlign w:val="superscript"/>
        </w:rPr>
        <w:t xml:space="preserve"> </w:t>
      </w:r>
      <w:r>
        <w:rPr>
          <w:rFonts w:ascii="Times New Roman" w:eastAsia="Times New Roman" w:hAnsi="Times New Roman" w:cs="Times New Roman"/>
          <w:sz w:val="24"/>
          <w:szCs w:val="24"/>
        </w:rPr>
        <w:t xml:space="preserve">judgment, no legislation has been passed to confirm this recognition. The State report fails to outline any further initiatives it has taken, the resulting increase in litigation by women and community NGOs for the recognition of Muslim marriages, and reasons for the State’s delay and lack of political will to legislate around Muslim marriages. International, regional and domestic laws require the State to enact legislation that recognises and regulates Muslim marriages in order to alleviate discriminatory challenges faced by women. </w:t>
      </w:r>
    </w:p>
    <w:p w14:paraId="0000002D" w14:textId="77777777" w:rsidR="00145FD3" w:rsidRDefault="001B6A53">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Whilst acknowledging the landmark </w:t>
      </w:r>
      <w:r>
        <w:rPr>
          <w:rFonts w:ascii="Times New Roman" w:eastAsia="Times New Roman" w:hAnsi="Times New Roman" w:cs="Times New Roman"/>
          <w:i/>
          <w:sz w:val="24"/>
          <w:szCs w:val="24"/>
        </w:rPr>
        <w:t>Hassam</w:t>
      </w:r>
      <w:r>
        <w:rPr>
          <w:rFonts w:ascii="Times New Roman" w:eastAsia="Times New Roman" w:hAnsi="Times New Roman" w:cs="Times New Roman"/>
          <w:sz w:val="24"/>
          <w:szCs w:val="24"/>
        </w:rPr>
        <w:t xml:space="preserve"> judgement, which at the time was indeed indicative of the Constitutional Court’s alignment with CEDAW Articles 1, 2, 3, 5, 15 and 16,</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this report by the MPL Network interrogates the South African State’s evasive and nonchalant attitude in providing legal protections to Muslim marriages.</w:t>
      </w:r>
    </w:p>
    <w:p w14:paraId="0000002E" w14:textId="77777777" w:rsidR="00145FD3" w:rsidRDefault="001B6A53">
      <w:pPr>
        <w:pStyle w:val="Heading2"/>
        <w:numPr>
          <w:ilvl w:val="0"/>
          <w:numId w:val="3"/>
        </w:numPr>
        <w:spacing w:line="360" w:lineRule="auto"/>
        <w:rPr>
          <w:rFonts w:ascii="Times New Roman" w:eastAsia="Times New Roman" w:hAnsi="Times New Roman" w:cs="Times New Roman"/>
          <w:i/>
          <w:sz w:val="24"/>
          <w:szCs w:val="24"/>
        </w:rPr>
      </w:pPr>
      <w:bookmarkStart w:id="4" w:name="_Toc82625501"/>
      <w:r>
        <w:rPr>
          <w:rFonts w:ascii="Times New Roman" w:eastAsia="Times New Roman" w:hAnsi="Times New Roman" w:cs="Times New Roman"/>
          <w:i/>
          <w:sz w:val="24"/>
          <w:szCs w:val="24"/>
        </w:rPr>
        <w:t>Discrimination, Policy Measures, Rights Protection and Law (Articles 1, 2, 3, and 5)</w:t>
      </w:r>
      <w:bookmarkEnd w:id="4"/>
    </w:p>
    <w:p w14:paraId="0000002F" w14:textId="77777777" w:rsidR="00145FD3" w:rsidRDefault="001B6A53">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In this section, our report details the State’s non-compliance with requirements of CEDAW Articles 1, 2, 3 and 5. The lack of appropriate policies and legislation has meant that </w:t>
      </w:r>
      <w:r>
        <w:rPr>
          <w:rFonts w:ascii="Times New Roman" w:eastAsia="Times New Roman" w:hAnsi="Times New Roman" w:cs="Times New Roman"/>
          <w:color w:val="000000"/>
          <w:sz w:val="24"/>
          <w:szCs w:val="24"/>
        </w:rPr>
        <w:t xml:space="preserve">existing laws, regulations, customs and practices continue to constitute discrimination against Muslim </w:t>
      </w:r>
      <w:r>
        <w:rPr>
          <w:rFonts w:ascii="Times New Roman" w:eastAsia="Times New Roman" w:hAnsi="Times New Roman" w:cs="Times New Roman"/>
          <w:color w:val="000000"/>
          <w:sz w:val="24"/>
          <w:szCs w:val="24"/>
        </w:rPr>
        <w:lastRenderedPageBreak/>
        <w:t xml:space="preserve">women who </w:t>
      </w:r>
      <w:r>
        <w:rPr>
          <w:rFonts w:ascii="Times New Roman" w:eastAsia="Times New Roman" w:hAnsi="Times New Roman" w:cs="Times New Roman"/>
          <w:sz w:val="24"/>
          <w:szCs w:val="24"/>
        </w:rPr>
        <w:t xml:space="preserve">cannot </w:t>
      </w:r>
      <w:r>
        <w:rPr>
          <w:rFonts w:ascii="Times New Roman" w:eastAsia="Times New Roman" w:hAnsi="Times New Roman" w:cs="Times New Roman"/>
          <w:color w:val="000000"/>
          <w:sz w:val="24"/>
          <w:szCs w:val="24"/>
        </w:rPr>
        <w:t>exercise and enjoy human rights and fundamental freedoms on a basis of equality with men and other South African women. </w:t>
      </w:r>
      <w:r>
        <w:rPr>
          <w:rFonts w:ascii="Times New Roman" w:eastAsia="Times New Roman" w:hAnsi="Times New Roman" w:cs="Times New Roman"/>
          <w:sz w:val="24"/>
          <w:szCs w:val="24"/>
          <w:highlight w:val="yellow"/>
        </w:rPr>
        <w:t xml:space="preserve"> </w:t>
      </w:r>
    </w:p>
    <w:p w14:paraId="00000030" w14:textId="77777777" w:rsidR="00145FD3" w:rsidRDefault="001B6A53">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has manifested in the lived realities of Muslim women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What follows is an overview of Muslim women’s lived experience and the civil legal system’s responses to these, in the face of the State’s contravention of these CEDAW articles. </w:t>
      </w:r>
    </w:p>
    <w:bookmarkStart w:id="5" w:name="_Toc82625502"/>
    <w:p w14:paraId="00000031" w14:textId="0C2598A3" w:rsidR="00145FD3" w:rsidRDefault="00BD7880">
      <w:pPr>
        <w:pStyle w:val="Heading3"/>
        <w:numPr>
          <w:ilvl w:val="0"/>
          <w:numId w:val="4"/>
        </w:numPr>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52010AF9" wp14:editId="1FAC9A89">
                <wp:simplePos x="0" y="0"/>
                <wp:positionH relativeFrom="column">
                  <wp:posOffset>3333115</wp:posOffset>
                </wp:positionH>
                <wp:positionV relativeFrom="paragraph">
                  <wp:posOffset>299270</wp:posOffset>
                </wp:positionV>
                <wp:extent cx="2613660" cy="4965065"/>
                <wp:effectExtent l="0" t="0" r="15240" b="13335"/>
                <wp:wrapSquare wrapText="bothSides"/>
                <wp:docPr id="1" name="Text Box 1"/>
                <wp:cNvGraphicFramePr/>
                <a:graphic xmlns:a="http://schemas.openxmlformats.org/drawingml/2006/main">
                  <a:graphicData uri="http://schemas.microsoft.com/office/word/2010/wordprocessingShape">
                    <wps:wsp>
                      <wps:cNvSpPr txBox="1"/>
                      <wps:spPr>
                        <a:xfrm>
                          <a:off x="0" y="0"/>
                          <a:ext cx="2613660" cy="4965065"/>
                        </a:xfrm>
                        <a:prstGeom prst="rect">
                          <a:avLst/>
                        </a:prstGeom>
                        <a:noFill/>
                        <a:ln w="6350">
                          <a:solidFill>
                            <a:prstClr val="black"/>
                          </a:solidFill>
                        </a:ln>
                      </wps:spPr>
                      <wps:txbx>
                        <w:txbxContent>
                          <w:p w14:paraId="0ADA022B" w14:textId="66BB6577" w:rsidR="00514E4C" w:rsidRPr="00BD7880" w:rsidRDefault="00514E4C">
                            <w:p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Issues that directly result from non-adherence to the core principles of CEDAW:</w:t>
                            </w:r>
                          </w:p>
                          <w:p w14:paraId="6891DD99" w14:textId="5AB5A1B0"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 xml:space="preserve">inequality of spouses in marriages, </w:t>
                            </w:r>
                          </w:p>
                          <w:p w14:paraId="3EEF1657" w14:textId="4A81A743"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violence against women in family,</w:t>
                            </w:r>
                          </w:p>
                          <w:p w14:paraId="7538E6B0" w14:textId="2806EB77"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unregulated polygamous marriage,</w:t>
                            </w:r>
                          </w:p>
                          <w:p w14:paraId="22F6DB09" w14:textId="36BEC01D"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denial of divorce rights to women,</w:t>
                            </w:r>
                          </w:p>
                          <w:p w14:paraId="733DADBA" w14:textId="2828413F"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 xml:space="preserve">custody, care and contact of children, </w:t>
                            </w:r>
                          </w:p>
                          <w:p w14:paraId="203EA106" w14:textId="2ADCE1BA"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women’s financial incapacity after divorce, and</w:t>
                            </w:r>
                          </w:p>
                          <w:p w14:paraId="1DB41EC0" w14:textId="49522C4D"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rPr>
                            </w:pPr>
                            <w:r w:rsidRPr="00BD7880">
                              <w:rPr>
                                <w:rFonts w:ascii="Times New Roman" w:eastAsia="Times New Roman" w:hAnsi="Times New Roman" w:cs="Times New Roman"/>
                                <w:b/>
                                <w:color w:val="000000" w:themeColor="text1"/>
                                <w:sz w:val="24"/>
                                <w:szCs w:val="24"/>
                              </w:rPr>
                              <w:t>denial of and unequal inheritance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10AF9" id="_x0000_t202" coordsize="21600,21600" o:spt="202" path="m,l,21600r21600,l21600,xe">
                <v:stroke joinstyle="miter"/>
                <v:path gradientshapeok="t" o:connecttype="rect"/>
              </v:shapetype>
              <v:shape id="Text Box 1" o:spid="_x0000_s1026" type="#_x0000_t202" style="position:absolute;left:0;text-align:left;margin-left:262.45pt;margin-top:23.55pt;width:205.8pt;height:39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" filled="f" strokeweight=".5pt">
                <v:textbox>
                  <w:txbxContent>
                    <w:p w14:paraId="0ADA022B" w14:textId="66BB6577" w:rsidR="00514E4C" w:rsidRPr="00BD7880" w:rsidRDefault="00514E4C">
                      <w:p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Issues that directly result from non-adherence to the core principles of CEDAW:</w:t>
                      </w:r>
                    </w:p>
                    <w:p w14:paraId="6891DD99" w14:textId="5AB5A1B0"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 xml:space="preserve">inequality of spouses in marriages, </w:t>
                      </w:r>
                    </w:p>
                    <w:p w14:paraId="3EEF1657" w14:textId="4A81A743"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violence against women in family,</w:t>
                      </w:r>
                    </w:p>
                    <w:p w14:paraId="7538E6B0" w14:textId="2806EB77"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unregulated polygamous marriage,</w:t>
                      </w:r>
                    </w:p>
                    <w:p w14:paraId="22F6DB09" w14:textId="36BEC01D"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denial of divorce rights to women,</w:t>
                      </w:r>
                    </w:p>
                    <w:p w14:paraId="733DADBA" w14:textId="2828413F"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 xml:space="preserve">custody, care and contact of children, </w:t>
                      </w:r>
                    </w:p>
                    <w:p w14:paraId="203EA106" w14:textId="2ADCE1BA"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sz w:val="24"/>
                          <w:szCs w:val="24"/>
                        </w:rPr>
                      </w:pPr>
                      <w:r w:rsidRPr="00BD7880">
                        <w:rPr>
                          <w:rFonts w:ascii="Times New Roman" w:eastAsia="Times New Roman" w:hAnsi="Times New Roman" w:cs="Times New Roman"/>
                          <w:b/>
                          <w:color w:val="000000" w:themeColor="text1"/>
                          <w:sz w:val="24"/>
                          <w:szCs w:val="24"/>
                        </w:rPr>
                        <w:t>women’s financial incapacity after divorce, and</w:t>
                      </w:r>
                    </w:p>
                    <w:p w14:paraId="1DB41EC0" w14:textId="49522C4D" w:rsidR="00514E4C" w:rsidRPr="00BD7880" w:rsidRDefault="00514E4C" w:rsidP="00514E4C">
                      <w:pPr>
                        <w:pStyle w:val="ListParagraph"/>
                        <w:numPr>
                          <w:ilvl w:val="0"/>
                          <w:numId w:val="8"/>
                        </w:numPr>
                        <w:spacing w:line="360" w:lineRule="auto"/>
                        <w:jc w:val="both"/>
                        <w:rPr>
                          <w:rFonts w:ascii="Times New Roman" w:eastAsia="Times New Roman" w:hAnsi="Times New Roman" w:cs="Times New Roman"/>
                          <w:b/>
                          <w:color w:val="000000" w:themeColor="text1"/>
                        </w:rPr>
                      </w:pPr>
                      <w:r w:rsidRPr="00BD7880">
                        <w:rPr>
                          <w:rFonts w:ascii="Times New Roman" w:eastAsia="Times New Roman" w:hAnsi="Times New Roman" w:cs="Times New Roman"/>
                          <w:b/>
                          <w:color w:val="000000" w:themeColor="text1"/>
                          <w:sz w:val="24"/>
                          <w:szCs w:val="24"/>
                        </w:rPr>
                        <w:t>denial of and unequal inheritance rights.</w:t>
                      </w:r>
                    </w:p>
                  </w:txbxContent>
                </v:textbox>
                <w10:wrap type="square"/>
              </v:shape>
            </w:pict>
          </mc:Fallback>
        </mc:AlternateContent>
      </w:r>
      <w:r w:rsidR="001B6A53">
        <w:rPr>
          <w:rFonts w:ascii="Times New Roman" w:eastAsia="Times New Roman" w:hAnsi="Times New Roman" w:cs="Times New Roman"/>
          <w:sz w:val="24"/>
          <w:szCs w:val="24"/>
        </w:rPr>
        <w:t>Muslim Women’s lived experience of discrimination</w:t>
      </w:r>
      <w:bookmarkEnd w:id="5"/>
    </w:p>
    <w:p w14:paraId="00000032" w14:textId="18FF106B"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lived experiences of Muslim personal law in South Africa inform research and advocacy undertaken by the MPL Network. Muslim women often have limited knowledge of their Islamic rights in marriage and feel compelled to approach the exclusively male </w:t>
      </w:r>
      <w:r>
        <w:rPr>
          <w:rFonts w:ascii="Times New Roman" w:eastAsia="Times New Roman" w:hAnsi="Times New Roman" w:cs="Times New Roman"/>
          <w:i/>
          <w:sz w:val="24"/>
          <w:szCs w:val="24"/>
        </w:rPr>
        <w:t>Ulama</w:t>
      </w:r>
      <w:r>
        <w:rPr>
          <w:rFonts w:ascii="Times New Roman" w:eastAsia="Times New Roman" w:hAnsi="Times New Roman" w:cs="Times New Roman"/>
          <w:sz w:val="24"/>
          <w:szCs w:val="24"/>
        </w:rPr>
        <w:t xml:space="preserve"> councils (religious authority forums) for a religious divorce. In these spaces, the lack of state protections and the absence of gender analysis in adjudication and application of religious law leave women financially, psychologically and emotionally depleted. These processes are designed to extend the life of the marriage and so women remain stuck in unwanted marriages, without recourse. The case studies discussed in </w:t>
      </w:r>
      <w:r>
        <w:rPr>
          <w:rFonts w:ascii="Times New Roman" w:eastAsia="Times New Roman" w:hAnsi="Times New Roman" w:cs="Times New Roman"/>
          <w:b/>
          <w:color w:val="000000"/>
          <w:sz w:val="24"/>
          <w:szCs w:val="24"/>
        </w:rPr>
        <w:t xml:space="preserve">Appendix </w:t>
      </w:r>
      <w:r>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illustrate these challenges.</w:t>
      </w:r>
    </w:p>
    <w:p w14:paraId="0000003B" w14:textId="22C63557" w:rsidR="00145FD3" w:rsidRDefault="001B6A53">
      <w:pPr>
        <w:tabs>
          <w:tab w:val="left" w:pos="241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MPL Network asserts that legal recognition of Muslim marriages will mitigate, if not redress, the intersecting forms of discrimination Muslim women and children endure.</w:t>
      </w:r>
    </w:p>
    <w:p w14:paraId="0000003C" w14:textId="77777777" w:rsidR="00145FD3" w:rsidRDefault="001B6A53">
      <w:pPr>
        <w:pStyle w:val="Heading3"/>
        <w:numPr>
          <w:ilvl w:val="0"/>
          <w:numId w:val="4"/>
        </w:numPr>
        <w:rPr>
          <w:rFonts w:ascii="Times New Roman" w:eastAsia="Times New Roman" w:hAnsi="Times New Roman" w:cs="Times New Roman"/>
          <w:sz w:val="24"/>
          <w:szCs w:val="24"/>
        </w:rPr>
      </w:pPr>
      <w:bookmarkStart w:id="6" w:name="_Toc82625503"/>
      <w:r>
        <w:rPr>
          <w:rFonts w:ascii="Times New Roman" w:eastAsia="Times New Roman" w:hAnsi="Times New Roman" w:cs="Times New Roman"/>
          <w:sz w:val="24"/>
          <w:szCs w:val="24"/>
        </w:rPr>
        <w:t>Redress Through Court processes</w:t>
      </w:r>
      <w:bookmarkEnd w:id="6"/>
    </w:p>
    <w:p w14:paraId="0000003D"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South African courts have come to the aid of women by recognising Muslim marriages on an ad hoc basis. They have adjudicated matters involving disputes relating to the interpretation of the Intestate Succession Act</w:t>
      </w:r>
      <w:r>
        <w:rPr>
          <w:rFonts w:ascii="Times New Roman" w:eastAsia="Times New Roman" w:hAnsi="Times New Roman" w:cs="Times New Roman"/>
          <w:vertAlign w:val="superscript"/>
        </w:rPr>
        <w:footnoteReference w:id="5"/>
      </w:r>
      <w:r>
        <w:rPr>
          <w:rFonts w:ascii="Times New Roman" w:eastAsia="Times New Roman" w:hAnsi="Times New Roman" w:cs="Times New Roman"/>
          <w:sz w:val="24"/>
          <w:szCs w:val="24"/>
        </w:rPr>
        <w:t xml:space="preserve"> to allow for women to claim for maintenance against their late </w:t>
      </w:r>
      <w:r>
        <w:rPr>
          <w:rFonts w:ascii="Times New Roman" w:eastAsia="Times New Roman" w:hAnsi="Times New Roman" w:cs="Times New Roman"/>
          <w:sz w:val="24"/>
          <w:szCs w:val="24"/>
        </w:rPr>
        <w:lastRenderedPageBreak/>
        <w:t>husband’s estate, and for women in polygynous marriages to claim an inheritance from their late husband’s estate.</w:t>
      </w:r>
      <w:r>
        <w:rPr>
          <w:rFonts w:ascii="Times New Roman" w:eastAsia="Times New Roman" w:hAnsi="Times New Roman" w:cs="Times New Roman"/>
          <w:vertAlign w:val="superscript"/>
        </w:rPr>
        <w:footnoteReference w:id="6"/>
      </w:r>
      <w:r>
        <w:rPr>
          <w:rFonts w:ascii="Times New Roman" w:eastAsia="Times New Roman" w:hAnsi="Times New Roman" w:cs="Times New Roman"/>
          <w:sz w:val="24"/>
          <w:szCs w:val="24"/>
        </w:rPr>
        <w:t xml:space="preserve"> Muslim wives now have a right to claim money from the Road Accident Fund as a result of the law recognising a Muslim marriage in terms of the Multilateral Motor Vehicles Act.</w:t>
      </w:r>
      <w:r>
        <w:rPr>
          <w:rFonts w:ascii="Times New Roman" w:eastAsia="Times New Roman" w:hAnsi="Times New Roman" w:cs="Times New Roman"/>
          <w:vertAlign w:val="superscript"/>
        </w:rPr>
        <w:footnoteReference w:id="7"/>
      </w:r>
      <w:r>
        <w:rPr>
          <w:rFonts w:ascii="Times New Roman" w:eastAsia="Times New Roman" w:hAnsi="Times New Roman" w:cs="Times New Roman"/>
          <w:sz w:val="24"/>
          <w:szCs w:val="24"/>
        </w:rPr>
        <w:t xml:space="preserve"> The courts have also assisted women to claim interim maintenance in terms of rule 43 of the Uniform Rules of Court.</w:t>
      </w:r>
      <w:r>
        <w:rPr>
          <w:rFonts w:ascii="Times New Roman" w:eastAsia="Times New Roman" w:hAnsi="Times New Roman" w:cs="Times New Roman"/>
          <w:vertAlign w:val="superscript"/>
        </w:rPr>
        <w:footnoteReference w:id="8"/>
      </w:r>
      <w:r>
        <w:rPr>
          <w:rFonts w:ascii="Times New Roman" w:eastAsia="Times New Roman" w:hAnsi="Times New Roman" w:cs="Times New Roman"/>
          <w:sz w:val="24"/>
          <w:szCs w:val="24"/>
        </w:rPr>
        <w:t xml:space="preserve"> In these cases, the Courts have referenced the protection of the right to religion and equality. </w:t>
      </w:r>
    </w:p>
    <w:p w14:paraId="0000003E"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inheritance, the Courts have also supported the recognition of Muslim marriages in the respective disputes on the basis that civil union marriages were recognised. Monogamous and polygamous Muslim marriages were read in ‘spouse’ in the Intestate Succession Act in </w:t>
      </w:r>
      <w:r>
        <w:rPr>
          <w:rFonts w:ascii="Times New Roman" w:eastAsia="Times New Roman" w:hAnsi="Times New Roman" w:cs="Times New Roman"/>
          <w:i/>
          <w:sz w:val="24"/>
          <w:szCs w:val="24"/>
        </w:rPr>
        <w:t>Daniels</w:t>
      </w:r>
      <w:r>
        <w:rPr>
          <w:rFonts w:ascii="Times New Roman" w:eastAsia="Times New Roman" w:hAnsi="Times New Roman" w:cs="Times New Roman"/>
          <w:i/>
          <w:sz w:val="24"/>
          <w:szCs w:val="24"/>
          <w:vertAlign w:val="superscript"/>
        </w:rPr>
        <w:footnoteReference w:id="9"/>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Hassam</w:t>
      </w:r>
      <w:r>
        <w:rPr>
          <w:rFonts w:ascii="Times New Roman" w:eastAsia="Times New Roman" w:hAnsi="Times New Roman" w:cs="Times New Roman"/>
          <w:i/>
          <w:sz w:val="24"/>
          <w:szCs w:val="24"/>
          <w:vertAlign w:val="superscript"/>
        </w:rPr>
        <w:footnoteReference w:id="10"/>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respectively. In addition, in 2018 the Constitutional Court rendered section 2C(1) of the Wills Act unconstitutional as it failed to recognise Muslim marriages.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 spouse in a polygamous marriage was not entitled to inherit if the beneficiaries renounced their benefit. The Court held that the Wills Act was unconstitutional for its failure to recognise monogamous and polygamous Muslim marriages.</w:t>
      </w:r>
    </w:p>
    <w:p w14:paraId="0000003F"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against the backdrop of these gains in the courts, Muslim women are forced to resort to costly litigation to have marriages recognized and regulated. The states non-committal approach to create legislation has been in direct non-compliance with Articles 1, 2, 3 and 5 of CEDAW and has manifested in Muslim women’s ongoing lived experience with discriminatory practices of Muslim family law in South Africa. </w:t>
      </w:r>
    </w:p>
    <w:p w14:paraId="00000040" w14:textId="77777777" w:rsidR="00145FD3" w:rsidRDefault="001B6A53">
      <w:pPr>
        <w:pStyle w:val="Heading2"/>
        <w:ind w:firstLine="720"/>
        <w:rPr>
          <w:rFonts w:ascii="Times New Roman" w:eastAsia="Times New Roman" w:hAnsi="Times New Roman" w:cs="Times New Roman"/>
          <w:i/>
          <w:sz w:val="24"/>
          <w:szCs w:val="24"/>
        </w:rPr>
      </w:pPr>
      <w:bookmarkStart w:id="7" w:name="_Toc82625504"/>
      <w:r>
        <w:rPr>
          <w:rFonts w:ascii="Times New Roman" w:eastAsia="Times New Roman" w:hAnsi="Times New Roman" w:cs="Times New Roman"/>
          <w:i/>
          <w:sz w:val="24"/>
          <w:szCs w:val="24"/>
        </w:rPr>
        <w:t>b).  Marriage (Article 15 and 16)</w:t>
      </w:r>
      <w:bookmarkEnd w:id="7"/>
      <w:r>
        <w:rPr>
          <w:rFonts w:ascii="Times New Roman" w:eastAsia="Times New Roman" w:hAnsi="Times New Roman" w:cs="Times New Roman"/>
          <w:i/>
          <w:sz w:val="24"/>
          <w:szCs w:val="24"/>
        </w:rPr>
        <w:t xml:space="preserve"> </w:t>
      </w:r>
    </w:p>
    <w:p w14:paraId="00000041" w14:textId="77777777" w:rsidR="00145FD3" w:rsidRDefault="001B6A53">
      <w:pPr>
        <w:spacing w:after="15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State’s failure and blatant opposition to provide legal protections for Muslim marriage and divorce directly contravenes Articles 15 and 16.  It has maintained inequality before the law, prolonged and made expensive divorce processes, given unequal rights and responsibilities at dissolution, and perpetuated difficulties in maintenance matters. The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tate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s non-compliance with these articles is illustrated through: 1) </w:t>
      </w:r>
      <w:r>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ts positioning in the Muslim marriage officers programme; 2) The ways in which Muslim women are treated unequally in civil divorce processes; and 3)  The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tate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s responses to legal challenges. </w:t>
      </w:r>
    </w:p>
    <w:p w14:paraId="00000042" w14:textId="77777777" w:rsidR="00145FD3" w:rsidRDefault="001B6A53">
      <w:pPr>
        <w:pStyle w:val="Heading3"/>
        <w:numPr>
          <w:ilvl w:val="0"/>
          <w:numId w:val="5"/>
        </w:numPr>
        <w:rPr>
          <w:rFonts w:ascii="Times New Roman" w:eastAsia="Times New Roman" w:hAnsi="Times New Roman" w:cs="Times New Roman"/>
          <w:sz w:val="24"/>
          <w:szCs w:val="24"/>
        </w:rPr>
      </w:pPr>
      <w:bookmarkStart w:id="8" w:name="_Toc82625505"/>
      <w:r>
        <w:rPr>
          <w:rFonts w:ascii="Times New Roman" w:eastAsia="Times New Roman" w:hAnsi="Times New Roman" w:cs="Times New Roman"/>
          <w:sz w:val="24"/>
          <w:szCs w:val="24"/>
        </w:rPr>
        <w:lastRenderedPageBreak/>
        <w:t>Imam marriage officers</w:t>
      </w:r>
      <w:bookmarkEnd w:id="8"/>
    </w:p>
    <w:p w14:paraId="00000043" w14:textId="0B8FE516" w:rsidR="00145FD3" w:rsidRDefault="001B6A53">
      <w:pPr>
        <w:spacing w:after="150" w:line="360" w:lineRule="auto"/>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24"/>
          <w:szCs w:val="24"/>
        </w:rPr>
        <w:t xml:space="preserve">The contractual nature of an Islamic marriage and narrow androcentric applications of it by religious authority community forums creates difficulties in terms of both </w:t>
      </w:r>
      <w:r w:rsidR="00710C65">
        <w:rPr>
          <w:rFonts w:ascii="Times New Roman" w:eastAsia="Times New Roman" w:hAnsi="Times New Roman" w:cs="Times New Roman"/>
          <w:sz w:val="24"/>
          <w:szCs w:val="24"/>
        </w:rPr>
        <w:t>A</w:t>
      </w:r>
      <w:r w:rsidR="00710C65">
        <w:rPr>
          <w:rFonts w:ascii="Times New Roman" w:eastAsia="Times New Roman" w:hAnsi="Times New Roman" w:cs="Times New Roman"/>
          <w:color w:val="000000"/>
          <w:sz w:val="24"/>
          <w:szCs w:val="24"/>
        </w:rPr>
        <w:t>rticles</w:t>
      </w:r>
      <w:bookmarkStart w:id="9" w:name="_GoBack"/>
      <w:bookmarkEnd w:id="9"/>
      <w:r>
        <w:rPr>
          <w:rFonts w:ascii="Times New Roman" w:eastAsia="Times New Roman" w:hAnsi="Times New Roman" w:cs="Times New Roman"/>
          <w:color w:val="000000"/>
          <w:sz w:val="24"/>
          <w:szCs w:val="24"/>
        </w:rPr>
        <w:t xml:space="preserve"> 5 and 15(3)</w:t>
      </w:r>
      <w:r>
        <w:rPr>
          <w:rFonts w:ascii="Times New Roman" w:eastAsia="Times New Roman" w:hAnsi="Times New Roman" w:cs="Times New Roman"/>
          <w:color w:val="000000"/>
          <w:sz w:val="19"/>
          <w:szCs w:val="19"/>
        </w:rPr>
        <w:t>.</w:t>
      </w:r>
    </w:p>
    <w:p w14:paraId="00000044" w14:textId="6189AAF3"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2016, the Department of Home Affairs undertook a pilot project to register Imams as marriage officers for the purposes of adequately managing the population registry. The project only registered men. After constant persistence, three women were enrolled, two of whom are part of MPL Network. To date, Imam marriage officers conduct </w:t>
      </w:r>
      <w:proofErr w:type="spellStart"/>
      <w:r>
        <w:rPr>
          <w:rFonts w:ascii="Times New Roman" w:eastAsia="Times New Roman" w:hAnsi="Times New Roman" w:cs="Times New Roman"/>
          <w:i/>
          <w:sz w:val="24"/>
          <w:szCs w:val="24"/>
        </w:rPr>
        <w:t>nikah</w:t>
      </w:r>
      <w:proofErr w:type="spellEnd"/>
      <w:r>
        <w:rPr>
          <w:rFonts w:ascii="Times New Roman" w:eastAsia="Times New Roman" w:hAnsi="Times New Roman" w:cs="Times New Roman"/>
          <w:sz w:val="24"/>
          <w:szCs w:val="24"/>
        </w:rPr>
        <w:t xml:space="preserve"> ceremonies without ensuring that marriages are registered with the State. Most male imams who do register marriages under the Marriages Act will only do so if the marital property regime is an out of community of property without accrual. They refuse to register marriages wherein couples agree to alternative property regimes, thereby contributing to understandings of stereotypical roles and male superiority. Their position further diminishes the legal capacity of women as required by CEDAW Article 15 because choice, in terms of accrued marital property, is not considered. Critiquing this initiative, scholars like Seedat</w:t>
      </w:r>
      <w:r w:rsidR="003325F2">
        <w:rPr>
          <w:rFonts w:ascii="Times New Roman" w:eastAsia="Times New Roman" w:hAnsi="Times New Roman" w:cs="Times New Roman"/>
          <w:sz w:val="24"/>
          <w:szCs w:val="24"/>
        </w:rPr>
        <w:t xml:space="preserve"> argue that</w:t>
      </w:r>
      <w:r>
        <w:rPr>
          <w:rFonts w:ascii="Times New Roman" w:eastAsia="Times New Roman" w:hAnsi="Times New Roman" w:cs="Times New Roman"/>
          <w:sz w:val="24"/>
          <w:szCs w:val="24"/>
        </w:rPr>
        <w:t xml:space="preserve"> </w:t>
      </w:r>
      <w:r w:rsidRPr="003325F2">
        <w:rPr>
          <w:rFonts w:ascii="Times New Roman" w:eastAsia="Times New Roman" w:hAnsi="Times New Roman" w:cs="Times New Roman"/>
          <w:sz w:val="24"/>
          <w:szCs w:val="24"/>
        </w:rPr>
        <w:t>the power afforded to religious authorities by the State legitimises androcentric do</w:t>
      </w:r>
      <w:r>
        <w:rPr>
          <w:rFonts w:ascii="Times New Roman" w:eastAsia="Times New Roman" w:hAnsi="Times New Roman" w:cs="Times New Roman"/>
          <w:sz w:val="24"/>
          <w:szCs w:val="24"/>
        </w:rPr>
        <w:t>ctrinal practices.</w:t>
      </w:r>
      <w:r>
        <w:rPr>
          <w:vertAlign w:val="superscript"/>
        </w:rPr>
        <w:footnoteReference w:id="12"/>
      </w:r>
      <w:r>
        <w:rPr>
          <w:rFonts w:ascii="Times New Roman" w:eastAsia="Times New Roman" w:hAnsi="Times New Roman" w:cs="Times New Roman"/>
          <w:sz w:val="24"/>
          <w:szCs w:val="24"/>
        </w:rPr>
        <w:t xml:space="preserve"> Reinforcing the perpetual exclusion of women from religious practice, this State initiative as implemented has failed to protect the rights of Muslim women.</w:t>
      </w:r>
    </w:p>
    <w:p w14:paraId="00000045" w14:textId="77777777" w:rsidR="00145FD3" w:rsidRDefault="00145FD3">
      <w:pPr>
        <w:spacing w:line="360" w:lineRule="auto"/>
        <w:jc w:val="both"/>
        <w:rPr>
          <w:rFonts w:ascii="Times New Roman" w:eastAsia="Times New Roman" w:hAnsi="Times New Roman" w:cs="Times New Roman"/>
          <w:sz w:val="24"/>
          <w:szCs w:val="24"/>
        </w:rPr>
      </w:pPr>
    </w:p>
    <w:p w14:paraId="00000046" w14:textId="77777777" w:rsidR="00145FD3" w:rsidRDefault="001B6A53">
      <w:pPr>
        <w:pStyle w:val="Heading3"/>
        <w:numPr>
          <w:ilvl w:val="0"/>
          <w:numId w:val="5"/>
        </w:numPr>
        <w:rPr>
          <w:rFonts w:ascii="Times New Roman" w:eastAsia="Times New Roman" w:hAnsi="Times New Roman" w:cs="Times New Roman"/>
          <w:sz w:val="24"/>
          <w:szCs w:val="24"/>
        </w:rPr>
      </w:pPr>
      <w:bookmarkStart w:id="10" w:name="_Toc82625506"/>
      <w:r>
        <w:rPr>
          <w:rFonts w:ascii="Times New Roman" w:eastAsia="Times New Roman" w:hAnsi="Times New Roman" w:cs="Times New Roman"/>
          <w:sz w:val="24"/>
          <w:szCs w:val="24"/>
        </w:rPr>
        <w:t>Muslim Women’s Inequality before the Law</w:t>
      </w:r>
      <w:bookmarkEnd w:id="10"/>
    </w:p>
    <w:p w14:paraId="00000047"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 to Articles 15 and 16</w:t>
      </w:r>
      <w:r>
        <w:rPr>
          <w:rFonts w:ascii="Times New Roman" w:eastAsia="Times New Roman" w:hAnsi="Times New Roman" w:cs="Times New Roman"/>
          <w:color w:val="000000"/>
          <w:sz w:val="24"/>
          <w:szCs w:val="24"/>
        </w:rPr>
        <w:t xml:space="preserve">, Muslim women are not treated equally to other South African women in civil divorce proceedings. </w:t>
      </w:r>
      <w:r>
        <w:rPr>
          <w:rFonts w:ascii="Times New Roman" w:eastAsia="Times New Roman" w:hAnsi="Times New Roman" w:cs="Times New Roman"/>
          <w:sz w:val="24"/>
          <w:szCs w:val="24"/>
        </w:rPr>
        <w:t>If a Muslim woman is intent on the material benefits that ordinarily accrue through marriage (or access to the marital property which the couple had worked for collectively) she is first compelled to launch an application in the High Court for legal recognition of her marriage. This is a costly process and places severe hardships on Muslim women and children.</w:t>
      </w:r>
    </w:p>
    <w:p w14:paraId="00000048" w14:textId="77777777" w:rsidR="00145FD3" w:rsidRDefault="00145FD3">
      <w:pPr>
        <w:pStyle w:val="Heading3"/>
        <w:ind w:left="1080"/>
        <w:rPr>
          <w:rFonts w:ascii="Times New Roman" w:eastAsia="Times New Roman" w:hAnsi="Times New Roman" w:cs="Times New Roman"/>
          <w:b w:val="0"/>
          <w:sz w:val="24"/>
          <w:szCs w:val="24"/>
        </w:rPr>
      </w:pPr>
    </w:p>
    <w:p w14:paraId="00000049" w14:textId="77777777" w:rsidR="00145FD3" w:rsidRDefault="001B6A53">
      <w:pPr>
        <w:pStyle w:val="Heading3"/>
        <w:numPr>
          <w:ilvl w:val="0"/>
          <w:numId w:val="5"/>
        </w:numPr>
        <w:rPr>
          <w:rFonts w:ascii="Times New Roman" w:eastAsia="Times New Roman" w:hAnsi="Times New Roman" w:cs="Times New Roman"/>
          <w:sz w:val="24"/>
          <w:szCs w:val="24"/>
        </w:rPr>
      </w:pPr>
      <w:bookmarkStart w:id="11" w:name="_Toc82625507"/>
      <w:r>
        <w:rPr>
          <w:rFonts w:ascii="Times New Roman" w:eastAsia="Times New Roman" w:hAnsi="Times New Roman" w:cs="Times New Roman"/>
          <w:sz w:val="24"/>
          <w:szCs w:val="24"/>
        </w:rPr>
        <w:t>The States Responses to Legal Challenges</w:t>
      </w:r>
      <w:bookmarkEnd w:id="11"/>
    </w:p>
    <w:p w14:paraId="0000004A" w14:textId="77777777" w:rsidR="00145FD3" w:rsidRDefault="001B6A53">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2009, informed by the high levels of hardship experienced by Muslim women,  the Women’s Legal Centre (WLC), a feminist law clinic, instituted an application directly to the Constitutional Court</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in which it sought an order against the Department of Justice and the Legislature to enact legislation. The Constitutional Court dismissed the application on the basis that they were unable to hear it on direct access. </w:t>
      </w:r>
    </w:p>
    <w:p w14:paraId="0000004B" w14:textId="77777777" w:rsidR="00145FD3" w:rsidRDefault="00145FD3">
      <w:pPr>
        <w:spacing w:after="0" w:line="360" w:lineRule="auto"/>
        <w:rPr>
          <w:rFonts w:ascii="Times New Roman" w:eastAsia="Times New Roman" w:hAnsi="Times New Roman" w:cs="Times New Roman"/>
          <w:color w:val="7030A0"/>
          <w:sz w:val="24"/>
          <w:szCs w:val="24"/>
        </w:rPr>
      </w:pPr>
    </w:p>
    <w:p w14:paraId="0000004C"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late 2014, the WLC instituted strategic litigation, which sought an order: (1) declaring that the State’s failure to legislate for the recognition of Muslim marriages is an infringement of its constitutional obligations; (2) declaring that the Marriages Act, Divorce Act and Recognition of Customary Marriages Act are unconstitutional for failing to provide for Muslim marriages; and (3) that pending amendment of the legislation, all Muslim marriages be regulated in terms of the Recognition of Customary Marriages Act and the Divorce Act.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0000004D"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August 2018, the Cape High Court handed down its judgment and ordered that the State had failed in its constitutional obligation to recognise Muslim marriages. The Court further ordered that the State enact legislation within 24 months of the order. Should the State fail to do so, the Court provided that a union, validly concluded as a marriage in terms of </w:t>
      </w:r>
      <w:proofErr w:type="spellStart"/>
      <w:r>
        <w:rPr>
          <w:rFonts w:ascii="Times New Roman" w:eastAsia="Times New Roman" w:hAnsi="Times New Roman" w:cs="Times New Roman"/>
          <w:i/>
          <w:sz w:val="24"/>
          <w:szCs w:val="24"/>
        </w:rPr>
        <w:t>Shari’ah</w:t>
      </w:r>
      <w:proofErr w:type="spellEnd"/>
      <w:r>
        <w:rPr>
          <w:rFonts w:ascii="Times New Roman" w:eastAsia="Times New Roman" w:hAnsi="Times New Roman" w:cs="Times New Roman"/>
          <w:sz w:val="24"/>
          <w:szCs w:val="24"/>
        </w:rPr>
        <w:t xml:space="preserve"> law and which subsists at the time this order becomes operative, may (even after its dissolution in terms of </w:t>
      </w:r>
      <w:proofErr w:type="spellStart"/>
      <w:r>
        <w:rPr>
          <w:rFonts w:ascii="Times New Roman" w:eastAsia="Times New Roman" w:hAnsi="Times New Roman" w:cs="Times New Roman"/>
          <w:i/>
          <w:sz w:val="24"/>
          <w:szCs w:val="24"/>
        </w:rPr>
        <w:t>Shari’ah</w:t>
      </w:r>
      <w:proofErr w:type="spellEnd"/>
      <w:r>
        <w:rPr>
          <w:rFonts w:ascii="Times New Roman" w:eastAsia="Times New Roman" w:hAnsi="Times New Roman" w:cs="Times New Roman"/>
          <w:sz w:val="24"/>
          <w:szCs w:val="24"/>
        </w:rPr>
        <w:t xml:space="preserve"> law) be dissolved per the Divorce Act and all the provisions of that Act shall be applicable, provided that section 7(3) shall apply to such a union regardless of when it was concluded; and in the case of a husband who is a spouse in more than one Muslim marriage, the Court shall consider all the factors and make and order as it deems just and equitable and order for joinder of any interested parties.</w:t>
      </w:r>
      <w:r>
        <w:rPr>
          <w:rFonts w:ascii="Times New Roman" w:eastAsia="Times New Roman" w:hAnsi="Times New Roman" w:cs="Times New Roman"/>
          <w:sz w:val="24"/>
          <w:szCs w:val="24"/>
          <w:vertAlign w:val="superscript"/>
        </w:rPr>
        <w:footnoteReference w:id="15"/>
      </w:r>
    </w:p>
    <w:p w14:paraId="0000004E"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appealed the decision to the Supreme Court of Appeal (SCA). In December 2020, the SCA ruled that the State had infringed its constitutional obligations. The State held that both the Marriages Act and Divorce Act are unconstitutional for failing to include Muslim </w:t>
      </w:r>
      <w:r>
        <w:rPr>
          <w:rFonts w:ascii="Times New Roman" w:eastAsia="Times New Roman" w:hAnsi="Times New Roman" w:cs="Times New Roman"/>
          <w:sz w:val="24"/>
          <w:szCs w:val="24"/>
        </w:rPr>
        <w:lastRenderedPageBreak/>
        <w:t>marriages.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 matter was thus referred to the Constitutional Court for confirmation of the invalidity and to resolve the issue of retrospectivity. </w:t>
      </w:r>
    </w:p>
    <w:p w14:paraId="0000004F"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August 2021, the matter was heard by the Constitutional Court. The WLC argued that the Court should decide that the recognition takes place from 1994. The retrospective nature of the order would be in line with the Constitutional Court’s jurisprudence pertaining to customary law matters. The State conceded that they were in breach of their constitutional obligations to recognize Muslim marriages but argued that they have no constitutional obligation to legislate the regulation of Muslim marriage. Judgment has been reserved in this matter. </w:t>
      </w:r>
    </w:p>
    <w:p w14:paraId="00000050" w14:textId="77777777" w:rsidR="00145FD3" w:rsidRDefault="001B6A53">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To summarise, the State’s failure to provide legal protection for Muslim marriage and divorce has contravened CEDAW</w:t>
      </w:r>
      <w:r>
        <w:rPr>
          <w:rFonts w:ascii="Times New Roman" w:eastAsia="Times New Roman" w:hAnsi="Times New Roman" w:cs="Times New Roman"/>
          <w:color w:val="000000"/>
          <w:sz w:val="24"/>
          <w:szCs w:val="24"/>
        </w:rPr>
        <w:t xml:space="preserve"> Articles 5, 15 and 16. Muslim women continue to be relegated to inferior positions and stereotypical roles by religious authorities who are now propped by the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tate through the Imam marriage officer initiative. Equality, access to justice and legal protections in marriage on an equal basis to other South African women is hindered. D</w:t>
      </w:r>
      <w:r>
        <w:rPr>
          <w:rFonts w:ascii="Times New Roman" w:eastAsia="Times New Roman" w:hAnsi="Times New Roman" w:cs="Times New Roman"/>
          <w:sz w:val="24"/>
          <w:szCs w:val="24"/>
        </w:rPr>
        <w:t xml:space="preserve">espite earlier State-led initiatives to recognise Muslim marriage, the State has since argued that it is not constitutionally obligated to legislate the regulation of Muslim marriage. The ongoing lack of adequate legal protections continues to perpetuate discrimination against Muslim women 27 years into democracy. Waiting on the Constitutional Court judgment, women can likely look forward to a further protracted process of law-making, and/or expensive legal disputes before any substantive relief is available. </w:t>
      </w:r>
    </w:p>
    <w:p w14:paraId="00000051" w14:textId="77777777" w:rsidR="00145FD3" w:rsidRDefault="001B6A53">
      <w:pPr>
        <w:pStyle w:val="Heading1"/>
        <w:numPr>
          <w:ilvl w:val="0"/>
          <w:numId w:val="1"/>
        </w:numPr>
        <w:rPr>
          <w:rFonts w:ascii="Times New Roman" w:eastAsia="Times New Roman" w:hAnsi="Times New Roman" w:cs="Times New Roman"/>
          <w:sz w:val="24"/>
          <w:szCs w:val="24"/>
        </w:rPr>
      </w:pPr>
      <w:bookmarkStart w:id="12" w:name="_Toc82625508"/>
      <w:r>
        <w:rPr>
          <w:rFonts w:ascii="Times New Roman" w:eastAsia="Times New Roman" w:hAnsi="Times New Roman" w:cs="Times New Roman"/>
          <w:sz w:val="24"/>
          <w:szCs w:val="24"/>
        </w:rPr>
        <w:t>Conclusion and Recommendations</w:t>
      </w:r>
      <w:bookmarkEnd w:id="12"/>
    </w:p>
    <w:p w14:paraId="00000052" w14:textId="77777777" w:rsidR="00145FD3" w:rsidRDefault="001B6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with its appendices, highlights discrimination in the realm of Muslim personal law in issues relating to polygyny, gender-based violence, inheritance rights, interests of children, maintenance, access to justice, </w:t>
      </w:r>
      <w:r>
        <w:rPr>
          <w:rFonts w:ascii="Times New Roman" w:eastAsia="Times New Roman" w:hAnsi="Times New Roman" w:cs="Times New Roman"/>
          <w:color w:val="000000"/>
          <w:sz w:val="24"/>
          <w:szCs w:val="24"/>
        </w:rPr>
        <w:t xml:space="preserve">and inequality before the law. </w:t>
      </w:r>
      <w:r>
        <w:rPr>
          <w:rFonts w:ascii="Times New Roman" w:eastAsia="Times New Roman" w:hAnsi="Times New Roman" w:cs="Times New Roman"/>
          <w:sz w:val="24"/>
          <w:szCs w:val="24"/>
        </w:rPr>
        <w:t xml:space="preserve">Despite a progressive legal framework, the State has persistently delayed a reform of the law and to provide access to justice for Muslim families, particularly women and children. </w:t>
      </w:r>
      <w:r>
        <w:rPr>
          <w:rFonts w:ascii="Times New Roman" w:eastAsia="Times New Roman" w:hAnsi="Times New Roman" w:cs="Times New Roman"/>
          <w:b/>
          <w:sz w:val="24"/>
          <w:szCs w:val="24"/>
        </w:rPr>
        <w:t xml:space="preserve">This non-committal approach continues to violate Muslim women’s constitutional rights to equality and dignity, and Articles 1, 2, 3, 5, 15 and 16 of CEDAW. </w:t>
      </w:r>
    </w:p>
    <w:p w14:paraId="00000053" w14:textId="77777777" w:rsidR="00145FD3" w:rsidRDefault="001B6A53">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MPL Network recommends that the CEDAW Committee urges the South African State to: </w:t>
      </w:r>
    </w:p>
    <w:p w14:paraId="00000054" w14:textId="77777777" w:rsidR="00145FD3" w:rsidRDefault="001B6A53">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With priority, </w:t>
      </w:r>
    </w:p>
    <w:p w14:paraId="00000055" w14:textId="77777777" w:rsidR="00145FD3" w:rsidRDefault="001B6A53">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an interim measure (within 3 months) and while awaiting the Constitutional Court judgment, immediately enact amendments to the Divorce and Marriages Acts, by including provisions which specifically recognise Muslim marriages until a viable legislative framework is developed. </w:t>
      </w:r>
    </w:p>
    <w:p w14:paraId="00000056" w14:textId="77777777" w:rsidR="00145FD3" w:rsidRDefault="00145FD3">
      <w:pPr>
        <w:spacing w:after="0" w:line="360" w:lineRule="auto"/>
        <w:jc w:val="both"/>
        <w:rPr>
          <w:rFonts w:ascii="Times New Roman" w:eastAsia="Times New Roman" w:hAnsi="Times New Roman" w:cs="Times New Roman"/>
          <w:sz w:val="24"/>
          <w:szCs w:val="24"/>
        </w:rPr>
      </w:pPr>
    </w:p>
    <w:p w14:paraId="00000057" w14:textId="77777777" w:rsidR="00145FD3" w:rsidRDefault="001B6A53">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the Short Term,</w:t>
      </w:r>
    </w:p>
    <w:p w14:paraId="00000058" w14:textId="77777777" w:rsidR="00145FD3" w:rsidRDefault="001B6A53">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Immediately table the Muslim Marriages Bill, prioritise its passage through legislative processes and ensure its enactment within 6 months; OR ensure that the SALRC Project 144 concludes with the enactment of either the Single Statute or Omnibus Bill within 12 months.</w:t>
      </w:r>
    </w:p>
    <w:p w14:paraId="00000059" w14:textId="77777777" w:rsidR="00145FD3" w:rsidRDefault="001B6A53">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Coordinate the Department of Home Affairs marriage policy development process with the SALRC process, </w:t>
      </w:r>
    </w:p>
    <w:p w14:paraId="0000005A" w14:textId="77777777" w:rsidR="00145FD3" w:rsidRDefault="001B6A53">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regulatory framework which holds Imam marriage officers accountable to anti-discriminatory and gender-inclusive imperatives.</w:t>
      </w:r>
    </w:p>
    <w:p w14:paraId="0000005B" w14:textId="77777777" w:rsidR="00145FD3" w:rsidRDefault="00145FD3">
      <w:pPr>
        <w:spacing w:after="0" w:line="360" w:lineRule="auto"/>
        <w:ind w:left="360"/>
        <w:jc w:val="both"/>
        <w:rPr>
          <w:rFonts w:ascii="Times New Roman" w:eastAsia="Times New Roman" w:hAnsi="Times New Roman" w:cs="Times New Roman"/>
          <w:sz w:val="24"/>
          <w:szCs w:val="24"/>
        </w:rPr>
      </w:pPr>
    </w:p>
    <w:p w14:paraId="0000005C" w14:textId="77777777" w:rsidR="00145FD3" w:rsidRDefault="001B6A53">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the Medium Term,</w:t>
      </w:r>
    </w:p>
    <w:p w14:paraId="0000005D" w14:textId="77777777" w:rsidR="00145FD3" w:rsidRDefault="001B6A53">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one year, the Department of Justice should provide additional resources to support easy access to justice to legal-aid clinics, family and maintenance courts and the Department of Social Development should increase their resource support to counselling centres and women’s shelters.  </w:t>
      </w:r>
    </w:p>
    <w:p w14:paraId="0000005E" w14:textId="77777777" w:rsidR="00145FD3" w:rsidRDefault="00145FD3">
      <w:pPr>
        <w:spacing w:after="0" w:line="360" w:lineRule="auto"/>
        <w:ind w:left="720"/>
        <w:jc w:val="both"/>
        <w:rPr>
          <w:rFonts w:ascii="Times New Roman" w:eastAsia="Times New Roman" w:hAnsi="Times New Roman" w:cs="Times New Roman"/>
          <w:sz w:val="24"/>
          <w:szCs w:val="24"/>
        </w:rPr>
      </w:pPr>
    </w:p>
    <w:p w14:paraId="0000005F" w14:textId="77777777" w:rsidR="00145FD3" w:rsidRDefault="001B6A53">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Within one year of enacting the above legislation, to consult with women through community forums and organisations on lived experiences of such legislation in order to inform and improve its ongoing development.</w:t>
      </w:r>
    </w:p>
    <w:sectPr w:rsidR="00145FD3">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2EBBB" w14:textId="77777777" w:rsidR="00C37420" w:rsidRDefault="00C37420">
      <w:pPr>
        <w:spacing w:after="0" w:line="240" w:lineRule="auto"/>
      </w:pPr>
      <w:r>
        <w:separator/>
      </w:r>
    </w:p>
  </w:endnote>
  <w:endnote w:type="continuationSeparator" w:id="0">
    <w:p w14:paraId="1CF46420" w14:textId="77777777" w:rsidR="00C37420" w:rsidRDefault="00C37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2" w14:textId="77777777" w:rsidR="00145FD3" w:rsidRDefault="00145FD3">
    <w:pPr>
      <w:pBdr>
        <w:top w:val="nil"/>
        <w:left w:val="nil"/>
        <w:bottom w:val="nil"/>
        <w:right w:val="nil"/>
        <w:between w:val="nil"/>
      </w:pBdr>
      <w:tabs>
        <w:tab w:val="center" w:pos="4513"/>
        <w:tab w:val="right" w:pos="9026"/>
      </w:tabs>
      <w:spacing w:after="0" w:line="240" w:lineRule="auto"/>
      <w:jc w:val="center"/>
      <w:rPr>
        <w:color w:val="000000"/>
      </w:rPr>
    </w:pPr>
  </w:p>
  <w:p w14:paraId="00000073" w14:textId="77777777" w:rsidR="00145FD3" w:rsidRDefault="00145FD3">
    <w:pPr>
      <w:pBdr>
        <w:top w:val="nil"/>
        <w:left w:val="nil"/>
        <w:bottom w:val="nil"/>
        <w:right w:val="nil"/>
        <w:between w:val="nil"/>
      </w:pBdr>
      <w:tabs>
        <w:tab w:val="center" w:pos="4513"/>
        <w:tab w:val="right" w:pos="9026"/>
      </w:tabs>
      <w:spacing w:after="0" w:line="240" w:lineRule="auto"/>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4" w14:textId="21E8170E" w:rsidR="00145FD3" w:rsidRDefault="001B6A53">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F3021">
      <w:rPr>
        <w:noProof/>
        <w:color w:val="000000"/>
      </w:rPr>
      <w:t>1</w:t>
    </w:r>
    <w:r>
      <w:rPr>
        <w:color w:val="000000"/>
      </w:rPr>
      <w:fldChar w:fldCharType="end"/>
    </w:r>
  </w:p>
  <w:p w14:paraId="00000075" w14:textId="77777777" w:rsidR="00145FD3" w:rsidRDefault="00145FD3">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CDE0F" w14:textId="77777777" w:rsidR="00C37420" w:rsidRDefault="00C37420">
      <w:pPr>
        <w:spacing w:after="0" w:line="240" w:lineRule="auto"/>
      </w:pPr>
      <w:r>
        <w:separator/>
      </w:r>
    </w:p>
  </w:footnote>
  <w:footnote w:type="continuationSeparator" w:id="0">
    <w:p w14:paraId="321434CB" w14:textId="77777777" w:rsidR="00C37420" w:rsidRDefault="00C37420">
      <w:pPr>
        <w:spacing w:after="0" w:line="240" w:lineRule="auto"/>
      </w:pPr>
      <w:r>
        <w:continuationSeparator/>
      </w:r>
    </w:p>
  </w:footnote>
  <w:footnote w:id="1">
    <w:p w14:paraId="00000060"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Marriages Act 25 of 1961; the Recognition of Customary Marriages Act 120 of 1998;</w:t>
      </w:r>
      <w:r>
        <w:rPr>
          <w:rFonts w:ascii="Times New Roman" w:eastAsia="Times New Roman" w:hAnsi="Times New Roman" w:cs="Times New Roman"/>
          <w:color w:val="000000"/>
          <w:sz w:val="20"/>
          <w:szCs w:val="20"/>
          <w:vertAlign w:val="superscript"/>
        </w:rPr>
        <w:t xml:space="preserve"> </w:t>
      </w:r>
      <w:r>
        <w:rPr>
          <w:rFonts w:ascii="Times New Roman" w:eastAsia="Times New Roman" w:hAnsi="Times New Roman" w:cs="Times New Roman"/>
          <w:color w:val="000000"/>
          <w:sz w:val="20"/>
          <w:szCs w:val="20"/>
        </w:rPr>
        <w:t>Civil Unions Act 17 of 2006, Divorce Act 70 of 1979; the Wills Act 7 of 1953; Intestate Succession Act 81 of 1987; Maintenance of Surviving Spouses Act 27 of 1990 and Maintenance Act 99 of 1998.</w:t>
      </w:r>
    </w:p>
  </w:footnote>
  <w:footnote w:id="2">
    <w:p w14:paraId="00000061"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Hassam v Jacobs NO and Others</w:t>
      </w:r>
      <w:r>
        <w:rPr>
          <w:rFonts w:ascii="Times New Roman" w:eastAsia="Times New Roman" w:hAnsi="Times New Roman" w:cs="Times New Roman"/>
          <w:color w:val="000000"/>
          <w:sz w:val="20"/>
          <w:szCs w:val="20"/>
        </w:rPr>
        <w:t xml:space="preserve"> 2009 (5) SA 572 (CC).</w:t>
      </w:r>
    </w:p>
  </w:footnote>
  <w:footnote w:id="3">
    <w:p w14:paraId="00000062" w14:textId="77777777" w:rsidR="00145FD3" w:rsidRDefault="001B6A5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Periodic report at paras 46 and 179. The report submitted to the United Nations High commissioner for Human Rights on marriage, family and a unified code mentioned in para 179 is not publicly available and therefore we were unable to verify or respond to any of the content addressed in the report.</w:t>
      </w:r>
    </w:p>
  </w:footnote>
  <w:footnote w:id="4">
    <w:p w14:paraId="00000063"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See Appendix B.</w:t>
      </w:r>
    </w:p>
  </w:footnote>
  <w:footnote w:id="5">
    <w:p w14:paraId="00000064"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Daniels v Campbell </w:t>
      </w:r>
      <w:r>
        <w:rPr>
          <w:rFonts w:ascii="Times New Roman" w:eastAsia="Times New Roman" w:hAnsi="Times New Roman" w:cs="Times New Roman"/>
          <w:color w:val="000000"/>
          <w:sz w:val="20"/>
          <w:szCs w:val="20"/>
        </w:rPr>
        <w:t>2004 (5) SA 331 (CC).</w:t>
      </w:r>
    </w:p>
  </w:footnote>
  <w:footnote w:id="6">
    <w:p w14:paraId="00000065"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Hassam v Jacobs </w:t>
      </w:r>
      <w:r>
        <w:rPr>
          <w:rFonts w:ascii="Times New Roman" w:eastAsia="Times New Roman" w:hAnsi="Times New Roman" w:cs="Times New Roman"/>
          <w:color w:val="000000"/>
          <w:sz w:val="20"/>
          <w:szCs w:val="20"/>
        </w:rPr>
        <w:t>note 2 above.</w:t>
      </w:r>
    </w:p>
  </w:footnote>
  <w:footnote w:id="7">
    <w:p w14:paraId="00000066"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i/>
          <w:color w:val="000000"/>
          <w:sz w:val="20"/>
          <w:szCs w:val="20"/>
        </w:rPr>
        <w:t>Amod</w:t>
      </w:r>
      <w:proofErr w:type="spellEnd"/>
      <w:r>
        <w:rPr>
          <w:rFonts w:ascii="Times New Roman" w:eastAsia="Times New Roman" w:hAnsi="Times New Roman" w:cs="Times New Roman"/>
          <w:i/>
          <w:color w:val="000000"/>
          <w:sz w:val="20"/>
          <w:szCs w:val="20"/>
        </w:rPr>
        <w:t xml:space="preserve"> v Multilateral Motor Vehicle Accidents Fund</w:t>
      </w:r>
      <w:r>
        <w:rPr>
          <w:rFonts w:ascii="Times New Roman" w:eastAsia="Times New Roman" w:hAnsi="Times New Roman" w:cs="Times New Roman"/>
          <w:color w:val="000000"/>
          <w:sz w:val="20"/>
          <w:szCs w:val="20"/>
        </w:rPr>
        <w:t xml:space="preserve"> 1998 (4) SA 753.</w:t>
      </w:r>
    </w:p>
  </w:footnote>
  <w:footnote w:id="8">
    <w:p w14:paraId="00000067"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i/>
          <w:color w:val="000000"/>
          <w:sz w:val="20"/>
          <w:szCs w:val="20"/>
        </w:rPr>
        <w:t>Hoosein</w:t>
      </w:r>
      <w:proofErr w:type="spellEnd"/>
      <w:r>
        <w:rPr>
          <w:rFonts w:ascii="Times New Roman" w:eastAsia="Times New Roman" w:hAnsi="Times New Roman" w:cs="Times New Roman"/>
          <w:i/>
          <w:color w:val="000000"/>
          <w:sz w:val="20"/>
          <w:szCs w:val="20"/>
        </w:rPr>
        <w:t xml:space="preserve"> v </w:t>
      </w:r>
      <w:proofErr w:type="spellStart"/>
      <w:r>
        <w:rPr>
          <w:rFonts w:ascii="Times New Roman" w:eastAsia="Times New Roman" w:hAnsi="Times New Roman" w:cs="Times New Roman"/>
          <w:i/>
          <w:color w:val="000000"/>
          <w:sz w:val="20"/>
          <w:szCs w:val="20"/>
        </w:rPr>
        <w:t>Dangor</w:t>
      </w:r>
      <w:proofErr w:type="spellEnd"/>
      <w:r>
        <w:rPr>
          <w:rFonts w:ascii="Times New Roman" w:eastAsia="Times New Roman" w:hAnsi="Times New Roman" w:cs="Times New Roman"/>
          <w:color w:val="000000"/>
          <w:sz w:val="20"/>
          <w:szCs w:val="20"/>
        </w:rPr>
        <w:t xml:space="preserve"> [2010] 2 All SA 55 (WCC).</w:t>
      </w:r>
    </w:p>
  </w:footnote>
  <w:footnote w:id="9">
    <w:p w14:paraId="00000068"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Daniels</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v Campbell</w:t>
      </w:r>
      <w:r>
        <w:rPr>
          <w:rFonts w:ascii="Times New Roman" w:eastAsia="Times New Roman" w:hAnsi="Times New Roman" w:cs="Times New Roman"/>
          <w:color w:val="000000"/>
          <w:sz w:val="20"/>
          <w:szCs w:val="20"/>
        </w:rPr>
        <w:t xml:space="preserve"> note 5 above. </w:t>
      </w:r>
    </w:p>
  </w:footnote>
  <w:footnote w:id="10">
    <w:p w14:paraId="00000069"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Hassam</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v Jacobs</w:t>
      </w:r>
      <w:r>
        <w:rPr>
          <w:rFonts w:ascii="Times New Roman" w:eastAsia="Times New Roman" w:hAnsi="Times New Roman" w:cs="Times New Roman"/>
          <w:color w:val="000000"/>
          <w:sz w:val="20"/>
          <w:szCs w:val="20"/>
        </w:rPr>
        <w:t xml:space="preserve"> note 2 above.</w:t>
      </w:r>
    </w:p>
  </w:footnote>
  <w:footnote w:id="11">
    <w:p w14:paraId="0000006A"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i/>
          <w:color w:val="000000"/>
          <w:sz w:val="20"/>
          <w:szCs w:val="20"/>
        </w:rPr>
        <w:t>Moosa</w:t>
      </w:r>
      <w:proofErr w:type="spellEnd"/>
      <w:r>
        <w:rPr>
          <w:rFonts w:ascii="Times New Roman" w:eastAsia="Times New Roman" w:hAnsi="Times New Roman" w:cs="Times New Roman"/>
          <w:i/>
          <w:color w:val="000000"/>
          <w:sz w:val="20"/>
          <w:szCs w:val="20"/>
        </w:rPr>
        <w:t xml:space="preserve"> NO and Others v Minister of Justice and Correctional Services and Others</w:t>
      </w:r>
      <w:r>
        <w:rPr>
          <w:rFonts w:ascii="Times New Roman" w:eastAsia="Times New Roman" w:hAnsi="Times New Roman" w:cs="Times New Roman"/>
          <w:color w:val="000000"/>
          <w:sz w:val="20"/>
          <w:szCs w:val="20"/>
        </w:rPr>
        <w:t xml:space="preserve"> 2018 (5) SA 13 (CC).</w:t>
      </w:r>
    </w:p>
  </w:footnote>
  <w:footnote w:id="12">
    <w:p w14:paraId="0000006B" w14:textId="77777777" w:rsidR="00145FD3" w:rsidRDefault="001B6A5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Seedat, Fatima. 2019. ‘Intersections and Assemblages: South African’s Negotiating Privilege and Marginality through Freedom of Religion and Sexual Difference’ in Forster, Dion., </w:t>
      </w:r>
      <w:proofErr w:type="spellStart"/>
      <w:r>
        <w:rPr>
          <w:rFonts w:ascii="Times New Roman" w:eastAsia="Times New Roman" w:hAnsi="Times New Roman" w:cs="Times New Roman"/>
          <w:color w:val="000000"/>
          <w:sz w:val="20"/>
          <w:szCs w:val="20"/>
        </w:rPr>
        <w:t>Gerle</w:t>
      </w:r>
      <w:proofErr w:type="spellEnd"/>
      <w:r>
        <w:rPr>
          <w:rFonts w:ascii="Times New Roman" w:eastAsia="Times New Roman" w:hAnsi="Times New Roman" w:cs="Times New Roman"/>
          <w:color w:val="000000"/>
          <w:sz w:val="20"/>
          <w:szCs w:val="20"/>
        </w:rPr>
        <w:t>, Elisabeth. and Gunner, Goran. ed. Freedom of Religion at Stake: Competing Claims among Faith Traditions, States, and Persons. Oregon: Pickwick Publishers. 199-220.</w:t>
      </w:r>
    </w:p>
  </w:footnote>
  <w:footnote w:id="13">
    <w:p w14:paraId="0000006C"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Women's Legal Centre Trust v President of the Republic of South Africa and Others, Faro v Bingham N.O. and Others, Esau v Esau and Others</w:t>
      </w:r>
      <w:r>
        <w:rPr>
          <w:rFonts w:ascii="Times New Roman" w:eastAsia="Times New Roman" w:hAnsi="Times New Roman" w:cs="Times New Roman"/>
          <w:color w:val="000000"/>
          <w:sz w:val="20"/>
          <w:szCs w:val="20"/>
        </w:rPr>
        <w:t xml:space="preserve"> 2018 (6) SA 598 (WCC).</w:t>
      </w:r>
    </w:p>
  </w:footnote>
  <w:footnote w:id="14">
    <w:p w14:paraId="0000006D"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Id at paras 33-39.</w:t>
      </w:r>
    </w:p>
  </w:footnote>
  <w:footnote w:id="15">
    <w:p w14:paraId="0000006E" w14:textId="77777777" w:rsidR="00145FD3" w:rsidRDefault="001B6A53">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Id at para 252.</w:t>
      </w:r>
    </w:p>
  </w:footnote>
  <w:footnote w:id="16">
    <w:p w14:paraId="0000006F" w14:textId="77777777" w:rsidR="00145FD3" w:rsidRDefault="001B6A5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President of the RSA and Another v </w:t>
      </w:r>
      <w:proofErr w:type="spellStart"/>
      <w:r>
        <w:rPr>
          <w:rFonts w:ascii="Times New Roman" w:eastAsia="Times New Roman" w:hAnsi="Times New Roman" w:cs="Times New Roman"/>
          <w:i/>
          <w:color w:val="000000"/>
          <w:sz w:val="20"/>
          <w:szCs w:val="20"/>
        </w:rPr>
        <w:t>Womens</w:t>
      </w:r>
      <w:proofErr w:type="spellEnd"/>
      <w:r>
        <w:rPr>
          <w:rFonts w:ascii="Times New Roman" w:eastAsia="Times New Roman" w:hAnsi="Times New Roman" w:cs="Times New Roman"/>
          <w:i/>
          <w:color w:val="000000"/>
          <w:sz w:val="20"/>
          <w:szCs w:val="20"/>
        </w:rPr>
        <w:t xml:space="preserve"> Legal Centre Trust and Others; Minister of Justice and Constitutional Development v Faro and Others; and Minister of Justice and Constitutional Development v Esau and Others</w:t>
      </w:r>
      <w:r>
        <w:rPr>
          <w:rFonts w:ascii="Times New Roman" w:eastAsia="Times New Roman" w:hAnsi="Times New Roman" w:cs="Times New Roman"/>
          <w:color w:val="000000"/>
          <w:sz w:val="20"/>
          <w:szCs w:val="20"/>
        </w:rPr>
        <w:t xml:space="preserve"> [2020] ZASCA 177 para 51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0" w14:textId="77777777" w:rsidR="00145FD3" w:rsidRDefault="00145FD3">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1" w14:textId="77777777" w:rsidR="00145FD3" w:rsidRDefault="001B6A53">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b/>
        <w:color w:val="000000"/>
        <w:sz w:val="24"/>
        <w:szCs w:val="24"/>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83ABC"/>
    <w:multiLevelType w:val="hybridMultilevel"/>
    <w:tmpl w:val="36CEF364"/>
    <w:lvl w:ilvl="0" w:tplc="14B029C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010369"/>
    <w:multiLevelType w:val="multilevel"/>
    <w:tmpl w:val="26B2F1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3540ED"/>
    <w:multiLevelType w:val="multilevel"/>
    <w:tmpl w:val="E6A85F14"/>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6C649F"/>
    <w:multiLevelType w:val="hybridMultilevel"/>
    <w:tmpl w:val="DC80D2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37E747B"/>
    <w:multiLevelType w:val="multilevel"/>
    <w:tmpl w:val="E9BEA7D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9735BA"/>
    <w:multiLevelType w:val="multilevel"/>
    <w:tmpl w:val="B11890B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3EC52D0"/>
    <w:multiLevelType w:val="multilevel"/>
    <w:tmpl w:val="5BAADB5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416E8C"/>
    <w:multiLevelType w:val="multilevel"/>
    <w:tmpl w:val="884E7D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5"/>
  </w:num>
  <w:num w:numId="4">
    <w:abstractNumId w:val="6"/>
  </w:num>
  <w:num w:numId="5">
    <w:abstractNumId w:val="4"/>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FD3"/>
    <w:rsid w:val="00145FD3"/>
    <w:rsid w:val="001B6A53"/>
    <w:rsid w:val="003325F2"/>
    <w:rsid w:val="003D404E"/>
    <w:rsid w:val="00497327"/>
    <w:rsid w:val="00514E4C"/>
    <w:rsid w:val="00710C65"/>
    <w:rsid w:val="009442E7"/>
    <w:rsid w:val="00BD7880"/>
    <w:rsid w:val="00C37420"/>
    <w:rsid w:val="00CF302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C2839"/>
  <w15:docId w15:val="{FB1E9326-D36C-B349-BA73-59AA64BF9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Z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276E0"/>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276E0"/>
    <w:rPr>
      <w:rFonts w:ascii="Times New Roman" w:hAnsi="Times New Roman"/>
      <w:sz w:val="18"/>
      <w:szCs w:val="18"/>
    </w:rPr>
  </w:style>
  <w:style w:type="paragraph" w:styleId="CommentSubject">
    <w:name w:val="annotation subject"/>
    <w:basedOn w:val="CommentText"/>
    <w:next w:val="CommentText"/>
    <w:link w:val="CommentSubjectChar"/>
    <w:uiPriority w:val="99"/>
    <w:semiHidden/>
    <w:unhideWhenUsed/>
    <w:rsid w:val="007276E0"/>
    <w:rPr>
      <w:b/>
      <w:bCs/>
    </w:rPr>
  </w:style>
  <w:style w:type="character" w:customStyle="1" w:styleId="CommentSubjectChar">
    <w:name w:val="Comment Subject Char"/>
    <w:basedOn w:val="CommentTextChar"/>
    <w:link w:val="CommentSubject"/>
    <w:uiPriority w:val="99"/>
    <w:semiHidden/>
    <w:rsid w:val="007276E0"/>
    <w:rPr>
      <w:b/>
      <w:bCs/>
      <w:sz w:val="20"/>
      <w:szCs w:val="20"/>
    </w:rPr>
  </w:style>
  <w:style w:type="paragraph" w:styleId="ListParagraph">
    <w:name w:val="List Paragraph"/>
    <w:basedOn w:val="Normal"/>
    <w:uiPriority w:val="34"/>
    <w:qFormat/>
    <w:rsid w:val="001F3E45"/>
    <w:pPr>
      <w:ind w:left="720"/>
      <w:contextualSpacing/>
    </w:pPr>
  </w:style>
  <w:style w:type="paragraph" w:styleId="Header">
    <w:name w:val="header"/>
    <w:basedOn w:val="Normal"/>
    <w:link w:val="HeaderChar"/>
    <w:uiPriority w:val="99"/>
    <w:unhideWhenUsed/>
    <w:rsid w:val="001F3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E45"/>
  </w:style>
  <w:style w:type="paragraph" w:styleId="Footer">
    <w:name w:val="footer"/>
    <w:basedOn w:val="Normal"/>
    <w:link w:val="FooterChar"/>
    <w:uiPriority w:val="99"/>
    <w:unhideWhenUsed/>
    <w:rsid w:val="001F3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E45"/>
  </w:style>
  <w:style w:type="paragraph" w:styleId="TOCHeading">
    <w:name w:val="TOC Heading"/>
    <w:basedOn w:val="Heading1"/>
    <w:next w:val="Normal"/>
    <w:uiPriority w:val="39"/>
    <w:unhideWhenUsed/>
    <w:qFormat/>
    <w:rsid w:val="00C64A80"/>
    <w:pPr>
      <w:spacing w:before="240" w:after="0"/>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64A80"/>
    <w:pPr>
      <w:spacing w:after="100"/>
    </w:pPr>
  </w:style>
  <w:style w:type="paragraph" w:styleId="TOC2">
    <w:name w:val="toc 2"/>
    <w:basedOn w:val="Normal"/>
    <w:next w:val="Normal"/>
    <w:autoRedefine/>
    <w:uiPriority w:val="39"/>
    <w:unhideWhenUsed/>
    <w:rsid w:val="00C64A80"/>
    <w:pPr>
      <w:spacing w:after="100"/>
      <w:ind w:left="220"/>
    </w:pPr>
  </w:style>
  <w:style w:type="character" w:styleId="Hyperlink">
    <w:name w:val="Hyperlink"/>
    <w:basedOn w:val="DefaultParagraphFont"/>
    <w:uiPriority w:val="99"/>
    <w:unhideWhenUsed/>
    <w:rsid w:val="00C64A80"/>
    <w:rPr>
      <w:color w:val="0000FF" w:themeColor="hyperlink"/>
      <w:u w:val="single"/>
    </w:rPr>
  </w:style>
  <w:style w:type="paragraph" w:styleId="FootnoteText">
    <w:name w:val="footnote text"/>
    <w:basedOn w:val="Normal"/>
    <w:link w:val="FootnoteTextChar"/>
    <w:uiPriority w:val="99"/>
    <w:semiHidden/>
    <w:unhideWhenUsed/>
    <w:rsid w:val="00EF4A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4A87"/>
    <w:rPr>
      <w:sz w:val="20"/>
      <w:szCs w:val="20"/>
    </w:rPr>
  </w:style>
  <w:style w:type="character" w:styleId="FootnoteReference">
    <w:name w:val="footnote reference"/>
    <w:basedOn w:val="DefaultParagraphFont"/>
    <w:uiPriority w:val="99"/>
    <w:semiHidden/>
    <w:unhideWhenUsed/>
    <w:rsid w:val="00EF4A87"/>
    <w:rPr>
      <w:vertAlign w:val="superscript"/>
    </w:rPr>
  </w:style>
  <w:style w:type="character" w:customStyle="1" w:styleId="UnresolvedMention1">
    <w:name w:val="Unresolved Mention1"/>
    <w:basedOn w:val="DefaultParagraphFont"/>
    <w:uiPriority w:val="99"/>
    <w:semiHidden/>
    <w:unhideWhenUsed/>
    <w:rsid w:val="00EC7144"/>
    <w:rPr>
      <w:color w:val="605E5C"/>
      <w:shd w:val="clear" w:color="auto" w:fill="E1DFDD"/>
    </w:rPr>
  </w:style>
  <w:style w:type="character" w:styleId="FollowedHyperlink">
    <w:name w:val="FollowedHyperlink"/>
    <w:basedOn w:val="DefaultParagraphFont"/>
    <w:uiPriority w:val="99"/>
    <w:semiHidden/>
    <w:unhideWhenUsed/>
    <w:rsid w:val="000F0791"/>
    <w:rPr>
      <w:color w:val="800080" w:themeColor="followedHyperlink"/>
      <w:u w:val="single"/>
    </w:rPr>
  </w:style>
  <w:style w:type="paragraph" w:styleId="TOC3">
    <w:name w:val="toc 3"/>
    <w:basedOn w:val="Normal"/>
    <w:next w:val="Normal"/>
    <w:autoRedefine/>
    <w:uiPriority w:val="39"/>
    <w:unhideWhenUsed/>
    <w:rsid w:val="00551B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BfgJGzHXhlYeoXgACLFG9rxbBA==">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ED0E337-60F7-4B96-9DA9-5F47DB37BED8}"/>
</file>

<file path=customXml/itemProps3.xml><?xml version="1.0" encoding="utf-8"?>
<ds:datastoreItem xmlns:ds="http://schemas.openxmlformats.org/officeDocument/2006/customXml" ds:itemID="{69C551E0-473A-4794-BDE2-E29DD3ED5AFB}"/>
</file>

<file path=customXml/itemProps4.xml><?xml version="1.0" encoding="utf-8"?>
<ds:datastoreItem xmlns:ds="http://schemas.openxmlformats.org/officeDocument/2006/customXml" ds:itemID="{4FF0E79A-B1E2-44F5-964B-D6F714D236F3}"/>
</file>

<file path=docProps/app.xml><?xml version="1.0" encoding="utf-8"?>
<Properties xmlns="http://schemas.openxmlformats.org/officeDocument/2006/extended-properties" xmlns:vt="http://schemas.openxmlformats.org/officeDocument/2006/docPropsVTypes">
  <Template>Normal.dotm</Template>
  <TotalTime>13</TotalTime>
  <Pages>11</Pages>
  <Words>2902</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Zeenat Sujee</dc:creator>
  <cp:lastModifiedBy>Zeenat Sujee</cp:lastModifiedBy>
  <cp:revision>6</cp:revision>
  <dcterms:created xsi:type="dcterms:W3CDTF">2021-09-15T10:01:00Z</dcterms:created>
  <dcterms:modified xsi:type="dcterms:W3CDTF">2021-10-15T11:11:00Z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