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4810EBB3" w14:textId="056F192C" w:rsidR="003F57E4" w:rsidRPr="003F57E4" w:rsidRDefault="003F57E4" w:rsidP="00124E0C">
      <w:pPr>
        <w:pStyle w:val="BFrontcovermaintitle"/>
        <w:rPr>
          <w:rFonts w:eastAsia="MS Mincho"/>
          <w:shd w:val="clear" w:color="auto" w:fill="FFFF00"/>
        </w:rPr>
      </w:pPr>
      <w:r w:rsidRPr="003F57E4">
        <w:rPr>
          <w:rFonts w:eastAsia="MS Mincho"/>
          <w:shd w:val="clear" w:color="auto" w:fill="FFFF00"/>
        </w:rPr>
        <w:t> </w:t>
      </w:r>
      <w:r w:rsidR="0075025D">
        <w:rPr>
          <w:rFonts w:eastAsia="MS Mincho"/>
          <w:shd w:val="clear" w:color="auto" w:fill="FFFF00"/>
        </w:rPr>
        <w:t>germany</w:t>
      </w:r>
    </w:p>
    <w:p w14:paraId="0FAD7339" w14:textId="77777777" w:rsidR="0021319C" w:rsidRPr="0021319C" w:rsidRDefault="0021319C" w:rsidP="0021319C">
      <w:pPr>
        <w:pStyle w:val="BSubtitle"/>
      </w:pPr>
      <w:r w:rsidRPr="0021319C">
        <w:t xml:space="preserve">SUBMISSION TO THE UN COMMITTEE ON THE ELIMINATION OF RACIAL DISCRIMINATION </w:t>
      </w:r>
    </w:p>
    <w:p w14:paraId="0C2A02DD" w14:textId="77777777" w:rsidR="0021319C" w:rsidRPr="0021319C" w:rsidRDefault="0021319C" w:rsidP="0021319C">
      <w:pPr>
        <w:pStyle w:val="BSubtitle"/>
      </w:pPr>
      <w:r w:rsidRPr="0021319C">
        <w:t>111</w:t>
      </w:r>
      <w:r w:rsidRPr="0021319C">
        <w:rPr>
          <w:vertAlign w:val="superscript"/>
        </w:rPr>
        <w:t>TH</w:t>
      </w:r>
      <w:r w:rsidRPr="0021319C">
        <w:t xml:space="preserve"> SESSION, 20 NOVEMBER 2023 – 8 DECEMBER 2023</w:t>
      </w:r>
    </w:p>
    <w:p w14:paraId="4C2F171B" w14:textId="1769E09E" w:rsidR="00065FFC" w:rsidRDefault="00065FFC" w:rsidP="0021319C">
      <w:pPr>
        <w:pStyle w:val="BSubtitle"/>
      </w:pPr>
    </w:p>
    <w:p w14:paraId="459641EC" w14:textId="77777777" w:rsidR="00065FFC" w:rsidRDefault="00065FFC" w:rsidP="00B0223B"/>
    <w:p w14:paraId="306BCFC7" w14:textId="37691711" w:rsidR="00065FFC" w:rsidRDefault="005D6062" w:rsidP="00B0223B">
      <w:r w:rsidRPr="0009139D">
        <w:rPr>
          <w:rStyle w:val="TOC2Char"/>
          <w:sz w:val="36"/>
          <w:szCs w:val="36"/>
        </w:rPr>
        <w:drawing>
          <wp:anchor distT="0" distB="144145" distL="114300" distR="114300" simplePos="0" relativeHeight="251658248" behindDoc="1" locked="1" layoutInCell="1" allowOverlap="1" wp14:anchorId="1D8924D2" wp14:editId="3156544C">
            <wp:simplePos x="0" y="0"/>
            <wp:positionH relativeFrom="margin">
              <wp:posOffset>1373505</wp:posOffset>
            </wp:positionH>
            <wp:positionV relativeFrom="margin">
              <wp:posOffset>2923540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w16du="http://schemas.microsoft.com/office/word/2023/wordml/word16du"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p>
    <w:p w14:paraId="330EE55A" w14:textId="77777777" w:rsidR="00162896" w:rsidRDefault="00065FFC" w:rsidP="00065FFC">
      <w:pPr>
        <w:pStyle w:val="BContentsheading"/>
      </w:pPr>
      <w:r w:rsidRPr="00065FFC">
        <w:lastRenderedPageBreak/>
        <w:t>Contents</w:t>
      </w:r>
    </w:p>
    <w:p w14:paraId="2AAC4187" w14:textId="591819A4" w:rsidR="00384208" w:rsidRDefault="00346173">
      <w:pPr>
        <w:pStyle w:val="TOC1"/>
        <w:rPr>
          <w:rFonts w:asciiTheme="minorHAnsi" w:eastAsiaTheme="minorEastAsia" w:hAnsiTheme="minorHAnsi" w:cstheme="minorBidi"/>
          <w:b w:val="0"/>
          <w:bCs w:val="0"/>
          <w:caps w:val="0"/>
          <w:color w:val="auto"/>
          <w:sz w:val="22"/>
          <w:u w:val="none"/>
        </w:rPr>
      </w:pPr>
      <w:r w:rsidRPr="00B61AFE">
        <w:fldChar w:fldCharType="begin"/>
      </w:r>
      <w:r w:rsidRPr="00B61AFE">
        <w:instrText xml:space="preserve"> TOC \h \z \t "B Heading (no numbers),1,B Numbered Heading,1,B Subheading (no numbers),2,B Numbered Subheading,2" </w:instrText>
      </w:r>
      <w:r w:rsidRPr="00B61AFE">
        <w:fldChar w:fldCharType="separate"/>
      </w:r>
      <w:hyperlink w:anchor="_Toc149154491" w:history="1">
        <w:r w:rsidR="00384208" w:rsidRPr="00A249A0">
          <w:rPr>
            <w:rStyle w:val="Hyperlink"/>
          </w:rPr>
          <w:t>1.</w:t>
        </w:r>
        <w:r w:rsidR="00384208">
          <w:rPr>
            <w:rFonts w:asciiTheme="minorHAnsi" w:eastAsiaTheme="minorEastAsia" w:hAnsiTheme="minorHAnsi" w:cstheme="minorBidi"/>
            <w:b w:val="0"/>
            <w:bCs w:val="0"/>
            <w:caps w:val="0"/>
            <w:color w:val="auto"/>
            <w:sz w:val="22"/>
            <w:u w:val="none"/>
          </w:rPr>
          <w:tab/>
        </w:r>
        <w:r w:rsidR="00384208" w:rsidRPr="00A249A0">
          <w:rPr>
            <w:rStyle w:val="Hyperlink"/>
          </w:rPr>
          <w:t>INTRODUCTION</w:t>
        </w:r>
        <w:r w:rsidR="00384208">
          <w:rPr>
            <w:webHidden/>
          </w:rPr>
          <w:tab/>
        </w:r>
        <w:r w:rsidR="00384208">
          <w:rPr>
            <w:webHidden/>
          </w:rPr>
          <w:fldChar w:fldCharType="begin"/>
        </w:r>
        <w:r w:rsidR="00384208">
          <w:rPr>
            <w:webHidden/>
          </w:rPr>
          <w:instrText xml:space="preserve"> PAGEREF _Toc149154491 \h </w:instrText>
        </w:r>
        <w:r w:rsidR="00384208">
          <w:rPr>
            <w:webHidden/>
          </w:rPr>
        </w:r>
        <w:r w:rsidR="00384208">
          <w:rPr>
            <w:webHidden/>
          </w:rPr>
          <w:fldChar w:fldCharType="separate"/>
        </w:r>
        <w:r w:rsidR="001C2B8A">
          <w:rPr>
            <w:webHidden/>
          </w:rPr>
          <w:t>3</w:t>
        </w:r>
        <w:r w:rsidR="00384208">
          <w:rPr>
            <w:webHidden/>
          </w:rPr>
          <w:fldChar w:fldCharType="end"/>
        </w:r>
      </w:hyperlink>
    </w:p>
    <w:p w14:paraId="2D5A976F" w14:textId="27F70CBB" w:rsidR="00384208" w:rsidRDefault="00384208">
      <w:pPr>
        <w:pStyle w:val="TOC1"/>
        <w:rPr>
          <w:rFonts w:asciiTheme="minorHAnsi" w:eastAsiaTheme="minorEastAsia" w:hAnsiTheme="minorHAnsi" w:cstheme="minorBidi"/>
          <w:b w:val="0"/>
          <w:bCs w:val="0"/>
          <w:caps w:val="0"/>
          <w:color w:val="auto"/>
          <w:sz w:val="22"/>
          <w:u w:val="none"/>
        </w:rPr>
      </w:pPr>
      <w:hyperlink w:anchor="_Toc149154492" w:history="1">
        <w:r w:rsidRPr="00A249A0">
          <w:rPr>
            <w:rStyle w:val="Hyperlink"/>
          </w:rPr>
          <w:t>2.</w:t>
        </w:r>
        <w:r>
          <w:rPr>
            <w:rFonts w:asciiTheme="minorHAnsi" w:eastAsiaTheme="minorEastAsia" w:hAnsiTheme="minorHAnsi" w:cstheme="minorBidi"/>
            <w:b w:val="0"/>
            <w:bCs w:val="0"/>
            <w:caps w:val="0"/>
            <w:color w:val="auto"/>
            <w:sz w:val="22"/>
            <w:u w:val="none"/>
          </w:rPr>
          <w:tab/>
        </w:r>
        <w:r w:rsidRPr="00A249A0">
          <w:rPr>
            <w:rStyle w:val="Hyperlink"/>
          </w:rPr>
          <w:t>State’s failures to address systemic racism</w:t>
        </w:r>
        <w:r>
          <w:rPr>
            <w:webHidden/>
          </w:rPr>
          <w:tab/>
        </w:r>
        <w:r>
          <w:rPr>
            <w:webHidden/>
          </w:rPr>
          <w:fldChar w:fldCharType="begin"/>
        </w:r>
        <w:r>
          <w:rPr>
            <w:webHidden/>
          </w:rPr>
          <w:instrText xml:space="preserve"> PAGEREF _Toc149154492 \h </w:instrText>
        </w:r>
        <w:r>
          <w:rPr>
            <w:webHidden/>
          </w:rPr>
        </w:r>
        <w:r>
          <w:rPr>
            <w:webHidden/>
          </w:rPr>
          <w:fldChar w:fldCharType="separate"/>
        </w:r>
        <w:r w:rsidR="001C2B8A">
          <w:rPr>
            <w:webHidden/>
          </w:rPr>
          <w:t>3</w:t>
        </w:r>
        <w:r>
          <w:rPr>
            <w:webHidden/>
          </w:rPr>
          <w:fldChar w:fldCharType="end"/>
        </w:r>
      </w:hyperlink>
    </w:p>
    <w:p w14:paraId="07704A6E" w14:textId="3D7FCB53" w:rsidR="00384208" w:rsidRDefault="00384208">
      <w:pPr>
        <w:pStyle w:val="TOC2"/>
        <w:rPr>
          <w:rFonts w:asciiTheme="minorHAnsi" w:eastAsiaTheme="minorEastAsia" w:hAnsiTheme="minorHAnsi" w:cstheme="minorBidi"/>
          <w:bCs w:val="0"/>
          <w:sz w:val="22"/>
          <w:szCs w:val="22"/>
          <w:u w:val="none"/>
        </w:rPr>
      </w:pPr>
      <w:hyperlink w:anchor="_Toc149154493" w:history="1">
        <w:r w:rsidRPr="00A249A0">
          <w:rPr>
            <w:rStyle w:val="Hyperlink"/>
          </w:rPr>
          <w:t>2.1</w:t>
        </w:r>
        <w:r>
          <w:rPr>
            <w:rFonts w:asciiTheme="minorHAnsi" w:eastAsiaTheme="minorEastAsia" w:hAnsiTheme="minorHAnsi" w:cstheme="minorBidi"/>
            <w:bCs w:val="0"/>
            <w:sz w:val="22"/>
            <w:szCs w:val="22"/>
            <w:u w:val="none"/>
          </w:rPr>
          <w:tab/>
        </w:r>
        <w:r w:rsidRPr="00A249A0">
          <w:rPr>
            <w:rStyle w:val="Hyperlink"/>
          </w:rPr>
          <w:t>Constraints on public policies to combat racism and promote racial equality</w:t>
        </w:r>
        <w:r>
          <w:rPr>
            <w:webHidden/>
          </w:rPr>
          <w:tab/>
        </w:r>
        <w:r>
          <w:rPr>
            <w:webHidden/>
          </w:rPr>
          <w:fldChar w:fldCharType="begin"/>
        </w:r>
        <w:r>
          <w:rPr>
            <w:webHidden/>
          </w:rPr>
          <w:instrText xml:space="preserve"> PAGEREF _Toc149154493 \h </w:instrText>
        </w:r>
        <w:r>
          <w:rPr>
            <w:webHidden/>
          </w:rPr>
        </w:r>
        <w:r>
          <w:rPr>
            <w:webHidden/>
          </w:rPr>
          <w:fldChar w:fldCharType="separate"/>
        </w:r>
        <w:r w:rsidR="001C2B8A">
          <w:rPr>
            <w:webHidden/>
          </w:rPr>
          <w:t>3</w:t>
        </w:r>
        <w:r>
          <w:rPr>
            <w:webHidden/>
          </w:rPr>
          <w:fldChar w:fldCharType="end"/>
        </w:r>
      </w:hyperlink>
    </w:p>
    <w:p w14:paraId="79E40DE9" w14:textId="4BEF2420" w:rsidR="00384208" w:rsidRDefault="00384208">
      <w:pPr>
        <w:pStyle w:val="TOC2"/>
        <w:rPr>
          <w:rFonts w:asciiTheme="minorHAnsi" w:eastAsiaTheme="minorEastAsia" w:hAnsiTheme="minorHAnsi" w:cstheme="minorBidi"/>
          <w:bCs w:val="0"/>
          <w:sz w:val="22"/>
          <w:szCs w:val="22"/>
          <w:u w:val="none"/>
        </w:rPr>
      </w:pPr>
      <w:hyperlink w:anchor="_Toc149154494" w:history="1">
        <w:r w:rsidRPr="00A249A0">
          <w:rPr>
            <w:rStyle w:val="Hyperlink"/>
          </w:rPr>
          <w:t>2.2</w:t>
        </w:r>
        <w:r>
          <w:rPr>
            <w:rFonts w:asciiTheme="minorHAnsi" w:eastAsiaTheme="minorEastAsia" w:hAnsiTheme="minorHAnsi" w:cstheme="minorBidi"/>
            <w:bCs w:val="0"/>
            <w:sz w:val="22"/>
            <w:szCs w:val="22"/>
            <w:u w:val="none"/>
          </w:rPr>
          <w:tab/>
        </w:r>
        <w:r w:rsidRPr="00A249A0">
          <w:rPr>
            <w:rStyle w:val="Hyperlink"/>
          </w:rPr>
          <w:t>Recommendations</w:t>
        </w:r>
        <w:r>
          <w:rPr>
            <w:webHidden/>
          </w:rPr>
          <w:tab/>
        </w:r>
        <w:r>
          <w:rPr>
            <w:webHidden/>
          </w:rPr>
          <w:fldChar w:fldCharType="begin"/>
        </w:r>
        <w:r>
          <w:rPr>
            <w:webHidden/>
          </w:rPr>
          <w:instrText xml:space="preserve"> PAGEREF _Toc149154494 \h </w:instrText>
        </w:r>
        <w:r>
          <w:rPr>
            <w:webHidden/>
          </w:rPr>
        </w:r>
        <w:r>
          <w:rPr>
            <w:webHidden/>
          </w:rPr>
          <w:fldChar w:fldCharType="separate"/>
        </w:r>
        <w:r w:rsidR="001C2B8A">
          <w:rPr>
            <w:webHidden/>
          </w:rPr>
          <w:t>5</w:t>
        </w:r>
        <w:r>
          <w:rPr>
            <w:webHidden/>
          </w:rPr>
          <w:fldChar w:fldCharType="end"/>
        </w:r>
      </w:hyperlink>
    </w:p>
    <w:p w14:paraId="3CF6AD70" w14:textId="183FF1B0" w:rsidR="00384208" w:rsidRDefault="00384208">
      <w:pPr>
        <w:pStyle w:val="TOC2"/>
        <w:rPr>
          <w:rFonts w:asciiTheme="minorHAnsi" w:eastAsiaTheme="minorEastAsia" w:hAnsiTheme="minorHAnsi" w:cstheme="minorBidi"/>
          <w:bCs w:val="0"/>
          <w:sz w:val="22"/>
          <w:szCs w:val="22"/>
          <w:u w:val="none"/>
        </w:rPr>
      </w:pPr>
      <w:hyperlink w:anchor="_Toc149154495" w:history="1">
        <w:r w:rsidRPr="00A249A0">
          <w:rPr>
            <w:rStyle w:val="Hyperlink"/>
          </w:rPr>
          <w:t>2.3</w:t>
        </w:r>
        <w:r>
          <w:rPr>
            <w:rFonts w:asciiTheme="minorHAnsi" w:eastAsiaTheme="minorEastAsia" w:hAnsiTheme="minorHAnsi" w:cstheme="minorBidi"/>
            <w:bCs w:val="0"/>
            <w:sz w:val="22"/>
            <w:szCs w:val="22"/>
            <w:u w:val="none"/>
          </w:rPr>
          <w:tab/>
        </w:r>
        <w:r w:rsidRPr="00A249A0">
          <w:rPr>
            <w:rStyle w:val="Hyperlink"/>
          </w:rPr>
          <w:t>Lack of comprehensive public disaggregated data</w:t>
        </w:r>
        <w:r>
          <w:rPr>
            <w:webHidden/>
          </w:rPr>
          <w:tab/>
        </w:r>
        <w:r>
          <w:rPr>
            <w:webHidden/>
          </w:rPr>
          <w:fldChar w:fldCharType="begin"/>
        </w:r>
        <w:r>
          <w:rPr>
            <w:webHidden/>
          </w:rPr>
          <w:instrText xml:space="preserve"> PAGEREF _Toc149154495 \h </w:instrText>
        </w:r>
        <w:r>
          <w:rPr>
            <w:webHidden/>
          </w:rPr>
        </w:r>
        <w:r>
          <w:rPr>
            <w:webHidden/>
          </w:rPr>
          <w:fldChar w:fldCharType="separate"/>
        </w:r>
        <w:r w:rsidR="001C2B8A">
          <w:rPr>
            <w:webHidden/>
          </w:rPr>
          <w:t>5</w:t>
        </w:r>
        <w:r>
          <w:rPr>
            <w:webHidden/>
          </w:rPr>
          <w:fldChar w:fldCharType="end"/>
        </w:r>
      </w:hyperlink>
    </w:p>
    <w:p w14:paraId="5E687D06" w14:textId="562492F1" w:rsidR="00384208" w:rsidRDefault="00384208">
      <w:pPr>
        <w:pStyle w:val="TOC2"/>
        <w:rPr>
          <w:rFonts w:asciiTheme="minorHAnsi" w:eastAsiaTheme="minorEastAsia" w:hAnsiTheme="minorHAnsi" w:cstheme="minorBidi"/>
          <w:bCs w:val="0"/>
          <w:sz w:val="22"/>
          <w:szCs w:val="22"/>
          <w:u w:val="none"/>
        </w:rPr>
      </w:pPr>
      <w:hyperlink w:anchor="_Toc149154496" w:history="1">
        <w:r w:rsidRPr="00A249A0">
          <w:rPr>
            <w:rStyle w:val="Hyperlink"/>
          </w:rPr>
          <w:t>2.4</w:t>
        </w:r>
        <w:r>
          <w:rPr>
            <w:rFonts w:asciiTheme="minorHAnsi" w:eastAsiaTheme="minorEastAsia" w:hAnsiTheme="minorHAnsi" w:cstheme="minorBidi"/>
            <w:bCs w:val="0"/>
            <w:sz w:val="22"/>
            <w:szCs w:val="22"/>
            <w:u w:val="none"/>
          </w:rPr>
          <w:tab/>
        </w:r>
        <w:r w:rsidRPr="00A249A0">
          <w:rPr>
            <w:rStyle w:val="Hyperlink"/>
          </w:rPr>
          <w:t>Recommendations</w:t>
        </w:r>
        <w:r>
          <w:rPr>
            <w:webHidden/>
          </w:rPr>
          <w:tab/>
        </w:r>
        <w:r>
          <w:rPr>
            <w:webHidden/>
          </w:rPr>
          <w:fldChar w:fldCharType="begin"/>
        </w:r>
        <w:r>
          <w:rPr>
            <w:webHidden/>
          </w:rPr>
          <w:instrText xml:space="preserve"> PAGEREF _Toc149154496 \h </w:instrText>
        </w:r>
        <w:r>
          <w:rPr>
            <w:webHidden/>
          </w:rPr>
        </w:r>
        <w:r>
          <w:rPr>
            <w:webHidden/>
          </w:rPr>
          <w:fldChar w:fldCharType="separate"/>
        </w:r>
        <w:r w:rsidR="001C2B8A">
          <w:rPr>
            <w:webHidden/>
          </w:rPr>
          <w:t>6</w:t>
        </w:r>
        <w:r>
          <w:rPr>
            <w:webHidden/>
          </w:rPr>
          <w:fldChar w:fldCharType="end"/>
        </w:r>
      </w:hyperlink>
    </w:p>
    <w:p w14:paraId="69913920" w14:textId="5340B1C8" w:rsidR="00384208" w:rsidRDefault="00384208">
      <w:pPr>
        <w:pStyle w:val="TOC1"/>
        <w:rPr>
          <w:rFonts w:asciiTheme="minorHAnsi" w:eastAsiaTheme="minorEastAsia" w:hAnsiTheme="minorHAnsi" w:cstheme="minorBidi"/>
          <w:b w:val="0"/>
          <w:bCs w:val="0"/>
          <w:caps w:val="0"/>
          <w:color w:val="auto"/>
          <w:sz w:val="22"/>
          <w:u w:val="none"/>
        </w:rPr>
      </w:pPr>
      <w:hyperlink w:anchor="_Toc149154497" w:history="1">
        <w:r w:rsidRPr="00A249A0">
          <w:rPr>
            <w:rStyle w:val="Hyperlink"/>
          </w:rPr>
          <w:t>3.</w:t>
        </w:r>
        <w:r>
          <w:rPr>
            <w:rFonts w:asciiTheme="minorHAnsi" w:eastAsiaTheme="minorEastAsia" w:hAnsiTheme="minorHAnsi" w:cstheme="minorBidi"/>
            <w:b w:val="0"/>
            <w:bCs w:val="0"/>
            <w:caps w:val="0"/>
            <w:color w:val="auto"/>
            <w:sz w:val="22"/>
            <w:u w:val="none"/>
          </w:rPr>
          <w:tab/>
        </w:r>
        <w:r w:rsidRPr="00A249A0">
          <w:rPr>
            <w:rStyle w:val="Hyperlink"/>
          </w:rPr>
          <w:t>Racist Discrimination and violence by state actors</w:t>
        </w:r>
        <w:r>
          <w:rPr>
            <w:webHidden/>
          </w:rPr>
          <w:tab/>
        </w:r>
        <w:r>
          <w:rPr>
            <w:webHidden/>
          </w:rPr>
          <w:fldChar w:fldCharType="begin"/>
        </w:r>
        <w:r>
          <w:rPr>
            <w:webHidden/>
          </w:rPr>
          <w:instrText xml:space="preserve"> PAGEREF _Toc149154497 \h </w:instrText>
        </w:r>
        <w:r>
          <w:rPr>
            <w:webHidden/>
          </w:rPr>
        </w:r>
        <w:r>
          <w:rPr>
            <w:webHidden/>
          </w:rPr>
          <w:fldChar w:fldCharType="separate"/>
        </w:r>
        <w:r w:rsidR="001C2B8A">
          <w:rPr>
            <w:webHidden/>
          </w:rPr>
          <w:t>6</w:t>
        </w:r>
        <w:r>
          <w:rPr>
            <w:webHidden/>
          </w:rPr>
          <w:fldChar w:fldCharType="end"/>
        </w:r>
      </w:hyperlink>
    </w:p>
    <w:p w14:paraId="03497AB0" w14:textId="048E7A19" w:rsidR="00384208" w:rsidRDefault="00384208">
      <w:pPr>
        <w:pStyle w:val="TOC2"/>
        <w:rPr>
          <w:rFonts w:asciiTheme="minorHAnsi" w:eastAsiaTheme="minorEastAsia" w:hAnsiTheme="minorHAnsi" w:cstheme="minorBidi"/>
          <w:bCs w:val="0"/>
          <w:sz w:val="22"/>
          <w:szCs w:val="22"/>
          <w:u w:val="none"/>
        </w:rPr>
      </w:pPr>
      <w:hyperlink w:anchor="_Toc149154498" w:history="1">
        <w:r w:rsidRPr="00A249A0">
          <w:rPr>
            <w:rStyle w:val="Hyperlink"/>
          </w:rPr>
          <w:t>3.1</w:t>
        </w:r>
        <w:r>
          <w:rPr>
            <w:rFonts w:asciiTheme="minorHAnsi" w:eastAsiaTheme="minorEastAsia" w:hAnsiTheme="minorHAnsi" w:cstheme="minorBidi"/>
            <w:bCs w:val="0"/>
            <w:sz w:val="22"/>
            <w:szCs w:val="22"/>
            <w:u w:val="none"/>
          </w:rPr>
          <w:tab/>
        </w:r>
        <w:r w:rsidRPr="00A249A0">
          <w:rPr>
            <w:rStyle w:val="Hyperlink"/>
          </w:rPr>
          <w:t>Racially discriminatory policing practices and lack of prevention and accountability</w:t>
        </w:r>
        <w:r>
          <w:rPr>
            <w:webHidden/>
          </w:rPr>
          <w:tab/>
        </w:r>
        <w:r>
          <w:rPr>
            <w:webHidden/>
          </w:rPr>
          <w:fldChar w:fldCharType="begin"/>
        </w:r>
        <w:r>
          <w:rPr>
            <w:webHidden/>
          </w:rPr>
          <w:instrText xml:space="preserve"> PAGEREF _Toc149154498 \h </w:instrText>
        </w:r>
        <w:r>
          <w:rPr>
            <w:webHidden/>
          </w:rPr>
        </w:r>
        <w:r>
          <w:rPr>
            <w:webHidden/>
          </w:rPr>
          <w:fldChar w:fldCharType="separate"/>
        </w:r>
        <w:r w:rsidR="001C2B8A">
          <w:rPr>
            <w:webHidden/>
          </w:rPr>
          <w:t>6</w:t>
        </w:r>
        <w:r>
          <w:rPr>
            <w:webHidden/>
          </w:rPr>
          <w:fldChar w:fldCharType="end"/>
        </w:r>
      </w:hyperlink>
    </w:p>
    <w:p w14:paraId="34F4614B" w14:textId="29708536" w:rsidR="00384208" w:rsidRDefault="00384208">
      <w:pPr>
        <w:pStyle w:val="TOC2"/>
        <w:rPr>
          <w:rFonts w:asciiTheme="minorHAnsi" w:eastAsiaTheme="minorEastAsia" w:hAnsiTheme="minorHAnsi" w:cstheme="minorBidi"/>
          <w:bCs w:val="0"/>
          <w:sz w:val="22"/>
          <w:szCs w:val="22"/>
          <w:u w:val="none"/>
        </w:rPr>
      </w:pPr>
      <w:hyperlink w:anchor="_Toc149154499" w:history="1">
        <w:r w:rsidRPr="00A249A0">
          <w:rPr>
            <w:rStyle w:val="Hyperlink"/>
          </w:rPr>
          <w:t>3.2</w:t>
        </w:r>
        <w:r>
          <w:rPr>
            <w:rFonts w:asciiTheme="minorHAnsi" w:eastAsiaTheme="minorEastAsia" w:hAnsiTheme="minorHAnsi" w:cstheme="minorBidi"/>
            <w:bCs w:val="0"/>
            <w:sz w:val="22"/>
            <w:szCs w:val="22"/>
            <w:u w:val="none"/>
          </w:rPr>
          <w:tab/>
        </w:r>
        <w:r w:rsidRPr="00A249A0">
          <w:rPr>
            <w:rStyle w:val="Hyperlink"/>
          </w:rPr>
          <w:t>Recommendations</w:t>
        </w:r>
        <w:r>
          <w:rPr>
            <w:webHidden/>
          </w:rPr>
          <w:tab/>
        </w:r>
        <w:r>
          <w:rPr>
            <w:webHidden/>
          </w:rPr>
          <w:fldChar w:fldCharType="begin"/>
        </w:r>
        <w:r>
          <w:rPr>
            <w:webHidden/>
          </w:rPr>
          <w:instrText xml:space="preserve"> PAGEREF _Toc149154499 \h </w:instrText>
        </w:r>
        <w:r>
          <w:rPr>
            <w:webHidden/>
          </w:rPr>
        </w:r>
        <w:r>
          <w:rPr>
            <w:webHidden/>
          </w:rPr>
          <w:fldChar w:fldCharType="separate"/>
        </w:r>
        <w:r w:rsidR="001C2B8A">
          <w:rPr>
            <w:webHidden/>
          </w:rPr>
          <w:t>9</w:t>
        </w:r>
        <w:r>
          <w:rPr>
            <w:webHidden/>
          </w:rPr>
          <w:fldChar w:fldCharType="end"/>
        </w:r>
      </w:hyperlink>
    </w:p>
    <w:p w14:paraId="1E454C4C" w14:textId="61B92ED1" w:rsidR="00384208" w:rsidRDefault="00384208">
      <w:pPr>
        <w:pStyle w:val="TOC2"/>
        <w:rPr>
          <w:rFonts w:asciiTheme="minorHAnsi" w:eastAsiaTheme="minorEastAsia" w:hAnsiTheme="minorHAnsi" w:cstheme="minorBidi"/>
          <w:bCs w:val="0"/>
          <w:sz w:val="22"/>
          <w:szCs w:val="22"/>
          <w:u w:val="none"/>
        </w:rPr>
      </w:pPr>
      <w:hyperlink w:anchor="_Toc149154500" w:history="1">
        <w:r w:rsidRPr="00A249A0">
          <w:rPr>
            <w:rStyle w:val="Hyperlink"/>
          </w:rPr>
          <w:t>3.3</w:t>
        </w:r>
        <w:r>
          <w:rPr>
            <w:rFonts w:asciiTheme="minorHAnsi" w:eastAsiaTheme="minorEastAsia" w:hAnsiTheme="minorHAnsi" w:cstheme="minorBidi"/>
            <w:bCs w:val="0"/>
            <w:sz w:val="22"/>
            <w:szCs w:val="22"/>
            <w:u w:val="none"/>
          </w:rPr>
          <w:tab/>
        </w:r>
        <w:r w:rsidRPr="00A249A0">
          <w:rPr>
            <w:rStyle w:val="Hyperlink"/>
          </w:rPr>
          <w:t>Police use of force</w:t>
        </w:r>
        <w:r>
          <w:rPr>
            <w:webHidden/>
          </w:rPr>
          <w:tab/>
        </w:r>
        <w:r>
          <w:rPr>
            <w:webHidden/>
          </w:rPr>
          <w:fldChar w:fldCharType="begin"/>
        </w:r>
        <w:r>
          <w:rPr>
            <w:webHidden/>
          </w:rPr>
          <w:instrText xml:space="preserve"> PAGEREF _Toc149154500 \h </w:instrText>
        </w:r>
        <w:r>
          <w:rPr>
            <w:webHidden/>
          </w:rPr>
        </w:r>
        <w:r>
          <w:rPr>
            <w:webHidden/>
          </w:rPr>
          <w:fldChar w:fldCharType="separate"/>
        </w:r>
        <w:r w:rsidR="001C2B8A">
          <w:rPr>
            <w:webHidden/>
          </w:rPr>
          <w:t>10</w:t>
        </w:r>
        <w:r>
          <w:rPr>
            <w:webHidden/>
          </w:rPr>
          <w:fldChar w:fldCharType="end"/>
        </w:r>
      </w:hyperlink>
    </w:p>
    <w:p w14:paraId="638CC61D" w14:textId="4C9F661D" w:rsidR="00384208" w:rsidRDefault="00384208">
      <w:pPr>
        <w:pStyle w:val="TOC2"/>
        <w:rPr>
          <w:rFonts w:asciiTheme="minorHAnsi" w:eastAsiaTheme="minorEastAsia" w:hAnsiTheme="minorHAnsi" w:cstheme="minorBidi"/>
          <w:bCs w:val="0"/>
          <w:sz w:val="22"/>
          <w:szCs w:val="22"/>
          <w:u w:val="none"/>
        </w:rPr>
      </w:pPr>
      <w:hyperlink w:anchor="_Toc149154501" w:history="1">
        <w:r w:rsidRPr="00A249A0">
          <w:rPr>
            <w:rStyle w:val="Hyperlink"/>
          </w:rPr>
          <w:t>3.4</w:t>
        </w:r>
        <w:r>
          <w:rPr>
            <w:rFonts w:asciiTheme="minorHAnsi" w:eastAsiaTheme="minorEastAsia" w:hAnsiTheme="minorHAnsi" w:cstheme="minorBidi"/>
            <w:bCs w:val="0"/>
            <w:sz w:val="22"/>
            <w:szCs w:val="22"/>
            <w:u w:val="none"/>
          </w:rPr>
          <w:tab/>
        </w:r>
        <w:r w:rsidRPr="00A249A0">
          <w:rPr>
            <w:rStyle w:val="Hyperlink"/>
          </w:rPr>
          <w:t>Recommendations</w:t>
        </w:r>
        <w:r>
          <w:rPr>
            <w:webHidden/>
          </w:rPr>
          <w:tab/>
        </w:r>
        <w:r>
          <w:rPr>
            <w:webHidden/>
          </w:rPr>
          <w:fldChar w:fldCharType="begin"/>
        </w:r>
        <w:r>
          <w:rPr>
            <w:webHidden/>
          </w:rPr>
          <w:instrText xml:space="preserve"> PAGEREF _Toc149154501 \h </w:instrText>
        </w:r>
        <w:r>
          <w:rPr>
            <w:webHidden/>
          </w:rPr>
        </w:r>
        <w:r>
          <w:rPr>
            <w:webHidden/>
          </w:rPr>
          <w:fldChar w:fldCharType="separate"/>
        </w:r>
        <w:r w:rsidR="001C2B8A">
          <w:rPr>
            <w:webHidden/>
          </w:rPr>
          <w:t>11</w:t>
        </w:r>
        <w:r>
          <w:rPr>
            <w:webHidden/>
          </w:rPr>
          <w:fldChar w:fldCharType="end"/>
        </w:r>
      </w:hyperlink>
    </w:p>
    <w:p w14:paraId="2A9943D1" w14:textId="725A9097" w:rsidR="00384208" w:rsidRDefault="00384208">
      <w:pPr>
        <w:pStyle w:val="TOC1"/>
        <w:rPr>
          <w:rFonts w:asciiTheme="minorHAnsi" w:eastAsiaTheme="minorEastAsia" w:hAnsiTheme="minorHAnsi" w:cstheme="minorBidi"/>
          <w:b w:val="0"/>
          <w:bCs w:val="0"/>
          <w:caps w:val="0"/>
          <w:color w:val="auto"/>
          <w:sz w:val="22"/>
          <w:u w:val="none"/>
        </w:rPr>
      </w:pPr>
      <w:hyperlink w:anchor="_Toc149154502" w:history="1">
        <w:r w:rsidRPr="00A249A0">
          <w:rPr>
            <w:rStyle w:val="Hyperlink"/>
          </w:rPr>
          <w:t>4.</w:t>
        </w:r>
        <w:r>
          <w:rPr>
            <w:rFonts w:asciiTheme="minorHAnsi" w:eastAsiaTheme="minorEastAsia" w:hAnsiTheme="minorHAnsi" w:cstheme="minorBidi"/>
            <w:b w:val="0"/>
            <w:bCs w:val="0"/>
            <w:caps w:val="0"/>
            <w:color w:val="auto"/>
            <w:sz w:val="22"/>
            <w:u w:val="none"/>
          </w:rPr>
          <w:tab/>
        </w:r>
        <w:r w:rsidRPr="00A249A0">
          <w:rPr>
            <w:rStyle w:val="Hyperlink"/>
          </w:rPr>
          <w:t>Lack of adequate protection from racist discrimination and violence by non-state actors</w:t>
        </w:r>
        <w:r>
          <w:rPr>
            <w:webHidden/>
          </w:rPr>
          <w:tab/>
        </w:r>
        <w:r>
          <w:rPr>
            <w:webHidden/>
          </w:rPr>
          <w:fldChar w:fldCharType="begin"/>
        </w:r>
        <w:r>
          <w:rPr>
            <w:webHidden/>
          </w:rPr>
          <w:instrText xml:space="preserve"> PAGEREF _Toc149154502 \h </w:instrText>
        </w:r>
        <w:r>
          <w:rPr>
            <w:webHidden/>
          </w:rPr>
        </w:r>
        <w:r>
          <w:rPr>
            <w:webHidden/>
          </w:rPr>
          <w:fldChar w:fldCharType="separate"/>
        </w:r>
        <w:r w:rsidR="001C2B8A">
          <w:rPr>
            <w:webHidden/>
          </w:rPr>
          <w:t>11</w:t>
        </w:r>
        <w:r>
          <w:rPr>
            <w:webHidden/>
          </w:rPr>
          <w:fldChar w:fldCharType="end"/>
        </w:r>
      </w:hyperlink>
    </w:p>
    <w:p w14:paraId="54CB7760" w14:textId="570995EB" w:rsidR="00384208" w:rsidRDefault="00384208">
      <w:pPr>
        <w:pStyle w:val="TOC2"/>
        <w:rPr>
          <w:rFonts w:asciiTheme="minorHAnsi" w:eastAsiaTheme="minorEastAsia" w:hAnsiTheme="minorHAnsi" w:cstheme="minorBidi"/>
          <w:bCs w:val="0"/>
          <w:sz w:val="22"/>
          <w:szCs w:val="22"/>
          <w:u w:val="none"/>
        </w:rPr>
      </w:pPr>
      <w:hyperlink w:anchor="_Toc149154503" w:history="1">
        <w:r w:rsidRPr="00A249A0">
          <w:rPr>
            <w:rStyle w:val="Hyperlink"/>
          </w:rPr>
          <w:t>4.1</w:t>
        </w:r>
        <w:r>
          <w:rPr>
            <w:rFonts w:asciiTheme="minorHAnsi" w:eastAsiaTheme="minorEastAsia" w:hAnsiTheme="minorHAnsi" w:cstheme="minorBidi"/>
            <w:bCs w:val="0"/>
            <w:sz w:val="22"/>
            <w:szCs w:val="22"/>
            <w:u w:val="none"/>
          </w:rPr>
          <w:tab/>
        </w:r>
        <w:r w:rsidRPr="00A249A0">
          <w:rPr>
            <w:rStyle w:val="Hyperlink"/>
          </w:rPr>
          <w:t>Hate crimes</w:t>
        </w:r>
        <w:r>
          <w:rPr>
            <w:webHidden/>
          </w:rPr>
          <w:tab/>
        </w:r>
        <w:r>
          <w:rPr>
            <w:webHidden/>
          </w:rPr>
          <w:fldChar w:fldCharType="begin"/>
        </w:r>
        <w:r>
          <w:rPr>
            <w:webHidden/>
          </w:rPr>
          <w:instrText xml:space="preserve"> PAGEREF _Toc149154503 \h </w:instrText>
        </w:r>
        <w:r>
          <w:rPr>
            <w:webHidden/>
          </w:rPr>
        </w:r>
        <w:r>
          <w:rPr>
            <w:webHidden/>
          </w:rPr>
          <w:fldChar w:fldCharType="separate"/>
        </w:r>
        <w:r w:rsidR="001C2B8A">
          <w:rPr>
            <w:webHidden/>
          </w:rPr>
          <w:t>11</w:t>
        </w:r>
        <w:r>
          <w:rPr>
            <w:webHidden/>
          </w:rPr>
          <w:fldChar w:fldCharType="end"/>
        </w:r>
      </w:hyperlink>
    </w:p>
    <w:p w14:paraId="1CAF7E89" w14:textId="344A1FC3" w:rsidR="00384208" w:rsidRDefault="00384208">
      <w:pPr>
        <w:pStyle w:val="TOC2"/>
        <w:rPr>
          <w:rFonts w:asciiTheme="minorHAnsi" w:eastAsiaTheme="minorEastAsia" w:hAnsiTheme="minorHAnsi" w:cstheme="minorBidi"/>
          <w:bCs w:val="0"/>
          <w:sz w:val="22"/>
          <w:szCs w:val="22"/>
          <w:u w:val="none"/>
        </w:rPr>
      </w:pPr>
      <w:hyperlink w:anchor="_Toc149154504" w:history="1">
        <w:r w:rsidRPr="00A249A0">
          <w:rPr>
            <w:rStyle w:val="Hyperlink"/>
          </w:rPr>
          <w:t>4.2</w:t>
        </w:r>
        <w:r>
          <w:rPr>
            <w:rFonts w:asciiTheme="minorHAnsi" w:eastAsiaTheme="minorEastAsia" w:hAnsiTheme="minorHAnsi" w:cstheme="minorBidi"/>
            <w:bCs w:val="0"/>
            <w:sz w:val="22"/>
            <w:szCs w:val="22"/>
            <w:u w:val="none"/>
          </w:rPr>
          <w:tab/>
        </w:r>
        <w:r w:rsidRPr="00A249A0">
          <w:rPr>
            <w:rStyle w:val="Hyperlink"/>
          </w:rPr>
          <w:t>Recommendations</w:t>
        </w:r>
        <w:r>
          <w:rPr>
            <w:webHidden/>
          </w:rPr>
          <w:tab/>
        </w:r>
        <w:r>
          <w:rPr>
            <w:webHidden/>
          </w:rPr>
          <w:fldChar w:fldCharType="begin"/>
        </w:r>
        <w:r>
          <w:rPr>
            <w:webHidden/>
          </w:rPr>
          <w:instrText xml:space="preserve"> PAGEREF _Toc149154504 \h </w:instrText>
        </w:r>
        <w:r>
          <w:rPr>
            <w:webHidden/>
          </w:rPr>
        </w:r>
        <w:r>
          <w:rPr>
            <w:webHidden/>
          </w:rPr>
          <w:fldChar w:fldCharType="separate"/>
        </w:r>
        <w:r w:rsidR="001C2B8A">
          <w:rPr>
            <w:webHidden/>
          </w:rPr>
          <w:t>14</w:t>
        </w:r>
        <w:r>
          <w:rPr>
            <w:webHidden/>
          </w:rPr>
          <w:fldChar w:fldCharType="end"/>
        </w:r>
      </w:hyperlink>
    </w:p>
    <w:p w14:paraId="13960D63" w14:textId="1EDAB546" w:rsidR="00384208" w:rsidRDefault="00384208">
      <w:pPr>
        <w:pStyle w:val="TOC2"/>
        <w:rPr>
          <w:rFonts w:asciiTheme="minorHAnsi" w:eastAsiaTheme="minorEastAsia" w:hAnsiTheme="minorHAnsi" w:cstheme="minorBidi"/>
          <w:bCs w:val="0"/>
          <w:sz w:val="22"/>
          <w:szCs w:val="22"/>
          <w:u w:val="none"/>
        </w:rPr>
      </w:pPr>
      <w:hyperlink w:anchor="_Toc149154505" w:history="1">
        <w:r w:rsidRPr="00A249A0">
          <w:rPr>
            <w:rStyle w:val="Hyperlink"/>
          </w:rPr>
          <w:t>4.3</w:t>
        </w:r>
        <w:r>
          <w:rPr>
            <w:rFonts w:asciiTheme="minorHAnsi" w:eastAsiaTheme="minorEastAsia" w:hAnsiTheme="minorHAnsi" w:cstheme="minorBidi"/>
            <w:bCs w:val="0"/>
            <w:sz w:val="22"/>
            <w:szCs w:val="22"/>
            <w:u w:val="none"/>
          </w:rPr>
          <w:tab/>
        </w:r>
        <w:r w:rsidRPr="00A249A0">
          <w:rPr>
            <w:rStyle w:val="Hyperlink"/>
          </w:rPr>
          <w:t>Lack of comprehensive recording of hate crimes</w:t>
        </w:r>
        <w:r>
          <w:rPr>
            <w:webHidden/>
          </w:rPr>
          <w:tab/>
        </w:r>
        <w:r>
          <w:rPr>
            <w:webHidden/>
          </w:rPr>
          <w:fldChar w:fldCharType="begin"/>
        </w:r>
        <w:r>
          <w:rPr>
            <w:webHidden/>
          </w:rPr>
          <w:instrText xml:space="preserve"> PAGEREF _Toc149154505 \h </w:instrText>
        </w:r>
        <w:r>
          <w:rPr>
            <w:webHidden/>
          </w:rPr>
        </w:r>
        <w:r>
          <w:rPr>
            <w:webHidden/>
          </w:rPr>
          <w:fldChar w:fldCharType="separate"/>
        </w:r>
        <w:r w:rsidR="001C2B8A">
          <w:rPr>
            <w:webHidden/>
          </w:rPr>
          <w:t>14</w:t>
        </w:r>
        <w:r>
          <w:rPr>
            <w:webHidden/>
          </w:rPr>
          <w:fldChar w:fldCharType="end"/>
        </w:r>
      </w:hyperlink>
    </w:p>
    <w:p w14:paraId="7E8C4A9B" w14:textId="24848FDF" w:rsidR="00384208" w:rsidRDefault="00384208">
      <w:pPr>
        <w:pStyle w:val="TOC2"/>
        <w:rPr>
          <w:rFonts w:asciiTheme="minorHAnsi" w:eastAsiaTheme="minorEastAsia" w:hAnsiTheme="minorHAnsi" w:cstheme="minorBidi"/>
          <w:bCs w:val="0"/>
          <w:sz w:val="22"/>
          <w:szCs w:val="22"/>
          <w:u w:val="none"/>
        </w:rPr>
      </w:pPr>
      <w:hyperlink w:anchor="_Toc149154506" w:history="1">
        <w:r w:rsidRPr="00A249A0">
          <w:rPr>
            <w:rStyle w:val="Hyperlink"/>
          </w:rPr>
          <w:t>4.4</w:t>
        </w:r>
        <w:r>
          <w:rPr>
            <w:rFonts w:asciiTheme="minorHAnsi" w:eastAsiaTheme="minorEastAsia" w:hAnsiTheme="minorHAnsi" w:cstheme="minorBidi"/>
            <w:bCs w:val="0"/>
            <w:sz w:val="22"/>
            <w:szCs w:val="22"/>
            <w:u w:val="none"/>
          </w:rPr>
          <w:tab/>
        </w:r>
        <w:r w:rsidRPr="00A249A0">
          <w:rPr>
            <w:rStyle w:val="Hyperlink"/>
          </w:rPr>
          <w:t>Recommendations</w:t>
        </w:r>
        <w:r>
          <w:rPr>
            <w:webHidden/>
          </w:rPr>
          <w:tab/>
        </w:r>
        <w:r>
          <w:rPr>
            <w:webHidden/>
          </w:rPr>
          <w:fldChar w:fldCharType="begin"/>
        </w:r>
        <w:r>
          <w:rPr>
            <w:webHidden/>
          </w:rPr>
          <w:instrText xml:space="preserve"> PAGEREF _Toc149154506 \h </w:instrText>
        </w:r>
        <w:r>
          <w:rPr>
            <w:webHidden/>
          </w:rPr>
        </w:r>
        <w:r>
          <w:rPr>
            <w:webHidden/>
          </w:rPr>
          <w:fldChar w:fldCharType="separate"/>
        </w:r>
        <w:r w:rsidR="001C2B8A">
          <w:rPr>
            <w:webHidden/>
          </w:rPr>
          <w:t>15</w:t>
        </w:r>
        <w:r>
          <w:rPr>
            <w:webHidden/>
          </w:rPr>
          <w:fldChar w:fldCharType="end"/>
        </w:r>
      </w:hyperlink>
    </w:p>
    <w:p w14:paraId="67170CA0" w14:textId="112EF53A" w:rsidR="00384208" w:rsidRDefault="00384208">
      <w:pPr>
        <w:pStyle w:val="TOC1"/>
        <w:rPr>
          <w:rFonts w:asciiTheme="minorHAnsi" w:eastAsiaTheme="minorEastAsia" w:hAnsiTheme="minorHAnsi" w:cstheme="minorBidi"/>
          <w:b w:val="0"/>
          <w:bCs w:val="0"/>
          <w:caps w:val="0"/>
          <w:color w:val="auto"/>
          <w:sz w:val="22"/>
          <w:u w:val="none"/>
        </w:rPr>
      </w:pPr>
      <w:hyperlink w:anchor="_Toc149154507" w:history="1">
        <w:r w:rsidRPr="00A249A0">
          <w:rPr>
            <w:rStyle w:val="Hyperlink"/>
          </w:rPr>
          <w:t>5.</w:t>
        </w:r>
        <w:r>
          <w:rPr>
            <w:rFonts w:asciiTheme="minorHAnsi" w:eastAsiaTheme="minorEastAsia" w:hAnsiTheme="minorHAnsi" w:cstheme="minorBidi"/>
            <w:b w:val="0"/>
            <w:bCs w:val="0"/>
            <w:caps w:val="0"/>
            <w:color w:val="auto"/>
            <w:sz w:val="22"/>
            <w:u w:val="none"/>
          </w:rPr>
          <w:tab/>
        </w:r>
        <w:r w:rsidRPr="00A249A0">
          <w:rPr>
            <w:rStyle w:val="Hyperlink"/>
          </w:rPr>
          <w:t>Racist narratives in public discourse and inadequate state action</w:t>
        </w:r>
        <w:r>
          <w:rPr>
            <w:webHidden/>
          </w:rPr>
          <w:tab/>
        </w:r>
        <w:r>
          <w:rPr>
            <w:webHidden/>
          </w:rPr>
          <w:fldChar w:fldCharType="begin"/>
        </w:r>
        <w:r>
          <w:rPr>
            <w:webHidden/>
          </w:rPr>
          <w:instrText xml:space="preserve"> PAGEREF _Toc149154507 \h </w:instrText>
        </w:r>
        <w:r>
          <w:rPr>
            <w:webHidden/>
          </w:rPr>
        </w:r>
        <w:r>
          <w:rPr>
            <w:webHidden/>
          </w:rPr>
          <w:fldChar w:fldCharType="separate"/>
        </w:r>
        <w:r w:rsidR="001C2B8A">
          <w:rPr>
            <w:webHidden/>
          </w:rPr>
          <w:t>16</w:t>
        </w:r>
        <w:r>
          <w:rPr>
            <w:webHidden/>
          </w:rPr>
          <w:fldChar w:fldCharType="end"/>
        </w:r>
      </w:hyperlink>
    </w:p>
    <w:p w14:paraId="7A4C3AC0" w14:textId="14A384D5" w:rsidR="00384208" w:rsidRDefault="00384208">
      <w:pPr>
        <w:pStyle w:val="TOC2"/>
        <w:rPr>
          <w:rFonts w:asciiTheme="minorHAnsi" w:eastAsiaTheme="minorEastAsia" w:hAnsiTheme="minorHAnsi" w:cstheme="minorBidi"/>
          <w:bCs w:val="0"/>
          <w:sz w:val="22"/>
          <w:szCs w:val="22"/>
          <w:u w:val="none"/>
        </w:rPr>
      </w:pPr>
      <w:hyperlink w:anchor="_Toc149154508" w:history="1">
        <w:r w:rsidRPr="00A249A0">
          <w:rPr>
            <w:rStyle w:val="Hyperlink"/>
          </w:rPr>
          <w:t>5.1</w:t>
        </w:r>
        <w:r>
          <w:rPr>
            <w:rFonts w:asciiTheme="minorHAnsi" w:eastAsiaTheme="minorEastAsia" w:hAnsiTheme="minorHAnsi" w:cstheme="minorBidi"/>
            <w:bCs w:val="0"/>
            <w:sz w:val="22"/>
            <w:szCs w:val="22"/>
            <w:u w:val="none"/>
          </w:rPr>
          <w:tab/>
        </w:r>
        <w:r w:rsidRPr="00A249A0">
          <w:rPr>
            <w:rStyle w:val="Hyperlink"/>
          </w:rPr>
          <w:t>Recommendations</w:t>
        </w:r>
        <w:r>
          <w:rPr>
            <w:webHidden/>
          </w:rPr>
          <w:tab/>
        </w:r>
        <w:r>
          <w:rPr>
            <w:webHidden/>
          </w:rPr>
          <w:fldChar w:fldCharType="begin"/>
        </w:r>
        <w:r>
          <w:rPr>
            <w:webHidden/>
          </w:rPr>
          <w:instrText xml:space="preserve"> PAGEREF _Toc149154508 \h </w:instrText>
        </w:r>
        <w:r>
          <w:rPr>
            <w:webHidden/>
          </w:rPr>
        </w:r>
        <w:r>
          <w:rPr>
            <w:webHidden/>
          </w:rPr>
          <w:fldChar w:fldCharType="separate"/>
        </w:r>
        <w:r w:rsidR="001C2B8A">
          <w:rPr>
            <w:webHidden/>
          </w:rPr>
          <w:t>17</w:t>
        </w:r>
        <w:r>
          <w:rPr>
            <w:webHidden/>
          </w:rPr>
          <w:fldChar w:fldCharType="end"/>
        </w:r>
      </w:hyperlink>
    </w:p>
    <w:p w14:paraId="5976D5C7" w14:textId="05626E11" w:rsidR="00384208" w:rsidRDefault="00384208">
      <w:pPr>
        <w:pStyle w:val="TOC1"/>
        <w:rPr>
          <w:rFonts w:asciiTheme="minorHAnsi" w:eastAsiaTheme="minorEastAsia" w:hAnsiTheme="minorHAnsi" w:cstheme="minorBidi"/>
          <w:b w:val="0"/>
          <w:bCs w:val="0"/>
          <w:caps w:val="0"/>
          <w:color w:val="auto"/>
          <w:sz w:val="22"/>
          <w:u w:val="none"/>
        </w:rPr>
      </w:pPr>
      <w:hyperlink w:anchor="_Toc149154509" w:history="1">
        <w:r w:rsidRPr="00A249A0">
          <w:rPr>
            <w:rStyle w:val="Hyperlink"/>
          </w:rPr>
          <w:t>6.</w:t>
        </w:r>
        <w:r>
          <w:rPr>
            <w:rFonts w:asciiTheme="minorHAnsi" w:eastAsiaTheme="minorEastAsia" w:hAnsiTheme="minorHAnsi" w:cstheme="minorBidi"/>
            <w:b w:val="0"/>
            <w:bCs w:val="0"/>
            <w:caps w:val="0"/>
            <w:color w:val="auto"/>
            <w:sz w:val="22"/>
            <w:u w:val="none"/>
          </w:rPr>
          <w:tab/>
        </w:r>
        <w:r w:rsidRPr="00A249A0">
          <w:rPr>
            <w:rStyle w:val="Hyperlink"/>
          </w:rPr>
          <w:t>Right to truth, justice and reparations</w:t>
        </w:r>
        <w:r>
          <w:rPr>
            <w:webHidden/>
          </w:rPr>
          <w:tab/>
        </w:r>
        <w:r>
          <w:rPr>
            <w:webHidden/>
          </w:rPr>
          <w:fldChar w:fldCharType="begin"/>
        </w:r>
        <w:r>
          <w:rPr>
            <w:webHidden/>
          </w:rPr>
          <w:instrText xml:space="preserve"> PAGEREF _Toc149154509 \h </w:instrText>
        </w:r>
        <w:r>
          <w:rPr>
            <w:webHidden/>
          </w:rPr>
        </w:r>
        <w:r>
          <w:rPr>
            <w:webHidden/>
          </w:rPr>
          <w:fldChar w:fldCharType="separate"/>
        </w:r>
        <w:r w:rsidR="001C2B8A">
          <w:rPr>
            <w:webHidden/>
          </w:rPr>
          <w:t>18</w:t>
        </w:r>
        <w:r>
          <w:rPr>
            <w:webHidden/>
          </w:rPr>
          <w:fldChar w:fldCharType="end"/>
        </w:r>
      </w:hyperlink>
    </w:p>
    <w:p w14:paraId="3EF42137" w14:textId="2B1AB2BF" w:rsidR="00384208" w:rsidRDefault="00384208">
      <w:pPr>
        <w:pStyle w:val="TOC2"/>
        <w:rPr>
          <w:rFonts w:asciiTheme="minorHAnsi" w:eastAsiaTheme="minorEastAsia" w:hAnsiTheme="minorHAnsi" w:cstheme="minorBidi"/>
          <w:bCs w:val="0"/>
          <w:sz w:val="22"/>
          <w:szCs w:val="22"/>
          <w:u w:val="none"/>
        </w:rPr>
      </w:pPr>
      <w:hyperlink w:anchor="_Toc149154510" w:history="1">
        <w:r w:rsidRPr="00A249A0">
          <w:rPr>
            <w:rStyle w:val="Hyperlink"/>
          </w:rPr>
          <w:t>6.1</w:t>
        </w:r>
        <w:r>
          <w:rPr>
            <w:rFonts w:asciiTheme="minorHAnsi" w:eastAsiaTheme="minorEastAsia" w:hAnsiTheme="minorHAnsi" w:cstheme="minorBidi"/>
            <w:bCs w:val="0"/>
            <w:sz w:val="22"/>
            <w:szCs w:val="22"/>
            <w:u w:val="none"/>
          </w:rPr>
          <w:tab/>
        </w:r>
        <w:r w:rsidRPr="00A249A0">
          <w:rPr>
            <w:rStyle w:val="Hyperlink"/>
          </w:rPr>
          <w:t>Recommendations</w:t>
        </w:r>
        <w:r>
          <w:rPr>
            <w:webHidden/>
          </w:rPr>
          <w:tab/>
        </w:r>
        <w:r>
          <w:rPr>
            <w:webHidden/>
          </w:rPr>
          <w:fldChar w:fldCharType="begin"/>
        </w:r>
        <w:r>
          <w:rPr>
            <w:webHidden/>
          </w:rPr>
          <w:instrText xml:space="preserve"> PAGEREF _Toc149154510 \h </w:instrText>
        </w:r>
        <w:r>
          <w:rPr>
            <w:webHidden/>
          </w:rPr>
        </w:r>
        <w:r>
          <w:rPr>
            <w:webHidden/>
          </w:rPr>
          <w:fldChar w:fldCharType="separate"/>
        </w:r>
        <w:r w:rsidR="001C2B8A">
          <w:rPr>
            <w:webHidden/>
          </w:rPr>
          <w:t>19</w:t>
        </w:r>
        <w:r>
          <w:rPr>
            <w:webHidden/>
          </w:rPr>
          <w:fldChar w:fldCharType="end"/>
        </w:r>
      </w:hyperlink>
    </w:p>
    <w:p w14:paraId="36AB005D" w14:textId="79AABA33" w:rsidR="00384208" w:rsidRDefault="00384208">
      <w:pPr>
        <w:pStyle w:val="TOC1"/>
        <w:rPr>
          <w:rFonts w:asciiTheme="minorHAnsi" w:eastAsiaTheme="minorEastAsia" w:hAnsiTheme="minorHAnsi" w:cstheme="minorBidi"/>
          <w:b w:val="0"/>
          <w:bCs w:val="0"/>
          <w:caps w:val="0"/>
          <w:color w:val="auto"/>
          <w:sz w:val="22"/>
          <w:u w:val="none"/>
        </w:rPr>
      </w:pPr>
      <w:hyperlink w:anchor="_Toc149154511" w:history="1">
        <w:r w:rsidRPr="00A249A0">
          <w:rPr>
            <w:rStyle w:val="Hyperlink"/>
          </w:rPr>
          <w:t>7.</w:t>
        </w:r>
        <w:r>
          <w:rPr>
            <w:rFonts w:asciiTheme="minorHAnsi" w:eastAsiaTheme="minorEastAsia" w:hAnsiTheme="minorHAnsi" w:cstheme="minorBidi"/>
            <w:b w:val="0"/>
            <w:bCs w:val="0"/>
            <w:caps w:val="0"/>
            <w:color w:val="auto"/>
            <w:sz w:val="22"/>
            <w:u w:val="none"/>
          </w:rPr>
          <w:tab/>
        </w:r>
        <w:r w:rsidRPr="00A249A0">
          <w:rPr>
            <w:rStyle w:val="Hyperlink"/>
          </w:rPr>
          <w:t>Refugees and Migrants - Restrictions of Movement and Access to Social Protection</w:t>
        </w:r>
        <w:r>
          <w:rPr>
            <w:webHidden/>
          </w:rPr>
          <w:tab/>
        </w:r>
        <w:r>
          <w:rPr>
            <w:webHidden/>
          </w:rPr>
          <w:fldChar w:fldCharType="begin"/>
        </w:r>
        <w:r>
          <w:rPr>
            <w:webHidden/>
          </w:rPr>
          <w:instrText xml:space="preserve"> PAGEREF _Toc149154511 \h </w:instrText>
        </w:r>
        <w:r>
          <w:rPr>
            <w:webHidden/>
          </w:rPr>
        </w:r>
        <w:r>
          <w:rPr>
            <w:webHidden/>
          </w:rPr>
          <w:fldChar w:fldCharType="separate"/>
        </w:r>
        <w:r w:rsidR="001C2B8A">
          <w:rPr>
            <w:webHidden/>
          </w:rPr>
          <w:t>20</w:t>
        </w:r>
        <w:r>
          <w:rPr>
            <w:webHidden/>
          </w:rPr>
          <w:fldChar w:fldCharType="end"/>
        </w:r>
      </w:hyperlink>
    </w:p>
    <w:p w14:paraId="5939D144" w14:textId="5A1698FD" w:rsidR="00384208" w:rsidRDefault="00384208">
      <w:pPr>
        <w:pStyle w:val="TOC2"/>
        <w:rPr>
          <w:rFonts w:asciiTheme="minorHAnsi" w:eastAsiaTheme="minorEastAsia" w:hAnsiTheme="minorHAnsi" w:cstheme="minorBidi"/>
          <w:bCs w:val="0"/>
          <w:sz w:val="22"/>
          <w:szCs w:val="22"/>
          <w:u w:val="none"/>
        </w:rPr>
      </w:pPr>
      <w:hyperlink w:anchor="_Toc149154512" w:history="1">
        <w:r w:rsidRPr="00A249A0">
          <w:rPr>
            <w:rStyle w:val="Hyperlink"/>
          </w:rPr>
          <w:t>7.1</w:t>
        </w:r>
        <w:r>
          <w:rPr>
            <w:rFonts w:asciiTheme="minorHAnsi" w:eastAsiaTheme="minorEastAsia" w:hAnsiTheme="minorHAnsi" w:cstheme="minorBidi"/>
            <w:bCs w:val="0"/>
            <w:sz w:val="22"/>
            <w:szCs w:val="22"/>
            <w:u w:val="none"/>
          </w:rPr>
          <w:tab/>
        </w:r>
        <w:r w:rsidRPr="00A249A0">
          <w:rPr>
            <w:rStyle w:val="Hyperlink"/>
          </w:rPr>
          <w:t>Recommendations</w:t>
        </w:r>
        <w:r>
          <w:rPr>
            <w:webHidden/>
          </w:rPr>
          <w:tab/>
        </w:r>
        <w:r>
          <w:rPr>
            <w:webHidden/>
          </w:rPr>
          <w:fldChar w:fldCharType="begin"/>
        </w:r>
        <w:r>
          <w:rPr>
            <w:webHidden/>
          </w:rPr>
          <w:instrText xml:space="preserve"> PAGEREF _Toc149154512 \h </w:instrText>
        </w:r>
        <w:r>
          <w:rPr>
            <w:webHidden/>
          </w:rPr>
        </w:r>
        <w:r>
          <w:rPr>
            <w:webHidden/>
          </w:rPr>
          <w:fldChar w:fldCharType="separate"/>
        </w:r>
        <w:r w:rsidR="001C2B8A">
          <w:rPr>
            <w:webHidden/>
          </w:rPr>
          <w:t>21</w:t>
        </w:r>
        <w:r>
          <w:rPr>
            <w:webHidden/>
          </w:rPr>
          <w:fldChar w:fldCharType="end"/>
        </w:r>
      </w:hyperlink>
    </w:p>
    <w:p w14:paraId="1A1E039C" w14:textId="57B863F7" w:rsidR="00384208" w:rsidRDefault="00384208">
      <w:pPr>
        <w:pStyle w:val="TOC1"/>
        <w:rPr>
          <w:rFonts w:asciiTheme="minorHAnsi" w:eastAsiaTheme="minorEastAsia" w:hAnsiTheme="minorHAnsi" w:cstheme="minorBidi"/>
          <w:b w:val="0"/>
          <w:bCs w:val="0"/>
          <w:caps w:val="0"/>
          <w:color w:val="auto"/>
          <w:sz w:val="22"/>
          <w:u w:val="none"/>
        </w:rPr>
      </w:pPr>
      <w:hyperlink w:anchor="_Toc149154513" w:history="1">
        <w:r w:rsidRPr="00A249A0">
          <w:rPr>
            <w:rStyle w:val="Hyperlink"/>
          </w:rPr>
          <w:t>8.</w:t>
        </w:r>
        <w:r>
          <w:rPr>
            <w:rFonts w:asciiTheme="minorHAnsi" w:eastAsiaTheme="minorEastAsia" w:hAnsiTheme="minorHAnsi" w:cstheme="minorBidi"/>
            <w:b w:val="0"/>
            <w:bCs w:val="0"/>
            <w:caps w:val="0"/>
            <w:color w:val="auto"/>
            <w:sz w:val="22"/>
            <w:u w:val="none"/>
          </w:rPr>
          <w:tab/>
        </w:r>
        <w:r w:rsidRPr="00A249A0">
          <w:rPr>
            <w:rStyle w:val="Hyperlink"/>
          </w:rPr>
          <w:t>Intersectional discrimination exemplified by headscarf ban</w:t>
        </w:r>
        <w:r>
          <w:rPr>
            <w:webHidden/>
          </w:rPr>
          <w:tab/>
        </w:r>
        <w:r>
          <w:rPr>
            <w:webHidden/>
          </w:rPr>
          <w:fldChar w:fldCharType="begin"/>
        </w:r>
        <w:r>
          <w:rPr>
            <w:webHidden/>
          </w:rPr>
          <w:instrText xml:space="preserve"> PAGEREF _Toc149154513 \h </w:instrText>
        </w:r>
        <w:r>
          <w:rPr>
            <w:webHidden/>
          </w:rPr>
        </w:r>
        <w:r>
          <w:rPr>
            <w:webHidden/>
          </w:rPr>
          <w:fldChar w:fldCharType="separate"/>
        </w:r>
        <w:r w:rsidR="001C2B8A">
          <w:rPr>
            <w:webHidden/>
          </w:rPr>
          <w:t>21</w:t>
        </w:r>
        <w:r>
          <w:rPr>
            <w:webHidden/>
          </w:rPr>
          <w:fldChar w:fldCharType="end"/>
        </w:r>
      </w:hyperlink>
    </w:p>
    <w:p w14:paraId="0C7D2C5A" w14:textId="409D1A34" w:rsidR="00384208" w:rsidRDefault="00384208">
      <w:pPr>
        <w:pStyle w:val="TOC2"/>
        <w:rPr>
          <w:rFonts w:asciiTheme="minorHAnsi" w:eastAsiaTheme="minorEastAsia" w:hAnsiTheme="minorHAnsi" w:cstheme="minorBidi"/>
          <w:bCs w:val="0"/>
          <w:sz w:val="22"/>
          <w:szCs w:val="22"/>
          <w:u w:val="none"/>
        </w:rPr>
      </w:pPr>
      <w:hyperlink w:anchor="_Toc149154514" w:history="1">
        <w:r w:rsidRPr="00A249A0">
          <w:rPr>
            <w:rStyle w:val="Hyperlink"/>
          </w:rPr>
          <w:t>8.1</w:t>
        </w:r>
        <w:r>
          <w:rPr>
            <w:rFonts w:asciiTheme="minorHAnsi" w:eastAsiaTheme="minorEastAsia" w:hAnsiTheme="minorHAnsi" w:cstheme="minorBidi"/>
            <w:bCs w:val="0"/>
            <w:sz w:val="22"/>
            <w:szCs w:val="22"/>
            <w:u w:val="none"/>
          </w:rPr>
          <w:tab/>
        </w:r>
        <w:r w:rsidRPr="00A249A0">
          <w:rPr>
            <w:rStyle w:val="Hyperlink"/>
          </w:rPr>
          <w:t>Recommendation</w:t>
        </w:r>
        <w:r>
          <w:rPr>
            <w:webHidden/>
          </w:rPr>
          <w:tab/>
        </w:r>
        <w:r>
          <w:rPr>
            <w:webHidden/>
          </w:rPr>
          <w:fldChar w:fldCharType="begin"/>
        </w:r>
        <w:r>
          <w:rPr>
            <w:webHidden/>
          </w:rPr>
          <w:instrText xml:space="preserve"> PAGEREF _Toc149154514 \h </w:instrText>
        </w:r>
        <w:r>
          <w:rPr>
            <w:webHidden/>
          </w:rPr>
        </w:r>
        <w:r>
          <w:rPr>
            <w:webHidden/>
          </w:rPr>
          <w:fldChar w:fldCharType="separate"/>
        </w:r>
        <w:r w:rsidR="001C2B8A">
          <w:rPr>
            <w:webHidden/>
          </w:rPr>
          <w:t>22</w:t>
        </w:r>
        <w:r>
          <w:rPr>
            <w:webHidden/>
          </w:rPr>
          <w:fldChar w:fldCharType="end"/>
        </w:r>
      </w:hyperlink>
    </w:p>
    <w:p w14:paraId="54CA6232" w14:textId="391B2068" w:rsidR="005D6062" w:rsidRDefault="00346173" w:rsidP="001153D5">
      <w:pPr>
        <w:pStyle w:val="BBodyText"/>
        <w:rPr>
          <w:rFonts w:asciiTheme="majorHAnsi" w:hAnsiTheme="majorHAnsi"/>
          <w:b/>
          <w:caps/>
          <w:noProof/>
          <w:color w:val="000000" w:themeColor="text1"/>
          <w:sz w:val="17"/>
          <w:szCs w:val="22"/>
          <w:u w:val="single"/>
          <w:lang w:eastAsia="en-GB"/>
        </w:rPr>
        <w:sectPr w:rsidR="005D6062" w:rsidSect="00DA7998">
          <w:footerReference w:type="default" r:id="rId9"/>
          <w:footerReference w:type="first" r:id="rId10"/>
          <w:pgSz w:w="11906" w:h="16838" w:code="9"/>
          <w:pgMar w:top="1474" w:right="1418" w:bottom="1418" w:left="1418" w:header="709" w:footer="709" w:gutter="0"/>
          <w:cols w:space="708"/>
          <w:titlePg/>
          <w:docGrid w:linePitch="360"/>
        </w:sectPr>
      </w:pPr>
      <w:r w:rsidRPr="00B61AFE">
        <w:rPr>
          <w:rFonts w:asciiTheme="majorHAnsi" w:hAnsiTheme="majorHAnsi"/>
          <w:b/>
          <w:caps/>
          <w:noProof/>
          <w:color w:val="000000" w:themeColor="text1"/>
          <w:sz w:val="17"/>
          <w:szCs w:val="22"/>
          <w:u w:val="single"/>
          <w:lang w:eastAsia="en-GB"/>
        </w:rPr>
        <w:fldChar w:fldCharType="end"/>
      </w:r>
    </w:p>
    <w:p w14:paraId="6BAD53D5" w14:textId="5F9F7F22" w:rsidR="006B44F3" w:rsidRPr="003D7719" w:rsidRDefault="009A4506" w:rsidP="00B471EA">
      <w:pPr>
        <w:pStyle w:val="BNumberedHeading"/>
      </w:pPr>
      <w:bookmarkStart w:id="0" w:name="_Toc149154491"/>
      <w:r w:rsidRPr="003D7719">
        <w:lastRenderedPageBreak/>
        <w:t>INTRODUCTION</w:t>
      </w:r>
      <w:bookmarkEnd w:id="0"/>
    </w:p>
    <w:p w14:paraId="61B0804C" w14:textId="77777777" w:rsidR="00917F5E" w:rsidRPr="003D7719" w:rsidRDefault="00917F5E" w:rsidP="00917F5E">
      <w:pPr>
        <w:pStyle w:val="BBodyText"/>
        <w:rPr>
          <w:lang w:eastAsia="en-GB"/>
        </w:rPr>
      </w:pPr>
      <w:r w:rsidRPr="003D7719">
        <w:rPr>
          <w:lang w:eastAsia="en-GB"/>
        </w:rPr>
        <w:t>Amnesty International submits this briefing in advance of the consideration by the UN Committee on the Elimination of Racial Discrimination (the Committee) of Germany’s combined 23</w:t>
      </w:r>
      <w:r w:rsidRPr="003D7719">
        <w:rPr>
          <w:vertAlign w:val="superscript"/>
          <w:lang w:eastAsia="en-GB"/>
        </w:rPr>
        <w:t>rd</w:t>
      </w:r>
      <w:r w:rsidRPr="003D7719">
        <w:rPr>
          <w:lang w:eastAsia="en-GB"/>
        </w:rPr>
        <w:t xml:space="preserve"> to 26</w:t>
      </w:r>
      <w:r w:rsidRPr="003D7719">
        <w:rPr>
          <w:vertAlign w:val="superscript"/>
          <w:lang w:eastAsia="en-GB"/>
        </w:rPr>
        <w:t>th</w:t>
      </w:r>
      <w:r w:rsidRPr="003D7719">
        <w:rPr>
          <w:lang w:eastAsia="en-GB"/>
        </w:rPr>
        <w:t xml:space="preserve"> periodic reports under the International Convention on the Elimination of All Forms of Racial Discrimination (the Convention). </w:t>
      </w:r>
    </w:p>
    <w:p w14:paraId="10701B09" w14:textId="2AAFDA94" w:rsidR="00917F5E" w:rsidRPr="003D7719" w:rsidRDefault="00917F5E" w:rsidP="00917F5E">
      <w:pPr>
        <w:pStyle w:val="BBodyText"/>
        <w:rPr>
          <w:lang w:eastAsia="en-GB"/>
        </w:rPr>
      </w:pPr>
      <w:r w:rsidRPr="003D7719">
        <w:rPr>
          <w:lang w:eastAsia="en-GB"/>
        </w:rPr>
        <w:t xml:space="preserve">In this briefing the organization outlines its concerns regarding Germany’s failures to address systemic racism, racial </w:t>
      </w:r>
      <w:r w:rsidR="00454EAC" w:rsidRPr="003D7719">
        <w:rPr>
          <w:lang w:eastAsia="en-GB"/>
        </w:rPr>
        <w:t>discrimination,</w:t>
      </w:r>
      <w:r w:rsidRPr="003D7719">
        <w:rPr>
          <w:lang w:eastAsia="en-GB"/>
        </w:rPr>
        <w:t xml:space="preserve"> and racist violence by state actors as well as lack of protection from racist discrimination and violence by non-state actors and the right to truth, </w:t>
      </w:r>
      <w:proofErr w:type="gramStart"/>
      <w:r w:rsidRPr="003D7719">
        <w:rPr>
          <w:lang w:eastAsia="en-GB"/>
        </w:rPr>
        <w:t>justice</w:t>
      </w:r>
      <w:proofErr w:type="gramEnd"/>
      <w:r w:rsidRPr="003D7719">
        <w:rPr>
          <w:lang w:eastAsia="en-GB"/>
        </w:rPr>
        <w:t xml:space="preserve"> and reparations. Despite progress made, the German state – at the federal, state, and municipal/local level – is failing in its commitment to meet its obligations under the Convention across </w:t>
      </w:r>
      <w:proofErr w:type="gramStart"/>
      <w:r w:rsidRPr="003D7719">
        <w:rPr>
          <w:lang w:eastAsia="en-GB"/>
        </w:rPr>
        <w:t>all of</w:t>
      </w:r>
      <w:proofErr w:type="gramEnd"/>
      <w:r w:rsidRPr="003D7719">
        <w:rPr>
          <w:lang w:eastAsia="en-GB"/>
        </w:rPr>
        <w:t xml:space="preserve"> these issue areas. It is not an exhaustive list of concerns. </w:t>
      </w:r>
    </w:p>
    <w:p w14:paraId="573C31D5" w14:textId="77777777" w:rsidR="00917F5E" w:rsidRPr="003D7719" w:rsidRDefault="00917F5E" w:rsidP="00B471EA">
      <w:pPr>
        <w:pStyle w:val="BNumberedHeading"/>
      </w:pPr>
      <w:bookmarkStart w:id="1" w:name="_Toc149154492"/>
      <w:r w:rsidRPr="003D7719">
        <w:t>State’s failures to address systemic racism</w:t>
      </w:r>
      <w:bookmarkEnd w:id="1"/>
    </w:p>
    <w:p w14:paraId="3B5098D0" w14:textId="4D1FB10E" w:rsidR="00917F5E" w:rsidRPr="003D7719" w:rsidRDefault="00917F5E" w:rsidP="00917F5E">
      <w:pPr>
        <w:pStyle w:val="BBodyText"/>
        <w:rPr>
          <w:lang w:eastAsia="en-GB"/>
        </w:rPr>
      </w:pPr>
      <w:r w:rsidRPr="003D7719">
        <w:rPr>
          <w:lang w:eastAsia="en-GB"/>
        </w:rPr>
        <w:t xml:space="preserve">This section indicates how despite significant efforts, Germany has failed to address systemic racism and its manifestations in laws, </w:t>
      </w:r>
      <w:proofErr w:type="gramStart"/>
      <w:r w:rsidRPr="003D7719">
        <w:rPr>
          <w:lang w:eastAsia="en-GB"/>
        </w:rPr>
        <w:t>policies</w:t>
      </w:r>
      <w:proofErr w:type="gramEnd"/>
      <w:r w:rsidRPr="003D7719">
        <w:rPr>
          <w:lang w:eastAsia="en-GB"/>
        </w:rPr>
        <w:t xml:space="preserve"> and practices (at institutional and individual levels). </w:t>
      </w:r>
    </w:p>
    <w:p w14:paraId="53D84B77" w14:textId="77777777" w:rsidR="003D7719" w:rsidRPr="003D7719" w:rsidRDefault="003D7719" w:rsidP="00917F5E">
      <w:pPr>
        <w:pStyle w:val="BBodyText"/>
        <w:rPr>
          <w:lang w:eastAsia="en-GB"/>
        </w:rPr>
      </w:pPr>
    </w:p>
    <w:p w14:paraId="7C071938" w14:textId="77777777" w:rsidR="00917F5E" w:rsidRPr="003D7719" w:rsidRDefault="00917F5E" w:rsidP="00B471EA">
      <w:pPr>
        <w:pStyle w:val="BNumberedSubheading"/>
      </w:pPr>
      <w:bookmarkStart w:id="2" w:name="_Toc149154493"/>
      <w:r w:rsidRPr="003D7719">
        <w:t>Constraints on public policies to combat racism and promote racial equality</w:t>
      </w:r>
      <w:bookmarkEnd w:id="2"/>
    </w:p>
    <w:p w14:paraId="375F688A" w14:textId="77777777" w:rsidR="00917F5E" w:rsidRPr="003D7719" w:rsidRDefault="00917F5E" w:rsidP="00917F5E">
      <w:pPr>
        <w:pStyle w:val="BBodyText"/>
        <w:rPr>
          <w:lang w:eastAsia="en-GB"/>
        </w:rPr>
      </w:pPr>
      <w:r w:rsidRPr="003D7719">
        <w:rPr>
          <w:lang w:eastAsia="en-GB"/>
        </w:rPr>
        <w:t>Amnesty International is concerned that knowledge about the existence and applicability of the Convention is not mainstreamed within different levels of government in Germany.</w:t>
      </w:r>
      <w:r w:rsidRPr="003D7719">
        <w:rPr>
          <w:vertAlign w:val="superscript"/>
          <w:lang w:eastAsia="en-GB"/>
        </w:rPr>
        <w:footnoteReference w:id="2"/>
      </w:r>
      <w:r w:rsidRPr="003D7719">
        <w:rPr>
          <w:lang w:eastAsia="en-GB"/>
        </w:rPr>
        <w:t xml:space="preserve"> </w:t>
      </w:r>
    </w:p>
    <w:p w14:paraId="6F8B729D" w14:textId="1760A9C8" w:rsidR="00917F5E" w:rsidRPr="003D7719" w:rsidRDefault="004D50B5" w:rsidP="00917F5E">
      <w:pPr>
        <w:pStyle w:val="BBodyText"/>
        <w:rPr>
          <w:lang w:eastAsia="en-GB"/>
        </w:rPr>
      </w:pPr>
      <w:r w:rsidRPr="003D7719">
        <w:rPr>
          <w:lang w:eastAsia="en-GB"/>
        </w:rPr>
        <w:t>R</w:t>
      </w:r>
      <w:r w:rsidR="00917F5E" w:rsidRPr="003D7719">
        <w:rPr>
          <w:lang w:eastAsia="en-GB"/>
        </w:rPr>
        <w:t>acial discrimination is not defined in German law in a manner consistent with the Convention. International conventions ratified by Germany are federal law, however, the Committee has previously expressed concerns “that the absence of a statutory definition of racial discrimination in line with article 1 of the Convention in the domestic legislation has direct implications on the State party’s failure to adequately address racial discrimination of all groups requiring protection under the Convention. In particular, the absence of such a statutory definition seems to result in reluctance by judges to refer to the Convention in German courts”.</w:t>
      </w:r>
      <w:r w:rsidR="00917F5E" w:rsidRPr="003D7719">
        <w:rPr>
          <w:vertAlign w:val="superscript"/>
          <w:lang w:eastAsia="en-GB"/>
        </w:rPr>
        <w:footnoteReference w:id="3"/>
      </w:r>
      <w:r w:rsidR="00917F5E" w:rsidRPr="003D7719">
        <w:rPr>
          <w:lang w:eastAsia="en-GB"/>
        </w:rPr>
        <w:t xml:space="preserve"> The absence of such a definition has led to confusion about what constitutes racial discrimination by state actors and has prevented Germany from meaningfully addressing racial discrimination. For example, although the Convention clearly states that the purpose or effect of an action or omission is decisive, it is commonly assumed – including by state officials – that the intention and/or motivation of the perpetrator (and not the discriminatory impact) is crucial</w:t>
      </w:r>
      <w:r w:rsidRPr="003D7719">
        <w:rPr>
          <w:lang w:eastAsia="en-GB"/>
        </w:rPr>
        <w:t>.</w:t>
      </w:r>
      <w:r w:rsidR="00917F5E" w:rsidRPr="003D7719">
        <w:rPr>
          <w:vertAlign w:val="superscript"/>
          <w:lang w:eastAsia="en-GB"/>
        </w:rPr>
        <w:footnoteReference w:id="4"/>
      </w:r>
      <w:r w:rsidR="00917F5E" w:rsidRPr="003D7719">
        <w:rPr>
          <w:lang w:eastAsia="en-GB"/>
        </w:rPr>
        <w:t xml:space="preserve"> As a result, not all cases alleging or involving racial discrimination are investigated as such.</w:t>
      </w:r>
      <w:r w:rsidR="00917F5E" w:rsidRPr="003D7719">
        <w:rPr>
          <w:vertAlign w:val="superscript"/>
          <w:lang w:eastAsia="en-GB"/>
        </w:rPr>
        <w:footnoteReference w:id="5"/>
      </w:r>
      <w:r w:rsidR="00917F5E" w:rsidRPr="003D7719">
        <w:rPr>
          <w:lang w:eastAsia="en-GB"/>
        </w:rPr>
        <w:t xml:space="preserve"> Amnesty International therefore welcomes the appointment of a Council of </w:t>
      </w:r>
      <w:r w:rsidR="00917F5E" w:rsidRPr="003D7719">
        <w:rPr>
          <w:lang w:eastAsia="en-GB"/>
        </w:rPr>
        <w:lastRenderedPageBreak/>
        <w:t>Experts on Anti-Racism by the Anti-racism Commissioner, in July 2023</w:t>
      </w:r>
      <w:r w:rsidRPr="003D7719">
        <w:rPr>
          <w:lang w:eastAsia="en-GB"/>
        </w:rPr>
        <w:t>.</w:t>
      </w:r>
      <w:r w:rsidR="00917F5E" w:rsidRPr="003D7719">
        <w:rPr>
          <w:vertAlign w:val="superscript"/>
          <w:lang w:eastAsia="en-GB"/>
        </w:rPr>
        <w:footnoteReference w:id="6"/>
      </w:r>
      <w:r w:rsidR="00917F5E" w:rsidRPr="003D7719">
        <w:rPr>
          <w:lang w:eastAsia="en-GB"/>
        </w:rPr>
        <w:t xml:space="preserve"> The Council is tasked with developing proposals for an effective, sustainable anti-racism policy in Germany, including developing a definition of racism for administrative action and conduct by government officials.</w:t>
      </w:r>
      <w:r w:rsidR="00917F5E" w:rsidRPr="003D7719">
        <w:rPr>
          <w:vertAlign w:val="superscript"/>
          <w:lang w:eastAsia="en-GB"/>
        </w:rPr>
        <w:footnoteReference w:id="7"/>
      </w:r>
      <w:r w:rsidR="00917F5E" w:rsidRPr="003D7719">
        <w:rPr>
          <w:lang w:eastAsia="en-GB"/>
        </w:rPr>
        <w:t xml:space="preserve"> </w:t>
      </w:r>
    </w:p>
    <w:p w14:paraId="760EE54E" w14:textId="70FF563A" w:rsidR="00917F5E" w:rsidRPr="003D7719" w:rsidRDefault="00917F5E" w:rsidP="00917F5E">
      <w:pPr>
        <w:pStyle w:val="BBodyText"/>
        <w:rPr>
          <w:lang w:eastAsia="en-GB"/>
        </w:rPr>
      </w:pPr>
      <w:r w:rsidRPr="003D7719">
        <w:rPr>
          <w:lang w:eastAsia="en-GB"/>
        </w:rPr>
        <w:t>Amnesty International is alarmed that</w:t>
      </w:r>
      <w:r w:rsidR="004D50B5" w:rsidRPr="003D7719">
        <w:rPr>
          <w:lang w:eastAsia="en-GB"/>
        </w:rPr>
        <w:t xml:space="preserve"> the government has not taken</w:t>
      </w:r>
      <w:r w:rsidRPr="003D7719">
        <w:rPr>
          <w:lang w:eastAsia="en-GB"/>
        </w:rPr>
        <w:t xml:space="preserve"> sufficient action to combat racist structures that historically and systemically discriminate against people based on race, colour, descent, national or ethnic origin. For example, the </w:t>
      </w:r>
      <w:r w:rsidR="004D50B5" w:rsidRPr="003D7719">
        <w:rPr>
          <w:lang w:eastAsia="en-GB"/>
        </w:rPr>
        <w:t xml:space="preserve">recommendations </w:t>
      </w:r>
      <w:r w:rsidRPr="003D7719">
        <w:rPr>
          <w:lang w:eastAsia="en-GB"/>
        </w:rPr>
        <w:t>of the final report of the Cabinet Committee on Combating Right-wing Extremism and Racism of 2021,</w:t>
      </w:r>
      <w:r w:rsidRPr="003D7719">
        <w:rPr>
          <w:vertAlign w:val="superscript"/>
          <w:lang w:eastAsia="en-GB"/>
        </w:rPr>
        <w:footnoteReference w:id="8"/>
      </w:r>
      <w:r w:rsidRPr="003D7719">
        <w:rPr>
          <w:lang w:eastAsia="en-GB"/>
        </w:rPr>
        <w:t xml:space="preserve"> (set up in March 2020, inter alia, as a reaction to the racist attacks in Halle, Hanau and by the NSU mentioned below) are still to be implemented and the Action Plan Against Right-wing Extremism of March 2022</w:t>
      </w:r>
      <w:r w:rsidRPr="003D7719">
        <w:rPr>
          <w:vertAlign w:val="superscript"/>
          <w:lang w:eastAsia="en-GB"/>
        </w:rPr>
        <w:footnoteReference w:id="9"/>
      </w:r>
      <w:r w:rsidRPr="003D7719">
        <w:rPr>
          <w:lang w:eastAsia="en-GB"/>
        </w:rPr>
        <w:t xml:space="preserve"> which makes reference to well-known hate crimes detailed below as acts of </w:t>
      </w:r>
      <w:r w:rsidR="00B2264C" w:rsidRPr="003D7719">
        <w:rPr>
          <w:lang w:eastAsia="en-GB"/>
        </w:rPr>
        <w:t>“</w:t>
      </w:r>
      <w:r w:rsidRPr="003D7719">
        <w:rPr>
          <w:lang w:eastAsia="en-GB"/>
        </w:rPr>
        <w:t>right-wing extremism</w:t>
      </w:r>
      <w:r w:rsidR="00B2264C" w:rsidRPr="003D7719">
        <w:rPr>
          <w:lang w:eastAsia="en-GB"/>
        </w:rPr>
        <w:t>”</w:t>
      </w:r>
      <w:r w:rsidRPr="003D7719">
        <w:rPr>
          <w:lang w:eastAsia="en-GB"/>
        </w:rPr>
        <w:t xml:space="preserve"> does not even mention racism.</w:t>
      </w:r>
      <w:r w:rsidRPr="003D7719">
        <w:rPr>
          <w:vertAlign w:val="superscript"/>
          <w:lang w:eastAsia="en-GB"/>
        </w:rPr>
        <w:footnoteReference w:id="10"/>
      </w:r>
      <w:r w:rsidRPr="003D7719">
        <w:rPr>
          <w:lang w:eastAsia="en-GB"/>
        </w:rPr>
        <w:t xml:space="preserve"> While the measures provided more support for civil society, they did </w:t>
      </w:r>
      <w:r w:rsidR="004D50B5" w:rsidRPr="003D7719">
        <w:rPr>
          <w:lang w:eastAsia="en-GB"/>
        </w:rPr>
        <w:t xml:space="preserve">not </w:t>
      </w:r>
      <w:r w:rsidRPr="003D7719">
        <w:rPr>
          <w:lang w:eastAsia="en-GB"/>
        </w:rPr>
        <w:t>address institutional racism or set out an overall strategy against racist violence. Other measures to address racism have not been fully implemented or adequately updated. The National Action Plan (NAP) against Racism of July 2017,</w:t>
      </w:r>
      <w:r w:rsidRPr="003D7719">
        <w:rPr>
          <w:vertAlign w:val="superscript"/>
          <w:lang w:eastAsia="en-GB"/>
        </w:rPr>
        <w:footnoteReference w:id="11"/>
      </w:r>
      <w:r w:rsidRPr="003D7719">
        <w:rPr>
          <w:lang w:eastAsia="en-GB"/>
        </w:rPr>
        <w:t xml:space="preserve"> for example, has not been completely implemented and a follow-up NAP is yet to come. </w:t>
      </w:r>
    </w:p>
    <w:p w14:paraId="2783ADC0" w14:textId="2E3A6134" w:rsidR="00917F5E" w:rsidRPr="003D7719" w:rsidRDefault="00917F5E" w:rsidP="00917F5E">
      <w:pPr>
        <w:pStyle w:val="BBodyText"/>
        <w:rPr>
          <w:lang w:eastAsia="en-GB"/>
        </w:rPr>
      </w:pPr>
      <w:r w:rsidRPr="003D7719">
        <w:rPr>
          <w:lang w:eastAsia="en-GB"/>
        </w:rPr>
        <w:t>As explained by the Committee, the persistent use of other terms to encompass the broader notion of racial discrimination is concerning. This includes “right-wing extremism” and “neo-Nazism” and the use of the term “cultural differences” to mean “ethnic diversity”.</w:t>
      </w:r>
      <w:r w:rsidRPr="003D7719">
        <w:rPr>
          <w:vertAlign w:val="superscript"/>
          <w:lang w:eastAsia="en-GB"/>
        </w:rPr>
        <w:footnoteReference w:id="12"/>
      </w:r>
      <w:r w:rsidRPr="003D7719">
        <w:rPr>
          <w:lang w:eastAsia="en-GB"/>
        </w:rPr>
        <w:t xml:space="preserve"> This is linked to the fact that state actors predominantly perceive racism as intrinsically interlinked with migration status or “background</w:t>
      </w:r>
      <w:r w:rsidR="00E975D2">
        <w:rPr>
          <w:lang w:eastAsia="en-GB"/>
        </w:rPr>
        <w:t xml:space="preserve">” </w:t>
      </w:r>
      <w:r w:rsidRPr="003D7719">
        <w:rPr>
          <w:lang w:eastAsia="en-GB"/>
        </w:rPr>
        <w:t>instead of acknowledging its many root causes such as white supremacy and colonialism. This is evident by the continued use of the term “persons with a migrant background”</w:t>
      </w:r>
      <w:r w:rsidRPr="003D7719">
        <w:rPr>
          <w:vertAlign w:val="superscript"/>
          <w:lang w:eastAsia="en-GB"/>
        </w:rPr>
        <w:footnoteReference w:id="13"/>
      </w:r>
      <w:r w:rsidRPr="003D7719">
        <w:rPr>
          <w:lang w:eastAsia="en-GB"/>
        </w:rPr>
        <w:t xml:space="preserve"> to identify those who may be subjected to racial discrimination which is of particular concern of the Committee as it can exclude minorities and other racialized groups who have been in Germany for centuries.</w:t>
      </w:r>
      <w:r w:rsidRPr="003D7719">
        <w:rPr>
          <w:vertAlign w:val="superscript"/>
          <w:lang w:eastAsia="en-GB"/>
        </w:rPr>
        <w:footnoteReference w:id="14"/>
      </w:r>
      <w:r w:rsidRPr="003D7719">
        <w:rPr>
          <w:lang w:eastAsia="en-GB"/>
        </w:rPr>
        <w:t xml:space="preserve"> </w:t>
      </w:r>
      <w:r w:rsidR="004559AD">
        <w:rPr>
          <w:lang w:eastAsia="en-GB"/>
        </w:rPr>
        <w:t>F</w:t>
      </w:r>
      <w:r w:rsidRPr="003D7719">
        <w:rPr>
          <w:lang w:eastAsia="en-GB"/>
        </w:rPr>
        <w:t>urthermore, despite individual statements by officials,</w:t>
      </w:r>
      <w:r w:rsidRPr="003D7719">
        <w:rPr>
          <w:vertAlign w:val="superscript"/>
          <w:lang w:eastAsia="en-GB"/>
        </w:rPr>
        <w:footnoteReference w:id="15"/>
      </w:r>
      <w:r w:rsidRPr="003D7719">
        <w:rPr>
          <w:lang w:eastAsia="en-GB"/>
        </w:rPr>
        <w:t xml:space="preserve"> Germany does not </w:t>
      </w:r>
      <w:r w:rsidR="00557F9F" w:rsidRPr="003D7719">
        <w:rPr>
          <w:lang w:eastAsia="en-GB"/>
        </w:rPr>
        <w:t xml:space="preserve">adequately </w:t>
      </w:r>
      <w:r w:rsidRPr="003D7719">
        <w:rPr>
          <w:lang w:eastAsia="en-GB"/>
        </w:rPr>
        <w:t>acknowledge</w:t>
      </w:r>
      <w:r w:rsidR="00652E46" w:rsidRPr="003D7719">
        <w:rPr>
          <w:lang w:eastAsia="en-GB"/>
        </w:rPr>
        <w:t xml:space="preserve"> </w:t>
      </w:r>
      <w:r w:rsidRPr="003D7719">
        <w:rPr>
          <w:lang w:eastAsia="en-GB"/>
        </w:rPr>
        <w:t>and recognize the impact of its past practices of colonialism on the present contexts of discrimination and persisting structures of racial inequalities.</w:t>
      </w:r>
      <w:r w:rsidRPr="003D7719">
        <w:rPr>
          <w:vertAlign w:val="superscript"/>
          <w:lang w:eastAsia="en-GB"/>
        </w:rPr>
        <w:footnoteReference w:id="16"/>
      </w:r>
    </w:p>
    <w:p w14:paraId="719168BB" w14:textId="1D4950AD" w:rsidR="00917F5E" w:rsidRPr="003D7719" w:rsidRDefault="00917F5E" w:rsidP="00917F5E">
      <w:pPr>
        <w:pStyle w:val="BBodyText"/>
        <w:rPr>
          <w:lang w:eastAsia="en-GB"/>
        </w:rPr>
      </w:pPr>
      <w:r w:rsidRPr="003D7719">
        <w:rPr>
          <w:lang w:eastAsia="en-GB"/>
        </w:rPr>
        <w:t>Other public policy measures, such as supporting civil society organizations working with racialized groups exist,</w:t>
      </w:r>
      <w:r w:rsidRPr="003D7719">
        <w:rPr>
          <w:vertAlign w:val="superscript"/>
          <w:lang w:eastAsia="en-GB"/>
        </w:rPr>
        <w:footnoteReference w:id="17"/>
      </w:r>
      <w:r w:rsidRPr="003D7719">
        <w:rPr>
          <w:lang w:eastAsia="en-GB"/>
        </w:rPr>
        <w:t xml:space="preserve"> but need to be expanded and </w:t>
      </w:r>
      <w:proofErr w:type="gramStart"/>
      <w:r w:rsidRPr="003D7719">
        <w:rPr>
          <w:lang w:eastAsia="en-GB"/>
        </w:rPr>
        <w:t>continued on</w:t>
      </w:r>
      <w:proofErr w:type="gramEnd"/>
      <w:r w:rsidRPr="003D7719">
        <w:rPr>
          <w:lang w:eastAsia="en-GB"/>
        </w:rPr>
        <w:t xml:space="preserve"> a long-term basis. </w:t>
      </w:r>
    </w:p>
    <w:p w14:paraId="20A8CC59" w14:textId="10AFD598" w:rsidR="003D7719" w:rsidRDefault="003D7719" w:rsidP="00917F5E">
      <w:pPr>
        <w:pStyle w:val="BBodyText"/>
        <w:rPr>
          <w:lang w:eastAsia="en-GB"/>
        </w:rPr>
      </w:pPr>
    </w:p>
    <w:p w14:paraId="44A1F50F" w14:textId="77777777" w:rsidR="004559AD" w:rsidRPr="003D7719" w:rsidRDefault="004559AD" w:rsidP="00917F5E">
      <w:pPr>
        <w:pStyle w:val="BBodyText"/>
        <w:rPr>
          <w:lang w:eastAsia="en-GB"/>
        </w:rPr>
      </w:pPr>
    </w:p>
    <w:p w14:paraId="2AD8F419" w14:textId="77777777" w:rsidR="00917F5E" w:rsidRPr="003D7719" w:rsidRDefault="00917F5E" w:rsidP="00B471EA">
      <w:pPr>
        <w:pStyle w:val="BNumberedSubheading"/>
      </w:pPr>
      <w:bookmarkStart w:id="4" w:name="_Toc149154494"/>
      <w:r w:rsidRPr="003D7719">
        <w:lastRenderedPageBreak/>
        <w:t>Recommendations</w:t>
      </w:r>
      <w:bookmarkEnd w:id="4"/>
    </w:p>
    <w:p w14:paraId="601932BB" w14:textId="77777777" w:rsidR="00917F5E" w:rsidRPr="003D7719" w:rsidRDefault="00917F5E" w:rsidP="00917F5E">
      <w:pPr>
        <w:pStyle w:val="BBodyText"/>
        <w:rPr>
          <w:bCs w:val="0"/>
          <w:lang w:eastAsia="en-GB"/>
        </w:rPr>
      </w:pPr>
      <w:r w:rsidRPr="003D7719">
        <w:rPr>
          <w:bCs w:val="0"/>
          <w:lang w:eastAsia="en-GB"/>
        </w:rPr>
        <w:t>Amnesty International recommends that the German authorities:</w:t>
      </w:r>
    </w:p>
    <w:p w14:paraId="41BC0CFF" w14:textId="0E9BD0B5" w:rsidR="00917F5E" w:rsidRPr="003D7719" w:rsidRDefault="00917F5E" w:rsidP="00917F5E">
      <w:pPr>
        <w:pStyle w:val="BBodyText"/>
        <w:numPr>
          <w:ilvl w:val="0"/>
          <w:numId w:val="43"/>
        </w:numPr>
        <w:rPr>
          <w:bCs w:val="0"/>
          <w:lang w:eastAsia="en-GB"/>
        </w:rPr>
      </w:pPr>
      <w:r w:rsidRPr="003D7719">
        <w:rPr>
          <w:bCs w:val="0"/>
          <w:lang w:eastAsia="en-GB"/>
        </w:rPr>
        <w:t xml:space="preserve">Ensure that a definition of racial discrimination which is fully in line with article 1 (1) of the Convention is used in law and in practice, so that full protection of groups or individuals requiring protection under the Convention is </w:t>
      </w:r>
      <w:proofErr w:type="gramStart"/>
      <w:r w:rsidRPr="003D7719">
        <w:rPr>
          <w:bCs w:val="0"/>
          <w:lang w:eastAsia="en-GB"/>
        </w:rPr>
        <w:t>guaranteed;</w:t>
      </w:r>
      <w:proofErr w:type="gramEnd"/>
    </w:p>
    <w:p w14:paraId="664B5D0A" w14:textId="0AA256F2" w:rsidR="00917F5E" w:rsidRPr="003D7719" w:rsidRDefault="00917F5E" w:rsidP="00917F5E">
      <w:pPr>
        <w:pStyle w:val="BBodyText"/>
        <w:numPr>
          <w:ilvl w:val="0"/>
          <w:numId w:val="43"/>
        </w:numPr>
        <w:rPr>
          <w:bCs w:val="0"/>
          <w:lang w:eastAsia="en-GB"/>
        </w:rPr>
      </w:pPr>
      <w:r w:rsidRPr="003D7719">
        <w:rPr>
          <w:bCs w:val="0"/>
          <w:lang w:eastAsia="en-GB"/>
        </w:rPr>
        <w:t xml:space="preserve">Raise, in line with the Committee’s recommendation, awareness, through campaigns in educational institutions at all levels, in the public arena and in the media, of the definition of racial discrimination and the impact on people experiencing such </w:t>
      </w:r>
      <w:proofErr w:type="gramStart"/>
      <w:r w:rsidRPr="003D7719">
        <w:rPr>
          <w:bCs w:val="0"/>
          <w:lang w:eastAsia="en-GB"/>
        </w:rPr>
        <w:t>discrimination;</w:t>
      </w:r>
      <w:proofErr w:type="gramEnd"/>
    </w:p>
    <w:p w14:paraId="743D30A1" w14:textId="10EE3551" w:rsidR="00917F5E" w:rsidRPr="003D7719" w:rsidRDefault="00917F5E" w:rsidP="00917F5E">
      <w:pPr>
        <w:pStyle w:val="BBodyText"/>
        <w:numPr>
          <w:ilvl w:val="0"/>
          <w:numId w:val="43"/>
        </w:numPr>
        <w:rPr>
          <w:bCs w:val="0"/>
          <w:lang w:eastAsia="en-GB"/>
        </w:rPr>
      </w:pPr>
      <w:r w:rsidRPr="003D7719">
        <w:rPr>
          <w:bCs w:val="0"/>
          <w:lang w:eastAsia="en-GB"/>
        </w:rPr>
        <w:t xml:space="preserve">Comprehensively train public servants and state employees on all levels of government on </w:t>
      </w:r>
      <w:r w:rsidR="00751870" w:rsidRPr="003D7719">
        <w:rPr>
          <w:bCs w:val="0"/>
          <w:lang w:eastAsia="en-GB"/>
        </w:rPr>
        <w:t xml:space="preserve">the </w:t>
      </w:r>
      <w:r w:rsidRPr="003D7719">
        <w:rPr>
          <w:bCs w:val="0"/>
          <w:lang w:eastAsia="en-GB"/>
        </w:rPr>
        <w:t xml:space="preserve">source and effect of racial discrimination as well as on how to actively prevent racial </w:t>
      </w:r>
      <w:proofErr w:type="gramStart"/>
      <w:r w:rsidRPr="003D7719">
        <w:rPr>
          <w:bCs w:val="0"/>
          <w:lang w:eastAsia="en-GB"/>
        </w:rPr>
        <w:t>discrimination;</w:t>
      </w:r>
      <w:proofErr w:type="gramEnd"/>
      <w:r w:rsidRPr="003D7719">
        <w:rPr>
          <w:bCs w:val="0"/>
          <w:lang w:eastAsia="en-GB"/>
        </w:rPr>
        <w:t xml:space="preserve"> </w:t>
      </w:r>
    </w:p>
    <w:p w14:paraId="6A7F952F" w14:textId="1D802F22" w:rsidR="00917F5E" w:rsidRPr="003D7719" w:rsidRDefault="00917F5E" w:rsidP="00917F5E">
      <w:pPr>
        <w:pStyle w:val="BBodyText"/>
        <w:numPr>
          <w:ilvl w:val="0"/>
          <w:numId w:val="43"/>
        </w:numPr>
        <w:rPr>
          <w:bCs w:val="0"/>
          <w:lang w:eastAsia="en-GB"/>
        </w:rPr>
      </w:pPr>
      <w:r w:rsidRPr="003D7719">
        <w:rPr>
          <w:bCs w:val="0"/>
          <w:lang w:eastAsia="en-GB"/>
        </w:rPr>
        <w:t xml:space="preserve">Address systemic and institutional racism on all levels of government and acknowledge the root causes of racial discrimination such as white supremacy and colonialism; and </w:t>
      </w:r>
    </w:p>
    <w:p w14:paraId="3B8B204A" w14:textId="5D8B1CB4" w:rsidR="00917F5E" w:rsidRPr="003D7719" w:rsidRDefault="00917F5E" w:rsidP="00917F5E">
      <w:pPr>
        <w:pStyle w:val="BBodyText"/>
        <w:numPr>
          <w:ilvl w:val="0"/>
          <w:numId w:val="43"/>
        </w:numPr>
        <w:rPr>
          <w:bCs w:val="0"/>
          <w:lang w:eastAsia="en-GB"/>
        </w:rPr>
      </w:pPr>
      <w:r w:rsidRPr="003D7719">
        <w:rPr>
          <w:bCs w:val="0"/>
          <w:lang w:eastAsia="en-GB"/>
        </w:rPr>
        <w:t>Continue and expand support for civil society organizations that address racial discrimination.</w:t>
      </w:r>
    </w:p>
    <w:p w14:paraId="3CD904ED" w14:textId="77777777" w:rsidR="003D7719" w:rsidRPr="003D7719" w:rsidRDefault="003D7719" w:rsidP="003D7719">
      <w:pPr>
        <w:pStyle w:val="BBodyText"/>
        <w:rPr>
          <w:bCs w:val="0"/>
          <w:lang w:eastAsia="en-GB"/>
        </w:rPr>
      </w:pPr>
    </w:p>
    <w:p w14:paraId="55C18D1D" w14:textId="77777777" w:rsidR="00917F5E" w:rsidRPr="003D7719" w:rsidRDefault="00917F5E" w:rsidP="00B471EA">
      <w:pPr>
        <w:pStyle w:val="BNumberedSubheading"/>
      </w:pPr>
      <w:bookmarkStart w:id="5" w:name="_Toc149154495"/>
      <w:r w:rsidRPr="003D7719">
        <w:t>Lack of comprehensive public disaggregated data</w:t>
      </w:r>
      <w:bookmarkEnd w:id="5"/>
    </w:p>
    <w:p w14:paraId="7D4F708A" w14:textId="77777777" w:rsidR="00917F5E" w:rsidRPr="003D7719" w:rsidRDefault="00917F5E" w:rsidP="00917F5E">
      <w:pPr>
        <w:pStyle w:val="BBodyText"/>
        <w:rPr>
          <w:lang w:eastAsia="en-GB"/>
        </w:rPr>
      </w:pPr>
      <w:r w:rsidRPr="003D7719">
        <w:rPr>
          <w:lang w:eastAsia="en-GB"/>
        </w:rPr>
        <w:t>Germany does not collect statistical data on race and/or ethnicity, while data on some other protected characteristics, such as sex, is recorded. As data on the population in all its diversity is lacking, a comprehensive analysis on the composition of population and discriminatory practices is more difficult, especially regarding intersecting and multiple forms of structural discrimination.</w:t>
      </w:r>
      <w:r w:rsidRPr="003D7719">
        <w:rPr>
          <w:vertAlign w:val="superscript"/>
          <w:lang w:eastAsia="en-GB"/>
        </w:rPr>
        <w:footnoteReference w:id="18"/>
      </w:r>
      <w:r w:rsidRPr="003D7719">
        <w:rPr>
          <w:lang w:eastAsia="en-GB"/>
        </w:rPr>
        <w:t xml:space="preserve"> </w:t>
      </w:r>
    </w:p>
    <w:p w14:paraId="111045C8" w14:textId="502C692A" w:rsidR="00917F5E" w:rsidRPr="003D7719" w:rsidRDefault="00917F5E" w:rsidP="00917F5E">
      <w:pPr>
        <w:pStyle w:val="BBodyText"/>
        <w:rPr>
          <w:lang w:eastAsia="en-GB"/>
        </w:rPr>
      </w:pPr>
      <w:r w:rsidRPr="003D7719">
        <w:rPr>
          <w:lang w:eastAsia="en-GB"/>
        </w:rPr>
        <w:t>Several civil society initiatives and academic institutions have tried to fill the lack of official, disaggregated data. In July 2020, the German parliament provided funding to establish a National Discrimination and Racism Monitor (</w:t>
      </w:r>
      <w:proofErr w:type="spellStart"/>
      <w:r w:rsidRPr="003D7719">
        <w:rPr>
          <w:lang w:eastAsia="en-GB"/>
        </w:rPr>
        <w:t>NaDiRa</w:t>
      </w:r>
      <w:proofErr w:type="spellEnd"/>
      <w:r w:rsidRPr="003D7719">
        <w:rPr>
          <w:lang w:eastAsia="en-GB"/>
        </w:rPr>
        <w:t xml:space="preserve">) at the </w:t>
      </w:r>
      <w:proofErr w:type="spellStart"/>
      <w:r w:rsidRPr="003D7719">
        <w:rPr>
          <w:lang w:eastAsia="en-GB"/>
        </w:rPr>
        <w:t>DeZIM</w:t>
      </w:r>
      <w:proofErr w:type="spellEnd"/>
      <w:r w:rsidRPr="003D7719">
        <w:rPr>
          <w:lang w:eastAsia="en-GB"/>
        </w:rPr>
        <w:t xml:space="preserve"> institute (German Centre for Integration and Migration Studies). The study “Racist realities” by </w:t>
      </w:r>
      <w:proofErr w:type="spellStart"/>
      <w:r w:rsidRPr="003D7719">
        <w:rPr>
          <w:lang w:eastAsia="en-GB"/>
        </w:rPr>
        <w:t>NaDiRa</w:t>
      </w:r>
      <w:proofErr w:type="spellEnd"/>
      <w:r w:rsidRPr="003D7719">
        <w:rPr>
          <w:lang w:eastAsia="en-GB"/>
        </w:rPr>
        <w:t xml:space="preserve"> published in 2022 </w:t>
      </w:r>
      <w:r w:rsidR="006650B9" w:rsidRPr="003D7719">
        <w:rPr>
          <w:lang w:eastAsia="en-GB"/>
        </w:rPr>
        <w:t xml:space="preserve">found </w:t>
      </w:r>
      <w:r w:rsidRPr="003D7719">
        <w:rPr>
          <w:lang w:eastAsia="en-GB"/>
        </w:rPr>
        <w:t xml:space="preserve">that racism is </w:t>
      </w:r>
      <w:r w:rsidR="006650B9" w:rsidRPr="003D7719">
        <w:rPr>
          <w:lang w:eastAsia="en-GB"/>
        </w:rPr>
        <w:t>common</w:t>
      </w:r>
      <w:r w:rsidRPr="003D7719">
        <w:rPr>
          <w:lang w:eastAsia="en-GB"/>
        </w:rPr>
        <w:t xml:space="preserve"> in Germany.</w:t>
      </w:r>
      <w:r w:rsidRPr="003D7719">
        <w:rPr>
          <w:vertAlign w:val="superscript"/>
          <w:lang w:eastAsia="en-GB"/>
        </w:rPr>
        <w:footnoteReference w:id="19"/>
      </w:r>
      <w:r w:rsidRPr="003D7719">
        <w:rPr>
          <w:lang w:eastAsia="en-GB"/>
        </w:rPr>
        <w:t xml:space="preserve"> </w:t>
      </w:r>
      <w:r w:rsidR="006650B9" w:rsidRPr="003D7719">
        <w:rPr>
          <w:lang w:eastAsia="en-GB"/>
        </w:rPr>
        <w:t>I</w:t>
      </w:r>
      <w:r w:rsidRPr="003D7719">
        <w:rPr>
          <w:lang w:eastAsia="en-GB"/>
        </w:rPr>
        <w:t xml:space="preserve">n 2022, 43% of reported complaints </w:t>
      </w:r>
      <w:r w:rsidR="006650B9" w:rsidRPr="003D7719">
        <w:rPr>
          <w:lang w:eastAsia="en-GB"/>
        </w:rPr>
        <w:t xml:space="preserve">to the Federal Anti-Discrimination Agency </w:t>
      </w:r>
      <w:r w:rsidRPr="003D7719">
        <w:rPr>
          <w:lang w:eastAsia="en-GB"/>
        </w:rPr>
        <w:t>were about racial discrimination, a year in which they received more consultation requests on discrimination than ever before.</w:t>
      </w:r>
      <w:r w:rsidRPr="003D7719">
        <w:rPr>
          <w:vertAlign w:val="superscript"/>
          <w:lang w:eastAsia="en-GB"/>
        </w:rPr>
        <w:footnoteReference w:id="20"/>
      </w:r>
      <w:r w:rsidRPr="003D7719">
        <w:rPr>
          <w:lang w:eastAsia="en-GB"/>
        </w:rPr>
        <w:t> </w:t>
      </w:r>
    </w:p>
    <w:p w14:paraId="3601EE4C" w14:textId="3396E275" w:rsidR="00917F5E" w:rsidRPr="003D7719" w:rsidRDefault="00917F5E" w:rsidP="00917F5E">
      <w:pPr>
        <w:pStyle w:val="BBodyText"/>
        <w:rPr>
          <w:lang w:eastAsia="en-GB"/>
        </w:rPr>
      </w:pPr>
      <w:r w:rsidRPr="003D7719">
        <w:rPr>
          <w:lang w:eastAsia="en-GB"/>
        </w:rPr>
        <w:t>Group-specific information on racialized people is rare with regards to the size of the groups as well as regarding the discrimination they face. In June 2017, the Independent Expert Group on Antisemitism, installed by the parliament, published its second report on the diversity of manifestations of antisemitism in the different social spheres in Germany.</w:t>
      </w:r>
      <w:r w:rsidRPr="003D7719">
        <w:rPr>
          <w:vertAlign w:val="superscript"/>
          <w:lang w:eastAsia="en-GB"/>
        </w:rPr>
        <w:footnoteReference w:id="21"/>
      </w:r>
      <w:r w:rsidRPr="003D7719">
        <w:rPr>
          <w:lang w:eastAsia="en-GB"/>
        </w:rPr>
        <w:t xml:space="preserve"> Civil society organizations record high annual levels of antisemitic attacks.</w:t>
      </w:r>
      <w:r w:rsidRPr="003D7719">
        <w:rPr>
          <w:vertAlign w:val="superscript"/>
          <w:lang w:eastAsia="en-GB"/>
        </w:rPr>
        <w:footnoteReference w:id="22"/>
      </w:r>
      <w:r w:rsidRPr="003D7719">
        <w:rPr>
          <w:lang w:eastAsia="en-GB"/>
        </w:rPr>
        <w:t xml:space="preserve"> Although more than 1 million people of African descent live in Germany, there was hardly any other statistical information about this group until the first afro census was published in 2020 by two civil society organizations, supported by academics with financial support of the Federal Anti-Discrimination Agency. The afro census showed the diversity of Black people of African descent and Afrodiasporic people in Germany, most of them born in Germany, as well as their shared experiences of anti-Black racism.</w:t>
      </w:r>
      <w:r w:rsidRPr="003D7719">
        <w:rPr>
          <w:vertAlign w:val="superscript"/>
          <w:lang w:eastAsia="en-GB"/>
        </w:rPr>
        <w:footnoteReference w:id="23"/>
      </w:r>
      <w:r w:rsidRPr="003D7719">
        <w:rPr>
          <w:lang w:eastAsia="en-GB"/>
        </w:rPr>
        <w:t xml:space="preserve"> The Independent Group of Experts on Hostility towards Muslims, installed by the Federal Ministry of the Interior, found in June 2023 that anti-Muslim </w:t>
      </w:r>
      <w:r w:rsidRPr="003D7719">
        <w:rPr>
          <w:lang w:eastAsia="en-GB"/>
        </w:rPr>
        <w:lastRenderedPageBreak/>
        <w:t>racism is widespread in large parts of society and an everyday reality</w:t>
      </w:r>
      <w:r w:rsidRPr="003D7719">
        <w:rPr>
          <w:vertAlign w:val="superscript"/>
          <w:lang w:eastAsia="en-GB"/>
        </w:rPr>
        <w:footnoteReference w:id="24"/>
      </w:r>
      <w:r w:rsidRPr="003D7719">
        <w:rPr>
          <w:lang w:eastAsia="en-GB"/>
        </w:rPr>
        <w:t xml:space="preserve"> and, thereby confirmed civil society reports</w:t>
      </w:r>
      <w:r w:rsidRPr="003D7719">
        <w:rPr>
          <w:vertAlign w:val="superscript"/>
          <w:lang w:eastAsia="en-GB"/>
        </w:rPr>
        <w:footnoteReference w:id="25"/>
      </w:r>
      <w:r w:rsidRPr="003D7719">
        <w:rPr>
          <w:lang w:eastAsia="en-GB"/>
        </w:rPr>
        <w:t>. Data on racism against Roma people was first published in September 2023 by a civil society organization (sponsored by government funding). The report showed that discrimination, including on an institutional level, against Roma people was pervasive, including towards Roma people from Ukraine who recently arrived to Germany as refugees.</w:t>
      </w:r>
      <w:r w:rsidRPr="003D7719">
        <w:rPr>
          <w:vertAlign w:val="superscript"/>
          <w:lang w:eastAsia="en-GB"/>
        </w:rPr>
        <w:footnoteReference w:id="26"/>
      </w:r>
      <w:r w:rsidRPr="003D7719">
        <w:rPr>
          <w:lang w:eastAsia="en-GB"/>
        </w:rPr>
        <w:t xml:space="preserve"> Data on racial discrimination against people of Asian descent is insufficient, although racist incidents especially during the COVID pandemic came to light.</w:t>
      </w:r>
      <w:r w:rsidRPr="003D7719">
        <w:rPr>
          <w:vertAlign w:val="superscript"/>
          <w:lang w:eastAsia="en-GB"/>
        </w:rPr>
        <w:footnoteReference w:id="27"/>
      </w:r>
      <w:r w:rsidRPr="003D7719">
        <w:rPr>
          <w:lang w:eastAsia="en-GB"/>
        </w:rPr>
        <w:t xml:space="preserve"> Similarly, racist incidents against people of Eastern European origin after the beginning of the Russian war of aggression towards Ukraine highlighted the importance of maintaining data about anti-Slavic racism.</w:t>
      </w:r>
      <w:r w:rsidRPr="003D7719">
        <w:rPr>
          <w:vertAlign w:val="superscript"/>
          <w:lang w:eastAsia="en-GB"/>
        </w:rPr>
        <w:footnoteReference w:id="28"/>
      </w:r>
    </w:p>
    <w:p w14:paraId="3E7A6929" w14:textId="77777777" w:rsidR="003D7719" w:rsidRPr="003D7719" w:rsidRDefault="003D7719" w:rsidP="00917F5E">
      <w:pPr>
        <w:pStyle w:val="BBodyText"/>
        <w:rPr>
          <w:lang w:eastAsia="en-GB"/>
        </w:rPr>
      </w:pPr>
    </w:p>
    <w:p w14:paraId="6F3776D9" w14:textId="77777777" w:rsidR="00917F5E" w:rsidRPr="003D7719" w:rsidRDefault="00917F5E" w:rsidP="00B471EA">
      <w:pPr>
        <w:pStyle w:val="BNumberedSubheading"/>
      </w:pPr>
      <w:bookmarkStart w:id="7" w:name="_Toc149154496"/>
      <w:r w:rsidRPr="003D7719">
        <w:t>Recommendations</w:t>
      </w:r>
      <w:bookmarkEnd w:id="7"/>
      <w:r w:rsidRPr="003D7719">
        <w:t xml:space="preserve"> </w:t>
      </w:r>
    </w:p>
    <w:p w14:paraId="3DD75241" w14:textId="77777777" w:rsidR="00917F5E" w:rsidRPr="003D7719" w:rsidRDefault="00917F5E" w:rsidP="00917F5E">
      <w:pPr>
        <w:pStyle w:val="BBodyText"/>
        <w:rPr>
          <w:bCs w:val="0"/>
          <w:lang w:eastAsia="en-GB"/>
        </w:rPr>
      </w:pPr>
      <w:r w:rsidRPr="003D7719">
        <w:rPr>
          <w:bCs w:val="0"/>
          <w:lang w:eastAsia="en-GB"/>
        </w:rPr>
        <w:t>Amnesty International recommends that Germany:</w:t>
      </w:r>
    </w:p>
    <w:p w14:paraId="7E9BC4BA" w14:textId="77777777" w:rsidR="00917F5E" w:rsidRPr="003D7719" w:rsidRDefault="00917F5E" w:rsidP="00917F5E">
      <w:pPr>
        <w:pStyle w:val="BBodyText"/>
        <w:numPr>
          <w:ilvl w:val="0"/>
          <w:numId w:val="44"/>
        </w:numPr>
        <w:rPr>
          <w:bCs w:val="0"/>
          <w:lang w:eastAsia="en-GB"/>
        </w:rPr>
      </w:pPr>
      <w:r w:rsidRPr="003D7719">
        <w:rPr>
          <w:bCs w:val="0"/>
          <w:lang w:eastAsia="en-GB"/>
        </w:rPr>
        <w:t>Improves the collection, disaggregation, and publication of data on the experience of racialized groups in Germany in all aspects of public life, including access to health, education, employment, housing, social protection, in the context of law enforcement and the criminal justice system as well as experience of discrimination and violence.</w:t>
      </w:r>
      <w:r w:rsidRPr="003D7719">
        <w:rPr>
          <w:bCs w:val="0"/>
          <w:vertAlign w:val="superscript"/>
          <w:lang w:eastAsia="en-GB"/>
        </w:rPr>
        <w:footnoteReference w:id="29"/>
      </w:r>
      <w:r w:rsidRPr="003D7719">
        <w:rPr>
          <w:bCs w:val="0"/>
          <w:lang w:eastAsia="en-GB"/>
        </w:rPr>
        <w:t xml:space="preserve"> This should include but not be limited to Black people, Muslim people and Roma people. </w:t>
      </w:r>
    </w:p>
    <w:p w14:paraId="38D701CA" w14:textId="77777777" w:rsidR="00917F5E" w:rsidRPr="003D7719" w:rsidRDefault="00917F5E" w:rsidP="00917F5E">
      <w:pPr>
        <w:pStyle w:val="BBodyText"/>
        <w:numPr>
          <w:ilvl w:val="1"/>
          <w:numId w:val="44"/>
        </w:numPr>
        <w:rPr>
          <w:bCs w:val="0"/>
          <w:lang w:eastAsia="en-GB"/>
        </w:rPr>
      </w:pPr>
      <w:r w:rsidRPr="003D7719">
        <w:rPr>
          <w:bCs w:val="0"/>
          <w:lang w:eastAsia="en-GB"/>
        </w:rPr>
        <w:t xml:space="preserve">In this regard, the State party should make public information on first languages, languages commonly spoken or other indicators of ethnic diversity, together with any information about descent or national or ethnic origin derived from social surveys. </w:t>
      </w:r>
    </w:p>
    <w:p w14:paraId="2B6C83B7" w14:textId="77777777" w:rsidR="00917F5E" w:rsidRPr="003D7719" w:rsidRDefault="00917F5E" w:rsidP="00917F5E">
      <w:pPr>
        <w:pStyle w:val="BBodyText"/>
        <w:numPr>
          <w:ilvl w:val="1"/>
          <w:numId w:val="44"/>
        </w:numPr>
        <w:rPr>
          <w:bCs w:val="0"/>
          <w:lang w:eastAsia="en-GB"/>
        </w:rPr>
      </w:pPr>
      <w:r w:rsidRPr="003D7719">
        <w:rPr>
          <w:bCs w:val="0"/>
          <w:lang w:eastAsia="en-GB"/>
        </w:rPr>
        <w:t xml:space="preserve">All data, including </w:t>
      </w:r>
      <w:proofErr w:type="gramStart"/>
      <w:r w:rsidRPr="003D7719">
        <w:rPr>
          <w:bCs w:val="0"/>
          <w:lang w:eastAsia="en-GB"/>
        </w:rPr>
        <w:t>with regard to</w:t>
      </w:r>
      <w:proofErr w:type="gramEnd"/>
      <w:r w:rsidRPr="003D7719">
        <w:rPr>
          <w:bCs w:val="0"/>
          <w:lang w:eastAsia="en-GB"/>
        </w:rPr>
        <w:t xml:space="preserve"> national minorities, should be collected in a manner consistent with human rights, including in a manner that is voluntary and based on self-identification and anonymity.</w:t>
      </w:r>
    </w:p>
    <w:p w14:paraId="64C087B1" w14:textId="77777777" w:rsidR="00917F5E" w:rsidRPr="003D7719" w:rsidRDefault="00917F5E" w:rsidP="00B471EA">
      <w:pPr>
        <w:pStyle w:val="BNumberedHeading"/>
      </w:pPr>
      <w:bookmarkStart w:id="8" w:name="_Toc149154497"/>
      <w:r w:rsidRPr="003D7719">
        <w:t>Racist Discrimination and violence by state actors</w:t>
      </w:r>
      <w:bookmarkEnd w:id="8"/>
      <w:r w:rsidRPr="003D7719">
        <w:t xml:space="preserve"> </w:t>
      </w:r>
    </w:p>
    <w:p w14:paraId="4C57A901" w14:textId="77777777" w:rsidR="00917F5E" w:rsidRPr="003D7719" w:rsidRDefault="00917F5E" w:rsidP="00B471EA">
      <w:pPr>
        <w:pStyle w:val="BNumberedSubheading"/>
      </w:pPr>
      <w:bookmarkStart w:id="9" w:name="_Toc149154498"/>
      <w:r w:rsidRPr="003D7719">
        <w:t>Racially discriminatory policing practices and lack of prevention and accountability</w:t>
      </w:r>
      <w:bookmarkEnd w:id="9"/>
      <w:r w:rsidRPr="003D7719">
        <w:t xml:space="preserve"> </w:t>
      </w:r>
    </w:p>
    <w:p w14:paraId="1B5DD977" w14:textId="5BFFF481" w:rsidR="00917F5E" w:rsidRPr="003D7719" w:rsidRDefault="00917F5E" w:rsidP="00917F5E">
      <w:pPr>
        <w:pStyle w:val="BBodyText"/>
        <w:rPr>
          <w:lang w:eastAsia="en-GB"/>
        </w:rPr>
      </w:pPr>
      <w:r w:rsidRPr="003D7719">
        <w:rPr>
          <w:lang w:eastAsia="en-GB"/>
        </w:rPr>
        <w:t>Racial discrimination in policing is a long-standing issue documented across Europe including Germany. Amnesty International’s research from 2016 is</w:t>
      </w:r>
      <w:r w:rsidRPr="003D7719" w:rsidDel="51986382">
        <w:rPr>
          <w:lang w:eastAsia="en-GB"/>
        </w:rPr>
        <w:t xml:space="preserve"> </w:t>
      </w:r>
      <w:r w:rsidRPr="003D7719">
        <w:rPr>
          <w:lang w:eastAsia="en-GB"/>
        </w:rPr>
        <w:t>indicative of a broader problem of institutional racism within German police authorities.</w:t>
      </w:r>
      <w:r w:rsidRPr="003D7719">
        <w:rPr>
          <w:vertAlign w:val="superscript"/>
          <w:lang w:eastAsia="en-GB"/>
        </w:rPr>
        <w:footnoteReference w:id="30"/>
      </w:r>
      <w:r w:rsidR="00181769" w:rsidRPr="003D7719">
        <w:rPr>
          <w:lang w:eastAsia="en-GB"/>
        </w:rPr>
        <w:t xml:space="preserve"> </w:t>
      </w:r>
      <w:r w:rsidRPr="003D7719">
        <w:rPr>
          <w:lang w:eastAsia="en-GB"/>
        </w:rPr>
        <w:t xml:space="preserve">The International Independent Expert Mechanism to Advance Racial Justice and Equality in Law Enforcement states in its 2023 report that “in many contexts, there is strong evidence that the abusive behaviour of some individual police officers is part of a broader and insidious pattern, interwoven into larger social, historical, cultural and structural contexts within which policing is undertaken. It is inevitable that law enforcement officers will share and reproduce the values, attitudes and stereotypes of the society and institutions in which </w:t>
      </w:r>
      <w:r w:rsidRPr="003D7719">
        <w:rPr>
          <w:lang w:eastAsia="en-GB"/>
        </w:rPr>
        <w:lastRenderedPageBreak/>
        <w:t xml:space="preserve">they live and work. To break this insidious circle requires unpacking the laws, policies, </w:t>
      </w:r>
      <w:proofErr w:type="gramStart"/>
      <w:r w:rsidRPr="003D7719">
        <w:rPr>
          <w:lang w:eastAsia="en-GB"/>
        </w:rPr>
        <w:t>practices</w:t>
      </w:r>
      <w:proofErr w:type="gramEnd"/>
      <w:r w:rsidRPr="003D7719">
        <w:rPr>
          <w:lang w:eastAsia="en-GB"/>
        </w:rPr>
        <w:t xml:space="preserve"> and institutional cultures within which abusive practices are unfolding and which continue to influence and determine</w:t>
      </w:r>
      <w:r w:rsidR="00181769" w:rsidRPr="003D7719">
        <w:rPr>
          <w:lang w:eastAsia="en-GB"/>
        </w:rPr>
        <w:t xml:space="preserve"> </w:t>
      </w:r>
      <w:r w:rsidR="00181769" w:rsidRPr="003D7719">
        <w:rPr>
          <w:sz w:val="20"/>
          <w:szCs w:val="20"/>
        </w:rPr>
        <w:t>modern law enforcement practices”</w:t>
      </w:r>
      <w:r w:rsidRPr="003D7719">
        <w:rPr>
          <w:lang w:eastAsia="en-GB"/>
        </w:rPr>
        <w:t>.</w:t>
      </w:r>
      <w:r w:rsidRPr="003D7719">
        <w:rPr>
          <w:vertAlign w:val="superscript"/>
          <w:lang w:eastAsia="en-GB"/>
        </w:rPr>
        <w:footnoteReference w:id="31"/>
      </w:r>
    </w:p>
    <w:p w14:paraId="7A6C58C2" w14:textId="77777777" w:rsidR="00917F5E" w:rsidRPr="003D7719" w:rsidRDefault="00917F5E" w:rsidP="00917F5E">
      <w:pPr>
        <w:pStyle w:val="BBodyText"/>
        <w:rPr>
          <w:lang w:eastAsia="en-GB"/>
        </w:rPr>
      </w:pPr>
      <w:r w:rsidRPr="003D7719">
        <w:rPr>
          <w:bCs w:val="0"/>
          <w:lang w:eastAsia="en-GB"/>
        </w:rPr>
        <w:t>Racial profiling</w:t>
      </w:r>
      <w:r w:rsidRPr="003D7719">
        <w:rPr>
          <w:b/>
          <w:lang w:eastAsia="en-GB"/>
        </w:rPr>
        <w:t xml:space="preserve"> </w:t>
      </w:r>
      <w:r w:rsidRPr="003D7719">
        <w:rPr>
          <w:lang w:eastAsia="en-GB"/>
        </w:rPr>
        <w:t xml:space="preserve">constitutes a specific form of racial discrimination, which the European Commission against Racism and Intolerance (ECRI) defines as “use by the police, with no objective or reasonable justification, of grounds such as ‘race’, colour, language, religion, citizenship or national or ethnic origin in control, </w:t>
      </w:r>
      <w:proofErr w:type="gramStart"/>
      <w:r w:rsidRPr="003D7719">
        <w:rPr>
          <w:lang w:eastAsia="en-GB"/>
        </w:rPr>
        <w:t>surveillance</w:t>
      </w:r>
      <w:proofErr w:type="gramEnd"/>
      <w:r w:rsidRPr="003D7719">
        <w:rPr>
          <w:lang w:eastAsia="en-GB"/>
        </w:rPr>
        <w:t xml:space="preserve"> or investigation activities”</w:t>
      </w:r>
      <w:r w:rsidRPr="003D7719">
        <w:rPr>
          <w:vertAlign w:val="superscript"/>
          <w:lang w:eastAsia="en-GB"/>
        </w:rPr>
        <w:footnoteReference w:id="32"/>
      </w:r>
      <w:r w:rsidRPr="003D7719">
        <w:rPr>
          <w:lang w:eastAsia="en-GB"/>
        </w:rPr>
        <w:t xml:space="preserve">. In 2019 and 2020, the EU’s Fundamental Rights Agency (FRA) reiterated its concerns of previous years over discriminatory ethnic or racial profiling in </w:t>
      </w:r>
      <w:proofErr w:type="gramStart"/>
      <w:r w:rsidRPr="003D7719">
        <w:rPr>
          <w:lang w:eastAsia="en-GB"/>
        </w:rPr>
        <w:t>a number of</w:t>
      </w:r>
      <w:proofErr w:type="gramEnd"/>
      <w:r w:rsidRPr="003D7719">
        <w:rPr>
          <w:lang w:eastAsia="en-GB"/>
        </w:rPr>
        <w:t xml:space="preserve"> European countries including Germany.</w:t>
      </w:r>
      <w:r w:rsidRPr="003D7719">
        <w:rPr>
          <w:vertAlign w:val="superscript"/>
          <w:lang w:eastAsia="en-GB"/>
        </w:rPr>
        <w:footnoteReference w:id="33"/>
      </w:r>
      <w:r w:rsidRPr="003D7719">
        <w:rPr>
          <w:lang w:eastAsia="en-GB"/>
        </w:rPr>
        <w:t xml:space="preserve"> </w:t>
      </w:r>
    </w:p>
    <w:p w14:paraId="7AFC7433" w14:textId="0553E25E" w:rsidR="00917F5E" w:rsidRPr="003D7719" w:rsidRDefault="00917F5E" w:rsidP="00917F5E">
      <w:pPr>
        <w:pStyle w:val="BBodyText"/>
        <w:rPr>
          <w:lang w:eastAsia="en-GB"/>
        </w:rPr>
      </w:pPr>
      <w:r w:rsidRPr="003D7719">
        <w:rPr>
          <w:lang w:eastAsia="en-GB"/>
        </w:rPr>
        <w:t>Amnesty International considers that measures to combat racial profiling by police in Germany continue to be insufficient.</w:t>
      </w:r>
      <w:r w:rsidRPr="003D7719">
        <w:rPr>
          <w:vertAlign w:val="superscript"/>
          <w:lang w:eastAsia="en-GB"/>
        </w:rPr>
        <w:footnoteReference w:id="34"/>
      </w:r>
      <w:r w:rsidRPr="003D7719">
        <w:rPr>
          <w:lang w:eastAsia="en-GB"/>
        </w:rPr>
        <w:t xml:space="preserve"> In its report to the Committee in 2018, Germany argued that racial profiling is forbidden in Germany and that it does not feature among the methods used in police practice.</w:t>
      </w:r>
      <w:r w:rsidRPr="003D7719">
        <w:rPr>
          <w:vertAlign w:val="superscript"/>
          <w:lang w:eastAsia="en-GB"/>
        </w:rPr>
        <w:footnoteReference w:id="35"/>
      </w:r>
      <w:r w:rsidRPr="003D7719">
        <w:rPr>
          <w:lang w:eastAsia="en-GB"/>
        </w:rPr>
        <w:t xml:space="preserve"> However, this is not consistent with the findings of other bodies, such as the CERD Committee</w:t>
      </w:r>
      <w:r w:rsidRPr="003D7719">
        <w:rPr>
          <w:vertAlign w:val="superscript"/>
          <w:lang w:eastAsia="en-GB"/>
        </w:rPr>
        <w:footnoteReference w:id="36"/>
      </w:r>
      <w:r w:rsidRPr="003D7719">
        <w:rPr>
          <w:lang w:eastAsia="en-GB"/>
        </w:rPr>
        <w:t xml:space="preserve"> and ECRI. The Committee has recommended that extremely broad provisions enabling police to stop, question, demand identity documents and inspect objects should be revised as they can lead to de facto discrimination.</w:t>
      </w:r>
      <w:r w:rsidRPr="003D7719">
        <w:rPr>
          <w:vertAlign w:val="superscript"/>
          <w:lang w:eastAsia="en-GB"/>
        </w:rPr>
        <w:footnoteReference w:id="37"/>
      </w:r>
      <w:r w:rsidRPr="003D7719">
        <w:rPr>
          <w:lang w:eastAsia="en-GB"/>
        </w:rPr>
        <w:t xml:space="preserve"> Also, ECRI has recommended to “introduce a reasonable suspicion standard, whereby powers relating to control, surveillance or investigation activities can only be exercised on the basis of a suspicion that is founded on objective criteria.”</w:t>
      </w:r>
      <w:r w:rsidRPr="003D7719">
        <w:rPr>
          <w:vertAlign w:val="superscript"/>
          <w:lang w:eastAsia="en-GB"/>
        </w:rPr>
        <w:footnoteReference w:id="38"/>
      </w:r>
      <w:r w:rsidRPr="003D7719">
        <w:rPr>
          <w:lang w:eastAsia="en-GB"/>
        </w:rPr>
        <w:t xml:space="preserve"> However, </w:t>
      </w:r>
      <w:r w:rsidR="00181769" w:rsidRPr="003D7719">
        <w:rPr>
          <w:lang w:eastAsia="en-GB"/>
        </w:rPr>
        <w:t xml:space="preserve">inadequate </w:t>
      </w:r>
      <w:r w:rsidRPr="003D7719">
        <w:rPr>
          <w:lang w:eastAsia="en-GB"/>
        </w:rPr>
        <w:t xml:space="preserve">action has been taken to implement any of these revisions in the laws to date. </w:t>
      </w:r>
    </w:p>
    <w:p w14:paraId="00291C45" w14:textId="62DB2ECD" w:rsidR="00917F5E" w:rsidRPr="003D7719" w:rsidRDefault="00917F5E" w:rsidP="00917F5E">
      <w:pPr>
        <w:pStyle w:val="BBodyText"/>
        <w:rPr>
          <w:lang w:eastAsia="en-GB"/>
        </w:rPr>
      </w:pPr>
      <w:r w:rsidRPr="003D7719">
        <w:rPr>
          <w:lang w:eastAsia="en-GB"/>
        </w:rPr>
        <w:t xml:space="preserve">Amnesty International is highly concerned that the standard of “reasonable suspicion” is still not established at the federal and state level. Only the federal state of Bremen has taken a step into the right direction by specifying </w:t>
      </w:r>
      <w:r w:rsidR="00C76B04" w:rsidRPr="003D7719">
        <w:rPr>
          <w:lang w:eastAsia="en-GB"/>
        </w:rPr>
        <w:t xml:space="preserve">in </w:t>
      </w:r>
      <w:r w:rsidRPr="003D7719">
        <w:rPr>
          <w:lang w:eastAsia="en-GB"/>
        </w:rPr>
        <w:t>its</w:t>
      </w:r>
      <w:r w:rsidR="00286619" w:rsidRPr="003D7719">
        <w:rPr>
          <w:lang w:eastAsia="en-GB"/>
        </w:rPr>
        <w:t xml:space="preserve"> </w:t>
      </w:r>
      <w:r w:rsidRPr="003D7719">
        <w:rPr>
          <w:lang w:eastAsia="en-GB"/>
        </w:rPr>
        <w:t>provision on identity checks that such measures “have to be necessary because of the person’s behaviour”.</w:t>
      </w:r>
      <w:r w:rsidRPr="003D7719">
        <w:rPr>
          <w:vertAlign w:val="superscript"/>
          <w:lang w:eastAsia="en-GB"/>
        </w:rPr>
        <w:footnoteReference w:id="39"/>
      </w:r>
      <w:r w:rsidRPr="003D7719">
        <w:rPr>
          <w:lang w:eastAsia="en-GB"/>
        </w:rPr>
        <w:t xml:space="preserve"> In 2021, the federal police carried out 2,852,341 identity checks of people using provisions with the aim to “prevent or stop unauthorized entry or residence” that did not include a reasonable suspicion standard. An initial suspicion of unauthorized entry or residence could only be established in less than 1.2 %, </w:t>
      </w:r>
      <w:r w:rsidR="00286619" w:rsidRPr="003D7719">
        <w:rPr>
          <w:lang w:eastAsia="en-GB"/>
        </w:rPr>
        <w:t xml:space="preserve">implying </w:t>
      </w:r>
      <w:r w:rsidRPr="003D7719">
        <w:rPr>
          <w:lang w:eastAsia="en-GB"/>
        </w:rPr>
        <w:t>that many people were stopped by police for no reason.</w:t>
      </w:r>
      <w:r w:rsidRPr="003D7719">
        <w:rPr>
          <w:vertAlign w:val="superscript"/>
          <w:lang w:eastAsia="en-GB"/>
        </w:rPr>
        <w:footnoteReference w:id="40"/>
      </w:r>
      <w:r w:rsidRPr="003D7719">
        <w:rPr>
          <w:lang w:eastAsia="en-GB"/>
        </w:rPr>
        <w:t xml:space="preserve"> At the same time, racial profiling has severe negative and cumulative effects on the well-being of individuals and communities, such as the sense of injustice and humiliation, fear of reprisals and the risk of secondary victimization.</w:t>
      </w:r>
      <w:r w:rsidRPr="003D7719">
        <w:rPr>
          <w:vertAlign w:val="superscript"/>
          <w:lang w:eastAsia="en-GB"/>
        </w:rPr>
        <w:footnoteReference w:id="41"/>
      </w:r>
      <w:r w:rsidRPr="003D7719">
        <w:rPr>
          <w:lang w:eastAsia="en-GB"/>
        </w:rPr>
        <w:t xml:space="preserve"> The draft Federal Police Act from June 2023 continues to include policing powers</w:t>
      </w:r>
      <w:r w:rsidR="00286619" w:rsidRPr="003D7719">
        <w:rPr>
          <w:lang w:eastAsia="en-GB"/>
        </w:rPr>
        <w:t>, such as authority to conduct identity checks</w:t>
      </w:r>
      <w:r w:rsidR="00181769" w:rsidRPr="003D7719">
        <w:rPr>
          <w:lang w:eastAsia="en-GB"/>
        </w:rPr>
        <w:t xml:space="preserve"> and to search property</w:t>
      </w:r>
      <w:r w:rsidR="00286619" w:rsidRPr="003D7719">
        <w:rPr>
          <w:lang w:eastAsia="en-GB"/>
        </w:rPr>
        <w:t>,</w:t>
      </w:r>
      <w:r w:rsidRPr="003D7719">
        <w:rPr>
          <w:lang w:eastAsia="en-GB"/>
        </w:rPr>
        <w:t xml:space="preserve"> without the requirement of </w:t>
      </w:r>
      <w:r w:rsidR="00286619" w:rsidRPr="003D7719">
        <w:rPr>
          <w:lang w:eastAsia="en-GB"/>
        </w:rPr>
        <w:t>“</w:t>
      </w:r>
      <w:r w:rsidRPr="003D7719">
        <w:rPr>
          <w:lang w:eastAsia="en-GB"/>
        </w:rPr>
        <w:t>reasonable suspicion</w:t>
      </w:r>
      <w:r w:rsidR="00286619" w:rsidRPr="003D7719">
        <w:rPr>
          <w:lang w:eastAsia="en-GB"/>
        </w:rPr>
        <w:t>”</w:t>
      </w:r>
      <w:r w:rsidRPr="003D7719">
        <w:rPr>
          <w:lang w:eastAsia="en-GB"/>
        </w:rPr>
        <w:t>.</w:t>
      </w:r>
      <w:r w:rsidRPr="003D7719">
        <w:rPr>
          <w:vertAlign w:val="superscript"/>
          <w:lang w:eastAsia="en-GB"/>
        </w:rPr>
        <w:footnoteReference w:id="42"/>
      </w:r>
      <w:r w:rsidRPr="003D7719">
        <w:rPr>
          <w:lang w:eastAsia="en-GB"/>
        </w:rPr>
        <w:t xml:space="preserve"> The aim “to prevent or stop unauthorized entry” is maintained, but the provisions do not specify on what individual grounds this power can be exercised. As a result, the proposed act perpetuates the risk that the police inspect </w:t>
      </w:r>
      <w:r w:rsidRPr="003D7719">
        <w:rPr>
          <w:lang w:eastAsia="en-GB"/>
        </w:rPr>
        <w:lastRenderedPageBreak/>
        <w:t>people based on their perceived residence status, which would exacerbate racist police action and not curb it.</w:t>
      </w:r>
      <w:r w:rsidRPr="003D7719">
        <w:rPr>
          <w:vertAlign w:val="superscript"/>
          <w:lang w:eastAsia="en-GB"/>
        </w:rPr>
        <w:footnoteReference w:id="43"/>
      </w:r>
    </w:p>
    <w:p w14:paraId="38C78883" w14:textId="64E8E3C8" w:rsidR="00917F5E" w:rsidRPr="003D7719" w:rsidRDefault="00917F5E" w:rsidP="00917F5E">
      <w:pPr>
        <w:pStyle w:val="BBodyText"/>
        <w:rPr>
          <w:lang w:eastAsia="en-GB"/>
        </w:rPr>
      </w:pPr>
      <w:r w:rsidRPr="003D7719">
        <w:rPr>
          <w:lang w:eastAsia="en-GB"/>
        </w:rPr>
        <w:t>In Bremen, the person subjected to an identity check shall, upon request, immediately receive a certification confirming the identity check and the reason for it (so called “</w:t>
      </w:r>
      <w:proofErr w:type="spellStart"/>
      <w:r w:rsidRPr="003D7719">
        <w:rPr>
          <w:lang w:eastAsia="en-GB"/>
        </w:rPr>
        <w:t>Kontrollquittungen</w:t>
      </w:r>
      <w:proofErr w:type="spellEnd"/>
      <w:r w:rsidRPr="003D7719">
        <w:rPr>
          <w:lang w:eastAsia="en-GB"/>
        </w:rPr>
        <w:t>”).</w:t>
      </w:r>
      <w:r w:rsidRPr="003D7719">
        <w:rPr>
          <w:vertAlign w:val="superscript"/>
          <w:lang w:eastAsia="en-GB"/>
        </w:rPr>
        <w:footnoteReference w:id="44"/>
      </w:r>
      <w:r w:rsidRPr="003D7719">
        <w:rPr>
          <w:lang w:eastAsia="en-GB"/>
        </w:rPr>
        <w:t xml:space="preserve"> The draft Federal Police Act from June 2023 also introduc</w:t>
      </w:r>
      <w:r w:rsidR="00CB3301" w:rsidRPr="003D7719">
        <w:rPr>
          <w:lang w:eastAsia="en-GB"/>
        </w:rPr>
        <w:t>es this certificate, but</w:t>
      </w:r>
      <w:r w:rsidRPr="003D7719">
        <w:rPr>
          <w:lang w:eastAsia="en-GB"/>
        </w:rPr>
        <w:t xml:space="preserve"> without a reasonable suspicion standard</w:t>
      </w:r>
      <w:r w:rsidR="00CB3301" w:rsidRPr="003D7719">
        <w:rPr>
          <w:lang w:eastAsia="en-GB"/>
        </w:rPr>
        <w:t xml:space="preserve">, </w:t>
      </w:r>
      <w:r w:rsidRPr="003D7719">
        <w:rPr>
          <w:lang w:eastAsia="en-GB"/>
        </w:rPr>
        <w:t xml:space="preserve">in </w:t>
      </w:r>
      <w:r w:rsidR="00C76B04" w:rsidRPr="003D7719">
        <w:rPr>
          <w:lang w:eastAsia="en-GB"/>
        </w:rPr>
        <w:t xml:space="preserve">only </w:t>
      </w:r>
      <w:r w:rsidRPr="003D7719">
        <w:rPr>
          <w:lang w:eastAsia="en-GB"/>
        </w:rPr>
        <w:t>one of three relevant provisions.</w:t>
      </w:r>
      <w:r w:rsidRPr="003D7719">
        <w:rPr>
          <w:vertAlign w:val="superscript"/>
          <w:lang w:eastAsia="en-GB"/>
        </w:rPr>
        <w:footnoteReference w:id="45"/>
      </w:r>
      <w:r w:rsidRPr="003D7719">
        <w:rPr>
          <w:lang w:eastAsia="en-GB"/>
        </w:rPr>
        <w:t xml:space="preserve"> These certifications can serve to improve police practices and accountability. They can initiate more reflection among police officers on the reason for an identity check. For those affected, they might help prove that an identity check was carried out and encourage complaints where these were unlawful or inappropriate. However, persons affected by possible unlawful police behaviour in Germany often refrain from filing a complaint. According to public prosecution statistics only in 2% of suspected illegal police violence charges were brought.</w:t>
      </w:r>
      <w:r w:rsidRPr="003D7719">
        <w:rPr>
          <w:vertAlign w:val="superscript"/>
          <w:lang w:eastAsia="en-GB"/>
        </w:rPr>
        <w:footnoteReference w:id="46"/>
      </w:r>
      <w:r w:rsidRPr="003D7719">
        <w:rPr>
          <w:lang w:eastAsia="en-GB"/>
        </w:rPr>
        <w:t xml:space="preserve"> </w:t>
      </w:r>
    </w:p>
    <w:p w14:paraId="21A5C282" w14:textId="7B65E20E" w:rsidR="00917F5E" w:rsidRPr="003D7719" w:rsidRDefault="00917F5E" w:rsidP="00917F5E">
      <w:pPr>
        <w:pStyle w:val="BBodyText"/>
        <w:rPr>
          <w:lang w:eastAsia="en-GB"/>
        </w:rPr>
      </w:pPr>
      <w:r w:rsidRPr="003D7719">
        <w:rPr>
          <w:lang w:eastAsia="en-GB"/>
        </w:rPr>
        <w:t>Besides, allegations of racial profiling continue to be insufficiently investigated. In October 2022, the European Court of Human Rights ruled that Germany’s inadequate investigations into allegations of racial profiling by the police had violated the right to non-discrimination (</w:t>
      </w:r>
      <w:proofErr w:type="spellStart"/>
      <w:r w:rsidRPr="003D7719">
        <w:rPr>
          <w:i/>
          <w:iCs/>
          <w:lang w:eastAsia="en-GB"/>
        </w:rPr>
        <w:t>Basu</w:t>
      </w:r>
      <w:proofErr w:type="spellEnd"/>
      <w:r w:rsidRPr="003D7719">
        <w:rPr>
          <w:i/>
          <w:iCs/>
          <w:lang w:eastAsia="en-GB"/>
        </w:rPr>
        <w:t xml:space="preserve"> v. Germany</w:t>
      </w:r>
      <w:r w:rsidRPr="003D7719">
        <w:rPr>
          <w:lang w:eastAsia="en-GB"/>
        </w:rPr>
        <w:t>).</w:t>
      </w:r>
      <w:r w:rsidRPr="003D7719">
        <w:rPr>
          <w:vertAlign w:val="superscript"/>
          <w:lang w:eastAsia="en-GB"/>
        </w:rPr>
        <w:footnoteReference w:id="47"/>
      </w:r>
      <w:r w:rsidRPr="003D7719">
        <w:rPr>
          <w:lang w:eastAsia="en-GB"/>
        </w:rPr>
        <w:t xml:space="preserve"> In 2023, the Council of Europe has decided to supervise the case under enhanced procedure, meaning that it is considered one of the main issues regarding Germany.</w:t>
      </w:r>
      <w:r w:rsidRPr="003D7719">
        <w:rPr>
          <w:vertAlign w:val="superscript"/>
          <w:lang w:eastAsia="en-GB"/>
        </w:rPr>
        <w:footnoteReference w:id="48"/>
      </w:r>
      <w:r w:rsidRPr="003D7719">
        <w:rPr>
          <w:lang w:eastAsia="en-GB"/>
        </w:rPr>
        <w:t xml:space="preserve"> The Committee has also called upon Germany to undertake “prompt, thorough and impartial investigations into all allegations of racial profiling, holding those responsible accountable and providing effective remedies, including compensation and guarantees of non-repetition”.</w:t>
      </w:r>
      <w:r w:rsidRPr="003D7719">
        <w:rPr>
          <w:vertAlign w:val="superscript"/>
          <w:lang w:eastAsia="en-GB"/>
        </w:rPr>
        <w:footnoteReference w:id="49"/>
      </w:r>
      <w:r w:rsidRPr="003D7719">
        <w:rPr>
          <w:lang w:eastAsia="en-GB"/>
        </w:rPr>
        <w:t xml:space="preserve"> In addition, the Committee recommended that Germany establishes independent complaints mechanisms at both the federal and state levels for allegations of racism in all police departments. In only eight out of 16 federal states, complaints mechanisms that are independent from the respective ministries of the interior exist (so called “police commissioners”).</w:t>
      </w:r>
      <w:r w:rsidRPr="003D7719">
        <w:rPr>
          <w:vertAlign w:val="superscript"/>
          <w:lang w:eastAsia="en-GB"/>
        </w:rPr>
        <w:footnoteReference w:id="50"/>
      </w:r>
      <w:r w:rsidRPr="003D7719">
        <w:rPr>
          <w:lang w:eastAsia="en-GB"/>
        </w:rPr>
        <w:t xml:space="preserve"> However, Amnesty International has previously noted that none of the established mechanisms fulfils all applicable human rights requirements.</w:t>
      </w:r>
      <w:r w:rsidRPr="003D7719">
        <w:rPr>
          <w:vertAlign w:val="superscript"/>
          <w:lang w:eastAsia="en-GB"/>
        </w:rPr>
        <w:footnoteReference w:id="51"/>
      </w:r>
      <w:r w:rsidRPr="003D7719">
        <w:rPr>
          <w:lang w:eastAsia="en-GB"/>
        </w:rPr>
        <w:t xml:space="preserve"> In particular, they lack sufficient investigative powers and the possibility to complain to the public prosecutor's office or disciplinary authority.</w:t>
      </w:r>
      <w:r w:rsidRPr="003D7719">
        <w:rPr>
          <w:vertAlign w:val="superscript"/>
          <w:lang w:eastAsia="en-GB"/>
        </w:rPr>
        <w:footnoteReference w:id="52"/>
      </w:r>
      <w:r w:rsidRPr="003D7719">
        <w:rPr>
          <w:lang w:eastAsia="en-GB"/>
        </w:rPr>
        <w:t>A commissioner for the Federal Police does</w:t>
      </w:r>
      <w:r w:rsidR="00C76B04" w:rsidRPr="003D7719">
        <w:rPr>
          <w:lang w:eastAsia="en-GB"/>
        </w:rPr>
        <w:t xml:space="preserve"> not</w:t>
      </w:r>
      <w:r w:rsidRPr="003D7719">
        <w:rPr>
          <w:lang w:eastAsia="en-GB"/>
        </w:rPr>
        <w:t xml:space="preserve"> exist yet although the coalition government has agreed some preliminary points towards establishing such a post.</w:t>
      </w:r>
      <w:r w:rsidRPr="003D7719">
        <w:rPr>
          <w:vertAlign w:val="superscript"/>
          <w:lang w:eastAsia="en-GB"/>
        </w:rPr>
        <w:footnoteReference w:id="53"/>
      </w:r>
    </w:p>
    <w:p w14:paraId="4AA93DE9" w14:textId="77777777" w:rsidR="00917F5E" w:rsidRPr="003D7719" w:rsidRDefault="00917F5E" w:rsidP="00917F5E">
      <w:pPr>
        <w:pStyle w:val="BBodyText"/>
        <w:rPr>
          <w:b/>
          <w:lang w:eastAsia="en-GB"/>
        </w:rPr>
      </w:pPr>
      <w:r w:rsidRPr="003D7719">
        <w:rPr>
          <w:lang w:eastAsia="en-GB"/>
        </w:rPr>
        <w:t>Accountability for discriminatory practices and other violations by police continues to be hampered by the police in five federal states and at the federal level not being required to wear identification badges. This makes it hard for racialized people to identify who the perpetrator of violations is, and thus hinders accountability.</w:t>
      </w:r>
      <w:r w:rsidRPr="003D7719">
        <w:rPr>
          <w:vertAlign w:val="superscript"/>
          <w:lang w:eastAsia="en-GB"/>
        </w:rPr>
        <w:footnoteReference w:id="54"/>
      </w:r>
      <w:r w:rsidRPr="003D7719">
        <w:rPr>
          <w:vertAlign w:val="superscript"/>
          <w:lang w:eastAsia="en-GB"/>
        </w:rPr>
        <w:t xml:space="preserve"> </w:t>
      </w:r>
      <w:r w:rsidRPr="003D7719">
        <w:rPr>
          <w:lang w:eastAsia="en-GB"/>
        </w:rPr>
        <w:t xml:space="preserve">Besides, there is a lack of independent studies on racial discrimination </w:t>
      </w:r>
      <w:r w:rsidRPr="003D7719">
        <w:rPr>
          <w:lang w:eastAsia="en-GB"/>
        </w:rPr>
        <w:lastRenderedPageBreak/>
        <w:t>in the federal and state police forces.</w:t>
      </w:r>
      <w:r w:rsidRPr="003D7719">
        <w:rPr>
          <w:vertAlign w:val="superscript"/>
          <w:lang w:eastAsia="en-GB"/>
        </w:rPr>
        <w:footnoteReference w:id="55"/>
      </w:r>
      <w:r w:rsidRPr="003D7719">
        <w:rPr>
          <w:lang w:eastAsia="en-GB"/>
        </w:rPr>
        <w:t xml:space="preserve"> In June 2022, ECRI has also stated that its recommendation to carry out a study on racial profiling at the federal and state level has not been implemented.</w:t>
      </w:r>
      <w:r w:rsidRPr="003D7719">
        <w:rPr>
          <w:vertAlign w:val="superscript"/>
          <w:lang w:eastAsia="en-GB"/>
        </w:rPr>
        <w:footnoteReference w:id="56"/>
      </w:r>
      <w:r w:rsidRPr="003D7719">
        <w:rPr>
          <w:lang w:eastAsia="en-GB"/>
        </w:rPr>
        <w:t xml:space="preserve"> </w:t>
      </w:r>
    </w:p>
    <w:p w14:paraId="258FCA53" w14:textId="7D8C141E" w:rsidR="00917F5E" w:rsidRPr="003D7719" w:rsidRDefault="00917F5E" w:rsidP="00917F5E">
      <w:pPr>
        <w:pStyle w:val="BBodyText"/>
        <w:rPr>
          <w:lang w:eastAsia="en-GB"/>
        </w:rPr>
      </w:pPr>
      <w:r w:rsidRPr="003D7719">
        <w:rPr>
          <w:lang w:eastAsia="en-GB"/>
        </w:rPr>
        <w:t>In recent years, cases of racist attitudes and behaviours</w:t>
      </w:r>
      <w:r w:rsidRPr="003D7719" w:rsidDel="00060495">
        <w:rPr>
          <w:lang w:eastAsia="en-GB"/>
        </w:rPr>
        <w:t xml:space="preserve"> of</w:t>
      </w:r>
      <w:r w:rsidRPr="003D7719">
        <w:rPr>
          <w:lang w:eastAsia="en-GB"/>
        </w:rPr>
        <w:t xml:space="preserve"> law enforcement officials have become public in the media.</w:t>
      </w:r>
      <w:r w:rsidRPr="003D7719">
        <w:rPr>
          <w:vertAlign w:val="superscript"/>
          <w:lang w:eastAsia="en-GB"/>
        </w:rPr>
        <w:footnoteReference w:id="57"/>
      </w:r>
      <w:r w:rsidRPr="003D7719">
        <w:rPr>
          <w:lang w:eastAsia="en-GB"/>
        </w:rPr>
        <w:t xml:space="preserve"> In addition, racist bias and stereotypes are entrenched as “experience-based knowledge” by law enforcement authorities.</w:t>
      </w:r>
      <w:r w:rsidRPr="003D7719">
        <w:rPr>
          <w:vertAlign w:val="superscript"/>
          <w:lang w:eastAsia="en-GB"/>
        </w:rPr>
        <w:footnoteReference w:id="58"/>
      </w:r>
      <w:r w:rsidRPr="003D7719">
        <w:rPr>
          <w:lang w:eastAsia="en-GB"/>
        </w:rPr>
        <w:t xml:space="preserve"> For example, categories such as “Arabs”, “Muslims”, “Turks” etc. are used by authorities as guiding criteria for police action, even though they reproduce othering and racist group attributions.</w:t>
      </w:r>
      <w:r w:rsidRPr="003D7719">
        <w:rPr>
          <w:vertAlign w:val="superscript"/>
          <w:lang w:eastAsia="en-GB"/>
        </w:rPr>
        <w:footnoteReference w:id="59"/>
      </w:r>
      <w:r w:rsidRPr="003D7719">
        <w:rPr>
          <w:lang w:eastAsia="en-GB"/>
        </w:rPr>
        <w:t xml:space="preserve"> Another example is the construction of so-called “clan crimes” (“</w:t>
      </w:r>
      <w:proofErr w:type="spellStart"/>
      <w:r w:rsidRPr="003D7719">
        <w:rPr>
          <w:lang w:eastAsia="en-GB"/>
        </w:rPr>
        <w:t>Clankriminalität</w:t>
      </w:r>
      <w:proofErr w:type="spellEnd"/>
      <w:r w:rsidRPr="003D7719">
        <w:rPr>
          <w:lang w:eastAsia="en-GB"/>
        </w:rPr>
        <w:t xml:space="preserve">”). </w:t>
      </w:r>
      <w:r w:rsidR="00CB3301" w:rsidRPr="003D7719">
        <w:rPr>
          <w:lang w:eastAsia="en-GB"/>
        </w:rPr>
        <w:t>P</w:t>
      </w:r>
      <w:r w:rsidRPr="003D7719">
        <w:rPr>
          <w:lang w:eastAsia="en-GB"/>
        </w:rPr>
        <w:t xml:space="preserve">olice use the fact of belonging to certain ethnic groups or the affiliation to the Islamic faith as a main cause for </w:t>
      </w:r>
      <w:r w:rsidR="00C76B04" w:rsidRPr="003D7719">
        <w:rPr>
          <w:lang w:eastAsia="en-GB"/>
        </w:rPr>
        <w:t>assuming</w:t>
      </w:r>
      <w:r w:rsidRPr="003D7719">
        <w:rPr>
          <w:lang w:eastAsia="en-GB"/>
        </w:rPr>
        <w:t xml:space="preserve"> forms of organized crime. In some cases, suspicions are based on surnames alone.</w:t>
      </w:r>
      <w:r w:rsidRPr="003D7719">
        <w:rPr>
          <w:vertAlign w:val="superscript"/>
          <w:lang w:eastAsia="en-GB"/>
        </w:rPr>
        <w:footnoteReference w:id="60"/>
      </w:r>
      <w:r w:rsidRPr="003D7719">
        <w:rPr>
          <w:lang w:eastAsia="en-GB"/>
        </w:rPr>
        <w:t xml:space="preserve"> Police brochures on “Arab family clans” are sometimes distributed internally, reinforcing culturalist and patriarchal stereotypes.</w:t>
      </w:r>
      <w:r w:rsidRPr="003D7719">
        <w:rPr>
          <w:vertAlign w:val="superscript"/>
          <w:lang w:eastAsia="en-GB"/>
        </w:rPr>
        <w:footnoteReference w:id="61"/>
      </w:r>
      <w:r w:rsidRPr="003D7719">
        <w:rPr>
          <w:lang w:eastAsia="en-GB"/>
        </w:rPr>
        <w:t xml:space="preserve"> Amnesty International is concerned that police at the federal level and in federal states have maintained such racist categorizations and stereotypes.</w:t>
      </w:r>
      <w:r w:rsidRPr="003D7719">
        <w:rPr>
          <w:vertAlign w:val="superscript"/>
          <w:lang w:eastAsia="en-GB"/>
        </w:rPr>
        <w:footnoteReference w:id="62"/>
      </w:r>
    </w:p>
    <w:p w14:paraId="0F150E66" w14:textId="0FEE357D" w:rsidR="00917F5E" w:rsidRPr="003D7719" w:rsidRDefault="00917F5E" w:rsidP="00917F5E">
      <w:pPr>
        <w:pStyle w:val="BBodyText"/>
        <w:rPr>
          <w:lang w:eastAsia="en-GB"/>
        </w:rPr>
      </w:pPr>
      <w:r w:rsidRPr="003D7719">
        <w:rPr>
          <w:lang w:eastAsia="en-GB"/>
        </w:rPr>
        <w:t>Besides, contrary to the Committee’s recommendation,</w:t>
      </w:r>
      <w:r w:rsidRPr="003D7719">
        <w:rPr>
          <w:vertAlign w:val="superscript"/>
          <w:lang w:eastAsia="en-GB"/>
        </w:rPr>
        <w:footnoteReference w:id="63"/>
      </w:r>
      <w:r w:rsidRPr="003D7719">
        <w:rPr>
          <w:lang w:eastAsia="en-GB"/>
        </w:rPr>
        <w:t xml:space="preserve"> mandatory training and testing on racism, antisemitism and other forms of discrimination is not included in the education and further training of all police personnel, </w:t>
      </w:r>
      <w:proofErr w:type="gramStart"/>
      <w:r w:rsidRPr="003D7719">
        <w:rPr>
          <w:lang w:eastAsia="en-GB"/>
        </w:rPr>
        <w:t>prosecutors</w:t>
      </w:r>
      <w:proofErr w:type="gramEnd"/>
      <w:r w:rsidRPr="003D7719">
        <w:rPr>
          <w:lang w:eastAsia="en-GB"/>
        </w:rPr>
        <w:t xml:space="preserve"> and judges.</w:t>
      </w:r>
      <w:r w:rsidRPr="003D7719">
        <w:rPr>
          <w:vertAlign w:val="superscript"/>
          <w:lang w:eastAsia="en-GB"/>
        </w:rPr>
        <w:footnoteReference w:id="64"/>
      </w:r>
      <w:r w:rsidRPr="003D7719">
        <w:rPr>
          <w:lang w:eastAsia="en-GB"/>
        </w:rPr>
        <w:t xml:space="preserve"> The training offer was expanded</w:t>
      </w:r>
      <w:r w:rsidR="00CB3301" w:rsidRPr="003D7719">
        <w:rPr>
          <w:lang w:eastAsia="en-GB"/>
        </w:rPr>
        <w:t>;</w:t>
      </w:r>
      <w:r w:rsidRPr="003D7719">
        <w:rPr>
          <w:lang w:eastAsia="en-GB"/>
        </w:rPr>
        <w:t xml:space="preserve"> in particular “intercultural trainings” are offered at the federal level and in some states. However, the focus on “cultural differences” does not constitute a tool to enforce the obligation to non-discrimination in policing.</w:t>
      </w:r>
      <w:r w:rsidRPr="003D7719">
        <w:rPr>
          <w:vertAlign w:val="superscript"/>
          <w:lang w:eastAsia="en-GB"/>
        </w:rPr>
        <w:footnoteReference w:id="65"/>
      </w:r>
    </w:p>
    <w:p w14:paraId="4086BBF3" w14:textId="77777777" w:rsidR="003D7719" w:rsidRPr="003D7719" w:rsidRDefault="003D7719" w:rsidP="00917F5E">
      <w:pPr>
        <w:pStyle w:val="BBodyText"/>
        <w:rPr>
          <w:lang w:eastAsia="en-GB"/>
        </w:rPr>
      </w:pPr>
    </w:p>
    <w:p w14:paraId="717D7278" w14:textId="251B7920" w:rsidR="00917F5E" w:rsidRPr="003D7719" w:rsidRDefault="00917F5E" w:rsidP="00B471EA">
      <w:pPr>
        <w:pStyle w:val="BNumberedSubheading"/>
      </w:pPr>
      <w:bookmarkStart w:id="10" w:name="_Toc149154499"/>
      <w:r w:rsidRPr="003D7719">
        <w:t>Recommendations</w:t>
      </w:r>
      <w:bookmarkEnd w:id="10"/>
    </w:p>
    <w:p w14:paraId="749D6CB0" w14:textId="77777777" w:rsidR="00917F5E" w:rsidRPr="003D7719" w:rsidRDefault="00917F5E" w:rsidP="00917F5E">
      <w:pPr>
        <w:pStyle w:val="BBodyText"/>
        <w:rPr>
          <w:bCs w:val="0"/>
          <w:lang w:eastAsia="en-GB"/>
        </w:rPr>
      </w:pPr>
      <w:r w:rsidRPr="003D7719">
        <w:rPr>
          <w:bCs w:val="0"/>
          <w:lang w:eastAsia="en-GB"/>
        </w:rPr>
        <w:t>Amnesty International recommends that Germany:</w:t>
      </w:r>
    </w:p>
    <w:p w14:paraId="565F88F5" w14:textId="185F792F" w:rsidR="00917F5E" w:rsidRPr="003D7719" w:rsidRDefault="00917F5E" w:rsidP="00917F5E">
      <w:pPr>
        <w:pStyle w:val="BBodyText"/>
        <w:numPr>
          <w:ilvl w:val="0"/>
          <w:numId w:val="34"/>
        </w:numPr>
        <w:rPr>
          <w:bCs w:val="0"/>
          <w:lang w:eastAsia="en-GB"/>
        </w:rPr>
      </w:pPr>
      <w:r w:rsidRPr="003D7719">
        <w:rPr>
          <w:bCs w:val="0"/>
          <w:lang w:eastAsia="en-GB"/>
        </w:rPr>
        <w:t>Examines the extent and impact of systemic racism in law enforcement and adopts effective legal, policy and institutional measures that address racism beyond a summation of individualized acts, and measures progress according to indicators grounded in impact rather than intent;</w:t>
      </w:r>
      <w:r w:rsidRPr="003D7719">
        <w:rPr>
          <w:bCs w:val="0"/>
          <w:vertAlign w:val="superscript"/>
          <w:lang w:eastAsia="en-GB"/>
        </w:rPr>
        <w:footnoteReference w:id="66"/>
      </w:r>
    </w:p>
    <w:p w14:paraId="2A1603EF" w14:textId="77777777" w:rsidR="00917F5E" w:rsidRPr="003D7719" w:rsidRDefault="00917F5E" w:rsidP="00917F5E">
      <w:pPr>
        <w:pStyle w:val="BBodyText"/>
        <w:numPr>
          <w:ilvl w:val="0"/>
          <w:numId w:val="34"/>
        </w:numPr>
        <w:rPr>
          <w:bCs w:val="0"/>
          <w:lang w:eastAsia="en-GB"/>
        </w:rPr>
      </w:pPr>
      <w:r w:rsidRPr="003D7719">
        <w:rPr>
          <w:bCs w:val="0"/>
          <w:lang w:eastAsia="en-GB"/>
        </w:rPr>
        <w:t xml:space="preserve">Eliminates police powers that are not based on a “reasonable suspicion standard”, consistent with human rights law, and ensure that police actions can only be exercised on the basis of a suspicion that is founded on objective </w:t>
      </w:r>
      <w:proofErr w:type="gramStart"/>
      <w:r w:rsidRPr="003D7719">
        <w:rPr>
          <w:bCs w:val="0"/>
          <w:lang w:eastAsia="en-GB"/>
        </w:rPr>
        <w:t>criteria;</w:t>
      </w:r>
      <w:proofErr w:type="gramEnd"/>
    </w:p>
    <w:p w14:paraId="29A1B501" w14:textId="77777777" w:rsidR="00917F5E" w:rsidRPr="003D7719" w:rsidRDefault="00917F5E" w:rsidP="00917F5E">
      <w:pPr>
        <w:pStyle w:val="BBodyText"/>
        <w:numPr>
          <w:ilvl w:val="0"/>
          <w:numId w:val="34"/>
        </w:numPr>
        <w:rPr>
          <w:bCs w:val="0"/>
          <w:lang w:eastAsia="en-GB"/>
        </w:rPr>
      </w:pPr>
      <w:r w:rsidRPr="003D7719">
        <w:rPr>
          <w:bCs w:val="0"/>
          <w:lang w:eastAsia="en-GB"/>
        </w:rPr>
        <w:lastRenderedPageBreak/>
        <w:t xml:space="preserve">Establishes independent complaints mechanisms for police actions at both the federal and state levels that fulfil all applicable human rights requirements. In particular, existing independent police commissioners should be equipped with sufficient investigative powers and the possibility to complain to the public prosecutor's office or disciplinary </w:t>
      </w:r>
      <w:proofErr w:type="gramStart"/>
      <w:r w:rsidRPr="003D7719">
        <w:rPr>
          <w:bCs w:val="0"/>
          <w:lang w:eastAsia="en-GB"/>
        </w:rPr>
        <w:t>authority;</w:t>
      </w:r>
      <w:proofErr w:type="gramEnd"/>
      <w:r w:rsidRPr="003D7719">
        <w:rPr>
          <w:bCs w:val="0"/>
          <w:lang w:eastAsia="en-GB"/>
        </w:rPr>
        <w:t xml:space="preserve"> </w:t>
      </w:r>
    </w:p>
    <w:p w14:paraId="3BA99E49" w14:textId="77777777" w:rsidR="00917F5E" w:rsidRPr="003D7719" w:rsidRDefault="00917F5E" w:rsidP="00917F5E">
      <w:pPr>
        <w:pStyle w:val="BBodyText"/>
        <w:numPr>
          <w:ilvl w:val="0"/>
          <w:numId w:val="34"/>
        </w:numPr>
        <w:rPr>
          <w:bCs w:val="0"/>
          <w:lang w:eastAsia="en-GB"/>
        </w:rPr>
      </w:pPr>
      <w:r w:rsidRPr="003D7719">
        <w:rPr>
          <w:bCs w:val="0"/>
          <w:lang w:eastAsia="en-GB"/>
        </w:rPr>
        <w:t xml:space="preserve">Introduces identification badges for law enforcement officials in all states and at the federal level to combat </w:t>
      </w:r>
      <w:proofErr w:type="gramStart"/>
      <w:r w:rsidRPr="003D7719">
        <w:rPr>
          <w:bCs w:val="0"/>
          <w:lang w:eastAsia="en-GB"/>
        </w:rPr>
        <w:t>impunity;</w:t>
      </w:r>
      <w:proofErr w:type="gramEnd"/>
      <w:r w:rsidRPr="003D7719">
        <w:rPr>
          <w:bCs w:val="0"/>
          <w:lang w:eastAsia="en-GB"/>
        </w:rPr>
        <w:t xml:space="preserve"> </w:t>
      </w:r>
    </w:p>
    <w:p w14:paraId="752A35D3" w14:textId="77777777" w:rsidR="00917F5E" w:rsidRPr="003D7719" w:rsidRDefault="00917F5E" w:rsidP="00917F5E">
      <w:pPr>
        <w:pStyle w:val="BBodyText"/>
        <w:numPr>
          <w:ilvl w:val="0"/>
          <w:numId w:val="34"/>
        </w:numPr>
        <w:rPr>
          <w:bCs w:val="0"/>
          <w:lang w:eastAsia="en-GB"/>
        </w:rPr>
      </w:pPr>
      <w:r w:rsidRPr="003D7719">
        <w:rPr>
          <w:bCs w:val="0"/>
          <w:lang w:eastAsia="en-GB"/>
        </w:rPr>
        <w:t xml:space="preserve">Introduces a comprehensive strategy, including mandatory training, to ensure that police, </w:t>
      </w:r>
      <w:proofErr w:type="gramStart"/>
      <w:r w:rsidRPr="003D7719">
        <w:rPr>
          <w:bCs w:val="0"/>
          <w:lang w:eastAsia="en-GB"/>
        </w:rPr>
        <w:t>prosecutors</w:t>
      </w:r>
      <w:proofErr w:type="gramEnd"/>
      <w:r w:rsidRPr="003D7719">
        <w:rPr>
          <w:bCs w:val="0"/>
          <w:lang w:eastAsia="en-GB"/>
        </w:rPr>
        <w:t xml:space="preserve"> and judges understand racial discrimination and their role in combating it;</w:t>
      </w:r>
      <w:r w:rsidRPr="003D7719">
        <w:rPr>
          <w:bCs w:val="0"/>
          <w:vertAlign w:val="superscript"/>
          <w:lang w:eastAsia="en-GB"/>
        </w:rPr>
        <w:footnoteReference w:id="67"/>
      </w:r>
    </w:p>
    <w:p w14:paraId="6F5FE1A6" w14:textId="21B8BA39" w:rsidR="00917F5E" w:rsidRPr="003D7719" w:rsidRDefault="00917F5E" w:rsidP="00917F5E">
      <w:pPr>
        <w:pStyle w:val="BBodyText"/>
        <w:numPr>
          <w:ilvl w:val="0"/>
          <w:numId w:val="34"/>
        </w:numPr>
        <w:rPr>
          <w:bCs w:val="0"/>
          <w:lang w:eastAsia="en-GB"/>
        </w:rPr>
      </w:pPr>
      <w:r w:rsidRPr="003D7719">
        <w:rPr>
          <w:bCs w:val="0"/>
          <w:lang w:eastAsia="en-GB"/>
        </w:rPr>
        <w:t>Monitors racial discrimination in law enforcement, and publish this data, and include</w:t>
      </w:r>
      <w:r w:rsidR="00CB3301" w:rsidRPr="003D7719">
        <w:rPr>
          <w:bCs w:val="0"/>
          <w:lang w:eastAsia="en-GB"/>
        </w:rPr>
        <w:t>s</w:t>
      </w:r>
      <w:r w:rsidRPr="003D7719">
        <w:rPr>
          <w:bCs w:val="0"/>
          <w:lang w:eastAsia="en-GB"/>
        </w:rPr>
        <w:t xml:space="preserve"> concrete recommendations for and commitments to action; and</w:t>
      </w:r>
    </w:p>
    <w:p w14:paraId="4C60A333" w14:textId="77777777" w:rsidR="00917F5E" w:rsidRPr="003D7719" w:rsidRDefault="00917F5E" w:rsidP="00917F5E">
      <w:pPr>
        <w:pStyle w:val="BBodyText"/>
        <w:numPr>
          <w:ilvl w:val="0"/>
          <w:numId w:val="34"/>
        </w:numPr>
        <w:rPr>
          <w:bCs w:val="0"/>
          <w:lang w:eastAsia="en-GB"/>
        </w:rPr>
      </w:pPr>
      <w:r w:rsidRPr="003D7719">
        <w:rPr>
          <w:bCs w:val="0"/>
          <w:lang w:eastAsia="en-GB"/>
        </w:rPr>
        <w:t xml:space="preserve">Ensures that all incidents and complaints of racist attitudes and behaviours by police are investigated in a timely manner, independently, effectively and are sanctioned consistently. </w:t>
      </w:r>
    </w:p>
    <w:p w14:paraId="3261CC25" w14:textId="77777777" w:rsidR="00917F5E" w:rsidRPr="003D7719" w:rsidRDefault="00917F5E" w:rsidP="00917F5E">
      <w:pPr>
        <w:pStyle w:val="BBodyText"/>
        <w:rPr>
          <w:b/>
          <w:lang w:eastAsia="en-GB"/>
        </w:rPr>
      </w:pPr>
    </w:p>
    <w:p w14:paraId="6CE18181" w14:textId="77777777" w:rsidR="00917F5E" w:rsidRPr="003D7719" w:rsidRDefault="00917F5E" w:rsidP="00B471EA">
      <w:pPr>
        <w:pStyle w:val="BNumberedSubheading"/>
      </w:pPr>
      <w:bookmarkStart w:id="11" w:name="_Toc149154500"/>
      <w:r w:rsidRPr="003D7719">
        <w:t>Police use of force</w:t>
      </w:r>
      <w:bookmarkEnd w:id="11"/>
      <w:r w:rsidRPr="003D7719">
        <w:t xml:space="preserve"> </w:t>
      </w:r>
    </w:p>
    <w:p w14:paraId="76E07426" w14:textId="77777777" w:rsidR="00917F5E" w:rsidRPr="003D7719" w:rsidRDefault="00917F5E" w:rsidP="00917F5E">
      <w:pPr>
        <w:pStyle w:val="BBodyText"/>
        <w:rPr>
          <w:lang w:eastAsia="en-GB"/>
        </w:rPr>
      </w:pPr>
      <w:r w:rsidRPr="003D7719">
        <w:rPr>
          <w:lang w:eastAsia="en-GB"/>
        </w:rPr>
        <w:t>The DFG “Police Use of Excessive Force” (</w:t>
      </w:r>
      <w:proofErr w:type="spellStart"/>
      <w:r w:rsidRPr="003D7719">
        <w:rPr>
          <w:lang w:eastAsia="en-GB"/>
        </w:rPr>
        <w:t>KviAPol</w:t>
      </w:r>
      <w:proofErr w:type="spellEnd"/>
      <w:r w:rsidRPr="003D7719">
        <w:rPr>
          <w:lang w:eastAsia="en-GB"/>
        </w:rPr>
        <w:t>) research project published in May 2023</w:t>
      </w:r>
      <w:r w:rsidRPr="003D7719">
        <w:rPr>
          <w:lang w:val="en-US" w:eastAsia="en-GB"/>
        </w:rPr>
        <w:t xml:space="preserve"> provides findings on how police officers in Germany use excessive force and how such occurrences are handled by the criminal justice system and persons affected. It was </w:t>
      </w:r>
      <w:r w:rsidRPr="003D7719">
        <w:rPr>
          <w:lang w:eastAsia="en-GB"/>
        </w:rPr>
        <w:t xml:space="preserve">based on a survey of victims with over 3,300 participants, and over 60 qualitative interviews with police officers, judges, public prosecutors, </w:t>
      </w:r>
      <w:proofErr w:type="gramStart"/>
      <w:r w:rsidRPr="003D7719">
        <w:rPr>
          <w:lang w:eastAsia="en-GB"/>
        </w:rPr>
        <w:t>victims</w:t>
      </w:r>
      <w:proofErr w:type="gramEnd"/>
      <w:r w:rsidRPr="003D7719">
        <w:rPr>
          <w:lang w:eastAsia="en-GB"/>
        </w:rPr>
        <w:t xml:space="preserve"> advice centres, and lawyers. The project found that 33% of persons affected felt they had been discriminated against during the incident they had perceived as unlawful police violence. A further 15% agreed with this view at least in part. According to the interviews, marginalized groups such as racialized persons, LGBTI+ or people who are homeless are at particular risk of discrimination during interactions with the police and have less power to make complaints.</w:t>
      </w:r>
      <w:r w:rsidRPr="003D7719">
        <w:rPr>
          <w:vertAlign w:val="superscript"/>
          <w:lang w:eastAsia="en-GB"/>
        </w:rPr>
        <w:footnoteReference w:id="68"/>
      </w:r>
      <w:r w:rsidRPr="003D7719">
        <w:rPr>
          <w:lang w:eastAsia="en-GB"/>
        </w:rPr>
        <w:t xml:space="preserve"> </w:t>
      </w:r>
    </w:p>
    <w:p w14:paraId="4E9BC27A" w14:textId="77777777" w:rsidR="00917F5E" w:rsidRPr="003D7719" w:rsidRDefault="00917F5E" w:rsidP="00917F5E">
      <w:pPr>
        <w:pStyle w:val="BBodyText"/>
        <w:rPr>
          <w:lang w:eastAsia="en-GB"/>
        </w:rPr>
      </w:pPr>
      <w:r w:rsidRPr="003D7719">
        <w:rPr>
          <w:lang w:eastAsia="en-GB"/>
        </w:rPr>
        <w:t>As of 1 August 2023, the chronicle of the civil society alliance “Death in Custody” listed 233 cases of people affected by racism that died in custody or due to police violence since 1990.</w:t>
      </w:r>
      <w:r w:rsidRPr="003D7719">
        <w:rPr>
          <w:vertAlign w:val="superscript"/>
          <w:lang w:eastAsia="en-GB"/>
        </w:rPr>
        <w:footnoteReference w:id="69"/>
      </w:r>
      <w:r w:rsidRPr="003D7719">
        <w:rPr>
          <w:lang w:eastAsia="en-GB"/>
        </w:rPr>
        <w:t xml:space="preserve"> One recent example is the shooting of Mouhamed </w:t>
      </w:r>
      <w:proofErr w:type="spellStart"/>
      <w:r w:rsidRPr="003D7719">
        <w:rPr>
          <w:lang w:eastAsia="en-GB"/>
        </w:rPr>
        <w:t>Lamine</w:t>
      </w:r>
      <w:proofErr w:type="spellEnd"/>
      <w:r w:rsidRPr="003D7719">
        <w:rPr>
          <w:lang w:eastAsia="en-GB"/>
        </w:rPr>
        <w:t xml:space="preserve"> </w:t>
      </w:r>
      <w:proofErr w:type="spellStart"/>
      <w:r w:rsidRPr="003D7719">
        <w:rPr>
          <w:lang w:eastAsia="en-GB"/>
        </w:rPr>
        <w:t>Dramé</w:t>
      </w:r>
      <w:proofErr w:type="spellEnd"/>
      <w:r w:rsidRPr="003D7719">
        <w:rPr>
          <w:lang w:eastAsia="en-GB"/>
        </w:rPr>
        <w:t xml:space="preserve"> in Dortmund in August 2022.</w:t>
      </w:r>
      <w:r w:rsidRPr="003D7719">
        <w:rPr>
          <w:vertAlign w:val="superscript"/>
          <w:lang w:eastAsia="en-GB"/>
        </w:rPr>
        <w:footnoteReference w:id="70"/>
      </w:r>
      <w:r w:rsidRPr="003D7719">
        <w:rPr>
          <w:lang w:eastAsia="en-GB"/>
        </w:rPr>
        <w:t xml:space="preserve"> The 16-year-old Senegalese unaccompanied refugee was killed by several shots from a machine gun by a police officer. The public prosecutor of Dortmund has found that the child was shot “without </w:t>
      </w:r>
      <w:proofErr w:type="spellStart"/>
      <w:r w:rsidRPr="003D7719">
        <w:rPr>
          <w:lang w:eastAsia="en-GB"/>
        </w:rPr>
        <w:t>justificable</w:t>
      </w:r>
      <w:proofErr w:type="spellEnd"/>
      <w:r w:rsidRPr="003D7719">
        <w:rPr>
          <w:lang w:eastAsia="en-GB"/>
        </w:rPr>
        <w:t xml:space="preserve"> cause”</w:t>
      </w:r>
      <w:r w:rsidRPr="003D7719">
        <w:rPr>
          <w:vertAlign w:val="superscript"/>
          <w:lang w:eastAsia="en-GB"/>
        </w:rPr>
        <w:footnoteReference w:id="71"/>
      </w:r>
      <w:r w:rsidRPr="003D7719">
        <w:rPr>
          <w:lang w:eastAsia="en-GB"/>
        </w:rPr>
        <w:t xml:space="preserve"> and brought charges against five police officers involved in the operation.</w:t>
      </w:r>
      <w:r w:rsidRPr="003D7719">
        <w:rPr>
          <w:vertAlign w:val="superscript"/>
          <w:lang w:eastAsia="en-GB"/>
        </w:rPr>
        <w:footnoteReference w:id="72"/>
      </w:r>
      <w:r w:rsidRPr="003D7719">
        <w:rPr>
          <w:lang w:eastAsia="en-GB"/>
        </w:rPr>
        <w:t xml:space="preserve"> </w:t>
      </w:r>
    </w:p>
    <w:p w14:paraId="092A401D" w14:textId="69DC635D" w:rsidR="00917F5E" w:rsidRPr="003D7719" w:rsidRDefault="00917F5E" w:rsidP="00917F5E">
      <w:pPr>
        <w:pStyle w:val="BBodyText"/>
        <w:rPr>
          <w:vertAlign w:val="superscript"/>
          <w:lang w:eastAsia="en-GB"/>
        </w:rPr>
      </w:pPr>
      <w:r w:rsidRPr="003D7719">
        <w:rPr>
          <w:lang w:eastAsia="en-GB"/>
        </w:rPr>
        <w:t xml:space="preserve">The case of </w:t>
      </w:r>
      <w:proofErr w:type="spellStart"/>
      <w:r w:rsidRPr="003D7719">
        <w:rPr>
          <w:lang w:eastAsia="en-GB"/>
        </w:rPr>
        <w:t>Oury</w:t>
      </w:r>
      <w:proofErr w:type="spellEnd"/>
      <w:r w:rsidRPr="003D7719">
        <w:rPr>
          <w:lang w:eastAsia="en-GB"/>
        </w:rPr>
        <w:t xml:space="preserve"> Jalloh is another example of the multi-layered problems in German police and in investigating alleged racist police violence. On 7 January 2005, the asylum seeker </w:t>
      </w:r>
      <w:proofErr w:type="spellStart"/>
      <w:r w:rsidRPr="003D7719">
        <w:rPr>
          <w:lang w:eastAsia="en-GB"/>
        </w:rPr>
        <w:t>Oury</w:t>
      </w:r>
      <w:proofErr w:type="spellEnd"/>
      <w:r w:rsidRPr="003D7719">
        <w:rPr>
          <w:lang w:eastAsia="en-GB"/>
        </w:rPr>
        <w:t xml:space="preserve"> Jalloh from Sierra Leone died in a police cell in Dessau due to a fire in the cell.</w:t>
      </w:r>
      <w:r w:rsidRPr="003D7719">
        <w:rPr>
          <w:vertAlign w:val="superscript"/>
          <w:lang w:eastAsia="en-GB"/>
        </w:rPr>
        <w:footnoteReference w:id="73"/>
      </w:r>
      <w:r w:rsidRPr="003D7719">
        <w:rPr>
          <w:lang w:eastAsia="en-GB"/>
        </w:rPr>
        <w:t xml:space="preserve"> The Working Group of Experts on People of African Descent has raised concerns “</w:t>
      </w:r>
      <w:r w:rsidRPr="003D7719">
        <w:rPr>
          <w:lang w:val="en-US" w:eastAsia="en-GB"/>
        </w:rPr>
        <w:t>about racial bias in his arrest, ill-treatment by the police, the use of physical restraint and gaps in the investigation into the cause of his death”.</w:t>
      </w:r>
      <w:r w:rsidRPr="003D7719">
        <w:rPr>
          <w:vertAlign w:val="superscript"/>
          <w:lang w:val="en-US" w:eastAsia="en-GB"/>
        </w:rPr>
        <w:footnoteReference w:id="74"/>
      </w:r>
      <w:r w:rsidRPr="003D7719">
        <w:rPr>
          <w:lang w:val="en-US" w:eastAsia="en-GB"/>
        </w:rPr>
        <w:t xml:space="preserve"> </w:t>
      </w:r>
      <w:r w:rsidR="00866F74" w:rsidRPr="003D7719">
        <w:rPr>
          <w:lang w:val="en-US" w:eastAsia="en-GB"/>
        </w:rPr>
        <w:t>The Working Group “believes that institutional racism and racist stereotyping by the criminal justice system has led to a failure to investigate and prosecute perpetrators effectively”.</w:t>
      </w:r>
      <w:r w:rsidR="00C0692A" w:rsidRPr="003D7719">
        <w:rPr>
          <w:rStyle w:val="FootnoteReference"/>
          <w:lang w:val="en-US" w:eastAsia="en-GB"/>
        </w:rPr>
        <w:footnoteReference w:id="75"/>
      </w:r>
      <w:r w:rsidR="00866F74" w:rsidRPr="003D7719">
        <w:rPr>
          <w:lang w:val="en-US" w:eastAsia="en-GB"/>
        </w:rPr>
        <w:t xml:space="preserve"> </w:t>
      </w:r>
      <w:r w:rsidRPr="003D7719">
        <w:rPr>
          <w:lang w:eastAsia="en-GB"/>
        </w:rPr>
        <w:t xml:space="preserve">After the exhaustion of the </w:t>
      </w:r>
      <w:r w:rsidRPr="003D7719">
        <w:rPr>
          <w:lang w:eastAsia="en-GB"/>
        </w:rPr>
        <w:lastRenderedPageBreak/>
        <w:t xml:space="preserve">national legal process, the family of </w:t>
      </w:r>
      <w:proofErr w:type="spellStart"/>
      <w:r w:rsidRPr="003D7719">
        <w:rPr>
          <w:lang w:eastAsia="en-GB"/>
        </w:rPr>
        <w:t>Oury</w:t>
      </w:r>
      <w:proofErr w:type="spellEnd"/>
      <w:r w:rsidRPr="003D7719">
        <w:rPr>
          <w:lang w:eastAsia="en-GB"/>
        </w:rPr>
        <w:t xml:space="preserve"> Jalloh took the case to the European Court of Human Rights in July 2023.</w:t>
      </w:r>
      <w:r w:rsidRPr="003D7719">
        <w:rPr>
          <w:vertAlign w:val="superscript"/>
          <w:lang w:eastAsia="en-GB"/>
        </w:rPr>
        <w:footnoteReference w:id="76"/>
      </w:r>
      <w:r w:rsidR="00CA2778" w:rsidRPr="003D7719">
        <w:rPr>
          <w:lang w:eastAsia="en-GB"/>
        </w:rPr>
        <w:t xml:space="preserve"> </w:t>
      </w:r>
      <w:r w:rsidRPr="003D7719">
        <w:rPr>
          <w:lang w:eastAsia="en-GB"/>
        </w:rPr>
        <w:t>The case is still pending.</w:t>
      </w:r>
    </w:p>
    <w:p w14:paraId="1B254442" w14:textId="77777777" w:rsidR="00917F5E" w:rsidRPr="003D7719" w:rsidRDefault="00917F5E" w:rsidP="00917F5E">
      <w:pPr>
        <w:pStyle w:val="BBodyText"/>
        <w:rPr>
          <w:lang w:val="en-US" w:eastAsia="en-GB"/>
        </w:rPr>
      </w:pPr>
      <w:r w:rsidRPr="003D7719">
        <w:rPr>
          <w:lang w:eastAsia="en-GB"/>
        </w:rPr>
        <w:t>The UN High Commissioner for Human Rights stated in its 2021 report that generally it "appears that erroneous and stereotypical portrayals or perceptions of what or who is dangerous continue to drive inferences made in the context of law enforcement".</w:t>
      </w:r>
      <w:r w:rsidRPr="003D7719">
        <w:rPr>
          <w:vertAlign w:val="superscript"/>
          <w:lang w:eastAsia="en-GB"/>
        </w:rPr>
        <w:footnoteReference w:id="77"/>
      </w:r>
      <w:r w:rsidRPr="003D7719">
        <w:rPr>
          <w:lang w:eastAsia="en-GB"/>
        </w:rPr>
        <w:t xml:space="preserve"> The Commissioner recommends that "</w:t>
      </w:r>
      <w:r w:rsidRPr="003D7719">
        <w:rPr>
          <w:lang w:val="en-US" w:eastAsia="en-GB"/>
        </w:rPr>
        <w:t xml:space="preserve">States should undertake profound introspections and encourage the participation and engagement of affected communities in efforts to reimagine policing and reform the criminal justice system. These efforts should be seen as genuine attempts to ensure that police agencies better protect, </w:t>
      </w:r>
      <w:proofErr w:type="gramStart"/>
      <w:r w:rsidRPr="003D7719">
        <w:rPr>
          <w:lang w:val="en-US" w:eastAsia="en-GB"/>
        </w:rPr>
        <w:t>represent</w:t>
      </w:r>
      <w:proofErr w:type="gramEnd"/>
      <w:r w:rsidRPr="003D7719">
        <w:rPr>
          <w:lang w:val="en-US" w:eastAsia="en-GB"/>
        </w:rPr>
        <w:t xml:space="preserve"> and equally serve all communities. Processes of self-examination should consider the role of law enforcement agencies in society, the impact of their methods and their association with historical injustices on the functioning of modern law enforcement institutions and the criminal justice system.”</w:t>
      </w:r>
      <w:r w:rsidRPr="003D7719">
        <w:rPr>
          <w:vertAlign w:val="superscript"/>
          <w:lang w:val="en-US" w:eastAsia="en-GB"/>
        </w:rPr>
        <w:footnoteReference w:id="78"/>
      </w:r>
      <w:r w:rsidRPr="003D7719">
        <w:rPr>
          <w:lang w:val="en-US" w:eastAsia="en-GB"/>
        </w:rPr>
        <w:t xml:space="preserve"> The report also includes a recommendation to properly introduce alternative methods to policing and the use of force.</w:t>
      </w:r>
      <w:r w:rsidRPr="003D7719">
        <w:rPr>
          <w:vertAlign w:val="superscript"/>
          <w:lang w:val="en-US" w:eastAsia="en-GB"/>
        </w:rPr>
        <w:footnoteReference w:id="79"/>
      </w:r>
      <w:r w:rsidRPr="003D7719">
        <w:rPr>
          <w:lang w:val="en-US" w:eastAsia="en-GB"/>
        </w:rPr>
        <w:t xml:space="preserve"> </w:t>
      </w:r>
    </w:p>
    <w:p w14:paraId="64D8A423" w14:textId="77777777" w:rsidR="00496BE9" w:rsidRPr="003D7719" w:rsidRDefault="00496BE9" w:rsidP="00917F5E">
      <w:pPr>
        <w:pStyle w:val="BBodyText"/>
        <w:rPr>
          <w:lang w:val="en-US" w:eastAsia="en-GB"/>
        </w:rPr>
      </w:pPr>
    </w:p>
    <w:p w14:paraId="5B8F9A2F" w14:textId="77777777" w:rsidR="00917F5E" w:rsidRPr="003D7719" w:rsidRDefault="00917F5E" w:rsidP="00B471EA">
      <w:pPr>
        <w:pStyle w:val="BNumberedSubheading"/>
      </w:pPr>
      <w:bookmarkStart w:id="12" w:name="_Toc149154501"/>
      <w:r w:rsidRPr="003D7719">
        <w:t>Recommendations</w:t>
      </w:r>
      <w:bookmarkEnd w:id="12"/>
    </w:p>
    <w:p w14:paraId="2F1ADB43" w14:textId="77777777" w:rsidR="00917F5E" w:rsidRPr="003D7719" w:rsidRDefault="00917F5E" w:rsidP="00917F5E">
      <w:pPr>
        <w:pStyle w:val="BBodyText"/>
        <w:rPr>
          <w:bCs w:val="0"/>
          <w:lang w:eastAsia="en-GB"/>
        </w:rPr>
      </w:pPr>
      <w:r w:rsidRPr="003D7719">
        <w:rPr>
          <w:bCs w:val="0"/>
          <w:lang w:eastAsia="en-GB"/>
        </w:rPr>
        <w:t>Amnesty International recommends that Germany:</w:t>
      </w:r>
    </w:p>
    <w:p w14:paraId="345A592E" w14:textId="1327FC0F" w:rsidR="00917F5E" w:rsidRPr="003D7719" w:rsidRDefault="00917F5E" w:rsidP="00917F5E">
      <w:pPr>
        <w:pStyle w:val="BBodyText"/>
        <w:numPr>
          <w:ilvl w:val="0"/>
          <w:numId w:val="35"/>
        </w:numPr>
        <w:rPr>
          <w:bCs w:val="0"/>
          <w:lang w:eastAsia="en-GB"/>
        </w:rPr>
      </w:pPr>
      <w:r w:rsidRPr="003D7719">
        <w:rPr>
          <w:bCs w:val="0"/>
          <w:lang w:eastAsia="en-GB"/>
        </w:rPr>
        <w:t xml:space="preserve">Undertakes introspections and encourages the participation and engagement of affected communities in efforts to reimagine policing and reform the criminal justice system as well as alternative methods to policing and the use of </w:t>
      </w:r>
      <w:proofErr w:type="gramStart"/>
      <w:r w:rsidRPr="003D7719">
        <w:rPr>
          <w:bCs w:val="0"/>
          <w:lang w:eastAsia="en-GB"/>
        </w:rPr>
        <w:t>force;</w:t>
      </w:r>
      <w:proofErr w:type="gramEnd"/>
    </w:p>
    <w:p w14:paraId="091C0A43" w14:textId="01ECC487" w:rsidR="00917F5E" w:rsidRPr="003D7719" w:rsidRDefault="00917F5E" w:rsidP="00917F5E">
      <w:pPr>
        <w:pStyle w:val="BBodyText"/>
        <w:numPr>
          <w:ilvl w:val="0"/>
          <w:numId w:val="35"/>
        </w:numPr>
        <w:rPr>
          <w:bCs w:val="0"/>
          <w:lang w:eastAsia="en-GB"/>
        </w:rPr>
      </w:pPr>
      <w:r w:rsidRPr="003D7719">
        <w:rPr>
          <w:bCs w:val="0"/>
          <w:lang w:eastAsia="en-GB"/>
        </w:rPr>
        <w:t>Ensures that use of force is only used in conformity with human rights law and standards, including the principles of legality, necessity, proportionality</w:t>
      </w:r>
      <w:r w:rsidR="00A219E1" w:rsidRPr="003D7719">
        <w:rPr>
          <w:bCs w:val="0"/>
          <w:lang w:eastAsia="en-GB"/>
        </w:rPr>
        <w:t xml:space="preserve"> </w:t>
      </w:r>
      <w:r w:rsidRPr="003D7719">
        <w:rPr>
          <w:bCs w:val="0"/>
          <w:lang w:eastAsia="en-GB"/>
        </w:rPr>
        <w:t>and that there is no discrimination on any prohibited grounds. Establishes that law enforcement officers consider, in all situations, whether and how de-escalation is possible; and</w:t>
      </w:r>
    </w:p>
    <w:p w14:paraId="13C269EF" w14:textId="77777777" w:rsidR="00917F5E" w:rsidRPr="003D7719" w:rsidRDefault="00917F5E" w:rsidP="00917F5E">
      <w:pPr>
        <w:pStyle w:val="BBodyText"/>
        <w:numPr>
          <w:ilvl w:val="0"/>
          <w:numId w:val="35"/>
        </w:numPr>
        <w:rPr>
          <w:bCs w:val="0"/>
          <w:lang w:eastAsia="en-GB"/>
        </w:rPr>
      </w:pPr>
      <w:r w:rsidRPr="003D7719">
        <w:rPr>
          <w:bCs w:val="0"/>
          <w:lang w:eastAsia="en-GB"/>
        </w:rPr>
        <w:t xml:space="preserve">Ensures that allegations of excessive use of force and discriminatory practices by law enforcement officials are investigated promptly, independently, </w:t>
      </w:r>
      <w:proofErr w:type="gramStart"/>
      <w:r w:rsidRPr="003D7719">
        <w:rPr>
          <w:bCs w:val="0"/>
          <w:lang w:eastAsia="en-GB"/>
        </w:rPr>
        <w:t>impartially</w:t>
      </w:r>
      <w:proofErr w:type="gramEnd"/>
      <w:r w:rsidRPr="003D7719">
        <w:rPr>
          <w:bCs w:val="0"/>
          <w:lang w:eastAsia="en-GB"/>
        </w:rPr>
        <w:t xml:space="preserve"> and thoroughly, holding those responsible accountable and providing effective remedies, including compensation and guarantees of non-repetition.</w:t>
      </w:r>
    </w:p>
    <w:p w14:paraId="2466B524" w14:textId="622E40FA" w:rsidR="00917F5E" w:rsidRPr="003D7719" w:rsidRDefault="00917F5E" w:rsidP="00B471EA">
      <w:pPr>
        <w:pStyle w:val="BNumberedHeading"/>
      </w:pPr>
      <w:bookmarkStart w:id="13" w:name="_Toc149154502"/>
      <w:r w:rsidRPr="003D7719">
        <w:t>Lack of adequate protection f</w:t>
      </w:r>
      <w:r w:rsidR="00360496" w:rsidRPr="003D7719">
        <w:t>ro</w:t>
      </w:r>
      <w:r w:rsidRPr="003D7719">
        <w:t>m racist discrimination and violence by non-state actors</w:t>
      </w:r>
      <w:bookmarkEnd w:id="13"/>
      <w:r w:rsidRPr="003D7719">
        <w:t xml:space="preserve"> </w:t>
      </w:r>
    </w:p>
    <w:p w14:paraId="1655AE0F" w14:textId="77777777" w:rsidR="00917F5E" w:rsidRPr="003D7719" w:rsidRDefault="00917F5E" w:rsidP="00B471EA">
      <w:pPr>
        <w:pStyle w:val="BNumberedSubheading"/>
      </w:pPr>
      <w:bookmarkStart w:id="14" w:name="_Toc149154503"/>
      <w:r w:rsidRPr="003D7719">
        <w:t>Hate crimes</w:t>
      </w:r>
      <w:bookmarkEnd w:id="14"/>
      <w:r w:rsidRPr="003D7719">
        <w:t xml:space="preserve"> </w:t>
      </w:r>
    </w:p>
    <w:p w14:paraId="70033223" w14:textId="77777777" w:rsidR="00917F5E" w:rsidRPr="003D7719" w:rsidRDefault="00917F5E" w:rsidP="00917F5E">
      <w:pPr>
        <w:pStyle w:val="BBodyText"/>
        <w:rPr>
          <w:lang w:eastAsia="en-GB"/>
        </w:rPr>
      </w:pPr>
      <w:r w:rsidRPr="003D7719">
        <w:rPr>
          <w:lang w:eastAsia="en-GB"/>
        </w:rPr>
        <w:t>The authorities, both at federal and state level, have failed to develop a comprehensive strategy against hate crimes. Similarly, no comprehensive, accessible, and independent system exists throughout Germany to provide people who experienced discrimination with effective support.</w:t>
      </w:r>
      <w:r w:rsidRPr="003D7719">
        <w:rPr>
          <w:vertAlign w:val="superscript"/>
          <w:lang w:eastAsia="en-GB"/>
        </w:rPr>
        <w:footnoteReference w:id="80"/>
      </w:r>
    </w:p>
    <w:p w14:paraId="432E8895" w14:textId="77777777" w:rsidR="00917F5E" w:rsidRPr="003D7719" w:rsidRDefault="00917F5E" w:rsidP="00917F5E">
      <w:pPr>
        <w:pStyle w:val="BBodyText"/>
        <w:rPr>
          <w:lang w:eastAsia="en-GB"/>
        </w:rPr>
      </w:pPr>
      <w:r w:rsidRPr="003D7719">
        <w:rPr>
          <w:lang w:eastAsia="en-GB"/>
        </w:rPr>
        <w:t>The police record racist hate crimes in its statistics under the category of politically motivated crimes. The statistical recording needs to be improved,</w:t>
      </w:r>
      <w:r w:rsidRPr="003D7719">
        <w:rPr>
          <w:vertAlign w:val="superscript"/>
          <w:lang w:eastAsia="en-GB"/>
        </w:rPr>
        <w:footnoteReference w:id="81"/>
      </w:r>
      <w:r w:rsidRPr="003D7719">
        <w:rPr>
          <w:lang w:eastAsia="en-GB"/>
        </w:rPr>
        <w:t xml:space="preserve"> among other things by merging problematic sub-categories such as “hostile towards strangers” and “hostile towards foreigners” (since 2019) with </w:t>
      </w:r>
      <w:r w:rsidRPr="003D7719">
        <w:rPr>
          <w:lang w:eastAsia="en-GB"/>
        </w:rPr>
        <w:lastRenderedPageBreak/>
        <w:t>“racist” incidents; and by adopting an approach that centres the perspective of persons affected.</w:t>
      </w:r>
      <w:r w:rsidRPr="003D7719">
        <w:rPr>
          <w:vertAlign w:val="superscript"/>
          <w:lang w:eastAsia="en-GB"/>
        </w:rPr>
        <w:footnoteReference w:id="82"/>
      </w:r>
      <w:r w:rsidRPr="003D7719">
        <w:rPr>
          <w:lang w:eastAsia="en-GB"/>
        </w:rPr>
        <w:t xml:space="preserve"> Nonetheless, numbers in all these three categories have risen and are higher than ever before.</w:t>
      </w:r>
      <w:r w:rsidRPr="003D7719">
        <w:rPr>
          <w:vertAlign w:val="superscript"/>
          <w:lang w:eastAsia="en-GB"/>
        </w:rPr>
        <w:footnoteReference w:id="83"/>
      </w:r>
    </w:p>
    <w:p w14:paraId="420DF777" w14:textId="77777777" w:rsidR="00917F5E" w:rsidRPr="003D7719" w:rsidRDefault="00917F5E" w:rsidP="00917F5E">
      <w:pPr>
        <w:pStyle w:val="BBodyText"/>
        <w:rPr>
          <w:lang w:eastAsia="en-GB"/>
        </w:rPr>
      </w:pPr>
      <w:r w:rsidRPr="003D7719">
        <w:rPr>
          <w:lang w:eastAsia="en-GB"/>
        </w:rPr>
        <w:t>In its previous review, the Committee highlighted the authorities’ failure to investigate the racial motivation of offences, including in relation to murders of nine racialized men</w:t>
      </w:r>
      <w:r w:rsidRPr="003D7719">
        <w:rPr>
          <w:vertAlign w:val="superscript"/>
          <w:lang w:eastAsia="en-GB"/>
        </w:rPr>
        <w:footnoteReference w:id="84"/>
      </w:r>
      <w:r w:rsidRPr="003D7719">
        <w:rPr>
          <w:lang w:eastAsia="en-GB"/>
        </w:rPr>
        <w:t xml:space="preserve"> between 2000 – 2007, perpetrated by the far-right group National Socialist Underground (NSU). When uncovered in 2011</w:t>
      </w:r>
      <w:r w:rsidRPr="003D7719">
        <w:rPr>
          <w:vertAlign w:val="superscript"/>
          <w:lang w:eastAsia="en-GB"/>
        </w:rPr>
        <w:footnoteReference w:id="85"/>
      </w:r>
      <w:r w:rsidRPr="003D7719">
        <w:rPr>
          <w:lang w:eastAsia="en-GB"/>
        </w:rPr>
        <w:t xml:space="preserve"> it exposed systemic failures in the German authorities’ response to the murders. Amnesty International has previously described how several police forces failed to </w:t>
      </w:r>
      <w:proofErr w:type="gramStart"/>
      <w:r w:rsidRPr="003D7719">
        <w:rPr>
          <w:lang w:eastAsia="en-GB"/>
        </w:rPr>
        <w:t>take into account</w:t>
      </w:r>
      <w:proofErr w:type="gramEnd"/>
      <w:r w:rsidRPr="003D7719">
        <w:rPr>
          <w:lang w:eastAsia="en-GB"/>
        </w:rPr>
        <w:t xml:space="preserve"> and effectively investigate aspects of the murders pointing to a discriminatory motive and instead focused on victims’ relatives and members of minority communities, despite the absence of any reasonable grounds for believing that they were involved in the crimes. This kind of victim-blaming prevented the police from identifying the real perpetrators and obscured the racist motives of the offences. As highlighted by </w:t>
      </w:r>
      <w:proofErr w:type="gramStart"/>
      <w:r w:rsidRPr="003D7719">
        <w:rPr>
          <w:lang w:eastAsia="en-GB"/>
        </w:rPr>
        <w:t>a number of</w:t>
      </w:r>
      <w:proofErr w:type="gramEnd"/>
      <w:r w:rsidRPr="003D7719">
        <w:rPr>
          <w:lang w:eastAsia="en-GB"/>
        </w:rPr>
        <w:t xml:space="preserve"> human rights bodies, the authorities’ repeated failure to identify and investigate leads pointing to the racist motivation behind the attacks, is indicative of a broader problem of institutional racism within German police authorities.</w:t>
      </w:r>
      <w:r w:rsidRPr="003D7719">
        <w:rPr>
          <w:vertAlign w:val="superscript"/>
          <w:lang w:eastAsia="en-GB"/>
        </w:rPr>
        <w:footnoteReference w:id="86"/>
      </w:r>
      <w:r w:rsidRPr="003D7719">
        <w:rPr>
          <w:lang w:eastAsia="en-GB"/>
        </w:rPr>
        <w:t> </w:t>
      </w:r>
    </w:p>
    <w:p w14:paraId="761FA1A0" w14:textId="77777777" w:rsidR="00917F5E" w:rsidRPr="003D7719" w:rsidRDefault="00917F5E" w:rsidP="00917F5E">
      <w:pPr>
        <w:pStyle w:val="BBodyText"/>
        <w:rPr>
          <w:lang w:eastAsia="en-GB"/>
        </w:rPr>
      </w:pPr>
      <w:r w:rsidRPr="003D7719">
        <w:rPr>
          <w:lang w:eastAsia="en-GB"/>
        </w:rPr>
        <w:t>A second parliamentary committee of inquiry established by Parliament in 2015 to address the authorities’ failure to adequately investigate the racist crimes concluded in 2017 that the authorities had to establish clear rules for infiltrating “far-right extremist” movements, provide long-term funding to civil society initiatives against racism and assist victims of racist crimes.</w:t>
      </w:r>
      <w:r w:rsidRPr="003D7719">
        <w:rPr>
          <w:vertAlign w:val="superscript"/>
          <w:lang w:eastAsia="en-GB"/>
        </w:rPr>
        <w:footnoteReference w:id="87"/>
      </w:r>
      <w:r w:rsidRPr="003D7719">
        <w:rPr>
          <w:lang w:eastAsia="en-GB"/>
        </w:rPr>
        <w:t xml:space="preserve"> The authorities did not launch an official investigation into the potential role of institutional and structural racism behind Germany’s failure to identify the racial motivation behind the murders and investigate the crimes committed by the NSU.</w:t>
      </w:r>
      <w:r w:rsidRPr="003D7719">
        <w:rPr>
          <w:vertAlign w:val="superscript"/>
          <w:lang w:eastAsia="en-GB"/>
        </w:rPr>
        <w:footnoteReference w:id="88"/>
      </w:r>
      <w:r w:rsidRPr="003D7719">
        <w:rPr>
          <w:lang w:eastAsia="en-GB"/>
        </w:rPr>
        <w:t xml:space="preserve"> The only surviving member of the NSU was sentenced to life imprisonment in July 2018 for 10 cases of murder, 32 cases of attempted murder, aggravated arson and membership in a terrorist association.</w:t>
      </w:r>
      <w:r w:rsidRPr="003D7719">
        <w:rPr>
          <w:vertAlign w:val="superscript"/>
          <w:lang w:eastAsia="en-GB"/>
        </w:rPr>
        <w:footnoteReference w:id="89"/>
      </w:r>
      <w:r w:rsidRPr="003D7719">
        <w:rPr>
          <w:lang w:val="en-US" w:eastAsia="en-GB"/>
        </w:rPr>
        <w:t xml:space="preserve"> </w:t>
      </w:r>
      <w:r w:rsidRPr="003D7719">
        <w:rPr>
          <w:lang w:eastAsia="en-GB"/>
        </w:rPr>
        <w:t>Ten years after the beginning of the trial 2013 and five years after the verdict, society and relatives still do not know the networks behind the murderers.</w:t>
      </w:r>
      <w:r w:rsidRPr="003D7719">
        <w:rPr>
          <w:vertAlign w:val="superscript"/>
          <w:lang w:eastAsia="en-GB"/>
        </w:rPr>
        <w:footnoteReference w:id="90"/>
      </w:r>
    </w:p>
    <w:p w14:paraId="2AF7F30B" w14:textId="476ABEF6" w:rsidR="00917F5E" w:rsidRPr="003D7719" w:rsidRDefault="00917F5E" w:rsidP="00917F5E">
      <w:pPr>
        <w:pStyle w:val="BBodyText"/>
        <w:rPr>
          <w:lang w:eastAsia="en-GB"/>
        </w:rPr>
      </w:pPr>
      <w:r w:rsidRPr="003D7719">
        <w:rPr>
          <w:lang w:eastAsia="en-GB"/>
        </w:rPr>
        <w:t>In July 2016, a man killed nine racialized young people close to as well as inside a shopping mall in Munich before committing suicide. Only after more than three years of investigation, the police and the Bavarian Ministry of Interior recognized that racist motives played a role in what they had previously considered a killing spree due to bullying.</w:t>
      </w:r>
      <w:r w:rsidRPr="003D7719">
        <w:rPr>
          <w:vertAlign w:val="superscript"/>
          <w:lang w:eastAsia="en-GB"/>
        </w:rPr>
        <w:footnoteReference w:id="91"/>
      </w:r>
      <w:r w:rsidRPr="003D7719">
        <w:rPr>
          <w:lang w:eastAsia="en-GB"/>
        </w:rPr>
        <w:t xml:space="preserve"> At the beginning, the Ministry had not considered evidence that may have pointed to a racist motive, including the date which was the same </w:t>
      </w:r>
      <w:r w:rsidRPr="003D7719">
        <w:rPr>
          <w:lang w:eastAsia="en-GB"/>
        </w:rPr>
        <w:lastRenderedPageBreak/>
        <w:t>day as another attack,</w:t>
      </w:r>
      <w:r w:rsidRPr="003D7719">
        <w:rPr>
          <w:vertAlign w:val="superscript"/>
          <w:lang w:eastAsia="en-GB"/>
        </w:rPr>
        <w:footnoteReference w:id="92"/>
      </w:r>
      <w:r w:rsidRPr="003D7719">
        <w:rPr>
          <w:lang w:eastAsia="en-GB"/>
        </w:rPr>
        <w:t xml:space="preserve"> a racist manifesto and the choice of victims. The survivors and relatives of the victims continue to fight for recognition in society and for the attacks to not be forgotten.</w:t>
      </w:r>
      <w:r w:rsidRPr="003D7719">
        <w:rPr>
          <w:vertAlign w:val="superscript"/>
          <w:lang w:eastAsia="en-GB"/>
        </w:rPr>
        <w:footnoteReference w:id="93"/>
      </w:r>
    </w:p>
    <w:p w14:paraId="2A356165" w14:textId="77777777" w:rsidR="00917F5E" w:rsidRPr="003D7719" w:rsidRDefault="00917F5E" w:rsidP="00917F5E">
      <w:pPr>
        <w:pStyle w:val="BBodyText"/>
        <w:rPr>
          <w:lang w:eastAsia="en-GB"/>
        </w:rPr>
      </w:pPr>
      <w:r w:rsidRPr="003D7719">
        <w:rPr>
          <w:lang w:eastAsia="en-GB"/>
        </w:rPr>
        <w:t>In October 2019, a man attacked a synagogue in Halle/Saale during the Yom Kippur prayer service and afterwards killed two people on the street and at a kebab takeaway.</w:t>
      </w:r>
      <w:r w:rsidRPr="003D7719">
        <w:rPr>
          <w:vertAlign w:val="superscript"/>
          <w:lang w:eastAsia="en-GB"/>
        </w:rPr>
        <w:footnoteReference w:id="94"/>
      </w:r>
      <w:r w:rsidRPr="003D7719">
        <w:rPr>
          <w:lang w:eastAsia="en-GB"/>
        </w:rPr>
        <w:t xml:space="preserve"> Less than half a year later, in February 2020, a man in Hanau shot and killed nine racialized people</w:t>
      </w:r>
      <w:r w:rsidRPr="003D7719">
        <w:rPr>
          <w:vertAlign w:val="superscript"/>
          <w:lang w:eastAsia="en-GB"/>
        </w:rPr>
        <w:footnoteReference w:id="95"/>
      </w:r>
      <w:r w:rsidRPr="003D7719">
        <w:rPr>
          <w:lang w:eastAsia="en-GB"/>
        </w:rPr>
        <w:t xml:space="preserve"> in two shisha bars before killing his mother and himself at home.</w:t>
      </w:r>
      <w:r w:rsidRPr="003D7719">
        <w:rPr>
          <w:vertAlign w:val="superscript"/>
          <w:lang w:eastAsia="en-GB"/>
        </w:rPr>
        <w:footnoteReference w:id="96"/>
      </w:r>
      <w:r w:rsidRPr="003D7719">
        <w:rPr>
          <w:lang w:eastAsia="en-GB"/>
        </w:rPr>
        <w:t xml:space="preserve"> Before the attack, the man published a racist, antisemitic and misogynist manifesto online.</w:t>
      </w:r>
      <w:r w:rsidRPr="003D7719">
        <w:rPr>
          <w:vertAlign w:val="superscript"/>
          <w:lang w:eastAsia="en-GB"/>
        </w:rPr>
        <w:footnoteReference w:id="97"/>
      </w:r>
      <w:r w:rsidRPr="003D7719">
        <w:rPr>
          <w:lang w:eastAsia="en-GB"/>
        </w:rPr>
        <w:t xml:space="preserve"> The survivors and relatives of the attacks contributed significantly to the establishment of a committee of inquiry at the state parliament.</w:t>
      </w:r>
      <w:r w:rsidRPr="003D7719">
        <w:rPr>
          <w:vertAlign w:val="superscript"/>
          <w:lang w:eastAsia="en-GB"/>
        </w:rPr>
        <w:footnoteReference w:id="98"/>
      </w:r>
      <w:r w:rsidRPr="003D7719">
        <w:rPr>
          <w:lang w:eastAsia="en-GB"/>
        </w:rPr>
        <w:t xml:space="preserve"> No final report has been presented yet. Survivors and relatives of the victims have criticized mistakes by the police during the operation which may have cost lives.</w:t>
      </w:r>
      <w:r w:rsidRPr="003D7719">
        <w:rPr>
          <w:vertAlign w:val="superscript"/>
          <w:lang w:eastAsia="en-GB"/>
        </w:rPr>
        <w:footnoteReference w:id="99"/>
      </w:r>
      <w:r w:rsidRPr="003D7719">
        <w:rPr>
          <w:lang w:eastAsia="en-GB"/>
        </w:rPr>
        <w:t xml:space="preserve"> They cite an internal police report, which has just become public, as evidence, according to which there were communication problems, problems with the assessment of the situation and the mobilization of forces etc.</w:t>
      </w:r>
      <w:r w:rsidRPr="003D7719">
        <w:rPr>
          <w:vertAlign w:val="superscript"/>
          <w:lang w:eastAsia="en-GB"/>
        </w:rPr>
        <w:footnoteReference w:id="100"/>
      </w:r>
      <w:r w:rsidRPr="003D7719">
        <w:rPr>
          <w:lang w:eastAsia="en-GB"/>
        </w:rPr>
        <w:t xml:space="preserve"> They also demand clarification and consequences for state failures in the aftermath of the attack. Additionally, many proceedings are underway against the father of the perpetrator, who is accused of incitement to racial hatred having sent harassing letters to the relatives of the victims even after the murders.</w:t>
      </w:r>
      <w:r w:rsidRPr="003D7719">
        <w:rPr>
          <w:vertAlign w:val="superscript"/>
          <w:lang w:eastAsia="en-GB"/>
        </w:rPr>
        <w:footnoteReference w:id="101"/>
      </w:r>
      <w:r w:rsidRPr="003D7719">
        <w:rPr>
          <w:lang w:eastAsia="en-GB"/>
        </w:rPr>
        <w:t> Thus, those affected continue to live in fear.</w:t>
      </w:r>
    </w:p>
    <w:p w14:paraId="0651128F" w14:textId="0519C44B" w:rsidR="00917F5E" w:rsidRPr="003D7719" w:rsidRDefault="00917F5E" w:rsidP="00917F5E">
      <w:pPr>
        <w:pStyle w:val="BBodyText"/>
        <w:rPr>
          <w:lang w:eastAsia="en-GB"/>
        </w:rPr>
      </w:pPr>
      <w:r w:rsidRPr="003D7719">
        <w:rPr>
          <w:lang w:eastAsia="en-GB"/>
        </w:rPr>
        <w:t xml:space="preserve">Recent disclosures have raised concerns about groups with an anti-human rights agenda having access to information held by the police and military. In August 2018, a series of more than 100 threatening letters, including death threats were sent targeting mostly female politicians, lawyers and anti-racism activists, whose addresses were </w:t>
      </w:r>
      <w:r w:rsidR="00D717C7" w:rsidRPr="003D7719">
        <w:rPr>
          <w:lang w:eastAsia="en-GB"/>
        </w:rPr>
        <w:t xml:space="preserve">often </w:t>
      </w:r>
      <w:r w:rsidRPr="003D7719">
        <w:rPr>
          <w:lang w:eastAsia="en-GB"/>
        </w:rPr>
        <w:t>retrieved from official police data bases. While several individuals have been convicted related to the series of letters</w:t>
      </w:r>
      <w:r w:rsidRPr="003D7719" w:rsidDel="007F3281">
        <w:rPr>
          <w:lang w:eastAsia="en-GB"/>
        </w:rPr>
        <w:t xml:space="preserve"> </w:t>
      </w:r>
      <w:r w:rsidRPr="003D7719">
        <w:rPr>
          <w:lang w:eastAsia="en-GB"/>
        </w:rPr>
        <w:t>dubbed NSU 2.0,</w:t>
      </w:r>
      <w:r w:rsidRPr="003D7719">
        <w:rPr>
          <w:vertAlign w:val="superscript"/>
          <w:lang w:eastAsia="en-GB"/>
        </w:rPr>
        <w:footnoteReference w:id="102"/>
      </w:r>
      <w:r w:rsidRPr="003D7719">
        <w:rPr>
          <w:lang w:eastAsia="en-GB"/>
        </w:rPr>
        <w:t xml:space="preserve"> concerns over data breaches and infiltration of the security forces persist. In 2020, the military counterintelligence service investigated more than 500 soldiers suspected of using banned National Socialist symbols and of connections to “right wing extremist” networks that advocated violence focusing on Special Command Forces.</w:t>
      </w:r>
      <w:r w:rsidRPr="003D7719">
        <w:rPr>
          <w:vertAlign w:val="superscript"/>
          <w:lang w:eastAsia="en-GB"/>
        </w:rPr>
        <w:footnoteReference w:id="103"/>
      </w:r>
    </w:p>
    <w:p w14:paraId="43913AD5" w14:textId="007E6BAF" w:rsidR="00917F5E" w:rsidRPr="003D7719" w:rsidRDefault="00917F5E" w:rsidP="00917F5E">
      <w:pPr>
        <w:pStyle w:val="BBodyText"/>
        <w:rPr>
          <w:lang w:eastAsia="en-GB"/>
        </w:rPr>
      </w:pPr>
      <w:r w:rsidRPr="003D7719">
        <w:rPr>
          <w:lang w:eastAsia="en-GB"/>
        </w:rPr>
        <w:t>Amnesty International has documented how Germany is failing the victims of racist violence, especially with regards to attacks on asylum seekers shelters.</w:t>
      </w:r>
      <w:r w:rsidRPr="003D7719">
        <w:rPr>
          <w:vertAlign w:val="superscript"/>
          <w:lang w:eastAsia="en-GB"/>
        </w:rPr>
        <w:footnoteReference w:id="104"/>
      </w:r>
      <w:r w:rsidRPr="003D7719">
        <w:rPr>
          <w:lang w:eastAsia="en-GB"/>
        </w:rPr>
        <w:t xml:space="preserve"> ECRI has also noted a wave of attacks on asylum shelters in its 2020 report. These attacks on shelters were illustrative of different racist and right-wing extremist motives, including anti-Muslim racism. In 2022, there were 121 attacks on </w:t>
      </w:r>
      <w:r w:rsidRPr="003D7719">
        <w:rPr>
          <w:lang w:eastAsia="en-GB"/>
        </w:rPr>
        <w:lastRenderedPageBreak/>
        <w:t>shelters nationwide - an increase of 73% compared to the previous year.</w:t>
      </w:r>
      <w:r w:rsidRPr="003D7719">
        <w:rPr>
          <w:vertAlign w:val="superscript"/>
          <w:lang w:eastAsia="en-GB"/>
        </w:rPr>
        <w:footnoteReference w:id="105"/>
      </w:r>
      <w:r w:rsidRPr="003D7719">
        <w:rPr>
          <w:lang w:eastAsia="en-GB"/>
        </w:rPr>
        <w:t xml:space="preserve"> In the first quarter of 2023, the number of “politically motivated attacks” on refugee shelters doubled again.</w:t>
      </w:r>
      <w:r w:rsidRPr="003D7719">
        <w:rPr>
          <w:vertAlign w:val="superscript"/>
          <w:lang w:eastAsia="en-GB"/>
        </w:rPr>
        <w:footnoteReference w:id="106"/>
      </w:r>
      <w:r w:rsidRPr="003D7719">
        <w:rPr>
          <w:vertAlign w:val="superscript"/>
          <w:lang w:eastAsia="en-GB"/>
        </w:rPr>
        <w:t xml:space="preserve"> </w:t>
      </w:r>
      <w:r w:rsidR="00AC0372" w:rsidRPr="003D7719">
        <w:rPr>
          <w:vertAlign w:val="superscript"/>
          <w:lang w:eastAsia="en-GB"/>
        </w:rPr>
        <w:t xml:space="preserve"> </w:t>
      </w:r>
      <w:r w:rsidRPr="003D7719">
        <w:rPr>
          <w:lang w:eastAsia="en-GB"/>
        </w:rPr>
        <w:t xml:space="preserve">One disturbing example took place in July 2023 when four masked men attacked residents of a refugee shelter in </w:t>
      </w:r>
      <w:proofErr w:type="spellStart"/>
      <w:r w:rsidRPr="003D7719">
        <w:rPr>
          <w:lang w:eastAsia="en-GB"/>
        </w:rPr>
        <w:t>Sebnitz</w:t>
      </w:r>
      <w:proofErr w:type="spellEnd"/>
      <w:r w:rsidRPr="003D7719">
        <w:rPr>
          <w:lang w:eastAsia="en-GB"/>
        </w:rPr>
        <w:t>, Saxony. Investigations have been initiated.</w:t>
      </w:r>
      <w:r w:rsidRPr="003D7719">
        <w:rPr>
          <w:vertAlign w:val="superscript"/>
          <w:lang w:eastAsia="en-GB"/>
        </w:rPr>
        <w:footnoteReference w:id="107"/>
      </w:r>
      <w:r w:rsidRPr="003D7719">
        <w:rPr>
          <w:lang w:eastAsia="en-GB"/>
        </w:rPr>
        <w:t> </w:t>
      </w:r>
    </w:p>
    <w:p w14:paraId="2AD6CC5D" w14:textId="77777777" w:rsidR="00917F5E" w:rsidRPr="003D7719" w:rsidRDefault="00917F5E" w:rsidP="00917F5E">
      <w:pPr>
        <w:pStyle w:val="BBodyText"/>
        <w:rPr>
          <w:lang w:eastAsia="en-GB"/>
        </w:rPr>
      </w:pPr>
    </w:p>
    <w:p w14:paraId="0D6AC3E9" w14:textId="77777777" w:rsidR="00917F5E" w:rsidRPr="003D7719" w:rsidRDefault="00917F5E" w:rsidP="00B471EA">
      <w:pPr>
        <w:pStyle w:val="BNumberedSubheading"/>
      </w:pPr>
      <w:bookmarkStart w:id="15" w:name="_Toc149154504"/>
      <w:r w:rsidRPr="003D7719">
        <w:t>Recommendations</w:t>
      </w:r>
      <w:bookmarkEnd w:id="15"/>
    </w:p>
    <w:p w14:paraId="53EA76FE" w14:textId="77777777" w:rsidR="00917F5E" w:rsidRPr="003D7719" w:rsidRDefault="00917F5E" w:rsidP="00917F5E">
      <w:pPr>
        <w:pStyle w:val="BBodyText"/>
        <w:rPr>
          <w:bCs w:val="0"/>
          <w:lang w:eastAsia="en-GB"/>
        </w:rPr>
      </w:pPr>
      <w:r w:rsidRPr="003D7719">
        <w:rPr>
          <w:bCs w:val="0"/>
          <w:lang w:eastAsia="en-GB"/>
        </w:rPr>
        <w:t xml:space="preserve">Amnesty International recommends that Germany: </w:t>
      </w:r>
    </w:p>
    <w:p w14:paraId="64E3D4B3" w14:textId="77777777" w:rsidR="00917F5E" w:rsidRPr="003D7719" w:rsidRDefault="00917F5E" w:rsidP="00917F5E">
      <w:pPr>
        <w:pStyle w:val="BBodyText"/>
        <w:numPr>
          <w:ilvl w:val="0"/>
          <w:numId w:val="36"/>
        </w:numPr>
        <w:rPr>
          <w:bCs w:val="0"/>
          <w:lang w:eastAsia="en-GB"/>
        </w:rPr>
      </w:pPr>
      <w:r w:rsidRPr="003D7719">
        <w:rPr>
          <w:bCs w:val="0"/>
          <w:lang w:eastAsia="en-GB"/>
        </w:rPr>
        <w:t xml:space="preserve">Develops a comprehensive strategy against hate crimes which puts perspectives of affected persons and communities at the </w:t>
      </w:r>
      <w:proofErr w:type="gramStart"/>
      <w:r w:rsidRPr="003D7719">
        <w:rPr>
          <w:bCs w:val="0"/>
          <w:lang w:eastAsia="en-GB"/>
        </w:rPr>
        <w:t>centre;</w:t>
      </w:r>
      <w:proofErr w:type="gramEnd"/>
      <w:r w:rsidRPr="003D7719">
        <w:rPr>
          <w:bCs w:val="0"/>
          <w:lang w:eastAsia="en-GB"/>
        </w:rPr>
        <w:t xml:space="preserve"> </w:t>
      </w:r>
    </w:p>
    <w:p w14:paraId="1363BC7C" w14:textId="77777777" w:rsidR="00917F5E" w:rsidRPr="003D7719" w:rsidRDefault="00917F5E" w:rsidP="00917F5E">
      <w:pPr>
        <w:pStyle w:val="BBodyText"/>
        <w:numPr>
          <w:ilvl w:val="0"/>
          <w:numId w:val="36"/>
        </w:numPr>
        <w:rPr>
          <w:bCs w:val="0"/>
          <w:lang w:eastAsia="en-GB"/>
        </w:rPr>
      </w:pPr>
      <w:r w:rsidRPr="003D7719">
        <w:rPr>
          <w:bCs w:val="0"/>
          <w:lang w:eastAsia="en-GB"/>
        </w:rPr>
        <w:t xml:space="preserve">Removes institutional shortcomings in preventing, investigating and sentencing racist hate crimes, </w:t>
      </w:r>
      <w:proofErr w:type="gramStart"/>
      <w:r w:rsidRPr="003D7719">
        <w:rPr>
          <w:bCs w:val="0"/>
          <w:lang w:eastAsia="en-GB"/>
        </w:rPr>
        <w:t>e.g.</w:t>
      </w:r>
      <w:proofErr w:type="gramEnd"/>
      <w:r w:rsidRPr="003D7719">
        <w:rPr>
          <w:bCs w:val="0"/>
          <w:lang w:eastAsia="en-GB"/>
        </w:rPr>
        <w:t xml:space="preserve"> by ensuring that perpetrator-victim reversals and victim-blaming are no longer used and reproduced by police authorities and other state actors;</w:t>
      </w:r>
    </w:p>
    <w:p w14:paraId="74429246" w14:textId="77777777" w:rsidR="00917F5E" w:rsidRPr="003D7719" w:rsidRDefault="00917F5E" w:rsidP="00917F5E">
      <w:pPr>
        <w:pStyle w:val="BBodyText"/>
        <w:numPr>
          <w:ilvl w:val="0"/>
          <w:numId w:val="36"/>
        </w:numPr>
        <w:rPr>
          <w:bCs w:val="0"/>
          <w:lang w:eastAsia="en-GB"/>
        </w:rPr>
      </w:pPr>
      <w:r w:rsidRPr="003D7719">
        <w:rPr>
          <w:bCs w:val="0"/>
          <w:lang w:eastAsia="en-GB"/>
        </w:rPr>
        <w:t xml:space="preserve">Acknowledges the impact of hate crimes on persons affected and provide support, including psychological and financial support, especially with regard to persons affected by intersectional discrimination such as asylum </w:t>
      </w:r>
      <w:proofErr w:type="gramStart"/>
      <w:r w:rsidRPr="003D7719">
        <w:rPr>
          <w:bCs w:val="0"/>
          <w:lang w:eastAsia="en-GB"/>
        </w:rPr>
        <w:t>seekers;</w:t>
      </w:r>
      <w:proofErr w:type="gramEnd"/>
      <w:r w:rsidRPr="003D7719">
        <w:rPr>
          <w:bCs w:val="0"/>
          <w:lang w:eastAsia="en-GB"/>
        </w:rPr>
        <w:t xml:space="preserve"> </w:t>
      </w:r>
    </w:p>
    <w:p w14:paraId="38F26E3B" w14:textId="77777777" w:rsidR="00917F5E" w:rsidRPr="003D7719" w:rsidRDefault="00917F5E" w:rsidP="00917F5E">
      <w:pPr>
        <w:pStyle w:val="BBodyText"/>
        <w:numPr>
          <w:ilvl w:val="0"/>
          <w:numId w:val="36"/>
        </w:numPr>
        <w:rPr>
          <w:bCs w:val="0"/>
          <w:lang w:eastAsia="en-GB"/>
        </w:rPr>
      </w:pPr>
      <w:r w:rsidRPr="003D7719">
        <w:rPr>
          <w:bCs w:val="0"/>
          <w:lang w:eastAsia="en-GB"/>
        </w:rPr>
        <w:t xml:space="preserve">Establishes a comprehensive, accessible, and independent system throughout Germany to provide victims of discrimination with effective support, including legal </w:t>
      </w:r>
      <w:proofErr w:type="gramStart"/>
      <w:r w:rsidRPr="003D7719">
        <w:rPr>
          <w:bCs w:val="0"/>
          <w:lang w:eastAsia="en-GB"/>
        </w:rPr>
        <w:t>consultation;</w:t>
      </w:r>
      <w:proofErr w:type="gramEnd"/>
    </w:p>
    <w:p w14:paraId="477BAF5D" w14:textId="77777777" w:rsidR="00917F5E" w:rsidRPr="003D7719" w:rsidRDefault="00917F5E" w:rsidP="00917F5E">
      <w:pPr>
        <w:pStyle w:val="BBodyText"/>
        <w:numPr>
          <w:ilvl w:val="0"/>
          <w:numId w:val="36"/>
        </w:numPr>
        <w:rPr>
          <w:bCs w:val="0"/>
          <w:lang w:eastAsia="en-GB"/>
        </w:rPr>
      </w:pPr>
      <w:r w:rsidRPr="003D7719">
        <w:rPr>
          <w:bCs w:val="0"/>
          <w:lang w:eastAsia="en-GB"/>
        </w:rPr>
        <w:t>Takes all measures necessary to unveil the remaining dimensions and scope of the NSU movement and threats;</w:t>
      </w:r>
      <w:r w:rsidRPr="003D7719">
        <w:rPr>
          <w:bCs w:val="0"/>
          <w:vertAlign w:val="superscript"/>
          <w:lang w:eastAsia="en-GB"/>
        </w:rPr>
        <w:footnoteReference w:id="108"/>
      </w:r>
      <w:r w:rsidRPr="003D7719">
        <w:rPr>
          <w:bCs w:val="0"/>
          <w:lang w:eastAsia="en-GB"/>
        </w:rPr>
        <w:t xml:space="preserve"> </w:t>
      </w:r>
    </w:p>
    <w:p w14:paraId="6F036C22" w14:textId="77777777" w:rsidR="00917F5E" w:rsidRPr="003D7719" w:rsidRDefault="00917F5E" w:rsidP="00917F5E">
      <w:pPr>
        <w:pStyle w:val="BBodyText"/>
        <w:numPr>
          <w:ilvl w:val="0"/>
          <w:numId w:val="36"/>
        </w:numPr>
        <w:rPr>
          <w:bCs w:val="0"/>
          <w:lang w:eastAsia="en-GB"/>
        </w:rPr>
      </w:pPr>
      <w:r w:rsidRPr="003D7719">
        <w:rPr>
          <w:bCs w:val="0"/>
          <w:lang w:eastAsia="en-GB"/>
        </w:rPr>
        <w:t>Investigates how institutional racism within authorities has prevented a better understanding and investigation of the NSU complex; and</w:t>
      </w:r>
    </w:p>
    <w:p w14:paraId="71583D06" w14:textId="77777777" w:rsidR="00917F5E" w:rsidRPr="003D7719" w:rsidRDefault="00917F5E" w:rsidP="00917F5E">
      <w:pPr>
        <w:pStyle w:val="BBodyText"/>
        <w:numPr>
          <w:ilvl w:val="0"/>
          <w:numId w:val="36"/>
        </w:numPr>
        <w:rPr>
          <w:bCs w:val="0"/>
          <w:lang w:eastAsia="en-GB"/>
        </w:rPr>
      </w:pPr>
      <w:r w:rsidRPr="003D7719">
        <w:rPr>
          <w:bCs w:val="0"/>
          <w:lang w:val="en-US" w:eastAsia="en-GB"/>
        </w:rPr>
        <w:t>Fully investigates the NSU 2.0 threats to understand how police and military information was accessed, and takes steps to ensure this is not repeated, including by drawing consistent consequences in the event of misconduct by police and military personnel.</w:t>
      </w:r>
    </w:p>
    <w:p w14:paraId="066714C0" w14:textId="77777777" w:rsidR="00496BE9" w:rsidRPr="003D7719" w:rsidRDefault="00496BE9" w:rsidP="00496BE9">
      <w:pPr>
        <w:pStyle w:val="BBodyText"/>
        <w:ind w:left="360"/>
        <w:rPr>
          <w:bCs w:val="0"/>
          <w:lang w:eastAsia="en-GB"/>
        </w:rPr>
      </w:pPr>
    </w:p>
    <w:p w14:paraId="2432C4A5" w14:textId="77777777" w:rsidR="00917F5E" w:rsidRPr="003D7719" w:rsidRDefault="00917F5E" w:rsidP="00B471EA">
      <w:pPr>
        <w:pStyle w:val="BNumberedSubheading"/>
      </w:pPr>
      <w:bookmarkStart w:id="16" w:name="_Toc149154505"/>
      <w:r w:rsidRPr="003D7719">
        <w:t>Lack of comprehensive recording of hate crimes</w:t>
      </w:r>
      <w:bookmarkEnd w:id="16"/>
      <w:r w:rsidRPr="003D7719">
        <w:t xml:space="preserve"> </w:t>
      </w:r>
    </w:p>
    <w:p w14:paraId="4AAEBC77" w14:textId="77777777" w:rsidR="00917F5E" w:rsidRPr="003D7719" w:rsidRDefault="00917F5E" w:rsidP="00917F5E">
      <w:pPr>
        <w:pStyle w:val="BBodyText"/>
        <w:rPr>
          <w:lang w:eastAsia="en-GB"/>
        </w:rPr>
      </w:pPr>
      <w:r w:rsidRPr="003D7719">
        <w:rPr>
          <w:lang w:eastAsia="en-GB"/>
        </w:rPr>
        <w:t xml:space="preserve">For years, counselling centres and civil society organizations have been pointing out large discrepancies between state and civil society records of racist hate crimes. State records show far fewer instances of hate crimes than monitoring by civil society groups indicates. In 2021, the Organization of Independent </w:t>
      </w:r>
      <w:proofErr w:type="spellStart"/>
      <w:r w:rsidRPr="003D7719">
        <w:rPr>
          <w:lang w:eastAsia="en-GB"/>
        </w:rPr>
        <w:t>Counseling</w:t>
      </w:r>
      <w:proofErr w:type="spellEnd"/>
      <w:r w:rsidRPr="003D7719">
        <w:rPr>
          <w:lang w:eastAsia="en-GB"/>
        </w:rPr>
        <w:t xml:space="preserve"> </w:t>
      </w:r>
      <w:proofErr w:type="spellStart"/>
      <w:r w:rsidRPr="003D7719">
        <w:rPr>
          <w:lang w:eastAsia="en-GB"/>
        </w:rPr>
        <w:t>Centers</w:t>
      </w:r>
      <w:proofErr w:type="spellEnd"/>
      <w:r w:rsidRPr="003D7719">
        <w:rPr>
          <w:lang w:eastAsia="en-GB"/>
        </w:rPr>
        <w:t xml:space="preserve"> for Victims of Right-wing, Racist, and Antisemitic Violence (VBRG) registered 1391 “right-wing, racist and antisemitic hate crimes” in nine federal states in comparison to 1033 cases throughout Germany in the official statistics.</w:t>
      </w:r>
      <w:r w:rsidRPr="003D7719">
        <w:rPr>
          <w:vertAlign w:val="superscript"/>
          <w:lang w:eastAsia="en-GB"/>
        </w:rPr>
        <w:footnoteReference w:id="109"/>
      </w:r>
      <w:r w:rsidRPr="003D7719">
        <w:rPr>
          <w:lang w:eastAsia="en-GB"/>
        </w:rPr>
        <w:t xml:space="preserve"> Statistical recording of hate crimes needs to improve, as does awareness-raising measures and trainings for law enforcement officials, </w:t>
      </w:r>
      <w:proofErr w:type="gramStart"/>
      <w:r w:rsidRPr="003D7719">
        <w:rPr>
          <w:lang w:eastAsia="en-GB"/>
        </w:rPr>
        <w:t>prosecutors</w:t>
      </w:r>
      <w:proofErr w:type="gramEnd"/>
      <w:r w:rsidRPr="003D7719">
        <w:rPr>
          <w:lang w:eastAsia="en-GB"/>
        </w:rPr>
        <w:t xml:space="preserve"> and judges to detect and investigate these crimes. </w:t>
      </w:r>
    </w:p>
    <w:p w14:paraId="6D3D9B6A" w14:textId="77777777" w:rsidR="00917F5E" w:rsidRPr="003D7719" w:rsidRDefault="00917F5E" w:rsidP="00917F5E">
      <w:pPr>
        <w:pStyle w:val="BBodyText"/>
        <w:rPr>
          <w:lang w:eastAsia="en-GB"/>
        </w:rPr>
      </w:pPr>
      <w:r w:rsidRPr="003D7719">
        <w:rPr>
          <w:lang w:eastAsia="en-GB"/>
        </w:rPr>
        <w:t xml:space="preserve">ECRI has pointed out that among “the reasons for this under-reporting are the misleading title “Statistics on Politically Motivated </w:t>
      </w:r>
      <w:proofErr w:type="spellStart"/>
      <w:r w:rsidRPr="003D7719">
        <w:rPr>
          <w:lang w:eastAsia="en-GB"/>
        </w:rPr>
        <w:t>Offenses</w:t>
      </w:r>
      <w:proofErr w:type="spellEnd"/>
      <w:r w:rsidRPr="003D7719">
        <w:rPr>
          <w:lang w:eastAsia="en-GB"/>
        </w:rPr>
        <w:t>”, under which hate crimes are recorded and the definition of hate crime that is still narrower than suggested by ECRI in § 14 of its GPR No. 11</w:t>
      </w:r>
      <w:r w:rsidRPr="003D7719">
        <w:rPr>
          <w:vertAlign w:val="superscript"/>
          <w:lang w:eastAsia="en-GB"/>
        </w:rPr>
        <w:footnoteReference w:id="110"/>
      </w:r>
      <w:r w:rsidRPr="003D7719">
        <w:rPr>
          <w:lang w:eastAsia="en-GB"/>
        </w:rPr>
        <w:t xml:space="preserve"> – any incident </w:t>
      </w:r>
      <w:r w:rsidRPr="003D7719">
        <w:rPr>
          <w:lang w:eastAsia="en-GB"/>
        </w:rPr>
        <w:lastRenderedPageBreak/>
        <w:t>which is perceived to be racist by the victim or any other person (…).”</w:t>
      </w:r>
      <w:r w:rsidRPr="003D7719">
        <w:rPr>
          <w:vertAlign w:val="superscript"/>
          <w:lang w:eastAsia="en-GB"/>
        </w:rPr>
        <w:footnoteReference w:id="111"/>
      </w:r>
      <w:r w:rsidRPr="003D7719">
        <w:rPr>
          <w:lang w:eastAsia="en-GB"/>
        </w:rPr>
        <w:t xml:space="preserve"> In contrast, the classification as “politically motivated” can exclude racist acts in which the racist intent cannot be proven. Moreover, the definition system is not coherent. It differentiates between motivations that are “hostile towards foreigners”, “hostile towards strangers” and “racist”. However, these categories cannot be separated from each other, and the first two categories reinforce the assumption that racialized people are not German nationals and not part of German society.</w:t>
      </w:r>
      <w:r w:rsidRPr="003D7719">
        <w:rPr>
          <w:vertAlign w:val="superscript"/>
          <w:lang w:eastAsia="en-GB"/>
        </w:rPr>
        <w:footnoteReference w:id="112"/>
      </w:r>
      <w:r w:rsidRPr="003D7719">
        <w:rPr>
          <w:lang w:eastAsia="en-GB"/>
        </w:rPr>
        <w:t xml:space="preserve"> </w:t>
      </w:r>
    </w:p>
    <w:p w14:paraId="1F87D857" w14:textId="77777777" w:rsidR="00917F5E" w:rsidRPr="003D7719" w:rsidRDefault="00917F5E" w:rsidP="00917F5E">
      <w:pPr>
        <w:pStyle w:val="BBodyText"/>
        <w:rPr>
          <w:lang w:eastAsia="en-GB"/>
        </w:rPr>
      </w:pPr>
      <w:r w:rsidRPr="003D7719">
        <w:rPr>
          <w:lang w:eastAsia="en-GB"/>
        </w:rPr>
        <w:t>Furthermore, an incident is only recorded in the statistics if the racist component is recognized directly when reporting to police or public prosecutors. Whether or not the classification is carried out, is therefore largely dependent on the recognition of the respective police officer. An incident is not recorded as racist crime if the “racist intent” is detected at a later point during the investigations. Also, data collected by law enforcement authorities on hate crimes is not linked to statistics of the judiciary. The reports by the Ministry of the Interior and Community and the Federal Criminal Police Office (</w:t>
      </w:r>
      <w:proofErr w:type="spellStart"/>
      <w:r w:rsidRPr="003D7719">
        <w:rPr>
          <w:lang w:eastAsia="en-GB"/>
        </w:rPr>
        <w:t>Bundeskriminalamt</w:t>
      </w:r>
      <w:proofErr w:type="spellEnd"/>
      <w:r w:rsidRPr="003D7719">
        <w:rPr>
          <w:lang w:eastAsia="en-GB"/>
        </w:rPr>
        <w:t>) do not contain information on measures for prevention and investigation of hate crimes. A critical and well-founded discussion of the data, including civil society and academia, also creates more transparency.</w:t>
      </w:r>
      <w:r w:rsidRPr="003D7719">
        <w:rPr>
          <w:vertAlign w:val="superscript"/>
          <w:lang w:eastAsia="en-GB"/>
        </w:rPr>
        <w:footnoteReference w:id="113"/>
      </w:r>
      <w:r w:rsidRPr="003D7719">
        <w:rPr>
          <w:lang w:eastAsia="en-GB"/>
        </w:rPr>
        <w:t xml:space="preserve"> </w:t>
      </w:r>
    </w:p>
    <w:p w14:paraId="792AFD36" w14:textId="77777777" w:rsidR="00917F5E" w:rsidRPr="003D7719" w:rsidRDefault="00917F5E" w:rsidP="00917F5E">
      <w:pPr>
        <w:pStyle w:val="BBodyText"/>
        <w:rPr>
          <w:lang w:eastAsia="en-GB"/>
        </w:rPr>
      </w:pPr>
      <w:r w:rsidRPr="003D7719">
        <w:rPr>
          <w:lang w:eastAsia="en-GB"/>
        </w:rPr>
        <w:t>Amnesty International welcomes that provisions in the Police Service Regulation and the Guidelines for Criminal and Summary Proceedings were amended along with the legislative change of Section 46 para. 2 of the Penal Code. They now include an explicit duty to investigate and document any racist or other discriminatory motives in any crime.</w:t>
      </w:r>
      <w:r w:rsidRPr="003D7719">
        <w:rPr>
          <w:vertAlign w:val="superscript"/>
          <w:lang w:eastAsia="en-GB"/>
        </w:rPr>
        <w:footnoteReference w:id="114"/>
      </w:r>
      <w:r w:rsidRPr="003D7719">
        <w:rPr>
          <w:lang w:eastAsia="en-GB"/>
        </w:rPr>
        <w:t xml:space="preserve"> </w:t>
      </w:r>
    </w:p>
    <w:p w14:paraId="3630C562" w14:textId="637D9322" w:rsidR="00917F5E" w:rsidRPr="003D7719" w:rsidRDefault="00917F5E" w:rsidP="00917F5E">
      <w:pPr>
        <w:pStyle w:val="BBodyText"/>
        <w:rPr>
          <w:lang w:eastAsia="en-GB"/>
        </w:rPr>
      </w:pPr>
      <w:r w:rsidRPr="003D7719">
        <w:rPr>
          <w:lang w:eastAsia="en-GB"/>
        </w:rPr>
        <w:t xml:space="preserve">Initial and continuous training of police, </w:t>
      </w:r>
      <w:proofErr w:type="gramStart"/>
      <w:r w:rsidRPr="003D7719">
        <w:rPr>
          <w:lang w:eastAsia="en-GB"/>
        </w:rPr>
        <w:t>prosecutors</w:t>
      </w:r>
      <w:proofErr w:type="gramEnd"/>
      <w:r w:rsidRPr="003D7719">
        <w:rPr>
          <w:lang w:eastAsia="en-GB"/>
        </w:rPr>
        <w:t xml:space="preserve"> and judges on recognizing, investigating and sentencing hate crimes has not been sufficiently implemented.</w:t>
      </w:r>
      <w:r w:rsidRPr="003D7719">
        <w:rPr>
          <w:vertAlign w:val="superscript"/>
          <w:lang w:eastAsia="en-GB"/>
        </w:rPr>
        <w:footnoteReference w:id="115"/>
      </w:r>
      <w:r w:rsidRPr="003D7719">
        <w:rPr>
          <w:lang w:eastAsia="en-GB"/>
        </w:rPr>
        <w:t xml:space="preserve"> This would be necessary to ensure that all possible crimes are investigated through a racial discrimination lens with a focus on the persons affected. </w:t>
      </w:r>
    </w:p>
    <w:p w14:paraId="0F2E0C5C" w14:textId="014F73AF" w:rsidR="00917F5E" w:rsidRPr="003D7719" w:rsidRDefault="00917F5E" w:rsidP="00917F5E">
      <w:pPr>
        <w:pStyle w:val="BBodyText"/>
        <w:rPr>
          <w:lang w:eastAsia="en-GB"/>
        </w:rPr>
      </w:pPr>
      <w:r w:rsidRPr="003D7719">
        <w:rPr>
          <w:lang w:eastAsia="en-GB"/>
        </w:rPr>
        <w:t>German authorities have not sufficiently acknowledged the impact of hate crimes on persons affected and provided them with support.</w:t>
      </w:r>
      <w:r w:rsidRPr="003D7719">
        <w:rPr>
          <w:vertAlign w:val="superscript"/>
          <w:lang w:eastAsia="en-GB"/>
        </w:rPr>
        <w:footnoteReference w:id="116"/>
      </w:r>
      <w:r w:rsidRPr="003D7719">
        <w:rPr>
          <w:lang w:eastAsia="en-GB"/>
        </w:rPr>
        <w:t xml:space="preserve"> For example, ECRI has pointed out that sometimes asylum seeker victims of hate crimes are deported before they can testify in criminal proceedings.</w:t>
      </w:r>
      <w:r w:rsidRPr="003D7719">
        <w:rPr>
          <w:vertAlign w:val="superscript"/>
          <w:lang w:eastAsia="en-GB"/>
        </w:rPr>
        <w:footnoteReference w:id="117"/>
      </w:r>
      <w:r w:rsidRPr="003D7719">
        <w:rPr>
          <w:lang w:eastAsia="en-GB"/>
        </w:rPr>
        <w:t xml:space="preserve"> </w:t>
      </w:r>
    </w:p>
    <w:p w14:paraId="6015AE81" w14:textId="77777777" w:rsidR="003D7719" w:rsidRPr="003D7719" w:rsidRDefault="003D7719" w:rsidP="00917F5E">
      <w:pPr>
        <w:pStyle w:val="BBodyText"/>
        <w:rPr>
          <w:lang w:eastAsia="en-GB"/>
        </w:rPr>
      </w:pPr>
    </w:p>
    <w:p w14:paraId="40F778B1" w14:textId="77777777" w:rsidR="00917F5E" w:rsidRPr="003D7719" w:rsidRDefault="00917F5E" w:rsidP="00B471EA">
      <w:pPr>
        <w:pStyle w:val="BNumberedSubheading"/>
      </w:pPr>
      <w:bookmarkStart w:id="17" w:name="_Toc149154506"/>
      <w:r w:rsidRPr="003D7719">
        <w:t>Recommendations</w:t>
      </w:r>
      <w:bookmarkEnd w:id="17"/>
    </w:p>
    <w:p w14:paraId="70DDF43E" w14:textId="77777777" w:rsidR="00917F5E" w:rsidRPr="003D7719" w:rsidRDefault="00917F5E" w:rsidP="00917F5E">
      <w:pPr>
        <w:pStyle w:val="BBodyText"/>
        <w:rPr>
          <w:bCs w:val="0"/>
          <w:lang w:eastAsia="en-GB"/>
        </w:rPr>
      </w:pPr>
      <w:r w:rsidRPr="003D7719">
        <w:rPr>
          <w:bCs w:val="0"/>
          <w:lang w:eastAsia="en-GB"/>
        </w:rPr>
        <w:t xml:space="preserve">Amnesty International recommends that Germany: </w:t>
      </w:r>
    </w:p>
    <w:p w14:paraId="0DEFD57A" w14:textId="77777777" w:rsidR="00917F5E" w:rsidRPr="003D7719" w:rsidRDefault="00917F5E" w:rsidP="00917F5E">
      <w:pPr>
        <w:pStyle w:val="BBodyText"/>
        <w:numPr>
          <w:ilvl w:val="0"/>
          <w:numId w:val="37"/>
        </w:numPr>
        <w:rPr>
          <w:bCs w:val="0"/>
          <w:lang w:eastAsia="en-GB"/>
        </w:rPr>
      </w:pPr>
      <w:r w:rsidRPr="003D7719">
        <w:rPr>
          <w:bCs w:val="0"/>
          <w:lang w:eastAsia="en-GB"/>
        </w:rPr>
        <w:t xml:space="preserve">Improves the statistical recording of hate crimes, especially by applying a definition of hate crimes that centres the perspective of persons affected. Merge problematic categories such as “hostile to foreigners” or “hostile to strangers” into “racist” attacks. Implement progressive statistics by law enforcement authorities that are linked to statistics of the </w:t>
      </w:r>
      <w:proofErr w:type="gramStart"/>
      <w:r w:rsidRPr="003D7719">
        <w:rPr>
          <w:bCs w:val="0"/>
          <w:lang w:eastAsia="en-GB"/>
        </w:rPr>
        <w:t>judiciary;</w:t>
      </w:r>
      <w:proofErr w:type="gramEnd"/>
      <w:r w:rsidRPr="003D7719">
        <w:rPr>
          <w:bCs w:val="0"/>
          <w:lang w:eastAsia="en-GB"/>
        </w:rPr>
        <w:t xml:space="preserve"> </w:t>
      </w:r>
    </w:p>
    <w:p w14:paraId="44DD72FA" w14:textId="77777777" w:rsidR="00917F5E" w:rsidRPr="003D7719" w:rsidRDefault="00917F5E" w:rsidP="00917F5E">
      <w:pPr>
        <w:pStyle w:val="BBodyText"/>
        <w:numPr>
          <w:ilvl w:val="0"/>
          <w:numId w:val="37"/>
        </w:numPr>
        <w:rPr>
          <w:bCs w:val="0"/>
          <w:lang w:eastAsia="en-GB"/>
        </w:rPr>
      </w:pPr>
      <w:r w:rsidRPr="003D7719">
        <w:rPr>
          <w:bCs w:val="0"/>
          <w:lang w:eastAsia="en-GB"/>
        </w:rPr>
        <w:t xml:space="preserve">Improves the quality of the statistics by sustained and continuous critical monitoring and review, especially by civil society, expert bodies and </w:t>
      </w:r>
      <w:proofErr w:type="gramStart"/>
      <w:r w:rsidRPr="003D7719">
        <w:rPr>
          <w:bCs w:val="0"/>
          <w:lang w:eastAsia="en-GB"/>
        </w:rPr>
        <w:t>academia;</w:t>
      </w:r>
      <w:proofErr w:type="gramEnd"/>
      <w:r w:rsidRPr="003D7719">
        <w:rPr>
          <w:bCs w:val="0"/>
          <w:lang w:eastAsia="en-GB"/>
        </w:rPr>
        <w:t xml:space="preserve"> </w:t>
      </w:r>
    </w:p>
    <w:p w14:paraId="7E90A97F" w14:textId="77777777" w:rsidR="00917F5E" w:rsidRPr="003D7719" w:rsidRDefault="00917F5E" w:rsidP="00917F5E">
      <w:pPr>
        <w:pStyle w:val="BBodyText"/>
        <w:numPr>
          <w:ilvl w:val="0"/>
          <w:numId w:val="37"/>
        </w:numPr>
        <w:rPr>
          <w:bCs w:val="0"/>
          <w:lang w:eastAsia="en-GB"/>
        </w:rPr>
      </w:pPr>
      <w:r w:rsidRPr="003D7719">
        <w:rPr>
          <w:bCs w:val="0"/>
          <w:lang w:eastAsia="en-GB"/>
        </w:rPr>
        <w:t xml:space="preserve">Establishes regular reports on hate crimes that include information on what measures state authorities have taken for the prevention and investigation of hate </w:t>
      </w:r>
      <w:proofErr w:type="gramStart"/>
      <w:r w:rsidRPr="003D7719">
        <w:rPr>
          <w:bCs w:val="0"/>
          <w:lang w:eastAsia="en-GB"/>
        </w:rPr>
        <w:t>crimes;</w:t>
      </w:r>
      <w:proofErr w:type="gramEnd"/>
    </w:p>
    <w:p w14:paraId="0EC374AF" w14:textId="203C4D15" w:rsidR="00917F5E" w:rsidRPr="003D7719" w:rsidRDefault="00917F5E" w:rsidP="00917F5E">
      <w:pPr>
        <w:pStyle w:val="BBodyText"/>
        <w:numPr>
          <w:ilvl w:val="0"/>
          <w:numId w:val="37"/>
        </w:numPr>
        <w:rPr>
          <w:bCs w:val="0"/>
          <w:lang w:eastAsia="en-GB"/>
        </w:rPr>
      </w:pPr>
      <w:r w:rsidRPr="003D7719">
        <w:rPr>
          <w:bCs w:val="0"/>
          <w:lang w:eastAsia="en-GB"/>
        </w:rPr>
        <w:lastRenderedPageBreak/>
        <w:t xml:space="preserve">Implements initial and continuous training of police, </w:t>
      </w:r>
      <w:proofErr w:type="gramStart"/>
      <w:r w:rsidRPr="003D7719">
        <w:rPr>
          <w:bCs w:val="0"/>
          <w:lang w:eastAsia="en-GB"/>
        </w:rPr>
        <w:t>prosecutors</w:t>
      </w:r>
      <w:proofErr w:type="gramEnd"/>
      <w:r w:rsidRPr="003D7719">
        <w:rPr>
          <w:bCs w:val="0"/>
          <w:lang w:eastAsia="en-GB"/>
        </w:rPr>
        <w:t xml:space="preserve"> and judges on </w:t>
      </w:r>
      <w:r w:rsidR="00926BAA" w:rsidRPr="003D7719">
        <w:rPr>
          <w:bCs w:val="0"/>
          <w:lang w:eastAsia="en-GB"/>
        </w:rPr>
        <w:t>recognizing</w:t>
      </w:r>
      <w:r w:rsidRPr="003D7719">
        <w:rPr>
          <w:bCs w:val="0"/>
          <w:lang w:eastAsia="en-GB"/>
        </w:rPr>
        <w:t>, investigating and sentencing hate crimes and ensure that all possible crimes are investigated through a racial discrimination lens with a focus on the persons affected; and</w:t>
      </w:r>
    </w:p>
    <w:p w14:paraId="7B6027AD" w14:textId="3BA38510" w:rsidR="00917F5E" w:rsidRPr="003D7719" w:rsidRDefault="00917F5E" w:rsidP="00917F5E">
      <w:pPr>
        <w:pStyle w:val="BBodyText"/>
        <w:numPr>
          <w:ilvl w:val="0"/>
          <w:numId w:val="37"/>
        </w:numPr>
        <w:rPr>
          <w:bCs w:val="0"/>
          <w:lang w:eastAsia="en-GB"/>
        </w:rPr>
      </w:pPr>
      <w:r w:rsidRPr="003D7719">
        <w:rPr>
          <w:bCs w:val="0"/>
          <w:lang w:eastAsia="en-GB"/>
        </w:rPr>
        <w:t>Ensures that victims of hate crime whose applications for asylum were rejected are not deported before the final decision in any criminal proceedings.</w:t>
      </w:r>
      <w:r w:rsidRPr="003D7719">
        <w:rPr>
          <w:bCs w:val="0"/>
          <w:vertAlign w:val="superscript"/>
          <w:lang w:eastAsia="en-GB"/>
        </w:rPr>
        <w:footnoteReference w:id="118"/>
      </w:r>
      <w:r w:rsidRPr="003D7719">
        <w:rPr>
          <w:bCs w:val="0"/>
          <w:lang w:eastAsia="en-GB"/>
        </w:rPr>
        <w:t xml:space="preserve"> </w:t>
      </w:r>
    </w:p>
    <w:p w14:paraId="0B349048" w14:textId="77777777" w:rsidR="003D7719" w:rsidRPr="003D7719" w:rsidRDefault="003D7719" w:rsidP="003D7719">
      <w:pPr>
        <w:pStyle w:val="BBodyText"/>
        <w:rPr>
          <w:bCs w:val="0"/>
          <w:lang w:eastAsia="en-GB"/>
        </w:rPr>
      </w:pPr>
    </w:p>
    <w:p w14:paraId="319C7410" w14:textId="77777777" w:rsidR="00917F5E" w:rsidRPr="003D7719" w:rsidRDefault="00917F5E" w:rsidP="00B471EA">
      <w:pPr>
        <w:pStyle w:val="BNumberedHeading"/>
      </w:pPr>
      <w:bookmarkStart w:id="18" w:name="_Toc149154507"/>
      <w:r w:rsidRPr="003D7719">
        <w:t>Racist narratives in public discourse and inadequate state action</w:t>
      </w:r>
      <w:bookmarkEnd w:id="18"/>
      <w:r w:rsidRPr="003D7719">
        <w:t xml:space="preserve"> </w:t>
      </w:r>
    </w:p>
    <w:p w14:paraId="327C86C0" w14:textId="77777777" w:rsidR="00917F5E" w:rsidRPr="003D7719" w:rsidRDefault="00917F5E" w:rsidP="00917F5E">
      <w:pPr>
        <w:pStyle w:val="BBodyText"/>
        <w:rPr>
          <w:lang w:eastAsia="en-GB"/>
        </w:rPr>
      </w:pPr>
      <w:r w:rsidRPr="003D7719">
        <w:rPr>
          <w:lang w:eastAsia="en-GB"/>
        </w:rPr>
        <w:t xml:space="preserve">Situations of denials of racism, reinforcement of racist behaviours, and hostility against racialized people are commonplace. </w:t>
      </w:r>
    </w:p>
    <w:p w14:paraId="304AF12A" w14:textId="5400CF6C" w:rsidR="00917F5E" w:rsidRPr="003D7719" w:rsidRDefault="00917F5E" w:rsidP="00917F5E">
      <w:pPr>
        <w:pStyle w:val="BBodyText"/>
        <w:rPr>
          <w:lang w:eastAsia="en-GB"/>
        </w:rPr>
      </w:pPr>
      <w:r w:rsidRPr="003D7719">
        <w:rPr>
          <w:lang w:eastAsia="en-GB"/>
        </w:rPr>
        <w:t xml:space="preserve">Black people, people of African Descent and Afrodiasporic people are often, inaccurately, considered as refugees or migrants, as are people descending from Northern Africa and the Middle East, as Muslims. Racist stereotypes </w:t>
      </w:r>
      <w:r w:rsidR="00D83012" w:rsidRPr="003D7719">
        <w:rPr>
          <w:lang w:eastAsia="en-GB"/>
        </w:rPr>
        <w:t xml:space="preserve">- </w:t>
      </w:r>
      <w:r w:rsidRPr="003D7719">
        <w:rPr>
          <w:lang w:eastAsia="en-GB"/>
        </w:rPr>
        <w:t>such as a permanent inability to be part of German society due to supposedly different “culture” and/or religion</w:t>
      </w:r>
      <w:r w:rsidR="00D83012" w:rsidRPr="003D7719">
        <w:rPr>
          <w:lang w:eastAsia="en-GB"/>
        </w:rPr>
        <w:t xml:space="preserve"> -</w:t>
      </w:r>
      <w:r w:rsidRPr="003D7719">
        <w:rPr>
          <w:lang w:eastAsia="en-GB"/>
        </w:rPr>
        <w:t xml:space="preserve"> are commonly voiced in public discourse.</w:t>
      </w:r>
      <w:r w:rsidRPr="003D7719">
        <w:rPr>
          <w:vertAlign w:val="superscript"/>
          <w:lang w:eastAsia="en-GB"/>
        </w:rPr>
        <w:footnoteReference w:id="119"/>
      </w:r>
      <w:r w:rsidRPr="003D7719">
        <w:rPr>
          <w:lang w:eastAsia="en-GB"/>
        </w:rPr>
        <w:t xml:space="preserve"> In contrast, the application of the Temporary Protection Directive (TPD)</w:t>
      </w:r>
      <w:r w:rsidRPr="003D7719">
        <w:rPr>
          <w:vertAlign w:val="superscript"/>
          <w:lang w:eastAsia="en-GB"/>
        </w:rPr>
        <w:footnoteReference w:id="120"/>
      </w:r>
      <w:r w:rsidRPr="003D7719">
        <w:rPr>
          <w:lang w:eastAsia="en-GB"/>
        </w:rPr>
        <w:t xml:space="preserve"> towards Ukrainians in response to the Russian war of aggression was openly justified by the “cultural proximity” or the ability of Ukrainians to “integrate”.</w:t>
      </w:r>
      <w:r w:rsidRPr="003D7719">
        <w:rPr>
          <w:vertAlign w:val="superscript"/>
          <w:lang w:eastAsia="en-GB"/>
        </w:rPr>
        <w:footnoteReference w:id="121"/>
      </w:r>
      <w:r w:rsidRPr="003D7719">
        <w:rPr>
          <w:lang w:eastAsia="en-GB"/>
        </w:rPr>
        <w:t xml:space="preserve"> The same benefit was not given to Syrian and Afghan refugees and asylum seekers before. Thus, racialized groups are often characterized in discourse, as well as in legal and political decisions, as never belonging, regardless of their actual origin or nationality.</w:t>
      </w:r>
      <w:r w:rsidRPr="003D7719">
        <w:rPr>
          <w:vertAlign w:val="superscript"/>
          <w:lang w:eastAsia="en-GB"/>
        </w:rPr>
        <w:footnoteReference w:id="122"/>
      </w:r>
      <w:r w:rsidRPr="003D7719">
        <w:rPr>
          <w:lang w:eastAsia="en-GB"/>
        </w:rPr>
        <w:t xml:space="preserve"> </w:t>
      </w:r>
    </w:p>
    <w:p w14:paraId="51F76C6A" w14:textId="5FE061D2" w:rsidR="00917F5E" w:rsidRPr="003D7719" w:rsidRDefault="00917F5E" w:rsidP="00917F5E">
      <w:pPr>
        <w:pStyle w:val="BBodyText"/>
        <w:rPr>
          <w:lang w:eastAsia="en-GB"/>
        </w:rPr>
      </w:pPr>
      <w:r w:rsidRPr="003D7719">
        <w:rPr>
          <w:lang w:eastAsia="en-GB"/>
        </w:rPr>
        <w:t>The police and politicians also mention crimes allegedly perpetuated by racialized groups more often in the media,</w:t>
      </w:r>
      <w:r w:rsidRPr="003D7719">
        <w:rPr>
          <w:vertAlign w:val="superscript"/>
          <w:lang w:eastAsia="en-GB"/>
        </w:rPr>
        <w:footnoteReference w:id="123"/>
      </w:r>
      <w:r w:rsidRPr="003D7719">
        <w:rPr>
          <w:lang w:eastAsia="en-GB"/>
        </w:rPr>
        <w:t xml:space="preserve"> reproducing racist stereotypes and conflating criminality with race and ethnicity. Gender-specific racist speech is also voiced by politicians in the parliament</w:t>
      </w:r>
      <w:r w:rsidRPr="003D7719">
        <w:rPr>
          <w:vertAlign w:val="superscript"/>
          <w:lang w:eastAsia="en-GB"/>
        </w:rPr>
        <w:footnoteReference w:id="124"/>
      </w:r>
      <w:r w:rsidRPr="003D7719">
        <w:rPr>
          <w:lang w:eastAsia="en-GB"/>
        </w:rPr>
        <w:t xml:space="preserve"> and in media</w:t>
      </w:r>
      <w:r w:rsidR="00D83012" w:rsidRPr="003D7719">
        <w:rPr>
          <w:lang w:eastAsia="en-GB"/>
        </w:rPr>
        <w:t>.</w:t>
      </w:r>
      <w:r w:rsidRPr="003D7719">
        <w:rPr>
          <w:vertAlign w:val="superscript"/>
          <w:lang w:eastAsia="en-GB"/>
        </w:rPr>
        <w:footnoteReference w:id="125"/>
      </w:r>
      <w:r w:rsidRPr="003D7719">
        <w:rPr>
          <w:lang w:eastAsia="en-GB"/>
        </w:rPr>
        <w:t xml:space="preserve"> </w:t>
      </w:r>
    </w:p>
    <w:p w14:paraId="53D0F03A" w14:textId="77777777" w:rsidR="00917F5E" w:rsidRPr="003D7719" w:rsidRDefault="00917F5E" w:rsidP="00917F5E">
      <w:pPr>
        <w:pStyle w:val="BBodyText"/>
        <w:rPr>
          <w:lang w:eastAsia="en-GB"/>
        </w:rPr>
      </w:pPr>
      <w:r w:rsidRPr="003D7719">
        <w:rPr>
          <w:lang w:eastAsia="en-GB"/>
        </w:rPr>
        <w:t>For example, after incidents of sexual violence in a public space in Cologne on New Years Eve in 2015</w:t>
      </w:r>
      <w:r w:rsidRPr="003D7719">
        <w:rPr>
          <w:vertAlign w:val="superscript"/>
          <w:lang w:eastAsia="en-GB"/>
        </w:rPr>
        <w:footnoteReference w:id="126"/>
      </w:r>
      <w:r w:rsidRPr="003D7719">
        <w:rPr>
          <w:lang w:eastAsia="en-GB"/>
        </w:rPr>
        <w:t xml:space="preserve"> were made public, the nationality of the suspected perpetrators was discussed</w:t>
      </w:r>
      <w:r w:rsidRPr="003D7719">
        <w:rPr>
          <w:vertAlign w:val="superscript"/>
          <w:lang w:eastAsia="en-GB"/>
        </w:rPr>
        <w:footnoteReference w:id="127"/>
      </w:r>
      <w:r w:rsidRPr="003D7719">
        <w:rPr>
          <w:lang w:eastAsia="en-GB"/>
        </w:rPr>
        <w:t xml:space="preserve"> and restrictions on the right of asylum, and new deportation practices were introduced</w:t>
      </w:r>
      <w:r w:rsidRPr="003D7719">
        <w:rPr>
          <w:vertAlign w:val="superscript"/>
          <w:lang w:eastAsia="en-GB"/>
        </w:rPr>
        <w:footnoteReference w:id="128"/>
      </w:r>
      <w:r w:rsidRPr="003D7719">
        <w:rPr>
          <w:lang w:eastAsia="en-GB"/>
        </w:rPr>
        <w:t xml:space="preserve">. Demands for </w:t>
      </w:r>
      <w:r w:rsidRPr="003D7719">
        <w:rPr>
          <w:lang w:eastAsia="en-GB"/>
        </w:rPr>
        <w:lastRenderedPageBreak/>
        <w:t>tougher penal laws also often accompany the debate about racialized suspects.</w:t>
      </w:r>
      <w:r w:rsidRPr="003D7719">
        <w:rPr>
          <w:vertAlign w:val="superscript"/>
          <w:lang w:eastAsia="en-GB"/>
        </w:rPr>
        <w:footnoteReference w:id="129"/>
      </w:r>
      <w:r w:rsidRPr="003D7719">
        <w:rPr>
          <w:vertAlign w:val="superscript"/>
          <w:lang w:eastAsia="en-GB"/>
        </w:rPr>
        <w:t xml:space="preserve"> </w:t>
      </w:r>
      <w:r w:rsidRPr="003D7719">
        <w:rPr>
          <w:lang w:eastAsia="en-GB"/>
        </w:rPr>
        <w:t>Racist categories by the police such as “clan criminality”</w:t>
      </w:r>
      <w:r w:rsidRPr="003D7719">
        <w:rPr>
          <w:vertAlign w:val="superscript"/>
          <w:lang w:eastAsia="en-GB"/>
        </w:rPr>
        <w:footnoteReference w:id="130"/>
      </w:r>
      <w:r w:rsidRPr="003D7719">
        <w:rPr>
          <w:lang w:eastAsia="en-GB"/>
        </w:rPr>
        <w:t xml:space="preserve"> have found their way into public discourse</w:t>
      </w:r>
      <w:r w:rsidRPr="003D7719">
        <w:rPr>
          <w:vertAlign w:val="superscript"/>
          <w:lang w:eastAsia="en-GB"/>
        </w:rPr>
        <w:footnoteReference w:id="131"/>
      </w:r>
      <w:r w:rsidRPr="003D7719">
        <w:rPr>
          <w:lang w:eastAsia="en-GB"/>
        </w:rPr>
        <w:t xml:space="preserve"> which serve as arguments to extend the grounds for a “special interest in expulsion” for non-German nationals.</w:t>
      </w:r>
      <w:r w:rsidRPr="003D7719">
        <w:rPr>
          <w:vertAlign w:val="superscript"/>
          <w:lang w:eastAsia="en-GB"/>
        </w:rPr>
        <w:footnoteReference w:id="132"/>
      </w:r>
      <w:r w:rsidRPr="003D7719">
        <w:rPr>
          <w:lang w:eastAsia="en-GB"/>
        </w:rPr>
        <w:t xml:space="preserve"> Additionally, the attribution of a high propensity to violence to racialized people is used to justify restrictions of their human rights as the case of blanket bans on demonstrations illustrate. </w:t>
      </w:r>
    </w:p>
    <w:p w14:paraId="08378161" w14:textId="40CB4307" w:rsidR="00917F5E" w:rsidRPr="003D7719" w:rsidRDefault="00917F5E" w:rsidP="00917F5E">
      <w:pPr>
        <w:pStyle w:val="BBodyText"/>
        <w:rPr>
          <w:lang w:eastAsia="en-GB"/>
        </w:rPr>
      </w:pPr>
      <w:r w:rsidRPr="003D7719">
        <w:rPr>
          <w:lang w:eastAsia="en-GB"/>
        </w:rPr>
        <w:t xml:space="preserve">One glaring example of how such racist narratives manifest in institutions, in particular law enforcement, are the blanket bans issued in Berlin, in 2022 and 2023, on demonstrations commemorating the </w:t>
      </w:r>
      <w:proofErr w:type="spellStart"/>
      <w:r w:rsidRPr="003D7719">
        <w:rPr>
          <w:lang w:eastAsia="en-GB"/>
        </w:rPr>
        <w:t>Naqba</w:t>
      </w:r>
      <w:proofErr w:type="spellEnd"/>
      <w:r w:rsidRPr="003D7719">
        <w:rPr>
          <w:lang w:eastAsia="en-GB"/>
        </w:rPr>
        <w:t>. These were based on discriminatory and racist stereotypes of how participants would behave, namely “young Arab diaspora” would have a “clearly aggressive basic attitude”.</w:t>
      </w:r>
      <w:r w:rsidRPr="003D7719">
        <w:rPr>
          <w:vertAlign w:val="superscript"/>
          <w:lang w:eastAsia="en-GB"/>
        </w:rPr>
        <w:footnoteReference w:id="133"/>
      </w:r>
      <w:r w:rsidRPr="003D7719">
        <w:rPr>
          <w:lang w:eastAsia="en-GB"/>
        </w:rPr>
        <w:t xml:space="preserve"> </w:t>
      </w:r>
      <w:r w:rsidR="00D83012" w:rsidRPr="003D7719">
        <w:rPr>
          <w:lang w:eastAsia="en-GB"/>
        </w:rPr>
        <w:t xml:space="preserve">The bans ascribed </w:t>
      </w:r>
      <w:r w:rsidRPr="003D7719">
        <w:rPr>
          <w:lang w:eastAsia="en-GB"/>
        </w:rPr>
        <w:t>a “clearly aggressive general attitude and tendency towards violent acts”</w:t>
      </w:r>
      <w:r w:rsidR="00D83012" w:rsidRPr="003D7719">
        <w:rPr>
          <w:lang w:eastAsia="en-GB"/>
        </w:rPr>
        <w:t xml:space="preserve"> to this group.</w:t>
      </w:r>
      <w:r w:rsidRPr="003D7719">
        <w:rPr>
          <w:vertAlign w:val="superscript"/>
          <w:lang w:eastAsia="en-GB"/>
        </w:rPr>
        <w:footnoteReference w:id="134"/>
      </w:r>
      <w:r w:rsidRPr="003D7719">
        <w:rPr>
          <w:lang w:eastAsia="en-GB"/>
        </w:rPr>
        <w:t xml:space="preserve"> This stigmatizing labelling of people who are or are perceived to be Muslim or Arab</w:t>
      </w:r>
      <w:r w:rsidRPr="003D7719">
        <w:rPr>
          <w:vertAlign w:val="superscript"/>
          <w:lang w:eastAsia="en-GB"/>
        </w:rPr>
        <w:t xml:space="preserve"> </w:t>
      </w:r>
      <w:r w:rsidRPr="003D7719">
        <w:rPr>
          <w:lang w:eastAsia="en-GB"/>
        </w:rPr>
        <w:t>as prone to violence is exemplary of institutionalized racism</w:t>
      </w:r>
      <w:r w:rsidRPr="003D7719">
        <w:rPr>
          <w:vertAlign w:val="superscript"/>
          <w:lang w:eastAsia="en-GB"/>
        </w:rPr>
        <w:t xml:space="preserve"> </w:t>
      </w:r>
      <w:r w:rsidRPr="003D7719">
        <w:rPr>
          <w:lang w:eastAsia="en-GB"/>
        </w:rPr>
        <w:t>and exposes discriminatory stereotypes and anti-Arab racism intersecting with anti-Muslim racism against a whole demographic group.</w:t>
      </w:r>
      <w:r w:rsidRPr="003D7719">
        <w:rPr>
          <w:vertAlign w:val="superscript"/>
          <w:lang w:eastAsia="en-GB"/>
        </w:rPr>
        <w:footnoteReference w:id="135"/>
      </w:r>
    </w:p>
    <w:p w14:paraId="546B1DFC" w14:textId="1574409D" w:rsidR="00917F5E" w:rsidRPr="003D7719" w:rsidRDefault="00917F5E" w:rsidP="00917F5E">
      <w:pPr>
        <w:pStyle w:val="BBodyText"/>
        <w:rPr>
          <w:lang w:eastAsia="en-GB"/>
        </w:rPr>
      </w:pPr>
      <w:r w:rsidRPr="003D7719">
        <w:rPr>
          <w:lang w:eastAsia="en-GB"/>
        </w:rPr>
        <w:t>Incidents of hate speech were observed during electoral campaigns, such as the election to the federal parliament in 2021.</w:t>
      </w:r>
      <w:r w:rsidRPr="003D7719">
        <w:rPr>
          <w:vertAlign w:val="superscript"/>
          <w:lang w:eastAsia="en-GB"/>
        </w:rPr>
        <w:footnoteReference w:id="136"/>
      </w:r>
      <w:r w:rsidRPr="003D7719">
        <w:rPr>
          <w:lang w:eastAsia="en-GB"/>
        </w:rPr>
        <w:t xml:space="preserve"> While some speeches by public authorities are contrary to efforts of combating racism and fostering racial equity, other state officials speak up against racist narratives in public discourse. Regarding the upcoming elections various commissioners warned in a joint statement against group-based hate speech.</w:t>
      </w:r>
      <w:r w:rsidRPr="003D7719">
        <w:rPr>
          <w:vertAlign w:val="superscript"/>
          <w:lang w:eastAsia="en-GB"/>
        </w:rPr>
        <w:footnoteReference w:id="137"/>
      </w:r>
      <w:r w:rsidRPr="003D7719">
        <w:rPr>
          <w:lang w:eastAsia="en-GB"/>
        </w:rPr>
        <w:t xml:space="preserve"> </w:t>
      </w:r>
    </w:p>
    <w:p w14:paraId="27DF830E" w14:textId="77777777" w:rsidR="003D7719" w:rsidRPr="003D7719" w:rsidRDefault="003D7719" w:rsidP="00917F5E">
      <w:pPr>
        <w:pStyle w:val="BBodyText"/>
        <w:rPr>
          <w:lang w:eastAsia="en-GB"/>
        </w:rPr>
      </w:pPr>
    </w:p>
    <w:p w14:paraId="001E6C54" w14:textId="77777777" w:rsidR="00917F5E" w:rsidRPr="003D7719" w:rsidRDefault="00917F5E" w:rsidP="00B471EA">
      <w:pPr>
        <w:pStyle w:val="BNumberedSubheading"/>
      </w:pPr>
      <w:bookmarkStart w:id="19" w:name="_Toc149154508"/>
      <w:r w:rsidRPr="003D7719">
        <w:t>Recommendations</w:t>
      </w:r>
      <w:bookmarkEnd w:id="19"/>
    </w:p>
    <w:p w14:paraId="2A2E8FBC" w14:textId="77777777" w:rsidR="00917F5E" w:rsidRPr="003D7719" w:rsidRDefault="00917F5E" w:rsidP="00917F5E">
      <w:pPr>
        <w:pStyle w:val="BBodyText"/>
        <w:rPr>
          <w:bCs w:val="0"/>
          <w:lang w:eastAsia="en-GB"/>
        </w:rPr>
      </w:pPr>
      <w:r w:rsidRPr="003D7719">
        <w:rPr>
          <w:bCs w:val="0"/>
          <w:lang w:eastAsia="en-GB"/>
        </w:rPr>
        <w:t xml:space="preserve">Amnesty International recommends that Germany: </w:t>
      </w:r>
    </w:p>
    <w:p w14:paraId="3B8C1B7A" w14:textId="77777777" w:rsidR="00917F5E" w:rsidRPr="003D7719" w:rsidRDefault="00917F5E" w:rsidP="00917F5E">
      <w:pPr>
        <w:pStyle w:val="BBodyText"/>
        <w:numPr>
          <w:ilvl w:val="0"/>
          <w:numId w:val="38"/>
        </w:numPr>
        <w:rPr>
          <w:bCs w:val="0"/>
          <w:lang w:eastAsia="en-GB"/>
        </w:rPr>
      </w:pPr>
      <w:r w:rsidRPr="003D7719">
        <w:rPr>
          <w:bCs w:val="0"/>
          <w:lang w:eastAsia="en-GB"/>
        </w:rPr>
        <w:t xml:space="preserve">In line with the Committee’s previous recommendations, strongly condemns all racist statements by political leaders, public </w:t>
      </w:r>
      <w:proofErr w:type="gramStart"/>
      <w:r w:rsidRPr="003D7719">
        <w:rPr>
          <w:bCs w:val="0"/>
          <w:lang w:eastAsia="en-GB"/>
        </w:rPr>
        <w:t>authorities</w:t>
      </w:r>
      <w:proofErr w:type="gramEnd"/>
      <w:r w:rsidRPr="003D7719">
        <w:rPr>
          <w:bCs w:val="0"/>
          <w:lang w:eastAsia="en-GB"/>
        </w:rPr>
        <w:t xml:space="preserve"> and public figures, including through the institution of criminal proceedings where appropriate; provide statistical information on trends in instances of racist hate speech and violence, including Islamophobic trends, in its next periodic report in order to enable assessment of the impact of measures adopted by the State party in combating racist hate speech.</w:t>
      </w:r>
    </w:p>
    <w:p w14:paraId="6975AE0A" w14:textId="77777777" w:rsidR="00917F5E" w:rsidRPr="003D7719" w:rsidRDefault="00917F5E" w:rsidP="00B471EA">
      <w:pPr>
        <w:pStyle w:val="BNumberedHeading"/>
      </w:pPr>
      <w:bookmarkStart w:id="20" w:name="_Toc149154509"/>
      <w:r w:rsidRPr="003D7719">
        <w:lastRenderedPageBreak/>
        <w:t>Right to truth, justice and reparations</w:t>
      </w:r>
      <w:bookmarkEnd w:id="20"/>
      <w:r w:rsidRPr="003D7719">
        <w:t xml:space="preserve"> </w:t>
      </w:r>
    </w:p>
    <w:p w14:paraId="62A2A9EB" w14:textId="77777777" w:rsidR="00917F5E" w:rsidRPr="003D7719" w:rsidRDefault="00917F5E" w:rsidP="00917F5E">
      <w:pPr>
        <w:pStyle w:val="BBodyText"/>
        <w:rPr>
          <w:lang w:eastAsia="en-GB"/>
        </w:rPr>
      </w:pPr>
      <w:r w:rsidRPr="003D7719">
        <w:rPr>
          <w:lang w:eastAsia="en-GB"/>
        </w:rPr>
        <w:t>As emphasized by the Special Rapporteur on Contemporary Forms of Racism, Racial Discrimination, Xenophobia and related intolerance, the formal abolition of slavery and colonialism has not dismantled the structures of racial inequalities and subordination built by this practice. Contemporary structures and forms of racial discrimination, inequality and subordination are among the most salient legacies of slavery and colonialism.</w:t>
      </w:r>
      <w:r w:rsidRPr="003D7719">
        <w:rPr>
          <w:vertAlign w:val="superscript"/>
          <w:lang w:eastAsia="en-GB"/>
        </w:rPr>
        <w:footnoteReference w:id="138"/>
      </w:r>
      <w:r w:rsidRPr="003D7719">
        <w:rPr>
          <w:lang w:eastAsia="en-GB"/>
        </w:rPr>
        <w:t xml:space="preserve"> As acknowledged by the UN Secretary General, “any measures that aim at dismantling systemic racism and the racially discriminatory effects of structures of inequality and subordination resulting from enslavement and colonialism can contribute to advancing reparatory justice.”</w:t>
      </w:r>
      <w:r w:rsidRPr="003D7719">
        <w:rPr>
          <w:vertAlign w:val="superscript"/>
          <w:lang w:eastAsia="en-GB"/>
        </w:rPr>
        <w:footnoteReference w:id="139"/>
      </w:r>
      <w:r w:rsidRPr="003D7719">
        <w:rPr>
          <w:lang w:eastAsia="en-GB"/>
        </w:rPr>
        <w:t xml:space="preserve"> Guarantees of non-repetition are a form of reparation, which requires the prevention of future racial injustice and harm by dismantling the contemporary structures of racial inequality and subordination built by slavery and colonialism.</w:t>
      </w:r>
    </w:p>
    <w:p w14:paraId="42C28B48" w14:textId="77777777" w:rsidR="00917F5E" w:rsidRPr="003D7719" w:rsidRDefault="00917F5E" w:rsidP="00917F5E">
      <w:pPr>
        <w:pStyle w:val="BBodyText"/>
        <w:rPr>
          <w:lang w:eastAsia="en-GB"/>
        </w:rPr>
      </w:pPr>
      <w:proofErr w:type="gramStart"/>
      <w:r w:rsidRPr="003D7719">
        <w:rPr>
          <w:lang w:eastAsia="en-GB"/>
        </w:rPr>
        <w:t>With regard to</w:t>
      </w:r>
      <w:proofErr w:type="gramEnd"/>
      <w:r w:rsidRPr="003D7719">
        <w:rPr>
          <w:lang w:eastAsia="en-GB"/>
        </w:rPr>
        <w:t xml:space="preserve"> the atrocities committed by Germany on the African content in their former colonies, the Working Group on People of African Descent on its country visit to Germany highlighted that “Ovaherero and Nama peoples were the primary victims of the 1904-1908 genocide in South-West Africa (now Namibia) by the German colonial authorities. Various historical accounts estimate that over 65,000 Ovaherero and 10,000 Nama were killed by the German authorities, including thousands who died of starvation and thirst after being driven into the desert without food or water.”</w:t>
      </w:r>
      <w:r w:rsidRPr="003D7719">
        <w:rPr>
          <w:vertAlign w:val="superscript"/>
          <w:lang w:eastAsia="en-GB"/>
        </w:rPr>
        <w:footnoteReference w:id="140"/>
      </w:r>
      <w:r w:rsidRPr="003D7719">
        <w:rPr>
          <w:lang w:eastAsia="en-GB"/>
        </w:rPr>
        <w:t xml:space="preserve"> Additionally, Ovaherero and Nama women and girls were subjected to sexual violence including rape. The report of the Working Group stated that “[m]any Ovaherero and Nama who survived the initial slaughter of their people died in the notorious concentration camps; they were decapitated, and their skulls were then sent to Germany at the request of medical researchers to help prove the racial superiority of white people over black people.”</w:t>
      </w:r>
      <w:r w:rsidRPr="003D7719">
        <w:rPr>
          <w:vertAlign w:val="superscript"/>
          <w:lang w:eastAsia="en-GB"/>
        </w:rPr>
        <w:footnoteReference w:id="141"/>
      </w:r>
    </w:p>
    <w:p w14:paraId="362E18BD" w14:textId="77777777" w:rsidR="00917F5E" w:rsidRPr="003D7719" w:rsidRDefault="00917F5E" w:rsidP="00917F5E">
      <w:pPr>
        <w:pStyle w:val="BBodyText"/>
        <w:rPr>
          <w:vertAlign w:val="superscript"/>
          <w:lang w:eastAsia="en-GB"/>
        </w:rPr>
      </w:pPr>
      <w:r w:rsidRPr="003D7719">
        <w:rPr>
          <w:lang w:eastAsia="en-GB"/>
        </w:rPr>
        <w:t>In her Report A/74/321 from 2019,</w:t>
      </w:r>
      <w:r w:rsidRPr="003D7719">
        <w:rPr>
          <w:vertAlign w:val="superscript"/>
          <w:lang w:eastAsia="en-GB"/>
        </w:rPr>
        <w:footnoteReference w:id="142"/>
      </w:r>
      <w:r w:rsidRPr="003D7719">
        <w:rPr>
          <w:lang w:eastAsia="en-GB"/>
        </w:rPr>
        <w:t xml:space="preserve"> the former Special Rapporteur on Contemporary Forms of Racism, Racial Discrimination, Xenophobia and Racial Intolerance criticized resistance by former colonial powers to reparations: “Germany has acknowledged that it has a moral and historical responsibility to Namibia. (...) Although Germany now refers to the Ovaherero massacre as a genocide, it reportedly does so in a non-legal sense and refuses to acknowledge a legal obligation for the massacre.” After six years of negotiations, the German and Namibian Governments issued a joint declaration in June 2021, in which the German Government acknowledges that “the abominable atrocities committed during periods of the colonial war culminated in events that, from today’s perspective, would be called genocide”.</w:t>
      </w:r>
      <w:r w:rsidRPr="003D7719">
        <w:rPr>
          <w:vertAlign w:val="superscript"/>
          <w:lang w:eastAsia="en-GB"/>
        </w:rPr>
        <w:footnoteReference w:id="143"/>
      </w:r>
      <w:r w:rsidRPr="003D7719">
        <w:rPr>
          <w:lang w:eastAsia="en-GB"/>
        </w:rPr>
        <w:t xml:space="preserve"> While the German government agreed to pay the Namibian government approximately €1.1bn over a period of 3 years for “reconstruction and development” the German government has declined legal claims for compensation.</w:t>
      </w:r>
      <w:r w:rsidRPr="003D7719">
        <w:rPr>
          <w:vertAlign w:val="superscript"/>
          <w:lang w:eastAsia="en-GB"/>
        </w:rPr>
        <w:footnoteReference w:id="144"/>
      </w:r>
      <w:r w:rsidRPr="003D7719">
        <w:rPr>
          <w:lang w:eastAsia="en-GB"/>
        </w:rPr>
        <w:t xml:space="preserve"> Development aid is not a substitute for reparatory justice and accountability. As the Special Rapporteurs have highlighted, it risks “perpetuating rather than rectifying, colonial dynamics where the former colonial power sets the conditions for the provision of assistance to the former colony”.</w:t>
      </w:r>
      <w:r w:rsidRPr="003D7719">
        <w:rPr>
          <w:vertAlign w:val="superscript"/>
          <w:lang w:eastAsia="en-GB"/>
        </w:rPr>
        <w:footnoteReference w:id="145"/>
      </w:r>
    </w:p>
    <w:p w14:paraId="0FBF5197" w14:textId="77777777" w:rsidR="00917F5E" w:rsidRPr="003D7719" w:rsidRDefault="00917F5E" w:rsidP="00917F5E">
      <w:pPr>
        <w:pStyle w:val="BBodyText"/>
        <w:rPr>
          <w:lang w:eastAsia="en-GB"/>
        </w:rPr>
      </w:pPr>
      <w:r w:rsidRPr="003D7719">
        <w:rPr>
          <w:lang w:eastAsia="en-GB"/>
        </w:rPr>
        <w:t>Recalling the legal status of the Ovaherero and Nama peoples and their representatives as Indigenous peoples under international and national law, seven Special Rapporteurs</w:t>
      </w:r>
      <w:r w:rsidRPr="003D7719">
        <w:rPr>
          <w:vertAlign w:val="superscript"/>
          <w:lang w:eastAsia="en-GB"/>
        </w:rPr>
        <w:t xml:space="preserve"> </w:t>
      </w:r>
      <w:r w:rsidRPr="003D7719">
        <w:rPr>
          <w:lang w:eastAsia="en-GB"/>
        </w:rPr>
        <w:t xml:space="preserve">expressed “grave concern” in February 2023 over the “alleged lack of their meaningful participation in the negotiations leading to the issuance of the Joint Declaration, as well as the lack of effective reparative measures afforded to </w:t>
      </w:r>
      <w:r w:rsidRPr="003D7719">
        <w:rPr>
          <w:lang w:eastAsia="en-GB"/>
        </w:rPr>
        <w:lastRenderedPageBreak/>
        <w:t>them, including an unqualified recognition of the genocide committed against these communities in the former German Southwest Africa colony between 1904 and 1908.”</w:t>
      </w:r>
      <w:r w:rsidRPr="003D7719">
        <w:rPr>
          <w:vertAlign w:val="superscript"/>
          <w:lang w:eastAsia="en-GB"/>
        </w:rPr>
        <w:footnoteReference w:id="146"/>
      </w:r>
      <w:r w:rsidRPr="003D7719">
        <w:rPr>
          <w:lang w:eastAsia="en-GB"/>
        </w:rPr>
        <w:t xml:space="preserve"> Among further concerns, they also pointed towards the insufficient memorialization about the genocide in Germany. Neither the genocide against the Ovaherero and Nama peoples nor Germany’s active participation in colonialism more generally is part of the German collective memory, public </w:t>
      </w:r>
      <w:proofErr w:type="gramStart"/>
      <w:r w:rsidRPr="003D7719">
        <w:rPr>
          <w:lang w:eastAsia="en-GB"/>
        </w:rPr>
        <w:t>discourse</w:t>
      </w:r>
      <w:proofErr w:type="gramEnd"/>
      <w:r w:rsidRPr="003D7719">
        <w:rPr>
          <w:lang w:eastAsia="en-GB"/>
        </w:rPr>
        <w:t xml:space="preserve"> or school education.</w:t>
      </w:r>
      <w:r w:rsidRPr="003D7719">
        <w:rPr>
          <w:vertAlign w:val="superscript"/>
          <w:lang w:eastAsia="en-GB"/>
        </w:rPr>
        <w:footnoteReference w:id="147"/>
      </w:r>
      <w:r w:rsidRPr="003D7719">
        <w:rPr>
          <w:lang w:eastAsia="en-GB"/>
        </w:rPr>
        <w:t xml:space="preserve"> As a German representative in Cameroon put it in 2022, (Cameroon was under German colonial rule between 1884 and 1919): “In Germany, we either played down or ignored the colonial period for far too long. As a society, as a government, </w:t>
      </w:r>
      <w:proofErr w:type="gramStart"/>
      <w:r w:rsidRPr="003D7719">
        <w:rPr>
          <w:lang w:eastAsia="en-GB"/>
        </w:rPr>
        <w:t>and also</w:t>
      </w:r>
      <w:proofErr w:type="gramEnd"/>
      <w:r w:rsidRPr="003D7719">
        <w:rPr>
          <w:lang w:eastAsia="en-GB"/>
        </w:rPr>
        <w:t xml:space="preserve"> as the Federal Foreign Office.”</w:t>
      </w:r>
      <w:r w:rsidRPr="003D7719">
        <w:rPr>
          <w:vertAlign w:val="superscript"/>
          <w:lang w:eastAsia="en-GB"/>
        </w:rPr>
        <w:footnoteReference w:id="148"/>
      </w:r>
      <w:r w:rsidRPr="003D7719">
        <w:rPr>
          <w:vertAlign w:val="superscript"/>
          <w:lang w:eastAsia="en-GB"/>
        </w:rPr>
        <w:t xml:space="preserve"> </w:t>
      </w:r>
      <w:r w:rsidRPr="003D7719">
        <w:rPr>
          <w:lang w:eastAsia="en-GB"/>
        </w:rPr>
        <w:t>This also applies to other former German colonies. Therefore, a comprehensive approach to reparative justice is needed.</w:t>
      </w:r>
    </w:p>
    <w:p w14:paraId="3F7EF628" w14:textId="4B35AF46" w:rsidR="00917F5E" w:rsidRPr="003D7719" w:rsidRDefault="00917F5E" w:rsidP="00917F5E">
      <w:pPr>
        <w:pStyle w:val="BBodyText"/>
        <w:rPr>
          <w:lang w:eastAsia="en-GB"/>
        </w:rPr>
      </w:pPr>
      <w:r w:rsidRPr="003D7719">
        <w:rPr>
          <w:lang w:eastAsia="en-GB"/>
        </w:rPr>
        <w:t>Another more recent example is the injustice suffered by Mozambican contract workers in the former Democratic Republic of Germany (GDR) who allege being denied their full wages even 33 years after the end of the GDR and reunification of Germany. After many years of survivors drawing attention to their exploitation and suffering, compensation was discussed in the Human Rights Committee of the federal parliament for the first time in April 2023.</w:t>
      </w:r>
      <w:r w:rsidRPr="003D7719">
        <w:rPr>
          <w:vertAlign w:val="superscript"/>
          <w:lang w:eastAsia="en-GB"/>
        </w:rPr>
        <w:footnoteReference w:id="149"/>
      </w:r>
      <w:r w:rsidRPr="003D7719">
        <w:rPr>
          <w:lang w:eastAsia="en-GB"/>
        </w:rPr>
        <w:t xml:space="preserve"> According to the Ombudswoman for victims of the former Democratic Republic of Germany (GDR) at the parliament, Evelyn </w:t>
      </w:r>
      <w:proofErr w:type="spellStart"/>
      <w:r w:rsidRPr="003D7719">
        <w:rPr>
          <w:lang w:eastAsia="en-GB"/>
        </w:rPr>
        <w:t>Zupke</w:t>
      </w:r>
      <w:proofErr w:type="spellEnd"/>
      <w:r w:rsidRPr="003D7719">
        <w:rPr>
          <w:lang w:eastAsia="en-GB"/>
        </w:rPr>
        <w:t xml:space="preserve">, many of the approximately 17,000 women and men who had worked in the GDR between 1979 and 1989 in lignite or copper mining, in agriculture or in the textile industry, among other things, were still waiting for promised benefits and recognition. The contract workers, who came to East Germany on the basis of a state treaty between the GDR and the People's Republic of Mozambique signed in 1979, were promised they would be undertaking training, but in fact they were required to perform mainly physically strenuous work, </w:t>
      </w:r>
      <w:proofErr w:type="spellStart"/>
      <w:r w:rsidRPr="003D7719">
        <w:rPr>
          <w:lang w:eastAsia="en-GB"/>
        </w:rPr>
        <w:t>Zupke</w:t>
      </w:r>
      <w:proofErr w:type="spellEnd"/>
      <w:r w:rsidRPr="003D7719">
        <w:rPr>
          <w:lang w:eastAsia="en-GB"/>
        </w:rPr>
        <w:t xml:space="preserve"> said.</w:t>
      </w:r>
      <w:r w:rsidRPr="003D7719">
        <w:rPr>
          <w:vertAlign w:val="superscript"/>
          <w:lang w:eastAsia="en-GB"/>
        </w:rPr>
        <w:footnoteReference w:id="150"/>
      </w:r>
      <w:r w:rsidRPr="003D7719">
        <w:rPr>
          <w:lang w:eastAsia="en-GB"/>
        </w:rPr>
        <w:t xml:space="preserve"> In addition, they only received part of their wages: to pay off Mozambique's debts, the GDR withheld at least 25 per cent and in some cases up to 60 per cent of their wages above a base amount of 350 GDR marks. The workers were assured that they would be paid this remaining amount after their return to Mozambique. However, the SED victims' ombudswoman stressed that this had not happened. Pension claims were also unresolved. The ombudswoman emphasized </w:t>
      </w:r>
      <w:r w:rsidR="00A219E1" w:rsidRPr="003D7719">
        <w:rPr>
          <w:lang w:eastAsia="en-GB"/>
        </w:rPr>
        <w:t>the</w:t>
      </w:r>
      <w:r w:rsidRPr="003D7719">
        <w:rPr>
          <w:lang w:eastAsia="en-GB"/>
        </w:rPr>
        <w:t xml:space="preserve"> </w:t>
      </w:r>
      <w:r w:rsidR="00A219E1" w:rsidRPr="003D7719">
        <w:rPr>
          <w:lang w:eastAsia="en-GB"/>
        </w:rPr>
        <w:t>“</w:t>
      </w:r>
      <w:r w:rsidRPr="003D7719">
        <w:rPr>
          <w:lang w:eastAsia="en-GB"/>
        </w:rPr>
        <w:t>historical responsibility</w:t>
      </w:r>
      <w:r w:rsidR="00A219E1" w:rsidRPr="003D7719">
        <w:rPr>
          <w:lang w:eastAsia="en-GB"/>
        </w:rPr>
        <w:t xml:space="preserve"> of Germany”</w:t>
      </w:r>
      <w:r w:rsidRPr="003D7719">
        <w:rPr>
          <w:lang w:eastAsia="en-GB"/>
        </w:rPr>
        <w:t>.</w:t>
      </w:r>
      <w:r w:rsidR="0034709B" w:rsidRPr="003D7719">
        <w:rPr>
          <w:rStyle w:val="FootnoteReference"/>
          <w:lang w:eastAsia="en-GB"/>
        </w:rPr>
        <w:footnoteReference w:id="151"/>
      </w:r>
      <w:r w:rsidRPr="003D7719">
        <w:rPr>
          <w:lang w:eastAsia="en-GB"/>
        </w:rPr>
        <w:t xml:space="preserve"> Despite payments already made by the then Federal Government, the goal of providing sufficient support for the contract workers had not been achieved. </w:t>
      </w:r>
      <w:r w:rsidR="000A24AA" w:rsidRPr="003D7719">
        <w:rPr>
          <w:lang w:eastAsia="en-GB"/>
        </w:rPr>
        <w:t>She noted that t</w:t>
      </w:r>
      <w:r w:rsidRPr="003D7719">
        <w:rPr>
          <w:lang w:eastAsia="en-GB"/>
        </w:rPr>
        <w:t xml:space="preserve">hey had been exploited and wronged in Germany and </w:t>
      </w:r>
      <w:proofErr w:type="gramStart"/>
      <w:r w:rsidRPr="003D7719">
        <w:rPr>
          <w:lang w:eastAsia="en-GB"/>
        </w:rPr>
        <w:t>the majority of</w:t>
      </w:r>
      <w:proofErr w:type="gramEnd"/>
      <w:r w:rsidRPr="003D7719">
        <w:rPr>
          <w:lang w:eastAsia="en-GB"/>
        </w:rPr>
        <w:t xml:space="preserve"> them currently live </w:t>
      </w:r>
      <w:r w:rsidR="00A219E1" w:rsidRPr="003D7719">
        <w:rPr>
          <w:lang w:eastAsia="en-GB"/>
        </w:rPr>
        <w:t>“</w:t>
      </w:r>
      <w:r w:rsidRPr="003D7719">
        <w:rPr>
          <w:lang w:eastAsia="en-GB"/>
        </w:rPr>
        <w:t>in precarious conditions</w:t>
      </w:r>
      <w:r w:rsidR="00A219E1" w:rsidRPr="003D7719">
        <w:rPr>
          <w:lang w:eastAsia="en-GB"/>
        </w:rPr>
        <w:t>”</w:t>
      </w:r>
      <w:r w:rsidR="0034709B" w:rsidRPr="003D7719">
        <w:rPr>
          <w:rStyle w:val="FootnoteReference"/>
          <w:lang w:eastAsia="en-GB"/>
        </w:rPr>
        <w:footnoteReference w:id="152"/>
      </w:r>
      <w:r w:rsidRPr="003D7719">
        <w:rPr>
          <w:lang w:eastAsia="en-GB"/>
        </w:rPr>
        <w:t>. She said it was important to send a signal to those affected that they were not “second-class victims”.</w:t>
      </w:r>
      <w:r w:rsidRPr="003D7719">
        <w:rPr>
          <w:vertAlign w:val="superscript"/>
          <w:lang w:eastAsia="en-GB"/>
        </w:rPr>
        <w:footnoteReference w:id="153"/>
      </w:r>
      <w:r w:rsidRPr="003D7719">
        <w:rPr>
          <w:lang w:eastAsia="en-GB"/>
        </w:rPr>
        <w:t xml:space="preserve"> The hearing in the Human Rights Committee of the parliament needs to be followed by further state action and, where appropriate, effective remedies for the harm suffered by former contract workers.</w:t>
      </w:r>
    </w:p>
    <w:p w14:paraId="6591F0B6" w14:textId="77777777" w:rsidR="003D7719" w:rsidRPr="003D7719" w:rsidRDefault="003D7719" w:rsidP="00917F5E">
      <w:pPr>
        <w:pStyle w:val="BBodyText"/>
        <w:rPr>
          <w:lang w:eastAsia="en-GB"/>
        </w:rPr>
      </w:pPr>
    </w:p>
    <w:p w14:paraId="5C25B9A2" w14:textId="77777777" w:rsidR="00917F5E" w:rsidRPr="003D7719" w:rsidRDefault="00917F5E" w:rsidP="00B471EA">
      <w:pPr>
        <w:pStyle w:val="BNumberedSubheading"/>
      </w:pPr>
      <w:bookmarkStart w:id="21" w:name="_Toc149154510"/>
      <w:r w:rsidRPr="003D7719">
        <w:t>Recommendations</w:t>
      </w:r>
      <w:bookmarkEnd w:id="21"/>
      <w:r w:rsidRPr="003D7719">
        <w:t xml:space="preserve"> </w:t>
      </w:r>
    </w:p>
    <w:p w14:paraId="2E4F5BD6" w14:textId="77777777" w:rsidR="00917F5E" w:rsidRPr="003D7719" w:rsidRDefault="00917F5E" w:rsidP="00917F5E">
      <w:pPr>
        <w:pStyle w:val="BBodyText"/>
        <w:rPr>
          <w:bCs w:val="0"/>
          <w:lang w:eastAsia="en-GB"/>
        </w:rPr>
      </w:pPr>
      <w:r w:rsidRPr="003D7719">
        <w:rPr>
          <w:bCs w:val="0"/>
          <w:lang w:eastAsia="en-GB"/>
        </w:rPr>
        <w:t xml:space="preserve">Amnesty International recommends that Germany: </w:t>
      </w:r>
    </w:p>
    <w:p w14:paraId="7AFF6CE1" w14:textId="77777777" w:rsidR="00917F5E" w:rsidRPr="003D7719" w:rsidRDefault="00917F5E" w:rsidP="00917F5E">
      <w:pPr>
        <w:pStyle w:val="BBodyText"/>
        <w:numPr>
          <w:ilvl w:val="0"/>
          <w:numId w:val="45"/>
        </w:numPr>
        <w:rPr>
          <w:bCs w:val="0"/>
          <w:lang w:eastAsia="en-GB"/>
        </w:rPr>
      </w:pPr>
      <w:r w:rsidRPr="003D7719">
        <w:rPr>
          <w:bCs w:val="0"/>
          <w:lang w:eastAsia="en-GB"/>
        </w:rPr>
        <w:t xml:space="preserve">As recommended by the Working Group on People of African Descent, formally recognizes, without qualification, its role in the history of colonization, enslavement, exploitation and genocide of African people, and should make reparation to provide remedy for and to address the continued impact of those </w:t>
      </w:r>
      <w:proofErr w:type="gramStart"/>
      <w:r w:rsidRPr="003D7719">
        <w:rPr>
          <w:bCs w:val="0"/>
          <w:lang w:eastAsia="en-GB"/>
        </w:rPr>
        <w:t>acts;</w:t>
      </w:r>
      <w:proofErr w:type="gramEnd"/>
      <w:r w:rsidRPr="003D7719">
        <w:rPr>
          <w:bCs w:val="0"/>
          <w:lang w:eastAsia="en-GB"/>
        </w:rPr>
        <w:t xml:space="preserve"> </w:t>
      </w:r>
    </w:p>
    <w:p w14:paraId="3400E0AF" w14:textId="29DE444D" w:rsidR="00917F5E" w:rsidRPr="003D7719" w:rsidRDefault="00917F5E" w:rsidP="00917F5E">
      <w:pPr>
        <w:pStyle w:val="BBodyText"/>
        <w:numPr>
          <w:ilvl w:val="0"/>
          <w:numId w:val="45"/>
        </w:numPr>
        <w:rPr>
          <w:bCs w:val="0"/>
          <w:lang w:eastAsia="en-GB"/>
        </w:rPr>
      </w:pPr>
      <w:proofErr w:type="gramStart"/>
      <w:r w:rsidRPr="003D7719">
        <w:rPr>
          <w:bCs w:val="0"/>
          <w:lang w:eastAsia="en-GB"/>
        </w:rPr>
        <w:lastRenderedPageBreak/>
        <w:t>With regard to</w:t>
      </w:r>
      <w:proofErr w:type="gramEnd"/>
      <w:r w:rsidRPr="003D7719">
        <w:rPr>
          <w:bCs w:val="0"/>
          <w:lang w:eastAsia="en-GB"/>
        </w:rPr>
        <w:t xml:space="preserve"> all former German colonies, adopts a comprehensive approach to reparatory justice that accounts for not only historical individual and group wrongs, but also the persisting structures of racial inequality, discrimination and subordination that have slavery and colonialism as their root causes as recommended by the Special rapporteur on Contemporary Forms of Racism, Racial discrimination, Xenophobia and Racial intolerance</w:t>
      </w:r>
      <w:r w:rsidR="000659FC" w:rsidRPr="003D7719">
        <w:rPr>
          <w:bCs w:val="0"/>
          <w:lang w:eastAsia="en-GB"/>
        </w:rPr>
        <w:t>.</w:t>
      </w:r>
      <w:r w:rsidRPr="003D7719">
        <w:rPr>
          <w:bCs w:val="0"/>
          <w:vertAlign w:val="superscript"/>
          <w:lang w:eastAsia="en-GB"/>
        </w:rPr>
        <w:footnoteReference w:id="154"/>
      </w:r>
      <w:r w:rsidR="000659FC" w:rsidRPr="003D7719">
        <w:rPr>
          <w:bCs w:val="0"/>
          <w:lang w:eastAsia="en-GB"/>
        </w:rPr>
        <w:t xml:space="preserve"> </w:t>
      </w:r>
    </w:p>
    <w:p w14:paraId="20B8779D" w14:textId="3C56C88A" w:rsidR="00917F5E" w:rsidRPr="003D7719" w:rsidRDefault="00917F5E" w:rsidP="00917F5E">
      <w:pPr>
        <w:pStyle w:val="BBodyText"/>
        <w:numPr>
          <w:ilvl w:val="0"/>
          <w:numId w:val="45"/>
        </w:numPr>
        <w:rPr>
          <w:bCs w:val="0"/>
          <w:lang w:eastAsia="en-GB"/>
        </w:rPr>
      </w:pPr>
      <w:r w:rsidRPr="003D7719">
        <w:rPr>
          <w:bCs w:val="0"/>
          <w:lang w:eastAsia="en-GB"/>
        </w:rPr>
        <w:t>Guarantees meaningful participation by affected individuals, communities and their descendants in any reparation process or mechanism for past human rights wrongs</w:t>
      </w:r>
      <w:r w:rsidR="007E29FD">
        <w:rPr>
          <w:bCs w:val="0"/>
          <w:lang w:eastAsia="en-GB"/>
        </w:rPr>
        <w:t xml:space="preserve"> </w:t>
      </w:r>
      <w:r w:rsidR="007E29FD" w:rsidRPr="007E29FD">
        <w:rPr>
          <w:lang w:eastAsia="en-GB"/>
        </w:rPr>
        <w:t>in a manner which does not replicate colonial dynamics</w:t>
      </w:r>
      <w:r w:rsidRPr="003D7719">
        <w:rPr>
          <w:bCs w:val="0"/>
          <w:lang w:eastAsia="en-GB"/>
        </w:rPr>
        <w:t xml:space="preserve">. With regard to the genocide committed against the Indigenous peoples in the former German Southwest Africa colony between 1904 and 1908, Germany should guarantee the participation of the Ovaherero and Nama peoples in discussions and negotiations regarding the determination of any </w:t>
      </w:r>
      <w:proofErr w:type="gramStart"/>
      <w:r w:rsidRPr="003D7719">
        <w:rPr>
          <w:bCs w:val="0"/>
          <w:lang w:eastAsia="en-GB"/>
        </w:rPr>
        <w:t>reparations</w:t>
      </w:r>
      <w:proofErr w:type="gramEnd"/>
      <w:r w:rsidRPr="003D7719">
        <w:rPr>
          <w:bCs w:val="0"/>
          <w:lang w:eastAsia="en-GB"/>
        </w:rPr>
        <w:t xml:space="preserve"> measures; and  </w:t>
      </w:r>
    </w:p>
    <w:p w14:paraId="5FD173F0" w14:textId="77777777" w:rsidR="00917F5E" w:rsidRPr="003D7719" w:rsidRDefault="00917F5E" w:rsidP="00917F5E">
      <w:pPr>
        <w:pStyle w:val="BBodyText"/>
        <w:numPr>
          <w:ilvl w:val="0"/>
          <w:numId w:val="47"/>
        </w:numPr>
        <w:rPr>
          <w:bCs w:val="0"/>
          <w:lang w:eastAsia="en-GB"/>
        </w:rPr>
      </w:pPr>
      <w:r w:rsidRPr="003D7719">
        <w:rPr>
          <w:bCs w:val="0"/>
          <w:lang w:eastAsia="en-GB"/>
        </w:rPr>
        <w:t xml:space="preserve">Conducts independent, </w:t>
      </w:r>
      <w:proofErr w:type="gramStart"/>
      <w:r w:rsidRPr="003D7719">
        <w:rPr>
          <w:bCs w:val="0"/>
          <w:lang w:eastAsia="en-GB"/>
        </w:rPr>
        <w:t>impartial</w:t>
      </w:r>
      <w:proofErr w:type="gramEnd"/>
      <w:r w:rsidRPr="003D7719">
        <w:rPr>
          <w:bCs w:val="0"/>
          <w:lang w:eastAsia="en-GB"/>
        </w:rPr>
        <w:t xml:space="preserve"> and effective investigation(s) to determine (</w:t>
      </w:r>
      <w:proofErr w:type="spellStart"/>
      <w:r w:rsidRPr="003D7719">
        <w:rPr>
          <w:bCs w:val="0"/>
          <w:lang w:eastAsia="en-GB"/>
        </w:rPr>
        <w:t>i</w:t>
      </w:r>
      <w:proofErr w:type="spellEnd"/>
      <w:r w:rsidRPr="003D7719">
        <w:rPr>
          <w:bCs w:val="0"/>
          <w:lang w:eastAsia="en-GB"/>
        </w:rPr>
        <w:t xml:space="preserve">) whether the rights of any Mozambican contract workers were violated; (ii) the responsibility of the authorities in any such violations; and (iii) where appropriate, to provide effective remedies for those whose rights were violated, including but not limited to an official apology and compensation. </w:t>
      </w:r>
    </w:p>
    <w:p w14:paraId="6501D806" w14:textId="77777777" w:rsidR="00917F5E" w:rsidRPr="003D7719" w:rsidRDefault="00917F5E" w:rsidP="00B471EA">
      <w:pPr>
        <w:pStyle w:val="BNumberedHeading"/>
      </w:pPr>
      <w:bookmarkStart w:id="22" w:name="_Toc149154511"/>
      <w:r w:rsidRPr="003D7719">
        <w:t>Refugees and Migrants - Restrictions of Movement and Access to Social Protection</w:t>
      </w:r>
      <w:bookmarkEnd w:id="22"/>
    </w:p>
    <w:p w14:paraId="12C94AE8" w14:textId="642B2723" w:rsidR="00917F5E" w:rsidRPr="003D7719" w:rsidRDefault="00917F5E" w:rsidP="00917F5E">
      <w:pPr>
        <w:pStyle w:val="BBodyText"/>
        <w:rPr>
          <w:lang w:eastAsia="en-GB"/>
        </w:rPr>
      </w:pPr>
      <w:r w:rsidRPr="003D7719">
        <w:rPr>
          <w:lang w:eastAsia="en-GB"/>
        </w:rPr>
        <w:t>Under German law, asylum seekers are obliged to live in an initial reception facility for up to 18 months. In some cases, they may have to do so for the full duration of the asylum procedure  (</w:t>
      </w:r>
      <w:r w:rsidR="0034709B" w:rsidRPr="003D7719">
        <w:rPr>
          <w:lang w:eastAsia="en-GB"/>
        </w:rPr>
        <w:t>“</w:t>
      </w:r>
      <w:proofErr w:type="spellStart"/>
      <w:r w:rsidRPr="003D7719">
        <w:rPr>
          <w:lang w:eastAsia="en-GB"/>
        </w:rPr>
        <w:t>Wohnpflicht</w:t>
      </w:r>
      <w:proofErr w:type="spellEnd"/>
      <w:r w:rsidRPr="003D7719">
        <w:rPr>
          <w:lang w:eastAsia="en-GB"/>
        </w:rPr>
        <w:t>“).</w:t>
      </w:r>
      <w:r w:rsidRPr="003D7719">
        <w:rPr>
          <w:vertAlign w:val="superscript"/>
          <w:lang w:val="de-DE" w:eastAsia="en-GB"/>
        </w:rPr>
        <w:footnoteReference w:id="155"/>
      </w:r>
      <w:r w:rsidRPr="003D7719">
        <w:rPr>
          <w:lang w:eastAsia="en-GB"/>
        </w:rPr>
        <w:t xml:space="preserve"> They are also subject to limits on leaving specific districts unless an official permit is granted (“</w:t>
      </w:r>
      <w:proofErr w:type="spellStart"/>
      <w:r w:rsidRPr="003D7719">
        <w:rPr>
          <w:lang w:eastAsia="en-GB"/>
        </w:rPr>
        <w:t>Residenzpflicht</w:t>
      </w:r>
      <w:proofErr w:type="spellEnd"/>
      <w:r w:rsidRPr="003D7719">
        <w:rPr>
          <w:lang w:eastAsia="en-GB"/>
        </w:rPr>
        <w:t>”).</w:t>
      </w:r>
      <w:r w:rsidRPr="003D7719">
        <w:rPr>
          <w:vertAlign w:val="superscript"/>
          <w:lang w:val="de-DE" w:eastAsia="en-GB"/>
        </w:rPr>
        <w:footnoteReference w:id="156"/>
      </w:r>
      <w:r w:rsidRPr="003D7719">
        <w:rPr>
          <w:lang w:eastAsia="en-GB"/>
        </w:rPr>
        <w:t xml:space="preserve"> These provisions highly restrict the freedom of movement and impede individuals from finding jobs, language classes, recreational activities or visiting friends and family.</w:t>
      </w:r>
      <w:r w:rsidRPr="003D7719">
        <w:rPr>
          <w:vertAlign w:val="superscript"/>
          <w:lang w:eastAsia="en-GB"/>
        </w:rPr>
        <w:footnoteReference w:id="157"/>
      </w:r>
      <w:r w:rsidRPr="003D7719">
        <w:rPr>
          <w:lang w:eastAsia="en-GB"/>
        </w:rPr>
        <w:t xml:space="preserve"> Amnesty International has previously stated that these restrictions are discriminatory as well as disproportionate.</w:t>
      </w:r>
      <w:r w:rsidRPr="003D7719">
        <w:rPr>
          <w:vertAlign w:val="superscript"/>
          <w:lang w:val="de-DE" w:eastAsia="en-GB"/>
        </w:rPr>
        <w:footnoteReference w:id="158"/>
      </w:r>
    </w:p>
    <w:p w14:paraId="4F4B545D" w14:textId="2467931B" w:rsidR="00917F5E" w:rsidRPr="003D7719" w:rsidRDefault="00917F5E" w:rsidP="00917F5E">
      <w:pPr>
        <w:pStyle w:val="BBodyText"/>
        <w:rPr>
          <w:lang w:eastAsia="en-GB"/>
        </w:rPr>
      </w:pPr>
      <w:r w:rsidRPr="003D7719">
        <w:rPr>
          <w:lang w:eastAsia="en-GB"/>
        </w:rPr>
        <w:t xml:space="preserve">The Asylum Benefits Act provides both cash and non-cash benefits with respect to housing, food, clothing, hygiene, health care and personal needs. However, </w:t>
      </w:r>
      <w:r w:rsidR="00910C10" w:rsidRPr="003D7719">
        <w:rPr>
          <w:lang w:eastAsia="en-GB"/>
        </w:rPr>
        <w:t xml:space="preserve">reporting by </w:t>
      </w:r>
      <w:r w:rsidR="00070213" w:rsidRPr="003D7719">
        <w:rPr>
          <w:lang w:eastAsia="en-GB"/>
        </w:rPr>
        <w:t>the scientific institution Robert Koch Institute</w:t>
      </w:r>
      <w:r w:rsidR="0034709B" w:rsidRPr="003D7719">
        <w:rPr>
          <w:lang w:eastAsia="en-GB"/>
        </w:rPr>
        <w:t xml:space="preserve"> </w:t>
      </w:r>
      <w:r w:rsidR="00910C10" w:rsidRPr="003D7719">
        <w:rPr>
          <w:lang w:eastAsia="en-GB"/>
        </w:rPr>
        <w:t xml:space="preserve">indicates that despite </w:t>
      </w:r>
      <w:r w:rsidRPr="003D7719">
        <w:rPr>
          <w:lang w:eastAsia="en-GB"/>
        </w:rPr>
        <w:t>health care benefits</w:t>
      </w:r>
      <w:r w:rsidR="00910C10" w:rsidRPr="003D7719">
        <w:rPr>
          <w:lang w:eastAsia="en-GB"/>
        </w:rPr>
        <w:t>, access to health care is</w:t>
      </w:r>
      <w:r w:rsidRPr="003D7719">
        <w:rPr>
          <w:lang w:eastAsia="en-GB"/>
        </w:rPr>
        <w:t xml:space="preserve"> often both delayed and/or insufficient assistance.</w:t>
      </w:r>
      <w:r w:rsidRPr="003D7719">
        <w:rPr>
          <w:vertAlign w:val="superscript"/>
          <w:lang w:eastAsia="en-GB"/>
        </w:rPr>
        <w:footnoteReference w:id="159"/>
      </w:r>
      <w:r w:rsidRPr="003D7719">
        <w:rPr>
          <w:lang w:eastAsia="en-GB"/>
        </w:rPr>
        <w:t xml:space="preserve"> </w:t>
      </w:r>
      <w:r w:rsidR="00491A95" w:rsidRPr="003D7719">
        <w:rPr>
          <w:lang w:eastAsia="en-GB"/>
        </w:rPr>
        <w:t>Furthermore, their report also noted that in-</w:t>
      </w:r>
      <w:r w:rsidRPr="003D7719">
        <w:rPr>
          <w:lang w:eastAsia="en-GB"/>
        </w:rPr>
        <w:t xml:space="preserve">kind benefits are often not adequate </w:t>
      </w:r>
      <w:r w:rsidR="00491A95" w:rsidRPr="003D7719">
        <w:rPr>
          <w:lang w:eastAsia="en-GB"/>
        </w:rPr>
        <w:t xml:space="preserve">for </w:t>
      </w:r>
      <w:r w:rsidRPr="003D7719">
        <w:rPr>
          <w:lang w:eastAsia="en-GB"/>
        </w:rPr>
        <w:t>what is needed for a life in dignity.</w:t>
      </w:r>
      <w:r w:rsidRPr="003D7719">
        <w:rPr>
          <w:vertAlign w:val="superscript"/>
          <w:lang w:eastAsia="en-GB"/>
        </w:rPr>
        <w:footnoteReference w:id="160"/>
      </w:r>
      <w:r w:rsidRPr="003D7719">
        <w:rPr>
          <w:lang w:eastAsia="en-GB"/>
        </w:rPr>
        <w:t xml:space="preserve"> </w:t>
      </w:r>
    </w:p>
    <w:p w14:paraId="17F04276" w14:textId="224B33BD" w:rsidR="00917F5E" w:rsidRPr="003D7719" w:rsidRDefault="00917F5E" w:rsidP="00917F5E">
      <w:pPr>
        <w:pStyle w:val="BBodyText"/>
        <w:rPr>
          <w:lang w:eastAsia="en-GB"/>
        </w:rPr>
      </w:pPr>
      <w:r w:rsidRPr="003D7719">
        <w:rPr>
          <w:lang w:eastAsia="en-GB"/>
        </w:rPr>
        <w:t>In 2012, the German Constitutional Court ruled that benefits provided under the Asylum Seekers Benefits Act are insufficient to lead a life in dignity.</w:t>
      </w:r>
      <w:r w:rsidRPr="003D7719">
        <w:rPr>
          <w:vertAlign w:val="superscript"/>
          <w:lang w:val="de-DE" w:eastAsia="en-GB"/>
        </w:rPr>
        <w:footnoteReference w:id="161"/>
      </w:r>
      <w:r w:rsidRPr="003D7719">
        <w:rPr>
          <w:lang w:eastAsia="en-GB"/>
        </w:rPr>
        <w:t xml:space="preserve"> It declared </w:t>
      </w:r>
      <w:proofErr w:type="gramStart"/>
      <w:r w:rsidR="00491A95" w:rsidRPr="003D7719">
        <w:rPr>
          <w:lang w:eastAsia="en-GB"/>
        </w:rPr>
        <w:t xml:space="preserve">particular </w:t>
      </w:r>
      <w:r w:rsidRPr="003D7719">
        <w:rPr>
          <w:lang w:eastAsia="en-GB"/>
        </w:rPr>
        <w:t>provisions</w:t>
      </w:r>
      <w:proofErr w:type="gramEnd"/>
      <w:r w:rsidRPr="003D7719">
        <w:rPr>
          <w:lang w:eastAsia="en-GB"/>
        </w:rPr>
        <w:t xml:space="preserve"> unconstitutional, </w:t>
      </w:r>
      <w:r w:rsidR="00491A95" w:rsidRPr="003D7719">
        <w:rPr>
          <w:lang w:eastAsia="en-GB"/>
        </w:rPr>
        <w:t xml:space="preserve">as they </w:t>
      </w:r>
      <w:r w:rsidRPr="003D7719">
        <w:rPr>
          <w:lang w:eastAsia="en-GB"/>
        </w:rPr>
        <w:t>contradict</w:t>
      </w:r>
      <w:r w:rsidR="00491A95" w:rsidRPr="003D7719">
        <w:rPr>
          <w:lang w:eastAsia="en-GB"/>
        </w:rPr>
        <w:t>ed</w:t>
      </w:r>
      <w:r w:rsidRPr="003D7719">
        <w:rPr>
          <w:lang w:eastAsia="en-GB"/>
        </w:rPr>
        <w:t xml:space="preserve"> the principle of equality, </w:t>
      </w:r>
      <w:r w:rsidR="00491A95" w:rsidRPr="003D7719">
        <w:rPr>
          <w:lang w:eastAsia="en-GB"/>
        </w:rPr>
        <w:t xml:space="preserve">and </w:t>
      </w:r>
      <w:r w:rsidRPr="003D7719">
        <w:rPr>
          <w:lang w:eastAsia="en-GB"/>
        </w:rPr>
        <w:t xml:space="preserve">the welfare state principle </w:t>
      </w:r>
      <w:r w:rsidR="00491A95" w:rsidRPr="003D7719">
        <w:rPr>
          <w:lang w:eastAsia="en-GB"/>
        </w:rPr>
        <w:t xml:space="preserve">of </w:t>
      </w:r>
      <w:r w:rsidRPr="003D7719">
        <w:rPr>
          <w:lang w:eastAsia="en-GB"/>
        </w:rPr>
        <w:t>a life in dignity (“</w:t>
      </w:r>
      <w:proofErr w:type="spellStart"/>
      <w:r w:rsidRPr="003D7719">
        <w:rPr>
          <w:lang w:eastAsia="en-GB"/>
        </w:rPr>
        <w:t>Sozialstaatsgebot</w:t>
      </w:r>
      <w:proofErr w:type="spellEnd"/>
      <w:r w:rsidRPr="003D7719">
        <w:rPr>
          <w:lang w:eastAsia="en-GB"/>
        </w:rPr>
        <w:t>”, Art</w:t>
      </w:r>
      <w:r w:rsidR="00652E46" w:rsidRPr="003D7719">
        <w:rPr>
          <w:lang w:eastAsia="en-GB"/>
        </w:rPr>
        <w:t>s</w:t>
      </w:r>
      <w:r w:rsidRPr="003D7719">
        <w:rPr>
          <w:lang w:eastAsia="en-GB"/>
        </w:rPr>
        <w:t xml:space="preserve">. </w:t>
      </w:r>
      <w:r w:rsidR="00652E46" w:rsidRPr="003D7719">
        <w:rPr>
          <w:lang w:eastAsia="en-GB"/>
        </w:rPr>
        <w:t>1 and 20,</w:t>
      </w:r>
      <w:r w:rsidRPr="003D7719">
        <w:rPr>
          <w:lang w:eastAsia="en-GB"/>
        </w:rPr>
        <w:t xml:space="preserve"> </w:t>
      </w:r>
      <w:r w:rsidR="00454EAC" w:rsidRPr="003D7719">
        <w:rPr>
          <w:lang w:eastAsia="en-GB"/>
        </w:rPr>
        <w:t>Basic Law</w:t>
      </w:r>
      <w:r w:rsidRPr="003D7719">
        <w:rPr>
          <w:lang w:eastAsia="en-GB"/>
        </w:rPr>
        <w:t xml:space="preserve">). Amnesty International fears that the benefits </w:t>
      </w:r>
      <w:r w:rsidR="00491A95" w:rsidRPr="003D7719">
        <w:rPr>
          <w:lang w:eastAsia="en-GB"/>
        </w:rPr>
        <w:t xml:space="preserve">are not adequate to protect </w:t>
      </w:r>
      <w:r w:rsidRPr="003D7719">
        <w:rPr>
          <w:lang w:eastAsia="en-GB"/>
        </w:rPr>
        <w:t xml:space="preserve">the right to health and physical integrity (Art. 2 </w:t>
      </w:r>
      <w:r w:rsidR="00652E46" w:rsidRPr="003D7719">
        <w:rPr>
          <w:lang w:eastAsia="en-GB"/>
        </w:rPr>
        <w:t>Subsection</w:t>
      </w:r>
      <w:r w:rsidRPr="003D7719">
        <w:rPr>
          <w:lang w:eastAsia="en-GB"/>
        </w:rPr>
        <w:t xml:space="preserve"> 2</w:t>
      </w:r>
      <w:r w:rsidR="00652E46" w:rsidRPr="003D7719">
        <w:rPr>
          <w:lang w:eastAsia="en-GB"/>
        </w:rPr>
        <w:t>,</w:t>
      </w:r>
      <w:r w:rsidRPr="003D7719">
        <w:rPr>
          <w:lang w:eastAsia="en-GB"/>
        </w:rPr>
        <w:t xml:space="preserve"> </w:t>
      </w:r>
      <w:r w:rsidR="00454EAC" w:rsidRPr="003D7719">
        <w:rPr>
          <w:lang w:eastAsia="en-GB"/>
        </w:rPr>
        <w:lastRenderedPageBreak/>
        <w:t>Basic Law</w:t>
      </w:r>
      <w:r w:rsidRPr="003D7719">
        <w:rPr>
          <w:lang w:eastAsia="en-GB"/>
        </w:rPr>
        <w:t xml:space="preserve">), </w:t>
      </w:r>
      <w:r w:rsidR="00491A95" w:rsidRPr="003D7719">
        <w:rPr>
          <w:lang w:eastAsia="en-GB"/>
        </w:rPr>
        <w:t xml:space="preserve">and the rights in </w:t>
      </w:r>
      <w:r w:rsidRPr="003D7719">
        <w:rPr>
          <w:lang w:eastAsia="en-GB"/>
        </w:rPr>
        <w:t>the UN Convention on the Rights of the Child and the ICESCR.</w:t>
      </w:r>
      <w:r w:rsidRPr="003D7719">
        <w:rPr>
          <w:vertAlign w:val="superscript"/>
          <w:lang w:val="de-DE" w:eastAsia="en-GB"/>
        </w:rPr>
        <w:footnoteReference w:id="162"/>
      </w:r>
      <w:r w:rsidRPr="003D7719">
        <w:rPr>
          <w:lang w:eastAsia="en-GB"/>
        </w:rPr>
        <w:t xml:space="preserve"> In the following years, the Asylum Benefits Act was amended on various occasions with the latest amendments being implemented in June 2022. In November 2022, the Constitutional Court again declared specific provisions of the Asylum Benefit Act as unconstitutional and insufficient to enable individuals to lead a life in dignity.</w:t>
      </w:r>
      <w:r w:rsidRPr="003D7719">
        <w:rPr>
          <w:vertAlign w:val="superscript"/>
          <w:lang w:val="de-DE" w:eastAsia="en-GB"/>
        </w:rPr>
        <w:footnoteReference w:id="163"/>
      </w:r>
      <w:r w:rsidRPr="003D7719">
        <w:rPr>
          <w:lang w:eastAsia="en-GB"/>
        </w:rPr>
        <w:t xml:space="preserve"> </w:t>
      </w:r>
    </w:p>
    <w:p w14:paraId="5EDEADE9" w14:textId="77777777" w:rsidR="003D7719" w:rsidRPr="003D7719" w:rsidRDefault="003D7719" w:rsidP="00917F5E">
      <w:pPr>
        <w:pStyle w:val="BBodyText"/>
        <w:rPr>
          <w:lang w:eastAsia="en-GB"/>
        </w:rPr>
      </w:pPr>
    </w:p>
    <w:p w14:paraId="77327810" w14:textId="77777777" w:rsidR="00917F5E" w:rsidRPr="003D7719" w:rsidRDefault="00917F5E" w:rsidP="00B471EA">
      <w:pPr>
        <w:pStyle w:val="BNumberedSubheading"/>
      </w:pPr>
      <w:bookmarkStart w:id="23" w:name="_Toc149154512"/>
      <w:r w:rsidRPr="003D7719">
        <w:t>Recommendations</w:t>
      </w:r>
      <w:bookmarkEnd w:id="23"/>
      <w:r w:rsidRPr="003D7719">
        <w:t xml:space="preserve"> </w:t>
      </w:r>
    </w:p>
    <w:p w14:paraId="6634FDCA" w14:textId="77777777" w:rsidR="00917F5E" w:rsidRPr="003D7719" w:rsidRDefault="00917F5E" w:rsidP="00917F5E">
      <w:pPr>
        <w:pStyle w:val="BBodyText"/>
        <w:rPr>
          <w:bCs w:val="0"/>
          <w:lang w:eastAsia="en-GB"/>
        </w:rPr>
      </w:pPr>
      <w:r w:rsidRPr="003D7719">
        <w:rPr>
          <w:bCs w:val="0"/>
          <w:lang w:eastAsia="en-GB"/>
        </w:rPr>
        <w:t xml:space="preserve">Amnesty International recommends that Germany: </w:t>
      </w:r>
    </w:p>
    <w:p w14:paraId="19F91184" w14:textId="189CB9C2" w:rsidR="00917F5E" w:rsidRPr="003D7719" w:rsidRDefault="00652E46" w:rsidP="00917F5E">
      <w:pPr>
        <w:pStyle w:val="BBodyText"/>
        <w:numPr>
          <w:ilvl w:val="0"/>
          <w:numId w:val="49"/>
        </w:numPr>
        <w:rPr>
          <w:bCs w:val="0"/>
          <w:lang w:eastAsia="en-GB"/>
        </w:rPr>
      </w:pPr>
      <w:r w:rsidRPr="003D7719">
        <w:rPr>
          <w:bCs w:val="0"/>
          <w:lang w:eastAsia="en-GB"/>
        </w:rPr>
        <w:t>Ensures access</w:t>
      </w:r>
      <w:r w:rsidR="00917F5E" w:rsidRPr="003D7719">
        <w:rPr>
          <w:bCs w:val="0"/>
          <w:lang w:eastAsia="en-GB"/>
        </w:rPr>
        <w:t xml:space="preserve"> to </w:t>
      </w:r>
      <w:r w:rsidR="00917F5E" w:rsidRPr="003D7719">
        <w:rPr>
          <w:bCs w:val="0"/>
          <w:i/>
          <w:iCs/>
          <w:lang w:eastAsia="en-GB"/>
        </w:rPr>
        <w:t>adequate</w:t>
      </w:r>
      <w:r w:rsidR="00917F5E" w:rsidRPr="003D7719">
        <w:rPr>
          <w:bCs w:val="0"/>
          <w:lang w:eastAsia="en-GB"/>
        </w:rPr>
        <w:t xml:space="preserve"> social protection for all, irrespective of migration status; and</w:t>
      </w:r>
    </w:p>
    <w:p w14:paraId="0321B459" w14:textId="19E64F5C" w:rsidR="00917F5E" w:rsidRPr="003D7719" w:rsidRDefault="00917F5E" w:rsidP="00917F5E">
      <w:pPr>
        <w:pStyle w:val="BBodyText"/>
        <w:numPr>
          <w:ilvl w:val="0"/>
          <w:numId w:val="49"/>
        </w:numPr>
        <w:rPr>
          <w:bCs w:val="0"/>
          <w:lang w:eastAsia="en-GB"/>
        </w:rPr>
      </w:pPr>
      <w:r w:rsidRPr="003D7719">
        <w:rPr>
          <w:bCs w:val="0"/>
          <w:lang w:eastAsia="en-GB"/>
        </w:rPr>
        <w:t xml:space="preserve">Respects the freedom of movement of people in asylum </w:t>
      </w:r>
      <w:r w:rsidR="00652E46" w:rsidRPr="003D7719">
        <w:rPr>
          <w:bCs w:val="0"/>
          <w:lang w:eastAsia="en-GB"/>
        </w:rPr>
        <w:t>procedures within</w:t>
      </w:r>
      <w:r w:rsidRPr="003D7719">
        <w:rPr>
          <w:bCs w:val="0"/>
          <w:lang w:eastAsia="en-GB"/>
        </w:rPr>
        <w:t xml:space="preserve"> the German territory, and refrain from subordinating individuals to the obligation to live in a determined reception </w:t>
      </w:r>
      <w:proofErr w:type="spellStart"/>
      <w:r w:rsidRPr="003D7719">
        <w:rPr>
          <w:bCs w:val="0"/>
          <w:lang w:eastAsia="en-GB"/>
        </w:rPr>
        <w:t>center</w:t>
      </w:r>
      <w:proofErr w:type="spellEnd"/>
      <w:r w:rsidRPr="003D7719">
        <w:rPr>
          <w:bCs w:val="0"/>
          <w:lang w:eastAsia="en-GB"/>
        </w:rPr>
        <w:t xml:space="preserve"> </w:t>
      </w:r>
      <w:proofErr w:type="gramStart"/>
      <w:r w:rsidRPr="003D7719">
        <w:rPr>
          <w:bCs w:val="0"/>
          <w:lang w:eastAsia="en-GB"/>
        </w:rPr>
        <w:t>(</w:t>
      </w:r>
      <w:r w:rsidR="0034709B" w:rsidRPr="003D7719">
        <w:rPr>
          <w:bCs w:val="0"/>
          <w:lang w:eastAsia="en-GB"/>
        </w:rPr>
        <w:t>”</w:t>
      </w:r>
      <w:proofErr w:type="spellStart"/>
      <w:r w:rsidRPr="003D7719">
        <w:rPr>
          <w:bCs w:val="0"/>
          <w:lang w:eastAsia="en-GB"/>
        </w:rPr>
        <w:t>Wohnsitzauflage</w:t>
      </w:r>
      <w:proofErr w:type="spellEnd"/>
      <w:proofErr w:type="gramEnd"/>
      <w:r w:rsidRPr="003D7719">
        <w:rPr>
          <w:bCs w:val="0"/>
          <w:lang w:eastAsia="en-GB"/>
        </w:rPr>
        <w:t>“) and within geographical limitations (</w:t>
      </w:r>
      <w:r w:rsidR="0034709B" w:rsidRPr="003D7719">
        <w:rPr>
          <w:bCs w:val="0"/>
          <w:lang w:eastAsia="en-GB"/>
        </w:rPr>
        <w:t>“</w:t>
      </w:r>
      <w:proofErr w:type="spellStart"/>
      <w:r w:rsidRPr="003D7719">
        <w:rPr>
          <w:bCs w:val="0"/>
          <w:lang w:eastAsia="en-GB"/>
        </w:rPr>
        <w:t>Residenzpflicht</w:t>
      </w:r>
      <w:proofErr w:type="spellEnd"/>
      <w:r w:rsidRPr="003D7719">
        <w:rPr>
          <w:bCs w:val="0"/>
          <w:lang w:eastAsia="en-GB"/>
        </w:rPr>
        <w:t>“) for long periods of time.</w:t>
      </w:r>
    </w:p>
    <w:p w14:paraId="3F106112" w14:textId="1B605167" w:rsidR="00917F5E" w:rsidRPr="003D7719" w:rsidRDefault="00917F5E" w:rsidP="00B471EA">
      <w:pPr>
        <w:pStyle w:val="BNumberedHeading"/>
      </w:pPr>
      <w:bookmarkStart w:id="24" w:name="_Toc149154513"/>
      <w:r w:rsidRPr="003D7719">
        <w:t>Intersectional discrimination exemplified by headscarf ban</w:t>
      </w:r>
      <w:bookmarkEnd w:id="24"/>
    </w:p>
    <w:p w14:paraId="7268C5DB" w14:textId="184F8D3E" w:rsidR="00917F5E" w:rsidRPr="003D7719" w:rsidRDefault="00917F5E" w:rsidP="00917F5E">
      <w:pPr>
        <w:pStyle w:val="BBodyText"/>
        <w:rPr>
          <w:lang w:eastAsia="en-GB"/>
        </w:rPr>
      </w:pPr>
      <w:r w:rsidRPr="003D7719">
        <w:rPr>
          <w:lang w:eastAsia="en-GB"/>
        </w:rPr>
        <w:t>The German Federal Constitutional Court decided in 2015 that a general headscarf ban is not compatible with the Constitution.</w:t>
      </w:r>
      <w:r w:rsidRPr="003D7719">
        <w:rPr>
          <w:vertAlign w:val="superscript"/>
          <w:lang w:eastAsia="en-GB"/>
        </w:rPr>
        <w:footnoteReference w:id="164"/>
      </w:r>
      <w:r w:rsidRPr="003D7719">
        <w:rPr>
          <w:lang w:eastAsia="en-GB"/>
        </w:rPr>
        <w:t xml:space="preserve"> A blanket prohibition of </w:t>
      </w:r>
      <w:r w:rsidRPr="003D7719">
        <w:rPr>
          <w:i/>
          <w:iCs/>
          <w:lang w:eastAsia="en-GB"/>
        </w:rPr>
        <w:t>hijabs</w:t>
      </w:r>
      <w:r w:rsidRPr="003D7719">
        <w:rPr>
          <w:lang w:eastAsia="en-GB"/>
        </w:rPr>
        <w:t xml:space="preserve"> would constitute an intersectional form of gender-based discrimination against headscarf-wearing Muslim women.</w:t>
      </w:r>
      <w:r w:rsidRPr="003D7719">
        <w:rPr>
          <w:vertAlign w:val="superscript"/>
          <w:lang w:eastAsia="en-GB"/>
        </w:rPr>
        <w:footnoteReference w:id="165"/>
      </w:r>
      <w:r w:rsidRPr="003D7719">
        <w:rPr>
          <w:lang w:eastAsia="en-GB"/>
        </w:rPr>
        <w:t xml:space="preserve"> However, some governments of the federal states have laws in place which prohibit teachers in public schools from wearing religious symbols and clothing, mostly based on the reasoning that religious clothing could constitute a “threat to the neutrality of the state as perceived by students and parents, and risk school peace”.</w:t>
      </w:r>
      <w:r w:rsidR="00BE4363" w:rsidRPr="003D7719">
        <w:rPr>
          <w:rStyle w:val="FootnoteReference"/>
          <w:lang w:eastAsia="en-GB"/>
        </w:rPr>
        <w:footnoteReference w:id="166"/>
      </w:r>
      <w:r w:rsidRPr="003D7719">
        <w:rPr>
          <w:lang w:eastAsia="en-GB"/>
        </w:rPr>
        <w:t xml:space="preserve"> Some federal states also have enshrined a “privilege for Christian Western values”.</w:t>
      </w:r>
      <w:r w:rsidRPr="003D7719">
        <w:rPr>
          <w:vertAlign w:val="superscript"/>
          <w:lang w:eastAsia="en-GB"/>
        </w:rPr>
        <w:footnoteReference w:id="167"/>
      </w:r>
      <w:r w:rsidRPr="003D7719">
        <w:rPr>
          <w:lang w:eastAsia="en-GB"/>
        </w:rPr>
        <w:t xml:space="preserve"> This, taken together with the parliamentary debates on the draft laws and the corresponding commentaries</w:t>
      </w:r>
      <w:r w:rsidRPr="003D7719">
        <w:rPr>
          <w:vertAlign w:val="superscript"/>
          <w:lang w:eastAsia="en-GB"/>
        </w:rPr>
        <w:footnoteReference w:id="168"/>
      </w:r>
      <w:r w:rsidRPr="003D7719">
        <w:rPr>
          <w:lang w:eastAsia="en-GB"/>
        </w:rPr>
        <w:t>, make it clear that the main objective of the prohibition is the headscarf worn by Muslim women and girls.</w:t>
      </w:r>
      <w:r w:rsidRPr="003D7719">
        <w:rPr>
          <w:vertAlign w:val="superscript"/>
          <w:lang w:eastAsia="en-GB"/>
        </w:rPr>
        <w:footnoteReference w:id="169"/>
      </w:r>
      <w:r w:rsidRPr="003D7719">
        <w:rPr>
          <w:lang w:eastAsia="en-GB"/>
        </w:rPr>
        <w:t xml:space="preserve"> In Hessen, this prohibition applies to all the employees of the state service.</w:t>
      </w:r>
      <w:r w:rsidRPr="003D7719">
        <w:rPr>
          <w:vertAlign w:val="superscript"/>
          <w:lang w:eastAsia="en-GB"/>
        </w:rPr>
        <w:footnoteReference w:id="170"/>
      </w:r>
      <w:r w:rsidRPr="003D7719">
        <w:rPr>
          <w:lang w:eastAsia="en-GB"/>
        </w:rPr>
        <w:t xml:space="preserve"> In Berlin, the Berlin State Education Act/Neutrality Act is still in place. It prohibits the wearing of all religious clothing and symbols </w:t>
      </w:r>
      <w:r w:rsidR="00F46113" w:rsidRPr="003D7719">
        <w:rPr>
          <w:lang w:eastAsia="en-GB"/>
        </w:rPr>
        <w:t xml:space="preserve">for people working </w:t>
      </w:r>
      <w:r w:rsidRPr="003D7719">
        <w:rPr>
          <w:lang w:eastAsia="en-GB"/>
        </w:rPr>
        <w:t xml:space="preserve">in the </w:t>
      </w:r>
      <w:r w:rsidR="00F46113" w:rsidRPr="003D7719">
        <w:rPr>
          <w:lang w:eastAsia="en-GB"/>
        </w:rPr>
        <w:t xml:space="preserve">public </w:t>
      </w:r>
      <w:r w:rsidRPr="003D7719">
        <w:rPr>
          <w:lang w:eastAsia="en-GB"/>
        </w:rPr>
        <w:t xml:space="preserve">education sector </w:t>
      </w:r>
      <w:proofErr w:type="gramStart"/>
      <w:r w:rsidRPr="003D7719">
        <w:rPr>
          <w:lang w:eastAsia="en-GB"/>
        </w:rPr>
        <w:t>and also</w:t>
      </w:r>
      <w:proofErr w:type="gramEnd"/>
      <w:r w:rsidRPr="003D7719">
        <w:rPr>
          <w:lang w:eastAsia="en-GB"/>
        </w:rPr>
        <w:t xml:space="preserve"> prevents judges and public prosecutors, police officers and judicial staff from wearing religious symbols while doing their jobs.</w:t>
      </w:r>
      <w:r w:rsidRPr="003D7719">
        <w:rPr>
          <w:vertAlign w:val="superscript"/>
          <w:lang w:eastAsia="en-GB"/>
        </w:rPr>
        <w:footnoteReference w:id="171"/>
      </w:r>
      <w:r w:rsidRPr="003D7719">
        <w:rPr>
          <w:lang w:eastAsia="en-GB"/>
        </w:rPr>
        <w:t xml:space="preserve"> </w:t>
      </w:r>
    </w:p>
    <w:p w14:paraId="6FAB4E9E" w14:textId="77777777" w:rsidR="00917F5E" w:rsidRPr="003D7719" w:rsidRDefault="00917F5E" w:rsidP="00917F5E">
      <w:pPr>
        <w:pStyle w:val="BBodyText"/>
        <w:rPr>
          <w:lang w:eastAsia="en-GB"/>
        </w:rPr>
      </w:pPr>
      <w:r w:rsidRPr="003D7719">
        <w:rPr>
          <w:lang w:eastAsia="en-GB"/>
        </w:rPr>
        <w:lastRenderedPageBreak/>
        <w:t>A ruling of the Federal Labour Court in August 2020 awarded a Muslim woman who was not accepted into the school service because of her headscarf a compensation of around 5,159 Euro ruling that the Neutrality Act had to be interpreted in line with the 2015 Constitutional Court judgement.</w:t>
      </w:r>
      <w:r w:rsidRPr="003D7719">
        <w:rPr>
          <w:vertAlign w:val="superscript"/>
          <w:lang w:eastAsia="en-GB"/>
        </w:rPr>
        <w:footnoteReference w:id="172"/>
      </w:r>
      <w:r w:rsidRPr="003D7719">
        <w:rPr>
          <w:lang w:eastAsia="en-GB"/>
        </w:rPr>
        <w:t xml:space="preserve"> Afterwards, the State of Berlin filed a constitutional complaint against this ruling before the Federal Constitutional Court which decided in in January 2023, without giving reasons, not to accept the constitutional complaint.</w:t>
      </w:r>
      <w:r w:rsidRPr="003D7719">
        <w:rPr>
          <w:vertAlign w:val="superscript"/>
          <w:lang w:eastAsia="en-GB"/>
        </w:rPr>
        <w:footnoteReference w:id="173"/>
      </w:r>
    </w:p>
    <w:p w14:paraId="3F1035BA" w14:textId="239067DC" w:rsidR="00917F5E" w:rsidRPr="003D7719" w:rsidRDefault="00917F5E" w:rsidP="00917F5E">
      <w:pPr>
        <w:pStyle w:val="BBodyText"/>
        <w:rPr>
          <w:lang w:eastAsia="en-GB"/>
        </w:rPr>
      </w:pPr>
      <w:r w:rsidRPr="003D7719">
        <w:rPr>
          <w:lang w:eastAsia="en-GB"/>
        </w:rPr>
        <w:t>A federal law regulating the appearance of civil servants, passed on 7 May 2021, also refers to religious symbols giving specific examples of restrictions on religious clothing, which “concern, for example, the Muslim headscarf, the Jewish kippa or a Christian cross (...)”, stipulating that “the right to wear such features may be restricted or prohibited entirely if they are objectively likely to impair confidence in the neutral conduct of the official's office.”</w:t>
      </w:r>
      <w:r w:rsidRPr="003D7719">
        <w:rPr>
          <w:vertAlign w:val="superscript"/>
          <w:lang w:eastAsia="en-GB"/>
        </w:rPr>
        <w:footnoteReference w:id="174"/>
      </w:r>
      <w:r w:rsidRPr="003D7719">
        <w:rPr>
          <w:lang w:eastAsia="en-GB"/>
        </w:rPr>
        <w:t xml:space="preserve"> The government tried to dispel concerns and criticism that the law encouraged racism and discrimination, stating that it will not bring about any changes in the legal situation on the subject of a “general headscarf ban”.</w:t>
      </w:r>
      <w:r w:rsidRPr="003D7719">
        <w:rPr>
          <w:vertAlign w:val="superscript"/>
          <w:lang w:eastAsia="en-GB"/>
        </w:rPr>
        <w:footnoteReference w:id="175"/>
      </w:r>
      <w:r w:rsidRPr="003D7719">
        <w:rPr>
          <w:lang w:eastAsia="en-GB"/>
        </w:rPr>
        <w:t xml:space="preserve"> The CEDAW Committee noted with concern the chilling effect of the 2021 amendment to the Law on Federal Civil Servants (sect. 34 (2)) for the employment prospects of Muslim women who wear a headscarf.</w:t>
      </w:r>
      <w:r w:rsidRPr="003D7719">
        <w:rPr>
          <w:vertAlign w:val="superscript"/>
          <w:lang w:eastAsia="en-GB"/>
        </w:rPr>
        <w:footnoteReference w:id="176"/>
      </w:r>
    </w:p>
    <w:p w14:paraId="75ED332B" w14:textId="77777777" w:rsidR="003D7719" w:rsidRPr="003D7719" w:rsidRDefault="003D7719" w:rsidP="00917F5E">
      <w:pPr>
        <w:pStyle w:val="BBodyText"/>
        <w:rPr>
          <w:lang w:eastAsia="en-GB"/>
        </w:rPr>
      </w:pPr>
    </w:p>
    <w:p w14:paraId="0AB3FA42" w14:textId="77777777" w:rsidR="00917F5E" w:rsidRPr="003D7719" w:rsidRDefault="00917F5E" w:rsidP="00B471EA">
      <w:pPr>
        <w:pStyle w:val="BNumberedSubheading"/>
      </w:pPr>
      <w:bookmarkStart w:id="25" w:name="_Toc149154514"/>
      <w:r w:rsidRPr="003D7719">
        <w:t>Recommendation</w:t>
      </w:r>
      <w:bookmarkEnd w:id="25"/>
    </w:p>
    <w:p w14:paraId="359477B1" w14:textId="77777777" w:rsidR="00917F5E" w:rsidRPr="003D7719" w:rsidRDefault="00917F5E" w:rsidP="00917F5E">
      <w:pPr>
        <w:pStyle w:val="BBodyText"/>
        <w:rPr>
          <w:bCs w:val="0"/>
          <w:lang w:eastAsia="en-GB"/>
        </w:rPr>
      </w:pPr>
      <w:r w:rsidRPr="003D7719">
        <w:rPr>
          <w:bCs w:val="0"/>
          <w:lang w:eastAsia="en-GB"/>
        </w:rPr>
        <w:t>Amnesty International recommends Germany:</w:t>
      </w:r>
    </w:p>
    <w:p w14:paraId="1BC0803E" w14:textId="77777777" w:rsidR="00917F5E" w:rsidRPr="003D7719" w:rsidRDefault="00917F5E" w:rsidP="00917F5E">
      <w:pPr>
        <w:pStyle w:val="BBodyText"/>
        <w:numPr>
          <w:ilvl w:val="0"/>
          <w:numId w:val="50"/>
        </w:numPr>
        <w:rPr>
          <w:bCs w:val="0"/>
          <w:lang w:eastAsia="en-GB"/>
        </w:rPr>
      </w:pPr>
      <w:r w:rsidRPr="003D7719">
        <w:rPr>
          <w:bCs w:val="0"/>
          <w:lang w:eastAsia="en-GB"/>
        </w:rPr>
        <w:t>Ensures that Muslim women in the public sector, including the judiciary, are not penalized for wearing headscarves, including by further amending the Law on Federal Civil Servants and raising public awareness so that the wearing of a headscarf by women civil servants does not result in the undermining of trust in the public service.</w:t>
      </w:r>
      <w:r w:rsidRPr="003D7719">
        <w:rPr>
          <w:bCs w:val="0"/>
          <w:vertAlign w:val="superscript"/>
          <w:lang w:eastAsia="en-GB"/>
        </w:rPr>
        <w:footnoteReference w:id="177"/>
      </w:r>
    </w:p>
    <w:p w14:paraId="4304942E" w14:textId="77777777" w:rsidR="00917F5E" w:rsidRPr="00917F5E" w:rsidRDefault="00917F5E" w:rsidP="00917F5E">
      <w:pPr>
        <w:pStyle w:val="BBodyText"/>
        <w:rPr>
          <w:lang w:eastAsia="en-GB"/>
        </w:rPr>
      </w:pPr>
    </w:p>
    <w:p w14:paraId="649AC009" w14:textId="77777777" w:rsidR="00917F5E" w:rsidRDefault="00917F5E" w:rsidP="009C5580">
      <w:pPr>
        <w:pStyle w:val="BBodyText"/>
        <w:rPr>
          <w:lang w:eastAsia="en-GB"/>
        </w:rPr>
      </w:pPr>
    </w:p>
    <w:p w14:paraId="18A8780E" w14:textId="77777777" w:rsidR="009C5580" w:rsidRDefault="009C5580" w:rsidP="009C5580">
      <w:pPr>
        <w:pStyle w:val="BBodyText"/>
        <w:rPr>
          <w:lang w:eastAsia="en-GB"/>
        </w:rPr>
        <w:sectPr w:rsidR="009C5580" w:rsidSect="00DA7998">
          <w:footerReference w:type="first" r:id="rId11"/>
          <w:pgSz w:w="11906" w:h="16838" w:code="9"/>
          <w:pgMar w:top="1474" w:right="1418" w:bottom="1418" w:left="1418" w:header="709" w:footer="709" w:gutter="0"/>
          <w:cols w:space="708"/>
          <w:titlePg/>
          <w:docGrid w:linePitch="360"/>
        </w:sectPr>
      </w:pPr>
    </w:p>
    <w:p w14:paraId="5BB0C4CD" w14:textId="77777777" w:rsidR="009C5580" w:rsidRDefault="009C5580" w:rsidP="009C5580">
      <w:pPr>
        <w:pStyle w:val="BBodyText"/>
        <w:rPr>
          <w:lang w:eastAsia="en-GB"/>
        </w:rPr>
      </w:pPr>
    </w:p>
    <w:p w14:paraId="4FB6D5E4" w14:textId="77777777" w:rsidR="00F47ABC" w:rsidRDefault="00F47ABC" w:rsidP="00782D0F">
      <w:pPr>
        <w:pStyle w:val="BBodyText"/>
      </w:pPr>
      <w:bookmarkStart w:id="26" w:name="_Toc74236202"/>
    </w:p>
    <w:p w14:paraId="343862D2" w14:textId="77777777" w:rsidR="00F47ABC" w:rsidRDefault="00F47ABC" w:rsidP="00782D0F">
      <w:pPr>
        <w:pStyle w:val="BBodyText"/>
      </w:pPr>
    </w:p>
    <w:p w14:paraId="7233E7B4" w14:textId="77777777" w:rsidR="00F47ABC" w:rsidRDefault="00F47ABC" w:rsidP="00782D0F">
      <w:pPr>
        <w:pStyle w:val="BBodyText"/>
      </w:pPr>
    </w:p>
    <w:p w14:paraId="4C4CE74A" w14:textId="77777777" w:rsidR="00F47ABC" w:rsidRDefault="00F47ABC" w:rsidP="00782D0F">
      <w:pPr>
        <w:pStyle w:val="BBodyText"/>
      </w:pPr>
    </w:p>
    <w:p w14:paraId="3D51E84F" w14:textId="77777777" w:rsidR="00F47ABC" w:rsidRDefault="00F47ABC" w:rsidP="00782D0F">
      <w:pPr>
        <w:pStyle w:val="BBodyText"/>
      </w:pPr>
    </w:p>
    <w:p w14:paraId="0A4A0428" w14:textId="77777777" w:rsidR="00F47ABC" w:rsidRDefault="00F47ABC" w:rsidP="00782D0F">
      <w:pPr>
        <w:pStyle w:val="BBodyText"/>
      </w:pPr>
    </w:p>
    <w:bookmarkEnd w:id="26"/>
    <w:p w14:paraId="66D05CBD" w14:textId="77777777" w:rsidR="00373C35" w:rsidRDefault="00373C35" w:rsidP="00661C0B">
      <w:pPr>
        <w:pStyle w:val="BBodyText"/>
        <w:rPr>
          <w:lang w:eastAsia="en-GB"/>
        </w:rPr>
        <w:sectPr w:rsidR="00373C35" w:rsidSect="00DA7998">
          <w:pgSz w:w="11906" w:h="16838" w:code="9"/>
          <w:pgMar w:top="1474" w:right="1418" w:bottom="1418" w:left="1418" w:header="709" w:footer="709" w:gutter="0"/>
          <w:cols w:space="708"/>
          <w:titlePg/>
          <w:docGrid w:linePitch="360"/>
        </w:sectPr>
      </w:pPr>
    </w:p>
    <w:p w14:paraId="1822B544" w14:textId="77777777" w:rsidR="00085AA0" w:rsidRPr="009C6598" w:rsidRDefault="008D2844" w:rsidP="00661C0B">
      <w:pPr>
        <w:pStyle w:val="BBodyText"/>
        <w:rPr>
          <w:lang w:eastAsia="en-GB"/>
        </w:rPr>
      </w:pPr>
      <w:r>
        <w:rPr>
          <w:noProof/>
        </w:rPr>
        <w:lastRenderedPageBreak/>
        <mc:AlternateContent>
          <mc:Choice Requires="wps">
            <w:drawing>
              <wp:anchor distT="0" distB="0" distL="114300" distR="114300" simplePos="0" relativeHeight="251658241" behindDoc="0" locked="0" layoutInCell="1" allowOverlap="1" wp14:anchorId="6E3CB8F7" wp14:editId="2A90DD6F">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070213" w:rsidRDefault="00070213"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070213" w:rsidRPr="001556CD" w:rsidRDefault="00070213" w:rsidP="005636E7">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3CB8F7" id="_x0000_t202" coordsize="21600,21600" o:spt="202" path="m,l,21600r21600,l21600,xe">
                <v:stroke joinstyle="miter"/>
                <v:path gradientshapeok="t" o:connecttype="rect"/>
              </v:shapetype>
              <v:shape id="Text Box 1" o:spid="_x0000_s1026"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xGAIAAC0EAAAOAAAAZHJzL2Uyb0RvYy54bWysU02P2yAQvVfqf0DcG9tpNkmtOKt0V6kq&#10;RbsrZas9EwyxJcxQILHTX98BOx/a9lT1AgMzzMd7j8V91yhyFNbVoAuajVJKhOZQ1npf0B+v609z&#10;SpxnumQKtCjoSTh6v/z4YdGaXIyhAlUKSzCJdnlrClp5b/IkcbwSDXMjMEKjU4JtmMej3SelZS1m&#10;b1QyTtNp0oItjQUunMPbx95JlzG/lIL7Zymd8EQVFHvzcbVx3YU1WS5YvrfMVDUf2mD/0EXDao1F&#10;L6kemWfkYOs/UjU1t+BA+hGHJgEpay7iDDhNlr6bZlsxI+IsCI4zF5jc/0vLn45b82KJ775ChwQG&#10;QFrjcoeXYZ5O2ibs2ClBP0J4usAmOk84Xk6nk1k2RxdH32Q2no+zCGxyfW6s898ENCQYBbXIS4SL&#10;HTfOY0kMPYeEahrWtVKRG6VJiyU+36XxwcWDL5TGh9dmg+W7XTdMsIPyhINZ6Dl3hq9rLL5hzr8w&#10;iyRjwyhc/4yLVIBFYLAoqcD++tt9iEfs0UtJi6IpqPt5YFZQor5rZOVLNpkElcXD5G42xoO99exu&#10;PfrQPADqMsMvYng0Q7xXZ1NaaN5Q36tQFV1Mc6xdUH82H3wvZfwfXKxWMQh1ZZjf6K3hIXWAM0D7&#10;2r0xawb8PVL3BGd5sfwdDX1sT8Tq4EHWkaMAcI/qgDtqMlI3/J8g+ttzjLr+8uVvAAAA//8DAFBL&#10;AwQUAAYACAAAACEAidQAv+IAAAALAQAADwAAAGRycy9kb3ducmV2LnhtbEyPwU7CQBCG7ya+w2ZM&#10;vMGWEqTUTglpQkyMHkAu3rbdoW3sztbuAtWndznhcWa+/P832Xo0nTjT4FrLCLNpBIK4srrlGuHw&#10;sZ0kIJxXrFVnmRB+yME6v7/LVKrthXd03vtahBB2qUJovO9TKV3VkFFuanvicDvawSgfxqGWelCX&#10;EG46GUfRkzSq5dDQqJ6Khqqv/ckgvBbbd7UrY5P8dsXL23HTfx8+F4iPD+PmGYSn0d9guOoHdciD&#10;U2lPrJ3oECbz1SqgCPPlAsQVCHVhUyIsk3gGMs/k/x/yPwAAAP//AwBQSwECLQAUAAYACAAAACEA&#10;toM4kv4AAADhAQAAEwAAAAAAAAAAAAAAAAAAAAAAW0NvbnRlbnRfVHlwZXNdLnhtbFBLAQItABQA&#10;BgAIAAAAIQA4/SH/1gAAAJQBAAALAAAAAAAAAAAAAAAAAC8BAABfcmVscy8ucmVsc1BLAQItABQA&#10;BgAIAAAAIQD/ZSwxGAIAAC0EAAAOAAAAAAAAAAAAAAAAAC4CAABkcnMvZTJvRG9jLnhtbFBLAQIt&#10;ABQABgAIAAAAIQCJ1AC/4gAAAAsBAAAPAAAAAAAAAAAAAAAAAHIEAABkcnMvZG93bnJldi54bWxQ&#10;SwUGAAAAAAQABADzAAAAgQUAAAAA&#10;" filled="f" stroked="f" strokeweight=".5pt">
                <v:textbox>
                  <w:txbxContent>
                    <w:p w14:paraId="53F06D5C" w14:textId="77777777" w:rsidR="00070213" w:rsidRDefault="00070213"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070213" w:rsidRPr="001556CD" w:rsidRDefault="00070213" w:rsidP="005636E7">
                      <w:pPr>
                        <w:pStyle w:val="BBodyText"/>
                        <w:tabs>
                          <w:tab w:val="left" w:pos="1200"/>
                        </w:tabs>
                        <w:rPr>
                          <w:rFonts w:ascii="Amnesty Trade Gothic" w:hAnsi="Amnesty Trade Gothic"/>
                          <w:noProof/>
                          <w:color w:val="000000"/>
                        </w:rPr>
                      </w:pPr>
                    </w:p>
                  </w:txbxContent>
                </v:textbox>
                <w10:wrap type="square"/>
              </v:shape>
            </w:pict>
          </mc:Fallback>
        </mc:AlternateContent>
      </w:r>
    </w:p>
    <w:p w14:paraId="0690BAE9" w14:textId="77777777" w:rsidR="00EE3C56" w:rsidRPr="00065FFC" w:rsidRDefault="002731B3" w:rsidP="00DB64F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070213" w:rsidRPr="00D4065A" w:rsidRDefault="00070213"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3" w:history="1">
                              <w:r w:rsidRPr="00D4065A">
                                <w:rPr>
                                  <w:rStyle w:val="Hyperlink"/>
                                  <w:rFonts w:ascii="Amnesty Trade Gothic Cn" w:hAnsi="Amnesty Trade Gothic Cn"/>
                                  <w:b/>
                                  <w:bCs/>
                                  <w:color w:val="auto"/>
                                  <w:szCs w:val="21"/>
                                  <w:lang w:val="en-GB"/>
                                </w:rPr>
                                <w:t>info@amnesty.org</w:t>
                              </w:r>
                            </w:hyperlink>
                          </w:p>
                          <w:p w14:paraId="61AA5AD3" w14:textId="77777777" w:rsidR="00070213" w:rsidRPr="00D4065A" w:rsidRDefault="00000000" w:rsidP="004E5E19">
                            <w:pPr>
                              <w:pStyle w:val="BBodyText"/>
                              <w:jc w:val="center"/>
                              <w:rPr>
                                <w:rStyle w:val="Hyperlink"/>
                                <w:rFonts w:ascii="Amnesty Trade Gothic Cn" w:hAnsi="Amnesty Trade Gothic Cn"/>
                                <w:color w:val="auto"/>
                              </w:rPr>
                            </w:pPr>
                            <w:hyperlink r:id="rId14" w:history="1">
                              <w:r w:rsidR="00070213"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00070213" w:rsidRPr="00D4065A">
                                <w:rPr>
                                  <w:rFonts w:ascii="Amnesty Trade Gothic Cn" w:hAnsi="Amnesty Trade Gothic Cn"/>
                                </w:rPr>
                                <w:br/>
                              </w:r>
                              <w:r w:rsidR="00070213" w:rsidRPr="00D4065A">
                                <w:rPr>
                                  <w:rStyle w:val="Hyperlink"/>
                                  <w:rFonts w:ascii="Amnesty Trade Gothic Cn" w:hAnsi="Amnesty Trade Gothic Cn"/>
                                  <w:color w:val="auto"/>
                                </w:rPr>
                                <w:t>facebook.com/</w:t>
                              </w:r>
                              <w:r w:rsidR="00070213" w:rsidRPr="00D4065A">
                                <w:rPr>
                                  <w:rStyle w:val="Hyperlink"/>
                                  <w:rFonts w:ascii="Amnesty Trade Gothic Cn" w:hAnsi="Amnesty Trade Gothic Cn"/>
                                  <w:color w:val="auto"/>
                                </w:rPr>
                                <w:br/>
                              </w:r>
                              <w:proofErr w:type="spellStart"/>
                              <w:r w:rsidR="00070213" w:rsidRPr="00D4065A">
                                <w:rPr>
                                  <w:rStyle w:val="Hyperlink"/>
                                  <w:rFonts w:ascii="Amnesty Trade Gothic Cn" w:hAnsi="Amnesty Trade Gothic Cn"/>
                                  <w:b/>
                                  <w:bCs w:val="0"/>
                                  <w:color w:val="auto"/>
                                </w:rPr>
                                <w:t>AmnestyGlobal</w:t>
                              </w:r>
                              <w:proofErr w:type="spellEnd"/>
                            </w:hyperlink>
                          </w:p>
                          <w:p w14:paraId="5F6B3953" w14:textId="77777777" w:rsidR="00070213" w:rsidRPr="00B772D5" w:rsidRDefault="00070213"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070213" w:rsidRPr="00D4065A" w:rsidRDefault="00070213"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070213" w:rsidRDefault="00070213"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7"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9iRGg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HV1SAbqA44n4Oeem/5SmEPj8yH&#10;F+aQaxwJ9RuecZEasBYcLUpqcL/+dh/jkQL0UtKidkrqf+6YE5ToHwbJuR2Ox1Fs6TCe3Izw4K49&#10;m2uP2TX3gPIc4k+xPJkxPuiTKR007yjzZayKLmY41i5pOJn3oVc0fhMulssUhPKyLDyateUxdUQ1&#10;IvzavTNnjzQEZPAJTipjxQc2+tiej+UugFSJqohzj+oRfpRmIvv4jaL2r88p6vLZF78BAAD//wMA&#10;UEsDBBQABgAIAAAAIQA98wMW4wAAAAwBAAAPAAAAZHJzL2Rvd25yZXYueG1sTI9NS8NAFEX3gv9h&#10;eIK7dpLQlCRmUkqgCKKL1m7cvWSmSXA+YmbaRn+9z5VdPt7h3nPLzWw0u6jJD84KiJcRMGVbJwfb&#10;CTi+7xYZMB/QStTOKgHfysOmur8rsZDuavfqcggdoxDrCxTQhzAWnPu2Vwb90o3K0u/kJoOBzqnj&#10;csIrhRvNkyhac4ODpYYeR1X3qv08nI2Al3r3hvsmMdmPrp9fT9vx6/iRCvH4MG+fgAU1h38Y/vRJ&#10;HSpyatzZSs+0gEWS5oQKyPKcNhCRrOI1sIbQOFulwKuS346ofgEAAP//AwBQSwECLQAUAAYACAAA&#10;ACEAtoM4kv4AAADhAQAAEwAAAAAAAAAAAAAAAAAAAAAAW0NvbnRlbnRfVHlwZXNdLnhtbFBLAQIt&#10;ABQABgAIAAAAIQA4/SH/1gAAAJQBAAALAAAAAAAAAAAAAAAAAC8BAABfcmVscy8ucmVsc1BLAQIt&#10;ABQABgAIAAAAIQCx39iRGgIAADQEAAAOAAAAAAAAAAAAAAAAAC4CAABkcnMvZTJvRG9jLnhtbFBL&#10;AQItABQABgAIAAAAIQA98wMW4wAAAAwBAAAPAAAAAAAAAAAAAAAAAHQEAABkcnMvZG93bnJldi54&#10;bWxQSwUGAAAAAAQABADzAAAAhAUAAAAA&#10;" filled="f" stroked="f" strokeweight=".5pt">
                <v:textbox>
                  <w:txbxContent>
                    <w:p w14:paraId="49DDEBC2" w14:textId="77777777" w:rsidR="00070213" w:rsidRPr="00D4065A" w:rsidRDefault="00070213"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7" w:history="1">
                        <w:r w:rsidRPr="00D4065A">
                          <w:rPr>
                            <w:rStyle w:val="Hyperlink"/>
                            <w:rFonts w:ascii="Amnesty Trade Gothic Cn" w:hAnsi="Amnesty Trade Gothic Cn"/>
                            <w:b/>
                            <w:bCs/>
                            <w:color w:val="auto"/>
                            <w:szCs w:val="21"/>
                            <w:lang w:val="en-GB"/>
                          </w:rPr>
                          <w:t>info@amnesty.org</w:t>
                        </w:r>
                      </w:hyperlink>
                    </w:p>
                    <w:p w14:paraId="61AA5AD3" w14:textId="77777777" w:rsidR="00070213" w:rsidRPr="00D4065A" w:rsidRDefault="00000000" w:rsidP="004E5E19">
                      <w:pPr>
                        <w:pStyle w:val="BBodyText"/>
                        <w:jc w:val="center"/>
                        <w:rPr>
                          <w:rStyle w:val="Hyperlink"/>
                          <w:rFonts w:ascii="Amnesty Trade Gothic Cn" w:hAnsi="Amnesty Trade Gothic Cn"/>
                          <w:color w:val="auto"/>
                        </w:rPr>
                      </w:pPr>
                      <w:hyperlink r:id="rId18" w:history="1">
                        <w:r w:rsidR="00070213"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00070213" w:rsidRPr="00D4065A">
                          <w:rPr>
                            <w:rFonts w:ascii="Amnesty Trade Gothic Cn" w:hAnsi="Amnesty Trade Gothic Cn"/>
                          </w:rPr>
                          <w:br/>
                        </w:r>
                        <w:r w:rsidR="00070213" w:rsidRPr="00D4065A">
                          <w:rPr>
                            <w:rStyle w:val="Hyperlink"/>
                            <w:rFonts w:ascii="Amnesty Trade Gothic Cn" w:hAnsi="Amnesty Trade Gothic Cn"/>
                            <w:color w:val="auto"/>
                          </w:rPr>
                          <w:t>facebook.com/</w:t>
                        </w:r>
                        <w:r w:rsidR="00070213" w:rsidRPr="00D4065A">
                          <w:rPr>
                            <w:rStyle w:val="Hyperlink"/>
                            <w:rFonts w:ascii="Amnesty Trade Gothic Cn" w:hAnsi="Amnesty Trade Gothic Cn"/>
                            <w:color w:val="auto"/>
                          </w:rPr>
                          <w:br/>
                        </w:r>
                        <w:proofErr w:type="spellStart"/>
                        <w:r w:rsidR="00070213" w:rsidRPr="00D4065A">
                          <w:rPr>
                            <w:rStyle w:val="Hyperlink"/>
                            <w:rFonts w:ascii="Amnesty Trade Gothic Cn" w:hAnsi="Amnesty Trade Gothic Cn"/>
                            <w:b/>
                            <w:bCs w:val="0"/>
                            <w:color w:val="auto"/>
                          </w:rPr>
                          <w:t>AmnestyGlobal</w:t>
                        </w:r>
                        <w:proofErr w:type="spellEnd"/>
                      </w:hyperlink>
                    </w:p>
                    <w:p w14:paraId="5F6B3953" w14:textId="77777777" w:rsidR="00070213" w:rsidRPr="00B772D5" w:rsidRDefault="00070213"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070213" w:rsidRPr="00D4065A" w:rsidRDefault="00070213"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070213" w:rsidRDefault="00070213"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070213" w:rsidRPr="000660E7" w:rsidRDefault="00070213"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070213" w:rsidRPr="000660E7" w:rsidRDefault="00070213"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070213" w:rsidRPr="0081658E" w:rsidRDefault="00070213" w:rsidP="000660E7">
                            <w:pPr>
                              <w:pStyle w:val="BCopyrightsmallprint"/>
                              <w:rPr>
                                <w:sz w:val="16"/>
                                <w:szCs w:val="16"/>
                              </w:rPr>
                            </w:pPr>
                            <w:r w:rsidRPr="000660E7">
                              <w:rPr>
                                <w:sz w:val="16"/>
                                <w:szCs w:val="16"/>
                              </w:rPr>
                              <w:t xml:space="preserve">For more information, visit the </w:t>
                            </w:r>
                            <w:hyperlink r:id="rId19"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8"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WHh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qgAgNs&#10;uNlAcSCWHfQCRCtXNVW3ptQehSPFESM0Rf6BllIDxYJhx1kF7uff7oM/CYGsnLWk4Jzjj51wiir+&#10;Ykgi16PJJEg+HibTqzEd3Lllc24xu2YJxNqI5tXKuA3+Xh+3pYPmhYZtEaKSSRhJsXPuj9ul7+eK&#10;hlWqxSI6kcit8GvzZOVRXKF3z92LcHZosCdt3MNR6yJ70+feNzTXwGLnoayjCE6sDvTTgMS+DcMc&#10;JvD8HL1On5z5LwAAAP//AwBQSwMEFAAGAAgAAAAhAPNepITeAAAADAEAAA8AAABkcnMvZG93bnJl&#10;di54bWxMj8FOwzAQRO9I/IO1SL1RJxVtnRCnQojeoY04u/HiBGI7it3G9OtZTnCb0T7NzlS7ZAd2&#10;wSn03knIlxkwdK3XvTMSmuP+XgALUTmtBu9QwjcG2NW3N5UqtZ/dG14O0TAKcaFUEroYx5Lz0HZo&#10;VVj6ER3dPvxkVSQ7Ga4nNVO4Hfgqyzbcqt7Rh06N+Nxh+3U4WwmvTTq+i8/00Fg0L9dwnXtfGCkX&#10;d+npEVjEFP9g+K1P1aGmTid/djqwQcImF7QlShDrLQkiiu2KxInQXKwL4HXF/4+ofwAAAP//AwBQ&#10;SwECLQAUAAYACAAAACEAtoM4kv4AAADhAQAAEwAAAAAAAAAAAAAAAAAAAAAAW0NvbnRlbnRfVHlw&#10;ZXNdLnhtbFBLAQItABQABgAIAAAAIQA4/SH/1gAAAJQBAAALAAAAAAAAAAAAAAAAAC8BAABfcmVs&#10;cy8ucmVsc1BLAQItABQABgAIAAAAIQBDzWHhZAIAALoEAAAOAAAAAAAAAAAAAAAAAC4CAABkcnMv&#10;ZTJvRG9jLnhtbFBLAQItABQABgAIAAAAIQDzXqSE3gAAAAwBAAAPAAAAAAAAAAAAAAAAAL4EAABk&#10;cnMvZG93bnJldi54bWxQSwUGAAAAAAQABADzAAAAyQUAAAAA&#10;" fillcolor="#f2f2f2" stroked="f" strokeweight=".5pt">
                <o:lock v:ext="edit" aspectratio="t"/>
                <v:textbox>
                  <w:txbxContent>
                    <w:p w14:paraId="241144A1" w14:textId="77777777" w:rsidR="00070213" w:rsidRPr="000660E7" w:rsidRDefault="00070213"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070213" w:rsidRPr="000660E7" w:rsidRDefault="00070213"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070213" w:rsidRPr="0081658E" w:rsidRDefault="00070213" w:rsidP="000660E7">
                      <w:pPr>
                        <w:pStyle w:val="BCopyrightsmallprint"/>
                        <w:rPr>
                          <w:sz w:val="16"/>
                          <w:szCs w:val="16"/>
                        </w:rPr>
                      </w:pPr>
                      <w:r w:rsidRPr="000660E7">
                        <w:rPr>
                          <w:sz w:val="16"/>
                          <w:szCs w:val="16"/>
                        </w:rPr>
                        <w:t xml:space="preserve">For more information, visit the </w:t>
                      </w:r>
                      <w:hyperlink r:id="rId20"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6"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070213" w:rsidRDefault="00070213"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070213" w:rsidRDefault="00070213"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070213" w:rsidRPr="00BE3701" w:rsidRDefault="00070213" w:rsidP="00C8441B">
                            <w:pPr>
                              <w:rPr>
                                <w:bCs/>
                                <w:color w:val="auto"/>
                                <w:sz w:val="16"/>
                                <w:szCs w:val="16"/>
                              </w:rPr>
                            </w:pPr>
                            <w:r w:rsidRPr="00BE3701">
                              <w:rPr>
                                <w:bCs/>
                                <w:color w:val="auto"/>
                                <w:sz w:val="16"/>
                                <w:szCs w:val="16"/>
                              </w:rPr>
                              <w:t>Amnesty International</w:t>
                            </w:r>
                            <w:r w:rsidRPr="00BE3701">
                              <w:rPr>
                                <w:bCs/>
                                <w:color w:val="auto"/>
                                <w:sz w:val="16"/>
                                <w:szCs w:val="16"/>
                              </w:rPr>
                              <w:br/>
                              <w:t xml:space="preserve">Peter </w:t>
                            </w:r>
                            <w:proofErr w:type="spellStart"/>
                            <w:r w:rsidRPr="00BE3701">
                              <w:rPr>
                                <w:bCs/>
                                <w:color w:val="auto"/>
                                <w:sz w:val="16"/>
                                <w:szCs w:val="16"/>
                              </w:rPr>
                              <w:t>Benenson</w:t>
                            </w:r>
                            <w:proofErr w:type="spellEnd"/>
                            <w:r w:rsidRPr="00BE3701">
                              <w:rPr>
                                <w:bCs/>
                                <w:color w:val="auto"/>
                                <w:sz w:val="16"/>
                                <w:szCs w:val="16"/>
                              </w:rPr>
                              <w:t xml:space="preserve"> House</w:t>
                            </w:r>
                            <w:r w:rsidRPr="00BE3701">
                              <w:rPr>
                                <w:bCs/>
                                <w:color w:val="auto"/>
                                <w:sz w:val="16"/>
                                <w:szCs w:val="16"/>
                              </w:rPr>
                              <w:br/>
                              <w:t>1 Easton Street</w:t>
                            </w:r>
                            <w:r w:rsidRPr="00BE3701">
                              <w:rPr>
                                <w:bCs/>
                                <w:color w:val="auto"/>
                                <w:sz w:val="16"/>
                                <w:szCs w:val="16"/>
                              </w:rPr>
                              <w:br/>
                              <w:t>London WC1X 0DW, UK</w:t>
                            </w:r>
                          </w:p>
                          <w:p w14:paraId="1E71D662" w14:textId="77777777" w:rsidR="00070213" w:rsidRPr="00C8441B" w:rsidRDefault="00070213"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29"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IhIHAIAADQEAAAOAAAAZHJzL2Uyb0RvYy54bWysU11v2yAUfZ+0/4B4X2ynSdpacaqsVaZJ&#10;UVspnfpMMMSWMJcBiZ39+l2w86FuT9Ne4MK93I9zDvOHrlHkIKyrQRc0G6WUCM2hrPWuoD/eVl/u&#10;KHGe6ZIp0KKgR+How+Lzp3lrcjGGClQpLMEk2uWtKWjlvcmTxPFKNMyNwAiNTgm2YR6PdpeUlrWY&#10;vVHJOE1nSQu2NBa4cA5vn3onXcT8UgruX6R0whNVUOzNx9XGdRvWZDFn+c4yU9V8aIP9QxcNqzUW&#10;Pad6Yp6Rva3/SNXU3IID6UccmgSkrLmIM+A0Wfphmk3FjIizIDjOnGFy/y8tfz5szKslvvsKHRIY&#10;AGmNyx1ehnk6aZuwY6cE/Qjh8Qyb6Dzh4dH4NrtPp5Rw9GWzGQ4yC3mSy3Njnf8moCHBKKhFXiJc&#10;7LB2vg89hYRqGla1UpEbpUlb0NnNNI0Pzh5MrjTWuDQbLN9tO1KXBb05DbKF8ojzWeipd4avauxh&#10;zZx/ZRa5xpFQv/4FF6kAa8FgUVKB/fW3+xCPFKCXkha1U1D3c8+soER910jOfTaZBLHFw2R6O8aD&#10;vfZsrz163zwCyjPDn2J4NEO8VydTWmjeUebLUBVdTHOsXVB/Mh99r2j8JlwslzEI5WWYX+uN4SF1&#10;QDUg/Na9M2sGGjwy+AwnlbH8Axt9bM/Hcu9B1pGqgHOP6gA/SjOSPXyjoP3rc4y6fPbFbwAAAP//&#10;AwBQSwMEFAAGAAgAAAAhAD+yM+XjAAAADAEAAA8AAABkcnMvZG93bnJldi54bWxMj8FOwzAQRO9I&#10;/IO1SNyoHbeBEuJUVaQKCdFDSy/cnNhNIuJ1iN028PUsJziu5mnmbb6aXM/OdgydRwXJTACzWHvT&#10;YaPg8La5WwILUaPRvUer4MsGWBXXV7nOjL/gzp73sWFUgiHTCtoYh4zzULfW6TDzg0XKjn50OtI5&#10;NtyM+kLlrudSiHvudIe00OrBlq2tP/Ynp+Cl3Gz1rpJu+d2Xz6/H9fB5eE+Vur2Z1k/Aop3iHwy/&#10;+qQOBTlV/oQmsF6BTCWpRwWPCzEHRsQinSfAKkKlSB6AFzn//0TxAwAA//8DAFBLAQItABQABgAI&#10;AAAAIQC2gziS/gAAAOEBAAATAAAAAAAAAAAAAAAAAAAAAABbQ29udGVudF9UeXBlc10ueG1sUEsB&#10;Ai0AFAAGAAgAAAAhADj9If/WAAAAlAEAAAsAAAAAAAAAAAAAAAAALwEAAF9yZWxzLy5yZWxzUEsB&#10;Ai0AFAAGAAgAAAAhACvMiEgcAgAANAQAAA4AAAAAAAAAAAAAAAAALgIAAGRycy9lMm9Eb2MueG1s&#10;UEsBAi0AFAAGAAgAAAAhAD+yM+XjAAAADAEAAA8AAAAAAAAAAAAAAAAAdgQAAGRycy9kb3ducmV2&#10;LnhtbFBLBQYAAAAABAAEAPMAAACGBQAAAAA=&#10;" filled="f" stroked="f" strokeweight=".5pt">
                <v:textbox>
                  <w:txbxContent>
                    <w:p w14:paraId="3BF289A3" w14:textId="77777777" w:rsidR="00070213" w:rsidRDefault="00070213"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070213" w:rsidRDefault="00070213"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070213" w:rsidRPr="00BE3701" w:rsidRDefault="00070213" w:rsidP="00C8441B">
                      <w:pPr>
                        <w:rPr>
                          <w:bCs/>
                          <w:color w:val="auto"/>
                          <w:sz w:val="16"/>
                          <w:szCs w:val="16"/>
                        </w:rPr>
                      </w:pPr>
                      <w:r w:rsidRPr="00BE3701">
                        <w:rPr>
                          <w:bCs/>
                          <w:color w:val="auto"/>
                          <w:sz w:val="16"/>
                          <w:szCs w:val="16"/>
                        </w:rPr>
                        <w:t>Amnesty International</w:t>
                      </w:r>
                      <w:r w:rsidRPr="00BE3701">
                        <w:rPr>
                          <w:bCs/>
                          <w:color w:val="auto"/>
                          <w:sz w:val="16"/>
                          <w:szCs w:val="16"/>
                        </w:rPr>
                        <w:br/>
                        <w:t xml:space="preserve">Peter </w:t>
                      </w:r>
                      <w:proofErr w:type="spellStart"/>
                      <w:r w:rsidRPr="00BE3701">
                        <w:rPr>
                          <w:bCs/>
                          <w:color w:val="auto"/>
                          <w:sz w:val="16"/>
                          <w:szCs w:val="16"/>
                        </w:rPr>
                        <w:t>Benenson</w:t>
                      </w:r>
                      <w:proofErr w:type="spellEnd"/>
                      <w:r w:rsidRPr="00BE3701">
                        <w:rPr>
                          <w:bCs/>
                          <w:color w:val="auto"/>
                          <w:sz w:val="16"/>
                          <w:szCs w:val="16"/>
                        </w:rPr>
                        <w:t xml:space="preserve"> House</w:t>
                      </w:r>
                      <w:r w:rsidRPr="00BE3701">
                        <w:rPr>
                          <w:bCs/>
                          <w:color w:val="auto"/>
                          <w:sz w:val="16"/>
                          <w:szCs w:val="16"/>
                        </w:rPr>
                        <w:br/>
                        <w:t>1 Easton Street</w:t>
                      </w:r>
                      <w:r w:rsidRPr="00BE3701">
                        <w:rPr>
                          <w:bCs/>
                          <w:color w:val="auto"/>
                          <w:sz w:val="16"/>
                          <w:szCs w:val="16"/>
                        </w:rPr>
                        <w:br/>
                        <w:t>London WC1X 0DW, UK</w:t>
                      </w:r>
                    </w:p>
                    <w:p w14:paraId="1E71D662" w14:textId="77777777" w:rsidR="00070213" w:rsidRPr="00C8441B" w:rsidRDefault="00070213"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7"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070213" w:rsidRPr="00D90830" w:rsidRDefault="00070213"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070213" w:rsidRDefault="000702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0" type="#_x0000_t202" style="position:absolute;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TI4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Tj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gVkyOBwCAAAzBAAADgAAAAAAAAAAAAAAAAAuAgAAZHJzL2Uyb0RvYy54bWxQ&#10;SwECLQAUAAYACAAAACEAj6iWzuIAAAAKAQAADwAAAAAAAAAAAAAAAAB2BAAAZHJzL2Rvd25yZXYu&#10;eG1sUEsFBgAAAAAEAAQA8wAAAIUFAAAAAA==&#10;" filled="f" stroked="f" strokeweight=".5pt">
                <v:textbox>
                  <w:txbxContent>
                    <w:p w14:paraId="23CB6EA5" w14:textId="77777777" w:rsidR="00070213" w:rsidRPr="00D90830" w:rsidRDefault="00070213"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070213" w:rsidRDefault="00070213"/>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0ADD44FE" w:rsidR="00070213" w:rsidRPr="00392F19" w:rsidRDefault="00070213" w:rsidP="0081658E">
                            <w:pPr>
                              <w:pStyle w:val="BCopyrightsmallprint"/>
                              <w:rPr>
                                <w:rStyle w:val="Boldbodycharacter"/>
                                <w:sz w:val="21"/>
                                <w:szCs w:val="21"/>
                              </w:rPr>
                            </w:pPr>
                            <w:r w:rsidRPr="00392F19">
                              <w:rPr>
                                <w:sz w:val="21"/>
                                <w:szCs w:val="21"/>
                              </w:rPr>
                              <w:t xml:space="preserve">Index: </w:t>
                            </w:r>
                            <w:r w:rsidRPr="00014BD2">
                              <w:rPr>
                                <w:rFonts w:ascii="Segoe UI" w:eastAsia="Calibri" w:hAnsi="Segoe UI" w:cs="Segoe UI"/>
                                <w:b/>
                                <w:color w:val="3B1D1E"/>
                                <w:sz w:val="20"/>
                                <w:szCs w:val="20"/>
                              </w:rPr>
                              <w:t>EUR 23/7333/2023</w:t>
                            </w:r>
                          </w:p>
                          <w:p w14:paraId="13BA83E2" w14:textId="21E43B1D" w:rsidR="00070213" w:rsidRPr="00014BD2" w:rsidRDefault="00070213" w:rsidP="0081658E">
                            <w:pPr>
                              <w:pStyle w:val="BCopyrightsmallprint"/>
                              <w:rPr>
                                <w:sz w:val="21"/>
                                <w:szCs w:val="21"/>
                              </w:rPr>
                            </w:pPr>
                            <w:r w:rsidRPr="00392F19">
                              <w:rPr>
                                <w:sz w:val="21"/>
                                <w:szCs w:val="21"/>
                              </w:rPr>
                              <w:t>Publication</w:t>
                            </w:r>
                            <w:r w:rsidRPr="00014BD2">
                              <w:rPr>
                                <w:sz w:val="21"/>
                                <w:szCs w:val="21"/>
                              </w:rPr>
                              <w:t xml:space="preserve">: </w:t>
                            </w:r>
                            <w:r w:rsidRPr="00014BD2">
                              <w:rPr>
                                <w:rStyle w:val="Boldbodycharacter"/>
                                <w:sz w:val="21"/>
                                <w:szCs w:val="21"/>
                              </w:rPr>
                              <w:t>October 2023</w:t>
                            </w:r>
                          </w:p>
                          <w:p w14:paraId="75622893" w14:textId="77777777" w:rsidR="00070213" w:rsidRPr="00014BD2" w:rsidRDefault="00070213" w:rsidP="0081658E">
                            <w:pPr>
                              <w:pStyle w:val="BCopyrightsmallprint"/>
                              <w:rPr>
                                <w:sz w:val="21"/>
                                <w:szCs w:val="21"/>
                              </w:rPr>
                            </w:pPr>
                            <w:r w:rsidRPr="00014BD2">
                              <w:rPr>
                                <w:sz w:val="21"/>
                                <w:szCs w:val="21"/>
                              </w:rPr>
                              <w:t xml:space="preserve">Original language: </w:t>
                            </w:r>
                            <w:r w:rsidRPr="00014BD2">
                              <w:rPr>
                                <w:rFonts w:ascii="Amnesty Trade Gothic" w:hAnsi="Amnesty Trade Gothic"/>
                                <w:b/>
                                <w:sz w:val="21"/>
                                <w:szCs w:val="21"/>
                              </w:rPr>
                              <w:t>English</w:t>
                            </w:r>
                          </w:p>
                          <w:p w14:paraId="51BB8770" w14:textId="3BEAFC52" w:rsidR="00070213" w:rsidRPr="000660E7" w:rsidRDefault="00070213" w:rsidP="00140418">
                            <w:pPr>
                              <w:pStyle w:val="BCopyrightsmallprint"/>
                              <w:rPr>
                                <w:sz w:val="16"/>
                                <w:szCs w:val="16"/>
                              </w:rPr>
                            </w:pPr>
                            <w:r w:rsidRPr="00014BD2">
                              <w:rPr>
                                <w:sz w:val="16"/>
                                <w:szCs w:val="16"/>
                              </w:rPr>
                              <w:t>© Amnesty International 2023</w:t>
                            </w:r>
                          </w:p>
                          <w:p w14:paraId="2247AD3B" w14:textId="77777777" w:rsidR="00070213" w:rsidRDefault="000702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1"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s2xMgIAAFsEAAAOAAAAZHJzL2Uyb0RvYy54bWysVE2P2jAQvVfqf7B8L4EU2CUirCgrqkpo&#10;dyW22rNxbLDkeFzbkNBf37HDV7c9Vb04M57x88yb50wf2lqTg3BegSnpoNenRBgOlTLbkn5/XX66&#10;p8QHZiqmwYiSHoWnD7OPH6aNLUQOO9CVcARBjC8aW9JdCLbIMs93oma+B1YYDEpwNQvoum1WOdYg&#10;eq2zvN8fZw24yjrgwnvcfeyCdJbwpRQ8PEvpRSC6pFhbSKtL6yau2WzKiq1jdqf4qQz2D1XUTBm8&#10;9AL1yAIje6f+gKoVd+BBhh6HOgMpFRepB+xm0H/XzXrHrEi9IDneXmjy/w+WPx3W9sWR0H6BFgcY&#10;CWmsLzxuxn5a6er4xUoJxpHC44U20QbCcTPPx3ej+xElHGOTfDIZDyNMdj1tnQ9fBdQkGiV1OJbE&#10;FjusfOhSzynxMg9aVUuldXKiFMRCO3JgOEQdUo0I/luWNqQp6fjzqJ+ADcTjHbI2WMu1p2iFdtMS&#10;VZV0dO53A9URaXDQKcRbvlRY64r58MIcSgI7R5mHZ1ykBrwLThYlO3A//7Yf83FSGKWkQYmV1P/Y&#10;Myco0d8MznAyGA6jJpMzHN3l6LjbyOY2Yvb1ApCAAT4oy5MZ84M+m9JB/YavYR5vxRAzHO8uaTib&#10;i9AJH18TF/N5SkIVWhZWZm15hI6Ex0m8tm/M2dO4Ag76Cc5iZMW7qXW58aSB+T6AVGmkkeeO1RP9&#10;qOAkitNri0/k1k9Z13/C7BcAAAD//wMAUEsDBBQABgAIAAAAIQC+89vM5AAAAA0BAAAPAAAAZHJz&#10;L2Rvd25yZXYueG1sTI9LT8MwEITvSPwHa5G4oNZJ09IoxKkQ4iH1RsND3Nx4SSLidRS7Sfj3LCc4&#10;7syn2Zl8N9tOjDj41pGCeBmBQKqcaalW8FI+LFIQPmgyunOECr7Rw644P8t1ZtxEzzgeQi04hHym&#10;FTQh9JmUvmrQar90PRJ7n26wOvA51NIMeuJw28lVFF1Lq1viD43u8a7B6utwsgo+rur3vZ8fX6dk&#10;k/T3T2O5fTOlUpcX8+0NiIBz+IPhtz5Xh4I7Hd2JjBedgsU6ihllI4lXCQhGknjL844srTdpCrLI&#10;5f8VxQ8AAAD//wMAUEsBAi0AFAAGAAgAAAAhALaDOJL+AAAA4QEAABMAAAAAAAAAAAAAAAAAAAAA&#10;AFtDb250ZW50X1R5cGVzXS54bWxQSwECLQAUAAYACAAAACEAOP0h/9YAAACUAQAACwAAAAAAAAAA&#10;AAAAAAAvAQAAX3JlbHMvLnJlbHNQSwECLQAUAAYACAAAACEAwabNsTICAABbBAAADgAAAAAAAAAA&#10;AAAAAAAuAgAAZHJzL2Uyb0RvYy54bWxQSwECLQAUAAYACAAAACEAvvPbzOQAAAANAQAADwAAAAAA&#10;AAAAAAAAAACMBAAAZHJzL2Rvd25yZXYueG1sUEsFBgAAAAAEAAQA8wAAAJ0FAAAAAA==&#10;" fillcolor="white [3201]" stroked="f" strokeweight=".5pt">
                <v:textbox>
                  <w:txbxContent>
                    <w:p w14:paraId="13A3F353" w14:textId="0ADD44FE" w:rsidR="00070213" w:rsidRPr="00392F19" w:rsidRDefault="00070213" w:rsidP="0081658E">
                      <w:pPr>
                        <w:pStyle w:val="BCopyrightsmallprint"/>
                        <w:rPr>
                          <w:rStyle w:val="Boldbodycharacter"/>
                          <w:sz w:val="21"/>
                          <w:szCs w:val="21"/>
                        </w:rPr>
                      </w:pPr>
                      <w:r w:rsidRPr="00392F19">
                        <w:rPr>
                          <w:sz w:val="21"/>
                          <w:szCs w:val="21"/>
                        </w:rPr>
                        <w:t xml:space="preserve">Index: </w:t>
                      </w:r>
                      <w:r w:rsidRPr="00014BD2">
                        <w:rPr>
                          <w:rFonts w:ascii="Segoe UI" w:eastAsia="Calibri" w:hAnsi="Segoe UI" w:cs="Segoe UI"/>
                          <w:b/>
                          <w:color w:val="3B1D1E"/>
                          <w:sz w:val="20"/>
                          <w:szCs w:val="20"/>
                        </w:rPr>
                        <w:t>EUR 23/7333/2023</w:t>
                      </w:r>
                    </w:p>
                    <w:p w14:paraId="13BA83E2" w14:textId="21E43B1D" w:rsidR="00070213" w:rsidRPr="00014BD2" w:rsidRDefault="00070213" w:rsidP="0081658E">
                      <w:pPr>
                        <w:pStyle w:val="BCopyrightsmallprint"/>
                        <w:rPr>
                          <w:sz w:val="21"/>
                          <w:szCs w:val="21"/>
                        </w:rPr>
                      </w:pPr>
                      <w:r w:rsidRPr="00392F19">
                        <w:rPr>
                          <w:sz w:val="21"/>
                          <w:szCs w:val="21"/>
                        </w:rPr>
                        <w:t>Publication</w:t>
                      </w:r>
                      <w:r w:rsidRPr="00014BD2">
                        <w:rPr>
                          <w:sz w:val="21"/>
                          <w:szCs w:val="21"/>
                        </w:rPr>
                        <w:t xml:space="preserve">: </w:t>
                      </w:r>
                      <w:r w:rsidRPr="00014BD2">
                        <w:rPr>
                          <w:rStyle w:val="Boldbodycharacter"/>
                          <w:sz w:val="21"/>
                          <w:szCs w:val="21"/>
                        </w:rPr>
                        <w:t>October 2023</w:t>
                      </w:r>
                    </w:p>
                    <w:p w14:paraId="75622893" w14:textId="77777777" w:rsidR="00070213" w:rsidRPr="00014BD2" w:rsidRDefault="00070213" w:rsidP="0081658E">
                      <w:pPr>
                        <w:pStyle w:val="BCopyrightsmallprint"/>
                        <w:rPr>
                          <w:sz w:val="21"/>
                          <w:szCs w:val="21"/>
                        </w:rPr>
                      </w:pPr>
                      <w:r w:rsidRPr="00014BD2">
                        <w:rPr>
                          <w:sz w:val="21"/>
                          <w:szCs w:val="21"/>
                        </w:rPr>
                        <w:t xml:space="preserve">Original language: </w:t>
                      </w:r>
                      <w:r w:rsidRPr="00014BD2">
                        <w:rPr>
                          <w:rFonts w:ascii="Amnesty Trade Gothic" w:hAnsi="Amnesty Trade Gothic"/>
                          <w:b/>
                          <w:sz w:val="21"/>
                          <w:szCs w:val="21"/>
                        </w:rPr>
                        <w:t>English</w:t>
                      </w:r>
                    </w:p>
                    <w:p w14:paraId="51BB8770" w14:textId="3BEAFC52" w:rsidR="00070213" w:rsidRPr="000660E7" w:rsidRDefault="00070213" w:rsidP="00140418">
                      <w:pPr>
                        <w:pStyle w:val="BCopyrightsmallprint"/>
                        <w:rPr>
                          <w:sz w:val="16"/>
                          <w:szCs w:val="16"/>
                        </w:rPr>
                      </w:pPr>
                      <w:r w:rsidRPr="00014BD2">
                        <w:rPr>
                          <w:sz w:val="16"/>
                          <w:szCs w:val="16"/>
                        </w:rPr>
                        <w:t>© Amnesty International 2023</w:t>
                      </w:r>
                    </w:p>
                    <w:p w14:paraId="2247AD3B" w14:textId="77777777" w:rsidR="00070213" w:rsidRDefault="00070213"/>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070213" w:rsidRPr="00D4065A" w:rsidRDefault="0007021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2"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G2iZQIAALoEAAAOAAAAZHJzL2Uyb0RvYy54bWysVMFu2zAMvQ/YPwi6r3bSpGuMOEWWIsOA&#10;rC3QDj0rshwbk0VNVGJnXz9KdtKu22lYDookUo/k46PnN12j2UE5rMHkfHSRcqaMhKI2u5x/e1p/&#10;uOYMvTCF0GBUzo8K+c3i/bt5azM1hgp0oRwjEINZa3NeeW+zJEFZqUbgBVhlyFiCa4Sno9slhRMt&#10;oTc6GafpVdKCK6wDqRDp9rY38kXEL0sl/X1ZovJM55xy83F1cd2GNVnMRbZzwla1HNIQ/5BFI2pD&#10;Qc9Qt8ILtnf1H1BNLR0glP5CQpNAWdZSxRqomlH6pprHSlgVayFy0J5pwv8HK+8Oj/bBMd99go4a&#10;GItAuwH5HZmBVSXMTi3REpHBSnQlrcVseBZoxgwJINTela4J/1QVIyyi+3imWHWeSbq8HM9mkysy&#10;SbKN0+vr6WgaUV+eW4f+s4KGhU3OHYWOWYnDBn1IQGQnlxANQdfFutY6Ho640o4dBLWbVFJAy5kW&#10;6Oky5+v4i1h633yFovebTdM0CoGAMb6PMX7D1Ya1Ob+6nKbxuYEQsM9Fm4GTnoZAiO+2HasLehBK&#10;CzdbKI7EsoNegGjluqbqNpTag3CkOGKEpsjf01JqoFgw7DirwP38233wJyGQlbOWFJxz/LEXTlHF&#10;XwxJZDaaTILk42Ey/Timg3tt2b62mH2zAmJtRPNqZdwGf69P29JB80zDtgxRySSMpNg596ftyvdz&#10;RcMq1XIZnUjkVviNebTyJK7Qu6fuWTg7NNiTNu7gpHWRvelz7xuaa2C591DWUQQvrA7004DEvg3D&#10;HCbw9Tl6vXxyFr8AAAD//wMAUEsDBBQABgAIAAAAIQAtfg6s3wAAAA0BAAAPAAAAZHJzL2Rvd25y&#10;ZXYueG1sTI/LTsMwEEX3SPyDNUjsWrvB9JHGqRCCPbQRazcekpTYjmK3Mf16hhUsZ+7RnTPFLtme&#10;XXAMnXcKFnMBDF3tTecaBdXhdbYGFqJ2RvfeoYJvDLArb28KnRs/uXe87GPDqMSFXCtoYxxyzkPd&#10;otVh7gd0lH360epI49hwM+qJym3PMyGW3OrO0YVWD/jcYv21P1sFb1U6fKxPSVYWm5druE6d3zRK&#10;3d+lpy2wiCn+wfCrT+pQktPRn50JrFcwy2RGKAVCLlbACJGbRwnsSKuHlVgCLwv+/4vyBwAA//8D&#10;AFBLAQItABQABgAIAAAAIQC2gziS/gAAAOEBAAATAAAAAAAAAAAAAAAAAAAAAABbQ29udGVudF9U&#10;eXBlc10ueG1sUEsBAi0AFAAGAAgAAAAhADj9If/WAAAAlAEAAAsAAAAAAAAAAAAAAAAALwEAAF9y&#10;ZWxzLy5yZWxzUEsBAi0AFAAGAAgAAAAhAAhsbaJlAgAAugQAAA4AAAAAAAAAAAAAAAAALgIAAGRy&#10;cy9lMm9Eb2MueG1sUEsBAi0AFAAGAAgAAAAhAC1+DqzfAAAADQEAAA8AAAAAAAAAAAAAAAAAvwQA&#10;AGRycy9kb3ducmV2LnhtbFBLBQYAAAAABAAEAPMAAADLBQAAAAA=&#10;" fillcolor="#f2f2f2" stroked="f" strokeweight=".5pt">
                <o:lock v:ext="edit" aspectratio="t"/>
                <v:textbox>
                  <w:txbxContent>
                    <w:p w14:paraId="0CD7CF50" w14:textId="77777777" w:rsidR="00070213" w:rsidRPr="00D4065A" w:rsidRDefault="0007021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35B5D" w14:textId="77777777" w:rsidR="00DB3CAB" w:rsidRDefault="00DB3CAB" w:rsidP="003A7195">
      <w:r>
        <w:separator/>
      </w:r>
    </w:p>
  </w:endnote>
  <w:endnote w:type="continuationSeparator" w:id="0">
    <w:p w14:paraId="7976724B" w14:textId="77777777" w:rsidR="00DB3CAB" w:rsidRDefault="00DB3CAB" w:rsidP="003A7195">
      <w:r>
        <w:continuationSeparator/>
      </w:r>
    </w:p>
  </w:endnote>
  <w:endnote w:type="continuationNotice" w:id="1">
    <w:p w14:paraId="6B404BCB" w14:textId="77777777" w:rsidR="00DB3CAB" w:rsidRDefault="00DB3C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w:altName w:val="Amnesty Trade Gothic"/>
    <w:panose1 w:val="020B0503040303020004"/>
    <w:charset w:val="00"/>
    <w:family w:val="swiss"/>
    <w:pitch w:val="variable"/>
    <w:sig w:usb0="800000AF" w:usb1="5000204A" w:usb2="00000000" w:usb3="00000000" w:csb0="0000009B"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599EB" w14:textId="6FEEDC69" w:rsidR="00070213" w:rsidRPr="00914551" w:rsidRDefault="00652E46" w:rsidP="005B4CE5">
    <w:pPr>
      <w:pStyle w:val="BFootertitle"/>
      <w:spacing w:before="160"/>
    </w:pPr>
    <w:r w:rsidRPr="00CB0FBD">
      <w:rPr>
        <w:noProof/>
        <w:lang w:eastAsia="en-GB"/>
      </w:rPr>
      <w:drawing>
        <wp:anchor distT="0" distB="0" distL="114300" distR="114300" simplePos="0" relativeHeight="251657216" behindDoc="0" locked="1" layoutInCell="1" allowOverlap="1" wp14:anchorId="398AA55A" wp14:editId="189BCBD8">
          <wp:simplePos x="0" y="0"/>
          <wp:positionH relativeFrom="page">
            <wp:posOffset>5363210</wp:posOffset>
          </wp:positionH>
          <wp:positionV relativeFrom="bottomMargin">
            <wp:align>top</wp:align>
          </wp:positionV>
          <wp:extent cx="1468755" cy="626110"/>
          <wp:effectExtent l="0" t="0" r="0" b="2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r w:rsidR="00070213">
      <w:t>germany</w:t>
    </w:r>
    <w:r w:rsidR="00070213" w:rsidRPr="00914551">
      <w:tab/>
    </w:r>
  </w:p>
  <w:p w14:paraId="083A4564" w14:textId="77777777" w:rsidR="00070213" w:rsidRDefault="00070213" w:rsidP="005B4CE5">
    <w:pPr>
      <w:pStyle w:val="BFooterbriefingsubtitle"/>
      <w:rPr>
        <w:lang w:val="en-GB"/>
      </w:rPr>
    </w:pPr>
    <w:r w:rsidRPr="0021319C">
      <w:rPr>
        <w:lang w:val="en-GB"/>
      </w:rPr>
      <w:t xml:space="preserve">SUBMISSION TO THE UN COMMITTEE ON THE ELIMINATION OF RACIAL DISCRIMINATION </w:t>
    </w:r>
  </w:p>
  <w:p w14:paraId="674E9281" w14:textId="00103127" w:rsidR="00070213" w:rsidRPr="0021319C" w:rsidRDefault="00070213" w:rsidP="005B4CE5">
    <w:pPr>
      <w:pStyle w:val="BFooterbriefingsubtitle"/>
      <w:rPr>
        <w:lang w:val="en-GB"/>
      </w:rPr>
    </w:pPr>
    <w:r w:rsidRPr="00914551">
      <w:tab/>
    </w:r>
  </w:p>
  <w:p w14:paraId="4C5744CE" w14:textId="77777777" w:rsidR="00070213" w:rsidRPr="003E2AA1" w:rsidRDefault="00070213"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6337C" w14:textId="121559BA" w:rsidR="00070213" w:rsidRDefault="00070213">
    <w:pPr>
      <w:pStyle w:val="Footer"/>
    </w:pPr>
    <w:r w:rsidRPr="00CB0FBD">
      <w:rPr>
        <w:noProof/>
        <w:lang w:eastAsia="en-GB"/>
      </w:rPr>
      <w:drawing>
        <wp:anchor distT="0" distB="0" distL="114300" distR="114300" simplePos="0" relativeHeight="251660288" behindDoc="0" locked="1" layoutInCell="1" allowOverlap="1" wp14:anchorId="3473D63F" wp14:editId="581FE007">
          <wp:simplePos x="0" y="0"/>
          <wp:positionH relativeFrom="page">
            <wp:posOffset>5604510</wp:posOffset>
          </wp:positionH>
          <wp:positionV relativeFrom="page">
            <wp:posOffset>9468485</wp:posOffset>
          </wp:positionV>
          <wp:extent cx="1468755" cy="62611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BCAD2" w14:textId="77777777" w:rsidR="00454EAC" w:rsidRPr="00914551" w:rsidRDefault="00454EAC" w:rsidP="00454EAC">
    <w:pPr>
      <w:pStyle w:val="BFootertitle"/>
      <w:spacing w:before="160"/>
    </w:pPr>
    <w:r>
      <w:t>germany</w:t>
    </w:r>
    <w:r w:rsidRPr="00914551">
      <w:tab/>
    </w:r>
  </w:p>
  <w:p w14:paraId="2550A1C6" w14:textId="77777777" w:rsidR="00454EAC" w:rsidRDefault="00454EAC" w:rsidP="00454EAC">
    <w:pPr>
      <w:pStyle w:val="BFooterbriefingsubtitle"/>
      <w:rPr>
        <w:lang w:val="en-GB"/>
      </w:rPr>
    </w:pPr>
    <w:r w:rsidRPr="0021319C">
      <w:rPr>
        <w:lang w:val="en-GB"/>
      </w:rPr>
      <w:t xml:space="preserve">SUBMISSION TO THE UN COMMITTEE ON THE ELIMINATION OF RACIAL DISCRIMINATION </w:t>
    </w:r>
  </w:p>
  <w:p w14:paraId="215AE759" w14:textId="0A30ECFB" w:rsidR="00454EAC" w:rsidRPr="0021319C" w:rsidRDefault="00454EAC" w:rsidP="00454EAC">
    <w:pPr>
      <w:pStyle w:val="BFooterbriefingsubtitle"/>
      <w:rPr>
        <w:lang w:val="en-GB"/>
      </w:rPr>
    </w:pPr>
    <w:r w:rsidRPr="00914551">
      <w:tab/>
    </w:r>
    <w:r w:rsidR="001169EE" w:rsidRPr="00CB0FBD">
      <w:rPr>
        <w:noProof/>
        <w:lang w:eastAsia="en-GB"/>
      </w:rPr>
      <w:drawing>
        <wp:anchor distT="0" distB="0" distL="114300" distR="114300" simplePos="0" relativeHeight="251660289" behindDoc="0" locked="1" layoutInCell="1" allowOverlap="1" wp14:anchorId="12001DBF" wp14:editId="0F764E43">
          <wp:simplePos x="0" y="0"/>
          <wp:positionH relativeFrom="page">
            <wp:posOffset>5164455</wp:posOffset>
          </wp:positionH>
          <wp:positionV relativeFrom="bottomMargin">
            <wp:align>top</wp:align>
          </wp:positionV>
          <wp:extent cx="1468755" cy="626110"/>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F80BD8" w14:textId="78A4C690" w:rsidR="00070213" w:rsidRPr="00454EAC" w:rsidRDefault="00454EAC" w:rsidP="00454EAC">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4</w:t>
    </w:r>
    <w:r w:rsidRPr="003E2AA1">
      <w:rPr>
        <w:rFonts w:ascii="Amnesty Trade Gothic Cn" w:hAnsi="Amnesty Trade Gothic C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C7513" w14:textId="77777777" w:rsidR="00DB3CAB" w:rsidRDefault="00DB3CAB" w:rsidP="003A7195">
      <w:r>
        <w:separator/>
      </w:r>
    </w:p>
  </w:footnote>
  <w:footnote w:type="continuationSeparator" w:id="0">
    <w:p w14:paraId="766B7A9E" w14:textId="77777777" w:rsidR="00DB3CAB" w:rsidRDefault="00DB3CAB" w:rsidP="003A7195">
      <w:r>
        <w:continuationSeparator/>
      </w:r>
    </w:p>
  </w:footnote>
  <w:footnote w:type="continuationNotice" w:id="1">
    <w:p w14:paraId="3F271052" w14:textId="77777777" w:rsidR="00DB3CAB" w:rsidRDefault="00DB3CAB"/>
  </w:footnote>
  <w:footnote w:id="2">
    <w:p w14:paraId="748A475C"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hAnsiTheme="minorHAnsi"/>
          <w:sz w:val="14"/>
          <w:szCs w:val="14"/>
        </w:rPr>
        <w:footnoteRef/>
      </w:r>
      <w:r w:rsidRPr="00823A57">
        <w:rPr>
          <w:rFonts w:asciiTheme="minorHAnsi" w:hAnsiTheme="minorHAnsi"/>
          <w:sz w:val="14"/>
          <w:szCs w:val="14"/>
        </w:rPr>
        <w:t xml:space="preserve"> “The Federal Republic of Germany ratified the Convention in 1969. Nevertheless, ICERD is still not as well known today, even in legal circles, as the importance of the topic for an open and diverse society </w:t>
      </w:r>
      <w:proofErr w:type="gramStart"/>
      <w:r w:rsidRPr="00823A57">
        <w:rPr>
          <w:rFonts w:asciiTheme="minorHAnsi" w:hAnsiTheme="minorHAnsi"/>
          <w:sz w:val="14"/>
          <w:szCs w:val="14"/>
        </w:rPr>
        <w:t>actually demands</w:t>
      </w:r>
      <w:proofErr w:type="gramEnd"/>
      <w:r w:rsidRPr="00823A57">
        <w:rPr>
          <w:rFonts w:asciiTheme="minorHAnsi" w:hAnsiTheme="minorHAnsi"/>
          <w:sz w:val="14"/>
          <w:szCs w:val="14"/>
        </w:rPr>
        <w:t xml:space="preserve">.” Foreword by Heiko Maas, then minister of Minister of Justice, of the information brochure on ICERD, May 2017, p. 2, </w:t>
      </w:r>
      <w:hyperlink r:id="rId1" w:history="1">
        <w:r w:rsidRPr="00823A57">
          <w:rPr>
            <w:rStyle w:val="Hyperlink"/>
            <w:rFonts w:asciiTheme="minorHAnsi" w:hAnsiTheme="minorHAnsi"/>
            <w:sz w:val="14"/>
            <w:szCs w:val="14"/>
          </w:rPr>
          <w:t>https://www.bmj.de/SharedDocs/Publikationen/DE/Fachpublikationen/2017_ICERD.pdf?__blob=publicationFile&amp;v=4</w:t>
        </w:r>
      </w:hyperlink>
      <w:r w:rsidRPr="00823A57">
        <w:rPr>
          <w:rFonts w:asciiTheme="minorHAnsi" w:hAnsiTheme="minorHAnsi"/>
          <w:sz w:val="14"/>
          <w:szCs w:val="14"/>
        </w:rPr>
        <w:t xml:space="preserve"> (in German). Acknowledging this problem, “the Federal Government is committed to advancing the ICERD definition of racism and its application as a yardstick in official practice as well”, see Commissioner for Anti-Racism, “</w:t>
      </w:r>
      <w:proofErr w:type="spellStart"/>
      <w:r w:rsidRPr="00823A57">
        <w:rPr>
          <w:rFonts w:asciiTheme="minorHAnsi" w:hAnsiTheme="minorHAnsi"/>
          <w:sz w:val="14"/>
          <w:szCs w:val="14"/>
        </w:rPr>
        <w:t>Lagebericht</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Rassismus</w:t>
      </w:r>
      <w:proofErr w:type="spellEnd"/>
      <w:r w:rsidRPr="00823A57">
        <w:rPr>
          <w:rFonts w:asciiTheme="minorHAnsi" w:hAnsiTheme="minorHAnsi"/>
          <w:sz w:val="14"/>
          <w:szCs w:val="14"/>
        </w:rPr>
        <w:t xml:space="preserve"> in Deutschland” [Status report on Racism in Germany”], 2023, p. 17, </w:t>
      </w:r>
      <w:hyperlink r:id="rId2" w:history="1">
        <w:r w:rsidRPr="00823A57">
          <w:rPr>
            <w:rStyle w:val="Hyperlink"/>
            <w:rFonts w:asciiTheme="minorHAnsi" w:hAnsiTheme="minorHAnsi"/>
            <w:sz w:val="14"/>
            <w:szCs w:val="14"/>
          </w:rPr>
          <w:t>https://www.integrationsbeauftragte.de/resource/blob/1864320/2157012/77c8d1dddeea760bc13dbd87ee9a415f/lagebericht-rassismus-komplett-data.pdf?download=</w:t>
        </w:r>
      </w:hyperlink>
      <w:r w:rsidRPr="00823A57">
        <w:rPr>
          <w:rFonts w:asciiTheme="minorHAnsi" w:hAnsiTheme="minorHAnsi"/>
          <w:sz w:val="14"/>
          <w:szCs w:val="14"/>
        </w:rPr>
        <w:t xml:space="preserve"> (in German).</w:t>
      </w:r>
    </w:p>
  </w:footnote>
  <w:footnote w:id="3">
    <w:p w14:paraId="77E07D05"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Committee on the Elimination of Racial Discrimination, </w:t>
      </w:r>
      <w:proofErr w:type="gramStart"/>
      <w:r w:rsidRPr="00823A57">
        <w:rPr>
          <w:rFonts w:asciiTheme="minorHAnsi" w:hAnsiTheme="minorHAnsi"/>
          <w:sz w:val="14"/>
          <w:szCs w:val="14"/>
        </w:rPr>
        <w:t>Concluding</w:t>
      </w:r>
      <w:proofErr w:type="gramEnd"/>
      <w:r w:rsidRPr="00823A57">
        <w:rPr>
          <w:rFonts w:asciiTheme="minorHAnsi" w:hAnsiTheme="minorHAnsi"/>
          <w:sz w:val="14"/>
          <w:szCs w:val="14"/>
        </w:rPr>
        <w:t xml:space="preserve"> observations on the combined nineteenth to twenty-second periodic reports of Germany (</w:t>
      </w:r>
      <w:bookmarkStart w:id="3" w:name="_Hlk146704379"/>
      <w:r w:rsidRPr="00823A57">
        <w:rPr>
          <w:rFonts w:asciiTheme="minorHAnsi" w:hAnsiTheme="minorHAnsi"/>
          <w:sz w:val="14"/>
          <w:szCs w:val="14"/>
        </w:rPr>
        <w:t>Concluding Observations on 19th-22nd reports on Germany), 30 June 2015, UN Doc. CERD/C/DEU/CO/19-22</w:t>
      </w:r>
      <w:bookmarkEnd w:id="3"/>
      <w:r w:rsidRPr="00823A57">
        <w:rPr>
          <w:rFonts w:asciiTheme="minorHAnsi" w:hAnsiTheme="minorHAnsi"/>
          <w:sz w:val="14"/>
          <w:szCs w:val="14"/>
        </w:rPr>
        <w:t>, para. 7; Committee on the Elimination of Racial Discrimination, Consideration of reports submitted by state parties under article 9 of the convention, 22 September 2008, UN Doc CERD/C/DEU/CO/18, para. 15.</w:t>
      </w:r>
    </w:p>
  </w:footnote>
  <w:footnote w:id="4">
    <w:p w14:paraId="2362753B" w14:textId="332EFAC8" w:rsidR="00454EAC" w:rsidRPr="00823A57" w:rsidRDefault="00070213" w:rsidP="00CD0A25">
      <w:pPr>
        <w:pStyle w:val="FootnoteText"/>
        <w:shd w:val="clear" w:color="auto" w:fill="FFFFFF"/>
        <w:spacing w:after="0"/>
        <w:rPr>
          <w:rFonts w:asciiTheme="minorHAnsi" w:eastAsia="Amnesty Trade Gothic" w:hAnsiTheme="minorHAnsi" w:cs="Amnesty Trade Gothic"/>
          <w:color w:val="000000"/>
          <w:sz w:val="14"/>
          <w:szCs w:val="14"/>
        </w:rPr>
      </w:pPr>
      <w:r w:rsidRPr="00823A57">
        <w:rPr>
          <w:rStyle w:val="FootnoteReference"/>
          <w:rFonts w:asciiTheme="minorHAnsi" w:hAnsiTheme="minorHAnsi"/>
          <w:color w:val="auto"/>
          <w:sz w:val="14"/>
          <w:szCs w:val="14"/>
        </w:rPr>
        <w:footnoteRef/>
      </w:r>
      <w:r w:rsidRPr="00823A57">
        <w:rPr>
          <w:rFonts w:asciiTheme="minorHAnsi" w:hAnsiTheme="minorHAnsi"/>
          <w:sz w:val="14"/>
          <w:szCs w:val="14"/>
        </w:rPr>
        <w:t xml:space="preserve"> The European Commission against Racism and Intolerance (ECRI) </w:t>
      </w:r>
      <w:r w:rsidR="00135C10" w:rsidRPr="00823A57">
        <w:rPr>
          <w:rFonts w:asciiTheme="minorHAnsi" w:hAnsiTheme="minorHAnsi"/>
          <w:sz w:val="14"/>
          <w:szCs w:val="14"/>
        </w:rPr>
        <w:t>criticized</w:t>
      </w:r>
      <w:r w:rsidRPr="00823A57">
        <w:rPr>
          <w:rFonts w:asciiTheme="minorHAnsi" w:hAnsiTheme="minorHAnsi"/>
          <w:sz w:val="14"/>
          <w:szCs w:val="14"/>
        </w:rPr>
        <w:t xml:space="preserve"> that in Germany the definition of hate crime “is still narrower than suggested by ECRI in § 14 of its GPR No. 11” which recommends that “a racist incident shall be: ‘any incident which is perceived to be racist by the victim or any other person’”. </w:t>
      </w:r>
      <w:r w:rsidRPr="00823A57">
        <w:rPr>
          <w:rFonts w:asciiTheme="minorHAnsi" w:eastAsia="Amnesty Trade Gothic" w:hAnsiTheme="minorHAnsi" w:cs="Amnesty Trade Gothic"/>
          <w:color w:val="000000"/>
          <w:sz w:val="14"/>
          <w:szCs w:val="14"/>
        </w:rPr>
        <w:t xml:space="preserve">European Commission against Racism and Intolerance, ECRI report on Germany (sixth monitoring cycle) (ECRI on Germany 2020), 17 March 2020, </w:t>
      </w:r>
      <w:hyperlink r:id="rId3" w:history="1">
        <w:r w:rsidRPr="00823A57">
          <w:rPr>
            <w:rStyle w:val="Hyperlink"/>
            <w:rFonts w:asciiTheme="minorHAnsi" w:eastAsia="Amnesty Trade Gothic" w:hAnsiTheme="minorHAnsi" w:cs="Amnesty Trade Gothic"/>
            <w:sz w:val="14"/>
            <w:szCs w:val="14"/>
          </w:rPr>
          <w:t>https://rm.coe.int/ecri-report-on-germany-sixth-monitoring-cycle-/16809ce4be</w:t>
        </w:r>
      </w:hyperlink>
      <w:r w:rsidRPr="00823A57">
        <w:rPr>
          <w:rFonts w:asciiTheme="minorHAnsi" w:eastAsia="Amnesty Trade Gothic" w:hAnsiTheme="minorHAnsi" w:cs="Amnesty Trade Gothic"/>
          <w:color w:val="000000"/>
          <w:sz w:val="14"/>
          <w:szCs w:val="14"/>
        </w:rPr>
        <w:t>, para. 61.</w:t>
      </w:r>
    </w:p>
  </w:footnote>
  <w:footnote w:id="5">
    <w:p w14:paraId="159F1305"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hAnsiTheme="minorHAnsi"/>
          <w:color w:val="auto"/>
          <w:sz w:val="14"/>
          <w:szCs w:val="14"/>
        </w:rPr>
        <w:footnoteRef/>
      </w:r>
      <w:r w:rsidRPr="00823A57">
        <w:rPr>
          <w:rFonts w:asciiTheme="minorHAnsi" w:hAnsiTheme="minorHAnsi"/>
          <w:sz w:val="14"/>
          <w:szCs w:val="14"/>
        </w:rPr>
        <w:t xml:space="preserve"> See inadequate investigation of racist hate crimes in section below as well as in Amnesty International, </w:t>
      </w:r>
      <w:r w:rsidRPr="00823A57">
        <w:rPr>
          <w:rFonts w:asciiTheme="minorHAnsi" w:hAnsiTheme="minorHAnsi"/>
          <w:color w:val="000000"/>
          <w:sz w:val="14"/>
          <w:szCs w:val="14"/>
        </w:rPr>
        <w:t xml:space="preserve">Living in insecurity: Germany is failing victims of racist violence (Index: EUR 23/4112/2016), 9 June 2016, </w:t>
      </w:r>
      <w:hyperlink r:id="rId4" w:history="1">
        <w:r w:rsidRPr="00823A57">
          <w:rPr>
            <w:rStyle w:val="Hyperlink"/>
            <w:rFonts w:asciiTheme="minorHAnsi" w:eastAsia="Amnesty Trade Gothic" w:hAnsiTheme="minorHAnsi" w:cs="Amnesty Trade Gothic"/>
            <w:sz w:val="14"/>
            <w:szCs w:val="14"/>
          </w:rPr>
          <w:t>https://www.amnesty.org/en/documents/EUR23/4112/2016/en/</w:t>
        </w:r>
      </w:hyperlink>
      <w:r w:rsidRPr="00823A57">
        <w:rPr>
          <w:rStyle w:val="Hyperlink"/>
          <w:rFonts w:asciiTheme="minorHAnsi" w:eastAsia="Amnesty Trade Gothic" w:hAnsiTheme="minorHAnsi" w:cs="Amnesty Trade Gothic"/>
          <w:sz w:val="14"/>
          <w:szCs w:val="14"/>
        </w:rPr>
        <w:t xml:space="preserve">, </w:t>
      </w:r>
      <w:r w:rsidRPr="00823A57">
        <w:rPr>
          <w:rFonts w:asciiTheme="minorHAnsi" w:hAnsiTheme="minorHAnsi"/>
          <w:sz w:val="14"/>
          <w:szCs w:val="14"/>
        </w:rPr>
        <w:t xml:space="preserve">p. 55 ff. </w:t>
      </w:r>
    </w:p>
    <w:p w14:paraId="6259CFE2" w14:textId="77777777" w:rsidR="008D6363" w:rsidRPr="00823A57" w:rsidRDefault="008D6363" w:rsidP="00CD0A25">
      <w:pPr>
        <w:pStyle w:val="FootnoteText"/>
        <w:shd w:val="clear" w:color="auto" w:fill="FFFFFF"/>
        <w:spacing w:after="0"/>
        <w:rPr>
          <w:rFonts w:asciiTheme="minorHAnsi" w:hAnsiTheme="minorHAnsi"/>
          <w:sz w:val="14"/>
          <w:szCs w:val="14"/>
        </w:rPr>
      </w:pPr>
    </w:p>
  </w:footnote>
  <w:footnote w:id="6">
    <w:p w14:paraId="12A952CD"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hAnsiTheme="minorHAnsi"/>
          <w:sz w:val="14"/>
          <w:szCs w:val="14"/>
        </w:rPr>
        <w:footnoteRef/>
      </w:r>
      <w:r w:rsidRPr="00823A57">
        <w:rPr>
          <w:rFonts w:asciiTheme="minorHAnsi" w:hAnsiTheme="minorHAnsi"/>
          <w:sz w:val="14"/>
          <w:szCs w:val="14"/>
        </w:rPr>
        <w:t xml:space="preserve"> In addition to the 2006 established Federal Anti-Discrimination Agency, the government appointed for the first time a commissioner against antisemitism in 2018, a commissioner for queer-related matters and commissioners for anti-racism and for Roma people in 2022. These positions are attached to different ministries which is often </w:t>
      </w:r>
      <w:proofErr w:type="spellStart"/>
      <w:r w:rsidRPr="00823A57">
        <w:rPr>
          <w:rFonts w:asciiTheme="minorHAnsi" w:hAnsiTheme="minorHAnsi"/>
          <w:sz w:val="14"/>
          <w:szCs w:val="14"/>
        </w:rPr>
        <w:t>criticised</w:t>
      </w:r>
      <w:proofErr w:type="spellEnd"/>
      <w:r w:rsidRPr="00823A57">
        <w:rPr>
          <w:rFonts w:asciiTheme="minorHAnsi" w:hAnsiTheme="minorHAnsi"/>
          <w:sz w:val="14"/>
          <w:szCs w:val="14"/>
        </w:rPr>
        <w:t xml:space="preserve"> due to different spheres of influence.</w:t>
      </w:r>
    </w:p>
  </w:footnote>
  <w:footnote w:id="7">
    <w:p w14:paraId="04DA4DDB"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See Integration commissioner, “Expert*</w:t>
      </w:r>
      <w:proofErr w:type="spellStart"/>
      <w:r w:rsidRPr="00823A57">
        <w:rPr>
          <w:rFonts w:asciiTheme="minorHAnsi" w:hAnsiTheme="minorHAnsi"/>
          <w:sz w:val="14"/>
          <w:szCs w:val="14"/>
        </w:rPr>
        <w:t>innenrat</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Antirassismus</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nimmt</w:t>
      </w:r>
      <w:proofErr w:type="spellEnd"/>
      <w:r w:rsidRPr="00823A57">
        <w:rPr>
          <w:rFonts w:asciiTheme="minorHAnsi" w:hAnsiTheme="minorHAnsi"/>
          <w:sz w:val="14"/>
          <w:szCs w:val="14"/>
        </w:rPr>
        <w:t xml:space="preserve"> Arbeit auf“ [“Council of Experts on Antiracism starts work”], </w:t>
      </w:r>
      <w:hyperlink r:id="rId5" w:tooltip="https://www.integrationsbeauftragte.de/ib-de/staatsministerin/expert-innenrat-2194024" w:history="1">
        <w:r w:rsidRPr="00823A57">
          <w:rPr>
            <w:rStyle w:val="Hyperlink"/>
            <w:rFonts w:asciiTheme="minorHAnsi" w:eastAsia="Amnesty Trade Gothic" w:hAnsiTheme="minorHAnsi" w:cs="Amnesty Trade Gothic"/>
            <w:color w:val="0563C1"/>
            <w:sz w:val="14"/>
            <w:szCs w:val="14"/>
          </w:rPr>
          <w:t>https://www.integrationsbeauftragte.de/ib-de/staatsministerin/expert-innenrat-2194024</w:t>
        </w:r>
      </w:hyperlink>
      <w:r w:rsidRPr="00823A57">
        <w:rPr>
          <w:rFonts w:asciiTheme="minorHAnsi" w:hAnsiTheme="minorHAnsi"/>
          <w:sz w:val="14"/>
          <w:szCs w:val="14"/>
        </w:rPr>
        <w:t xml:space="preserve"> (in German).</w:t>
      </w:r>
    </w:p>
  </w:footnote>
  <w:footnote w:id="8">
    <w:p w14:paraId="45E973B2"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Federal Ministry of the Interior and Community, ”</w:t>
      </w:r>
      <w:proofErr w:type="spellStart"/>
      <w:r w:rsidRPr="00823A57">
        <w:rPr>
          <w:rFonts w:asciiTheme="minorHAnsi" w:hAnsiTheme="minorHAnsi"/>
          <w:sz w:val="14"/>
          <w:szCs w:val="14"/>
        </w:rPr>
        <w:t>Abschlussbericht</w:t>
      </w:r>
      <w:proofErr w:type="spellEnd"/>
      <w:r w:rsidRPr="00823A57">
        <w:rPr>
          <w:rFonts w:asciiTheme="minorHAnsi" w:hAnsiTheme="minorHAnsi"/>
          <w:sz w:val="14"/>
          <w:szCs w:val="14"/>
        </w:rPr>
        <w:t xml:space="preserve"> des </w:t>
      </w:r>
      <w:proofErr w:type="spellStart"/>
      <w:r w:rsidRPr="00823A57">
        <w:rPr>
          <w:rFonts w:asciiTheme="minorHAnsi" w:hAnsiTheme="minorHAnsi"/>
          <w:sz w:val="14"/>
          <w:szCs w:val="14"/>
        </w:rPr>
        <w:t>Kabinettausschusses</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zur</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Bekämpfung</w:t>
      </w:r>
      <w:proofErr w:type="spellEnd"/>
      <w:r w:rsidRPr="00823A57">
        <w:rPr>
          <w:rFonts w:asciiTheme="minorHAnsi" w:hAnsiTheme="minorHAnsi"/>
          <w:sz w:val="14"/>
          <w:szCs w:val="14"/>
        </w:rPr>
        <w:t xml:space="preserve"> von </w:t>
      </w:r>
      <w:proofErr w:type="spellStart"/>
      <w:r w:rsidRPr="00823A57">
        <w:rPr>
          <w:rFonts w:asciiTheme="minorHAnsi" w:hAnsiTheme="minorHAnsi"/>
          <w:sz w:val="14"/>
          <w:szCs w:val="14"/>
        </w:rPr>
        <w:t>Rechtsextremismus</w:t>
      </w:r>
      <w:proofErr w:type="spellEnd"/>
      <w:r w:rsidRPr="00823A57">
        <w:rPr>
          <w:rFonts w:asciiTheme="minorHAnsi" w:hAnsiTheme="minorHAnsi"/>
          <w:sz w:val="14"/>
          <w:szCs w:val="14"/>
        </w:rPr>
        <w:t xml:space="preserve"> und </w:t>
      </w:r>
      <w:proofErr w:type="spellStart"/>
      <w:r w:rsidRPr="00823A57">
        <w:rPr>
          <w:rFonts w:asciiTheme="minorHAnsi" w:hAnsiTheme="minorHAnsi"/>
          <w:sz w:val="14"/>
          <w:szCs w:val="14"/>
        </w:rPr>
        <w:t>Rassismus</w:t>
      </w:r>
      <w:proofErr w:type="spellEnd"/>
      <w:r w:rsidRPr="00823A57">
        <w:rPr>
          <w:rFonts w:asciiTheme="minorHAnsi" w:hAnsiTheme="minorHAnsi"/>
          <w:sz w:val="14"/>
          <w:szCs w:val="14"/>
        </w:rPr>
        <w:t>“, [“Final Report of the Cabinet Committee on Combating Right-Wing Extremism and Racism“], 12 May 2021, </w:t>
      </w:r>
      <w:hyperlink r:id="rId6" w:tooltip="https://www.bmi.bund.de/SharedDocs/downloads/DE/veroeffentlichungen/themen/sicherheit/abschlussbericht-kabinettausschuss-rechtsextremismus.html" w:history="1">
        <w:r w:rsidRPr="00823A57">
          <w:rPr>
            <w:rStyle w:val="Hyperlink"/>
            <w:rFonts w:asciiTheme="minorHAnsi" w:eastAsia="Amnesty Trade Gothic" w:hAnsiTheme="minorHAnsi" w:cs="Amnesty Trade Gothic"/>
            <w:color w:val="0563C1"/>
            <w:sz w:val="14"/>
            <w:szCs w:val="14"/>
          </w:rPr>
          <w:t>https://www.bmi.bund.de/SharedDocs/downloads/DE/veroeffentlichungen/themen/sicherheit/abschlussbericht-kabinettausschuss-rechtsextremismus.html</w:t>
        </w:r>
      </w:hyperlink>
      <w:r w:rsidRPr="00823A57">
        <w:rPr>
          <w:rFonts w:asciiTheme="minorHAnsi" w:hAnsiTheme="minorHAnsi"/>
          <w:sz w:val="14"/>
          <w:szCs w:val="14"/>
        </w:rPr>
        <w:t xml:space="preserve"> (in German).</w:t>
      </w:r>
    </w:p>
  </w:footnote>
  <w:footnote w:id="9">
    <w:p w14:paraId="280842CA"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w:t>
      </w:r>
      <w:r w:rsidRPr="00823A57">
        <w:rPr>
          <w:rFonts w:asciiTheme="minorHAnsi" w:hAnsiTheme="minorHAnsi"/>
          <w:color w:val="000000"/>
          <w:sz w:val="14"/>
          <w:szCs w:val="14"/>
        </w:rPr>
        <w:t>Federal Ministry of the Interior and Community</w:t>
      </w:r>
      <w:r w:rsidRPr="00823A57">
        <w:rPr>
          <w:rFonts w:asciiTheme="minorHAnsi" w:hAnsiTheme="minorHAnsi"/>
          <w:sz w:val="14"/>
          <w:szCs w:val="14"/>
        </w:rPr>
        <w:t>, ”</w:t>
      </w:r>
      <w:proofErr w:type="spellStart"/>
      <w:r w:rsidRPr="00823A57">
        <w:rPr>
          <w:rFonts w:asciiTheme="minorHAnsi" w:hAnsiTheme="minorHAnsi"/>
          <w:sz w:val="14"/>
          <w:szCs w:val="14"/>
        </w:rPr>
        <w:t>Aktionsplan</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gegen</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Rechtsextremismus</w:t>
      </w:r>
      <w:proofErr w:type="spellEnd"/>
      <w:r w:rsidRPr="00823A57">
        <w:rPr>
          <w:rFonts w:asciiTheme="minorHAnsi" w:hAnsiTheme="minorHAnsi"/>
          <w:sz w:val="14"/>
          <w:szCs w:val="14"/>
        </w:rPr>
        <w:t>“</w:t>
      </w:r>
      <w:r w:rsidRPr="00823A57">
        <w:rPr>
          <w:rFonts w:asciiTheme="minorHAnsi" w:hAnsiTheme="minorHAnsi"/>
          <w:color w:val="000000"/>
          <w:sz w:val="14"/>
          <w:szCs w:val="14"/>
        </w:rPr>
        <w:t xml:space="preserve"> [“Action Plan Against Right-Wing Extremism “]</w:t>
      </w:r>
      <w:r w:rsidRPr="00823A57">
        <w:rPr>
          <w:rFonts w:asciiTheme="minorHAnsi" w:hAnsiTheme="minorHAnsi"/>
          <w:sz w:val="14"/>
          <w:szCs w:val="14"/>
        </w:rPr>
        <w:t xml:space="preserve">, 15 March 2022, </w:t>
      </w:r>
      <w:hyperlink r:id="rId7" w:tooltip="https://www.bmi.bund.de/SharedDocs/pressemitteilungen/DE/2022/03/aktionsplan-rechtsextremismus.html" w:history="1">
        <w:r w:rsidRPr="00823A57">
          <w:rPr>
            <w:rStyle w:val="Hyperlink"/>
            <w:rFonts w:asciiTheme="minorHAnsi" w:eastAsia="Amnesty Trade Gothic" w:hAnsiTheme="minorHAnsi" w:cs="Amnesty Trade Gothic"/>
            <w:sz w:val="14"/>
            <w:szCs w:val="14"/>
          </w:rPr>
          <w:t>https://www.bmi.bund.de/SharedDocs/pressemitteilungen/DE/2022/03/aktionsplan-rechtsextremismus.html</w:t>
        </w:r>
      </w:hyperlink>
      <w:r w:rsidRPr="00823A57">
        <w:rPr>
          <w:rFonts w:asciiTheme="minorHAnsi" w:hAnsiTheme="minorHAnsi"/>
          <w:sz w:val="14"/>
          <w:szCs w:val="14"/>
        </w:rPr>
        <w:t xml:space="preserve"> (in German).</w:t>
      </w:r>
    </w:p>
  </w:footnote>
  <w:footnote w:id="10">
    <w:p w14:paraId="5FF71207" w14:textId="77777777" w:rsidR="00070213" w:rsidRPr="00823A57" w:rsidRDefault="00070213" w:rsidP="00CD0A25">
      <w:pPr>
        <w:pStyle w:val="FootnoteText"/>
        <w:shd w:val="clear" w:color="auto" w:fill="FFFFFF"/>
        <w:spacing w:after="0"/>
        <w:rPr>
          <w:rFonts w:asciiTheme="minorHAnsi" w:hAnsiTheme="minorHAnsi" w:cs="Amnesty Trade Gothic"/>
          <w:sz w:val="14"/>
          <w:szCs w:val="14"/>
        </w:rPr>
      </w:pPr>
      <w:r w:rsidRPr="00823A57">
        <w:rPr>
          <w:rStyle w:val="FootnoteReference"/>
          <w:rFonts w:asciiTheme="minorHAnsi" w:eastAsia="Amnesty Trade Gothic" w:hAnsiTheme="minorHAnsi" w:cs="Amnesty Trade Gothic"/>
          <w:sz w:val="14"/>
          <w:szCs w:val="14"/>
        </w:rPr>
        <w:footnoteRef/>
      </w:r>
      <w:r w:rsidRPr="00823A57">
        <w:rPr>
          <w:rFonts w:asciiTheme="minorHAnsi" w:eastAsia="Amnesty Trade Gothic" w:hAnsiTheme="minorHAnsi" w:cs="Amnesty Trade Gothic"/>
          <w:sz w:val="14"/>
          <w:szCs w:val="14"/>
        </w:rPr>
        <w:t xml:space="preserve"> Amnesty International, </w:t>
      </w:r>
      <w:r w:rsidRPr="00823A57">
        <w:rPr>
          <w:rFonts w:asciiTheme="minorHAnsi" w:eastAsia="Amnesty Trade Gothic" w:hAnsiTheme="minorHAnsi" w:cs="Amnesty Trade Gothic"/>
          <w:color w:val="000000"/>
          <w:sz w:val="14"/>
          <w:szCs w:val="14"/>
        </w:rPr>
        <w:t xml:space="preserve">Germany: Discrimination on the rise – Submission to the 44th session of the UPR Working Group, 9 November 2023 (Index: </w:t>
      </w:r>
      <w:r w:rsidRPr="00823A57">
        <w:rPr>
          <w:rStyle w:val="indexnumber"/>
          <w:rFonts w:asciiTheme="minorHAnsi" w:hAnsiTheme="minorHAnsi"/>
          <w:sz w:val="14"/>
          <w:szCs w:val="14"/>
          <w:lang w:val="en-US"/>
        </w:rPr>
        <w:t>EUR 23/6481/2023)</w:t>
      </w:r>
      <w:r w:rsidRPr="00823A57">
        <w:rPr>
          <w:rFonts w:asciiTheme="minorHAnsi" w:hAnsiTheme="minorHAnsi"/>
          <w:sz w:val="14"/>
          <w:szCs w:val="14"/>
          <w:lang w:val="en-US"/>
        </w:rPr>
        <w:t xml:space="preserve">, 31 March 2023, </w:t>
      </w:r>
      <w:hyperlink r:id="rId8" w:tooltip="https://www.amnesty.org/en/documents/eur23/6481/2023/en/" w:history="1">
        <w:r w:rsidRPr="00823A57">
          <w:rPr>
            <w:rStyle w:val="Hyperlink"/>
            <w:rFonts w:asciiTheme="minorHAnsi" w:eastAsia="Amnesty Trade Gothic" w:hAnsiTheme="minorHAnsi" w:cs="Amnesty Trade Gothic"/>
            <w:sz w:val="14"/>
            <w:szCs w:val="14"/>
          </w:rPr>
          <w:t>https://www.amnesty.org/en/documents/eur23/6481/2023/en/</w:t>
        </w:r>
      </w:hyperlink>
      <w:r w:rsidRPr="00823A57">
        <w:rPr>
          <w:rStyle w:val="Hyperlink"/>
          <w:rFonts w:asciiTheme="minorHAnsi" w:eastAsia="Amnesty Trade Gothic" w:hAnsiTheme="minorHAnsi" w:cs="Amnesty Trade Gothic"/>
          <w:sz w:val="14"/>
          <w:szCs w:val="14"/>
        </w:rPr>
        <w:t xml:space="preserve">, </w:t>
      </w:r>
      <w:r w:rsidRPr="00823A57">
        <w:rPr>
          <w:rFonts w:asciiTheme="minorHAnsi" w:eastAsia="Amnesty Trade Gothic" w:hAnsiTheme="minorHAnsi" w:cs="Amnesty Trade Gothic"/>
          <w:color w:val="000000"/>
          <w:sz w:val="14"/>
          <w:szCs w:val="14"/>
        </w:rPr>
        <w:t xml:space="preserve">para. 16. </w:t>
      </w:r>
    </w:p>
  </w:footnote>
  <w:footnote w:id="11">
    <w:p w14:paraId="247B7DCC" w14:textId="77777777" w:rsidR="00070213" w:rsidRPr="00823A57" w:rsidRDefault="00070213" w:rsidP="00CD0A25">
      <w:pPr>
        <w:pStyle w:val="FootnoteText"/>
        <w:shd w:val="clear" w:color="auto" w:fill="FFFFFF"/>
        <w:spacing w:after="0"/>
        <w:rPr>
          <w:rFonts w:asciiTheme="minorHAnsi" w:hAnsiTheme="minorHAnsi" w:cs="Amnesty Trade Gothic"/>
          <w:sz w:val="14"/>
          <w:szCs w:val="14"/>
        </w:rPr>
      </w:pPr>
      <w:r w:rsidRPr="00823A57">
        <w:rPr>
          <w:rFonts w:asciiTheme="minorHAnsi" w:eastAsia="Amnesty Trade Gothic" w:hAnsiTheme="minorHAnsi" w:cs="Amnesty Trade Gothic"/>
          <w:color w:val="auto"/>
          <w:sz w:val="14"/>
          <w:szCs w:val="14"/>
          <w:vertAlign w:val="superscript"/>
        </w:rPr>
        <w:footnoteRef/>
      </w:r>
      <w:r w:rsidRPr="00823A57">
        <w:rPr>
          <w:rFonts w:asciiTheme="minorHAnsi" w:eastAsia="Amnesty Trade Gothic" w:hAnsiTheme="minorHAnsi" w:cs="Amnesty Trade Gothic"/>
          <w:sz w:val="14"/>
          <w:szCs w:val="14"/>
        </w:rPr>
        <w:t xml:space="preserve"> </w:t>
      </w:r>
      <w:r w:rsidRPr="00823A57">
        <w:rPr>
          <w:rFonts w:asciiTheme="minorHAnsi" w:eastAsia="Amnesty Trade Gothic" w:hAnsiTheme="minorHAnsi" w:cs="Amnesty Trade Gothic"/>
          <w:color w:val="000000"/>
          <w:sz w:val="14"/>
          <w:szCs w:val="14"/>
        </w:rPr>
        <w:t>Federal Ministry of the Interior and Community</w:t>
      </w:r>
      <w:r w:rsidRPr="00823A57">
        <w:rPr>
          <w:rFonts w:asciiTheme="minorHAnsi" w:eastAsia="Amnesty Trade Gothic" w:hAnsiTheme="minorHAnsi" w:cs="Amnesty Trade Gothic"/>
          <w:sz w:val="14"/>
          <w:szCs w:val="14"/>
        </w:rPr>
        <w:t xml:space="preserve">, </w:t>
      </w:r>
      <w:hyperlink r:id="rId9" w:tooltip="https://www.bmfsfj.de/bmfsfj/meta/en/the-ministry/the-ministry-112048" w:history="1">
        <w:r w:rsidRPr="00823A57">
          <w:rPr>
            <w:rFonts w:asciiTheme="minorHAnsi" w:eastAsia="Amnesty Trade Gothic" w:hAnsiTheme="minorHAnsi" w:cs="Amnesty Trade Gothic"/>
            <w:sz w:val="14"/>
            <w:szCs w:val="14"/>
          </w:rPr>
          <w:t>Federal Ministry for Family Affairs, Senior Citizens, Women and Youth</w:t>
        </w:r>
      </w:hyperlink>
      <w:r w:rsidRPr="00823A57">
        <w:rPr>
          <w:rFonts w:asciiTheme="minorHAnsi" w:eastAsia="Amnesty Trade Gothic" w:hAnsiTheme="minorHAnsi" w:cs="Amnesty Trade Gothic"/>
          <w:color w:val="000000"/>
          <w:sz w:val="14"/>
          <w:szCs w:val="14"/>
        </w:rPr>
        <w:t>, ”</w:t>
      </w:r>
      <w:proofErr w:type="spellStart"/>
      <w:r w:rsidRPr="00823A57">
        <w:rPr>
          <w:rFonts w:asciiTheme="minorHAnsi" w:eastAsia="Amnesty Trade Gothic" w:hAnsiTheme="minorHAnsi" w:cs="Amnesty Trade Gothic"/>
          <w:color w:val="000000"/>
          <w:sz w:val="14"/>
          <w:szCs w:val="14"/>
        </w:rPr>
        <w:t>Nationaler</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Aktionsplan</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gegen</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Rassismus</w:t>
      </w:r>
      <w:proofErr w:type="spellEnd"/>
      <w:r w:rsidRPr="00823A57">
        <w:rPr>
          <w:rFonts w:asciiTheme="minorHAnsi" w:eastAsia="Amnesty Trade Gothic" w:hAnsiTheme="minorHAnsi" w:cs="Amnesty Trade Gothic"/>
          <w:color w:val="000000"/>
          <w:sz w:val="14"/>
          <w:szCs w:val="14"/>
        </w:rPr>
        <w:t>“ [“National Action Plan Against Racism“], 14 June 2017, </w:t>
      </w:r>
      <w:hyperlink r:id="rId10" w:tooltip="https://www.bmfsfj.de/resource/blob/116798/5fc38044a1dd8edec34de568ad59e2b9/nationaler-aktionsplan-rassismus-data.pdf" w:history="1">
        <w:r w:rsidRPr="00823A57">
          <w:rPr>
            <w:rStyle w:val="Hyperlink"/>
            <w:rFonts w:asciiTheme="minorHAnsi" w:eastAsia="Amnesty Trade Gothic" w:hAnsiTheme="minorHAnsi" w:cs="Amnesty Trade Gothic"/>
            <w:color w:val="0563C1"/>
            <w:sz w:val="14"/>
            <w:szCs w:val="14"/>
          </w:rPr>
          <w:t>https://www.bmfsfj.de/resource/blob/116798/5fc38044a1dd8edec34de568ad59e2b9/nationaler-aktionsplan-rassismus-data.pdf</w:t>
        </w:r>
      </w:hyperlink>
      <w:r w:rsidRPr="00823A57">
        <w:rPr>
          <w:rFonts w:asciiTheme="minorHAnsi" w:eastAsia="Amnesty Trade Gothic" w:hAnsiTheme="minorHAnsi" w:cs="Amnesty Trade Gothic"/>
          <w:color w:val="000000"/>
          <w:sz w:val="14"/>
          <w:szCs w:val="14"/>
        </w:rPr>
        <w:t xml:space="preserve"> </w:t>
      </w:r>
      <w:r w:rsidRPr="00823A57">
        <w:rPr>
          <w:rFonts w:asciiTheme="minorHAnsi" w:eastAsia="Amnesty Trade Gothic" w:hAnsiTheme="minorHAnsi" w:cs="Amnesty Trade Gothic"/>
          <w:sz w:val="14"/>
          <w:szCs w:val="14"/>
        </w:rPr>
        <w:t>(in German).</w:t>
      </w:r>
    </w:p>
  </w:footnote>
  <w:footnote w:id="12">
    <w:p w14:paraId="3095BA20"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Concluding Observations on 19th-22nd reports on Germany, UN Doc. CERD/C/DEU/CO/19-22, para. 7.</w:t>
      </w:r>
    </w:p>
  </w:footnote>
  <w:footnote w:id="13">
    <w:p w14:paraId="7B122E3F" w14:textId="0F2A64E7" w:rsidR="00070213" w:rsidRPr="00823A57" w:rsidRDefault="00070213" w:rsidP="00CD0A25">
      <w:pPr>
        <w:pStyle w:val="FootnoteText"/>
        <w:shd w:val="clear" w:color="auto" w:fill="FFFFFF"/>
        <w:spacing w:after="0"/>
        <w:rPr>
          <w:rFonts w:asciiTheme="minorHAnsi" w:eastAsia="Amnesty Trade Gothic" w:hAnsiTheme="minorHAnsi" w:cs="Amnesty Trade Gothic"/>
          <w:sz w:val="14"/>
          <w:szCs w:val="14"/>
        </w:rPr>
      </w:pPr>
      <w:r w:rsidRPr="00823A57">
        <w:rPr>
          <w:rStyle w:val="FootnoteReference"/>
          <w:rFonts w:asciiTheme="minorHAnsi" w:eastAsia="Amnesty Trade Gothic" w:hAnsiTheme="minorHAnsi" w:cs="Amnesty Trade Gothic"/>
          <w:sz w:val="14"/>
          <w:szCs w:val="14"/>
        </w:rPr>
        <w:footnoteRef/>
      </w:r>
      <w:r w:rsidR="003A4CFD" w:rsidRPr="00823A57">
        <w:rPr>
          <w:rFonts w:asciiTheme="minorHAnsi" w:eastAsia="Amnesty Trade Gothic" w:hAnsiTheme="minorHAnsi" w:cs="Amnesty Trade Gothic"/>
          <w:sz w:val="14"/>
          <w:szCs w:val="14"/>
        </w:rPr>
        <w:t xml:space="preserve">It </w:t>
      </w:r>
      <w:r w:rsidRPr="00823A57">
        <w:rPr>
          <w:rFonts w:asciiTheme="minorHAnsi" w:eastAsia="Amnesty Trade Gothic" w:hAnsiTheme="minorHAnsi" w:cs="Amnesty Trade Gothic"/>
          <w:sz w:val="14"/>
          <w:szCs w:val="14"/>
        </w:rPr>
        <w:t>should also be noted that this term is frequently used in a derogatory manner as a proxy for race and ethnicity, exemplary for racism and racial discrimination in public discourse.</w:t>
      </w:r>
    </w:p>
  </w:footnote>
  <w:footnote w:id="14">
    <w:p w14:paraId="038511D0" w14:textId="77777777" w:rsidR="00070213" w:rsidRPr="00823A57" w:rsidRDefault="00070213" w:rsidP="00CD0A25">
      <w:pPr>
        <w:pStyle w:val="FootnoteText"/>
        <w:shd w:val="clear" w:color="auto" w:fill="FFFFFF"/>
        <w:spacing w:after="0"/>
        <w:rPr>
          <w:rFonts w:asciiTheme="minorHAnsi" w:hAnsiTheme="minorHAnsi"/>
          <w:sz w:val="14"/>
          <w:szCs w:val="14"/>
          <w:lang w:val="en-US"/>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Concluding Observations on 19th-22nd reports on Germany, UN Doc. CERD/C/DEU/CO/19-22, para. </w:t>
      </w:r>
      <w:r w:rsidRPr="00823A57">
        <w:rPr>
          <w:rFonts w:asciiTheme="minorHAnsi" w:hAnsiTheme="minorHAnsi"/>
          <w:sz w:val="14"/>
          <w:szCs w:val="14"/>
          <w:lang w:val="en-US"/>
        </w:rPr>
        <w:t>6.</w:t>
      </w:r>
    </w:p>
  </w:footnote>
  <w:footnote w:id="15">
    <w:p w14:paraId="230913D5"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hAnsiTheme="minorHAnsi"/>
          <w:sz w:val="14"/>
          <w:szCs w:val="14"/>
        </w:rPr>
        <w:footnoteRef/>
      </w:r>
      <w:r w:rsidRPr="00823A57">
        <w:rPr>
          <w:rFonts w:asciiTheme="minorHAnsi" w:hAnsiTheme="minorHAnsi"/>
          <w:sz w:val="14"/>
          <w:szCs w:val="14"/>
        </w:rPr>
        <w:t xml:space="preserve"> Federal Foreign Office, “Speech by Minister of State Katja </w:t>
      </w:r>
      <w:proofErr w:type="spellStart"/>
      <w:r w:rsidRPr="00823A57">
        <w:rPr>
          <w:rFonts w:asciiTheme="minorHAnsi" w:hAnsiTheme="minorHAnsi"/>
          <w:sz w:val="14"/>
          <w:szCs w:val="14"/>
        </w:rPr>
        <w:t>Keul</w:t>
      </w:r>
      <w:proofErr w:type="spellEnd"/>
      <w:r w:rsidRPr="00823A57">
        <w:rPr>
          <w:rFonts w:asciiTheme="minorHAnsi" w:hAnsiTheme="minorHAnsi"/>
          <w:sz w:val="14"/>
          <w:szCs w:val="14"/>
        </w:rPr>
        <w:t xml:space="preserve"> on the occasion of a wreath-laying ceremony at the site of the execution of Rudolf Manga Bell in Cameroon”, 02 November 2022, </w:t>
      </w:r>
      <w:hyperlink r:id="rId11" w:tooltip="https://www.auswaertiges-amt.de/en/newsroom/news/-/2561510" w:history="1">
        <w:r w:rsidRPr="00823A57">
          <w:rPr>
            <w:rStyle w:val="Hyperlink"/>
            <w:rFonts w:asciiTheme="minorHAnsi" w:eastAsia="Amnesty Trade Gothic" w:hAnsiTheme="minorHAnsi" w:cs="Amnesty Trade Gothic"/>
            <w:color w:val="0563C1"/>
            <w:sz w:val="14"/>
            <w:szCs w:val="14"/>
          </w:rPr>
          <w:t>https://www.auswaertiges-amt.de/en/newsroom/news/-/2561510</w:t>
        </w:r>
      </w:hyperlink>
      <w:r w:rsidRPr="00823A57">
        <w:rPr>
          <w:rStyle w:val="Hyperlink"/>
          <w:rFonts w:asciiTheme="minorHAnsi" w:eastAsia="Amnesty Trade Gothic" w:hAnsiTheme="minorHAnsi" w:cs="Amnesty Trade Gothic"/>
          <w:color w:val="0563C1"/>
          <w:sz w:val="14"/>
          <w:szCs w:val="14"/>
        </w:rPr>
        <w:t>.</w:t>
      </w:r>
    </w:p>
  </w:footnote>
  <w:footnote w:id="16">
    <w:p w14:paraId="2E4A9FDB"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Special Rapporteur on Contemporary Forms of Racism, Report of the Special Rapporteur on contemporary forms of racism, racial discrimination, xenophobia and racial intolerance, 21 August 2019, UN Doc. A/74/321.</w:t>
      </w:r>
    </w:p>
  </w:footnote>
  <w:footnote w:id="17">
    <w:p w14:paraId="7FE3675A"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hAnsiTheme="minorHAnsi"/>
          <w:sz w:val="14"/>
          <w:szCs w:val="14"/>
        </w:rPr>
        <w:footnoteRef/>
      </w:r>
      <w:r w:rsidRPr="00823A57">
        <w:rPr>
          <w:rFonts w:asciiTheme="minorHAnsi" w:hAnsiTheme="minorHAnsi"/>
          <w:sz w:val="14"/>
          <w:szCs w:val="14"/>
        </w:rPr>
        <w:t xml:space="preserve"> With the government programme “Live democracy” organizations are supported, for example, in their educational work to raise awareness, in training </w:t>
      </w:r>
      <w:proofErr w:type="spellStart"/>
      <w:r w:rsidRPr="00823A57">
        <w:rPr>
          <w:rFonts w:asciiTheme="minorHAnsi" w:hAnsiTheme="minorHAnsi"/>
          <w:sz w:val="14"/>
          <w:szCs w:val="14"/>
        </w:rPr>
        <w:t>programs</w:t>
      </w:r>
      <w:proofErr w:type="spellEnd"/>
      <w:r w:rsidRPr="00823A57">
        <w:rPr>
          <w:rFonts w:asciiTheme="minorHAnsi" w:hAnsiTheme="minorHAnsi"/>
          <w:sz w:val="14"/>
          <w:szCs w:val="14"/>
        </w:rPr>
        <w:t xml:space="preserve"> for those affected, or in empowerment for self-organizations. Federal Ministry for Family Affairs, Senior Citizens, Women and Youth, Live Democracy! Find projects, last access 05.10.2023, https://www.demokratie-leben.de/en/projects-expertise/find-projects (in German).</w:t>
      </w:r>
    </w:p>
    <w:p w14:paraId="26EAE9B4" w14:textId="77777777" w:rsidR="00AD41E6" w:rsidRPr="00823A57" w:rsidRDefault="00AD41E6" w:rsidP="00CD0A25">
      <w:pPr>
        <w:pStyle w:val="FootnoteText"/>
        <w:shd w:val="clear" w:color="auto" w:fill="FFFFFF"/>
        <w:spacing w:after="0"/>
        <w:rPr>
          <w:rFonts w:asciiTheme="minorHAnsi" w:hAnsiTheme="minorHAnsi"/>
          <w:sz w:val="14"/>
          <w:szCs w:val="14"/>
        </w:rPr>
      </w:pPr>
    </w:p>
  </w:footnote>
  <w:footnote w:id="18">
    <w:p w14:paraId="5200DCE2"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eastAsia="Amnesty Trade Gothic" w:hAnsiTheme="minorHAnsi" w:cs="Amnesty Trade Gothic"/>
          <w:sz w:val="14"/>
          <w:szCs w:val="14"/>
        </w:rPr>
        <w:footnoteRef/>
      </w:r>
      <w:r w:rsidRPr="00823A57">
        <w:rPr>
          <w:rFonts w:asciiTheme="minorHAnsi" w:hAnsiTheme="minorHAnsi"/>
          <w:sz w:val="14"/>
          <w:szCs w:val="14"/>
        </w:rPr>
        <w:t xml:space="preserve"> Concluding Observations on 19th-22nd reports on Germany, UN Doc. CERD/C/DEU/CO/19-22, para. 6.</w:t>
      </w:r>
    </w:p>
  </w:footnote>
  <w:footnote w:id="19">
    <w:p w14:paraId="0626A73E" w14:textId="77777777" w:rsidR="00070213" w:rsidRPr="00823A57" w:rsidRDefault="00070213" w:rsidP="00CD0A25">
      <w:pPr>
        <w:pStyle w:val="FootnoteText"/>
        <w:shd w:val="clear" w:color="auto" w:fill="FFFFFF"/>
        <w:spacing w:after="0"/>
        <w:rPr>
          <w:rFonts w:asciiTheme="minorHAnsi" w:hAnsiTheme="minorHAnsi" w:cs="Amnesty Trade Gothic"/>
          <w:sz w:val="14"/>
          <w:szCs w:val="14"/>
        </w:rPr>
      </w:pPr>
      <w:r w:rsidRPr="00823A57">
        <w:rPr>
          <w:rFonts w:asciiTheme="minorHAnsi" w:eastAsia="Amnesty Trade Gothic" w:hAnsiTheme="minorHAnsi" w:cs="Amnesty Trade Gothic"/>
          <w:color w:val="auto"/>
          <w:sz w:val="14"/>
          <w:szCs w:val="14"/>
          <w:vertAlign w:val="superscript"/>
        </w:rPr>
        <w:footnoteRef/>
      </w:r>
      <w:r w:rsidRPr="00823A57">
        <w:rPr>
          <w:rFonts w:asciiTheme="minorHAnsi" w:eastAsia="Amnesty Trade Gothic" w:hAnsiTheme="minorHAnsi" w:cs="Amnesty Trade Gothic"/>
          <w:sz w:val="14"/>
          <w:szCs w:val="14"/>
        </w:rPr>
        <w:t xml:space="preserve"> </w:t>
      </w:r>
      <w:r w:rsidRPr="00823A57">
        <w:rPr>
          <w:rFonts w:asciiTheme="minorHAnsi" w:eastAsia="Amnesty Trade Gothic" w:hAnsiTheme="minorHAnsi" w:cs="Amnesty Trade Gothic"/>
          <w:color w:val="000000"/>
          <w:sz w:val="14"/>
          <w:szCs w:val="14"/>
        </w:rPr>
        <w:t>National Discrimination and Racism Monitor (</w:t>
      </w:r>
      <w:proofErr w:type="spellStart"/>
      <w:r w:rsidRPr="00823A57">
        <w:rPr>
          <w:rFonts w:asciiTheme="minorHAnsi" w:eastAsia="Amnesty Trade Gothic" w:hAnsiTheme="minorHAnsi" w:cs="Amnesty Trade Gothic"/>
          <w:color w:val="000000"/>
          <w:sz w:val="14"/>
          <w:szCs w:val="14"/>
        </w:rPr>
        <w:t>NaDiRa</w:t>
      </w:r>
      <w:proofErr w:type="spellEnd"/>
      <w:r w:rsidRPr="00823A57">
        <w:rPr>
          <w:rFonts w:asciiTheme="minorHAnsi" w:eastAsia="Amnesty Trade Gothic" w:hAnsiTheme="minorHAnsi" w:cs="Amnesty Trade Gothic"/>
          <w:color w:val="000000"/>
          <w:sz w:val="14"/>
          <w:szCs w:val="14"/>
        </w:rPr>
        <w:t>),</w:t>
      </w:r>
      <w:r w:rsidRPr="00823A57">
        <w:rPr>
          <w:rFonts w:asciiTheme="minorHAnsi" w:eastAsia="Amnesty Trade Gothic" w:hAnsiTheme="minorHAnsi" w:cs="Amnesty Trade Gothic"/>
          <w:sz w:val="14"/>
          <w:szCs w:val="14"/>
        </w:rPr>
        <w:t xml:space="preserve"> ”</w:t>
      </w:r>
      <w:proofErr w:type="spellStart"/>
      <w:r w:rsidRPr="00823A57">
        <w:rPr>
          <w:rFonts w:asciiTheme="minorHAnsi" w:eastAsia="Amnesty Trade Gothic" w:hAnsiTheme="minorHAnsi" w:cs="Amnesty Trade Gothic"/>
          <w:sz w:val="14"/>
          <w:szCs w:val="14"/>
        </w:rPr>
        <w:t>Rassistische</w:t>
      </w:r>
      <w:proofErr w:type="spellEnd"/>
      <w:r w:rsidRPr="00823A57">
        <w:rPr>
          <w:rFonts w:asciiTheme="minorHAnsi" w:eastAsia="Amnesty Trade Gothic" w:hAnsiTheme="minorHAnsi" w:cs="Amnesty Trade Gothic"/>
          <w:sz w:val="14"/>
          <w:szCs w:val="14"/>
        </w:rPr>
        <w:t xml:space="preserve"> </w:t>
      </w:r>
      <w:proofErr w:type="spellStart"/>
      <w:r w:rsidRPr="00823A57">
        <w:rPr>
          <w:rFonts w:asciiTheme="minorHAnsi" w:eastAsia="Amnesty Trade Gothic" w:hAnsiTheme="minorHAnsi" w:cs="Amnesty Trade Gothic"/>
          <w:sz w:val="14"/>
          <w:szCs w:val="14"/>
        </w:rPr>
        <w:t>Realitäten</w:t>
      </w:r>
      <w:proofErr w:type="spellEnd"/>
      <w:r w:rsidRPr="00823A57">
        <w:rPr>
          <w:rFonts w:asciiTheme="minorHAnsi" w:eastAsia="Amnesty Trade Gothic" w:hAnsiTheme="minorHAnsi" w:cs="Amnesty Trade Gothic"/>
          <w:sz w:val="14"/>
          <w:szCs w:val="14"/>
        </w:rPr>
        <w:t xml:space="preserve">“ [“Racist Realities“], 2022, </w:t>
      </w:r>
      <w:hyperlink r:id="rId12" w:tooltip="https://www.rassismusmonitor.de/studie-rassistische-realitaeten" w:history="1">
        <w:r w:rsidRPr="00823A57">
          <w:rPr>
            <w:rStyle w:val="Hyperlink"/>
            <w:rFonts w:asciiTheme="minorHAnsi" w:eastAsia="Amnesty Trade Gothic" w:hAnsiTheme="minorHAnsi" w:cs="Amnesty Trade Gothic"/>
            <w:color w:val="0563C1"/>
            <w:sz w:val="14"/>
            <w:szCs w:val="14"/>
          </w:rPr>
          <w:t>https://www.rassismusmonitor.de/studie-rassistische-realitaeten</w:t>
        </w:r>
      </w:hyperlink>
      <w:r w:rsidRPr="00823A57">
        <w:rPr>
          <w:rFonts w:asciiTheme="minorHAnsi" w:eastAsia="Amnesty Trade Gothic" w:hAnsiTheme="minorHAnsi" w:cs="Amnesty Trade Gothic"/>
          <w:sz w:val="14"/>
          <w:szCs w:val="14"/>
        </w:rPr>
        <w:t xml:space="preserve"> (in German).</w:t>
      </w:r>
    </w:p>
  </w:footnote>
  <w:footnote w:id="20">
    <w:p w14:paraId="13EAA089" w14:textId="77777777" w:rsidR="00070213" w:rsidRPr="00823A57" w:rsidRDefault="00070213" w:rsidP="00CD0A25">
      <w:pPr>
        <w:pStyle w:val="FootnoteText"/>
        <w:shd w:val="clear" w:color="auto" w:fill="FFFFFF"/>
        <w:spacing w:after="0"/>
        <w:rPr>
          <w:rFonts w:asciiTheme="minorHAnsi" w:hAnsiTheme="minorHAnsi" w:cs="Amnesty Trade Gothic"/>
          <w:sz w:val="14"/>
          <w:szCs w:val="14"/>
        </w:rPr>
      </w:pPr>
      <w:r w:rsidRPr="00823A57">
        <w:rPr>
          <w:rFonts w:asciiTheme="minorHAnsi" w:eastAsia="Amnesty Trade Gothic" w:hAnsiTheme="minorHAnsi" w:cs="Amnesty Trade Gothic"/>
          <w:color w:val="auto"/>
          <w:sz w:val="14"/>
          <w:szCs w:val="14"/>
          <w:vertAlign w:val="superscript"/>
        </w:rPr>
        <w:footnoteRef/>
      </w:r>
      <w:r w:rsidRPr="00823A57">
        <w:rPr>
          <w:rFonts w:asciiTheme="minorHAnsi" w:eastAsia="Amnesty Trade Gothic" w:hAnsiTheme="minorHAnsi" w:cs="Amnesty Trade Gothic"/>
          <w:sz w:val="14"/>
          <w:szCs w:val="14"/>
        </w:rPr>
        <w:t xml:space="preserve"> </w:t>
      </w:r>
      <w:r w:rsidRPr="00823A57">
        <w:rPr>
          <w:rFonts w:asciiTheme="minorHAnsi" w:eastAsia="Amnesty Trade Gothic" w:hAnsiTheme="minorHAnsi" w:cs="Amnesty Trade Gothic"/>
          <w:color w:val="000000"/>
          <w:sz w:val="14"/>
          <w:szCs w:val="14"/>
        </w:rPr>
        <w:t>Federal Anti-Discrimination Agency, “</w:t>
      </w:r>
      <w:proofErr w:type="spellStart"/>
      <w:r w:rsidRPr="00823A57">
        <w:rPr>
          <w:rFonts w:asciiTheme="minorHAnsi" w:eastAsia="Amnesty Trade Gothic" w:hAnsiTheme="minorHAnsi" w:cs="Amnesty Trade Gothic"/>
          <w:sz w:val="14"/>
          <w:szCs w:val="14"/>
        </w:rPr>
        <w:t>Jahresbericht</w:t>
      </w:r>
      <w:proofErr w:type="spellEnd"/>
      <w:r w:rsidRPr="00823A57">
        <w:rPr>
          <w:rFonts w:asciiTheme="minorHAnsi" w:eastAsia="Amnesty Trade Gothic" w:hAnsiTheme="minorHAnsi" w:cs="Amnesty Trade Gothic"/>
          <w:sz w:val="14"/>
          <w:szCs w:val="14"/>
        </w:rPr>
        <w:t xml:space="preserve"> 2022“ [“Annual report 2022“], 27 June 2023, </w:t>
      </w:r>
      <w:hyperlink r:id="rId13" w:tooltip="https://www.antidiskriminierungsstelle.de/SharedDocs/downloads/DE/publikationen/Jahresberichte/2022.html?nn=305458" w:history="1">
        <w:r w:rsidRPr="00823A57">
          <w:rPr>
            <w:rStyle w:val="Hyperlink"/>
            <w:rFonts w:asciiTheme="minorHAnsi" w:eastAsia="Amnesty Trade Gothic" w:hAnsiTheme="minorHAnsi" w:cs="Amnesty Trade Gothic"/>
            <w:sz w:val="14"/>
            <w:szCs w:val="14"/>
          </w:rPr>
          <w:t>https://www.antidiskriminierungsstelle.de/SharedDocs/downloads/DE/publikationen/Jahresberichte/2022.html?nn=305458</w:t>
        </w:r>
      </w:hyperlink>
      <w:r w:rsidRPr="00823A57">
        <w:rPr>
          <w:rFonts w:asciiTheme="minorHAnsi" w:eastAsia="Amnesty Trade Gothic" w:hAnsiTheme="minorHAnsi" w:cs="Amnesty Trade Gothic"/>
          <w:sz w:val="14"/>
          <w:szCs w:val="14"/>
        </w:rPr>
        <w:t xml:space="preserve"> (in German), p. 25.</w:t>
      </w:r>
    </w:p>
  </w:footnote>
  <w:footnote w:id="21">
    <w:p w14:paraId="2B1D654A" w14:textId="77777777" w:rsidR="00070213" w:rsidRPr="00823A57" w:rsidRDefault="00070213" w:rsidP="00CD0A25">
      <w:pPr>
        <w:pStyle w:val="FootnoteText"/>
        <w:shd w:val="clear" w:color="auto" w:fill="FFFFFF"/>
        <w:spacing w:after="0"/>
        <w:rPr>
          <w:rFonts w:asciiTheme="minorHAnsi" w:hAnsiTheme="minorHAnsi" w:cs="Amnesty Trade Gothic"/>
          <w:sz w:val="14"/>
          <w:szCs w:val="14"/>
          <w:lang w:val="en-US"/>
        </w:rPr>
      </w:pPr>
      <w:r w:rsidRPr="00823A57">
        <w:rPr>
          <w:rFonts w:asciiTheme="minorHAnsi" w:eastAsia="Amnesty Trade Gothic" w:hAnsiTheme="minorHAnsi" w:cs="Amnesty Trade Gothic"/>
          <w:color w:val="auto"/>
          <w:sz w:val="14"/>
          <w:szCs w:val="14"/>
          <w:vertAlign w:val="superscript"/>
        </w:rPr>
        <w:footnoteRef/>
      </w:r>
      <w:r w:rsidRPr="00823A57">
        <w:rPr>
          <w:rFonts w:asciiTheme="minorHAnsi" w:eastAsia="Amnesty Trade Gothic" w:hAnsiTheme="minorHAnsi" w:cs="Amnesty Trade Gothic"/>
          <w:sz w:val="14"/>
          <w:szCs w:val="14"/>
          <w:lang w:val="en-US"/>
        </w:rPr>
        <w:t xml:space="preserve"> </w:t>
      </w:r>
      <w:r w:rsidRPr="00823A57">
        <w:rPr>
          <w:rFonts w:asciiTheme="minorHAnsi" w:eastAsia="Amnesty Trade Gothic" w:hAnsiTheme="minorHAnsi" w:cs="Amnesty Trade Gothic"/>
          <w:color w:val="000000"/>
          <w:sz w:val="14"/>
          <w:szCs w:val="14"/>
          <w:lang w:val="en-US"/>
        </w:rPr>
        <w:t>Federal Ministry of the Interior and Community,</w:t>
      </w:r>
      <w:r w:rsidRPr="00823A57">
        <w:rPr>
          <w:rFonts w:asciiTheme="minorHAnsi" w:eastAsia="Amnesty Trade Gothic" w:hAnsiTheme="minorHAnsi" w:cs="Amnesty Trade Gothic"/>
          <w:sz w:val="14"/>
          <w:szCs w:val="14"/>
          <w:lang w:val="en-US"/>
        </w:rPr>
        <w:t xml:space="preserve"> “</w:t>
      </w:r>
      <w:proofErr w:type="spellStart"/>
      <w:r w:rsidRPr="00823A57">
        <w:rPr>
          <w:rFonts w:asciiTheme="minorHAnsi" w:eastAsia="Amnesty Trade Gothic" w:hAnsiTheme="minorHAnsi" w:cs="Amnesty Trade Gothic"/>
          <w:sz w:val="14"/>
          <w:szCs w:val="14"/>
          <w:lang w:val="en-US"/>
        </w:rPr>
        <w:t>Zweiter</w:t>
      </w:r>
      <w:proofErr w:type="spellEnd"/>
      <w:r w:rsidRPr="00823A57">
        <w:rPr>
          <w:rFonts w:asciiTheme="minorHAnsi" w:eastAsia="Amnesty Trade Gothic" w:hAnsiTheme="minorHAnsi" w:cs="Amnesty Trade Gothic"/>
          <w:sz w:val="14"/>
          <w:szCs w:val="14"/>
          <w:lang w:val="en-US"/>
        </w:rPr>
        <w:t xml:space="preserve"> </w:t>
      </w:r>
      <w:proofErr w:type="spellStart"/>
      <w:r w:rsidRPr="00823A57">
        <w:rPr>
          <w:rFonts w:asciiTheme="minorHAnsi" w:eastAsia="Amnesty Trade Gothic" w:hAnsiTheme="minorHAnsi" w:cs="Amnesty Trade Gothic"/>
          <w:sz w:val="14"/>
          <w:szCs w:val="14"/>
          <w:lang w:val="en-US"/>
        </w:rPr>
        <w:t>Bericht</w:t>
      </w:r>
      <w:proofErr w:type="spellEnd"/>
      <w:r w:rsidRPr="00823A57">
        <w:rPr>
          <w:rFonts w:asciiTheme="minorHAnsi" w:eastAsia="Amnesty Trade Gothic" w:hAnsiTheme="minorHAnsi" w:cs="Amnesty Trade Gothic"/>
          <w:sz w:val="14"/>
          <w:szCs w:val="14"/>
          <w:lang w:val="en-US"/>
        </w:rPr>
        <w:t xml:space="preserve"> des </w:t>
      </w:r>
      <w:proofErr w:type="spellStart"/>
      <w:r w:rsidRPr="00823A57">
        <w:rPr>
          <w:rFonts w:asciiTheme="minorHAnsi" w:eastAsia="Amnesty Trade Gothic" w:hAnsiTheme="minorHAnsi" w:cs="Amnesty Trade Gothic"/>
          <w:sz w:val="14"/>
          <w:szCs w:val="14"/>
          <w:lang w:val="en-US"/>
        </w:rPr>
        <w:t>unabhängigen</w:t>
      </w:r>
      <w:proofErr w:type="spellEnd"/>
      <w:r w:rsidRPr="00823A57">
        <w:rPr>
          <w:rFonts w:asciiTheme="minorHAnsi" w:eastAsia="Amnesty Trade Gothic" w:hAnsiTheme="minorHAnsi" w:cs="Amnesty Trade Gothic"/>
          <w:sz w:val="14"/>
          <w:szCs w:val="14"/>
          <w:lang w:val="en-US"/>
        </w:rPr>
        <w:t xml:space="preserve"> </w:t>
      </w:r>
      <w:proofErr w:type="spellStart"/>
      <w:r w:rsidRPr="00823A57">
        <w:rPr>
          <w:rFonts w:asciiTheme="minorHAnsi" w:eastAsia="Amnesty Trade Gothic" w:hAnsiTheme="minorHAnsi" w:cs="Amnesty Trade Gothic"/>
          <w:sz w:val="14"/>
          <w:szCs w:val="14"/>
          <w:lang w:val="en-US"/>
        </w:rPr>
        <w:t>Expertenkreises</w:t>
      </w:r>
      <w:proofErr w:type="spellEnd"/>
      <w:r w:rsidRPr="00823A57">
        <w:rPr>
          <w:rFonts w:asciiTheme="minorHAnsi" w:eastAsia="Amnesty Trade Gothic" w:hAnsiTheme="minorHAnsi" w:cs="Amnesty Trade Gothic"/>
          <w:sz w:val="14"/>
          <w:szCs w:val="14"/>
          <w:lang w:val="en-US"/>
        </w:rPr>
        <w:t xml:space="preserve"> </w:t>
      </w:r>
      <w:proofErr w:type="spellStart"/>
      <w:r w:rsidRPr="00823A57">
        <w:rPr>
          <w:rFonts w:asciiTheme="minorHAnsi" w:eastAsia="Amnesty Trade Gothic" w:hAnsiTheme="minorHAnsi" w:cs="Amnesty Trade Gothic"/>
          <w:sz w:val="14"/>
          <w:szCs w:val="14"/>
          <w:lang w:val="en-US"/>
        </w:rPr>
        <w:t>Antisemitismus</w:t>
      </w:r>
      <w:proofErr w:type="spellEnd"/>
      <w:r w:rsidRPr="00823A57">
        <w:rPr>
          <w:rFonts w:asciiTheme="minorHAnsi" w:eastAsia="Amnesty Trade Gothic" w:hAnsiTheme="minorHAnsi" w:cs="Amnesty Trade Gothic"/>
          <w:sz w:val="14"/>
          <w:szCs w:val="14"/>
          <w:lang w:val="en-US"/>
        </w:rPr>
        <w:t>“</w:t>
      </w:r>
      <w:r w:rsidRPr="00823A57">
        <w:rPr>
          <w:rFonts w:asciiTheme="minorHAnsi" w:eastAsia="Amnesty Trade Gothic" w:hAnsiTheme="minorHAnsi" w:cs="Amnesty Trade Gothic"/>
          <w:color w:val="000000"/>
          <w:sz w:val="14"/>
          <w:szCs w:val="14"/>
          <w:lang w:val="en-US"/>
        </w:rPr>
        <w:t xml:space="preserve"> [“Second Report of the Independent Expert Panel on Antisemitism“], 8 June 2017, </w:t>
      </w:r>
      <w:hyperlink r:id="rId14" w:tooltip="https://www.bundesregierung.de/breg-de/service/publikationen/zweiter-bericht-des-unabhaengigen-expertenkreises-antisemitismus-735880" w:history="1">
        <w:r w:rsidRPr="00823A57">
          <w:rPr>
            <w:rStyle w:val="Hyperlink"/>
            <w:rFonts w:asciiTheme="minorHAnsi" w:eastAsia="Amnesty Trade Gothic" w:hAnsiTheme="minorHAnsi" w:cs="Amnesty Trade Gothic"/>
            <w:color w:val="0563C1"/>
            <w:sz w:val="14"/>
            <w:szCs w:val="14"/>
            <w:lang w:val="en-US"/>
          </w:rPr>
          <w:t>https://www.bundesregierung.de/breg-de/service/publikationen/zweiter-bericht-des-unabhaengigen-expertenkreises-antisemitismus-735880</w:t>
        </w:r>
      </w:hyperlink>
      <w:r w:rsidRPr="00823A57">
        <w:rPr>
          <w:rFonts w:asciiTheme="minorHAnsi" w:eastAsia="Amnesty Trade Gothic" w:hAnsiTheme="minorHAnsi" w:cs="Amnesty Trade Gothic"/>
          <w:color w:val="000000"/>
          <w:sz w:val="14"/>
          <w:szCs w:val="14"/>
          <w:lang w:val="en-US"/>
        </w:rPr>
        <w:t xml:space="preserve"> </w:t>
      </w:r>
      <w:r w:rsidRPr="00823A57">
        <w:rPr>
          <w:rFonts w:asciiTheme="minorHAnsi" w:eastAsia="Amnesty Trade Gothic" w:hAnsiTheme="minorHAnsi" w:cs="Amnesty Trade Gothic"/>
          <w:sz w:val="14"/>
          <w:szCs w:val="14"/>
          <w:lang w:val="en-US"/>
        </w:rPr>
        <w:t>(in German).</w:t>
      </w:r>
    </w:p>
  </w:footnote>
  <w:footnote w:id="22">
    <w:p w14:paraId="21C3803B" w14:textId="791552B7" w:rsidR="00070213" w:rsidRPr="00823A57" w:rsidRDefault="00070213" w:rsidP="00CD0A25">
      <w:pPr>
        <w:pStyle w:val="FootnoteText"/>
        <w:spacing w:after="0"/>
        <w:rPr>
          <w:rFonts w:asciiTheme="minorHAnsi" w:eastAsia="Amnesty Trade Gothic" w:hAnsiTheme="minorHAnsi" w:cs="Amnesty Trade Gothic"/>
          <w:sz w:val="14"/>
          <w:szCs w:val="14"/>
        </w:rPr>
      </w:pPr>
      <w:r w:rsidRPr="00823A57">
        <w:rPr>
          <w:rFonts w:asciiTheme="minorHAnsi" w:hAnsiTheme="minorHAnsi"/>
          <w:sz w:val="14"/>
          <w:szCs w:val="14"/>
          <w:vertAlign w:val="superscript"/>
        </w:rPr>
        <w:footnoteRef/>
      </w:r>
      <w:r w:rsidRPr="00823A57">
        <w:rPr>
          <w:rFonts w:asciiTheme="minorHAnsi" w:hAnsiTheme="minorHAnsi"/>
          <w:sz w:val="14"/>
          <w:szCs w:val="14"/>
        </w:rPr>
        <w:t xml:space="preserve"> </w:t>
      </w:r>
      <w:hyperlink r:id="rId15" w:history="1"/>
      <w:bookmarkStart w:id="6" w:name="_Hlk148718044"/>
      <w:r w:rsidRPr="00823A57">
        <w:rPr>
          <w:rFonts w:asciiTheme="minorHAnsi" w:hAnsiTheme="minorHAnsi"/>
          <w:sz w:val="14"/>
          <w:szCs w:val="14"/>
        </w:rPr>
        <w:t>Federal Association of Research and Information Centres on Antisemitism e. V., “</w:t>
      </w:r>
      <w:proofErr w:type="spellStart"/>
      <w:r w:rsidRPr="00823A57">
        <w:rPr>
          <w:rFonts w:asciiTheme="minorHAnsi" w:hAnsiTheme="minorHAnsi"/>
          <w:sz w:val="14"/>
          <w:szCs w:val="14"/>
        </w:rPr>
        <w:t>Jahresberichte</w:t>
      </w:r>
      <w:proofErr w:type="spellEnd"/>
      <w:r w:rsidRPr="00823A57">
        <w:rPr>
          <w:rFonts w:asciiTheme="minorHAnsi" w:hAnsiTheme="minorHAnsi"/>
          <w:sz w:val="14"/>
          <w:szCs w:val="14"/>
        </w:rPr>
        <w:t xml:space="preserve"> – </w:t>
      </w:r>
      <w:proofErr w:type="spellStart"/>
      <w:r w:rsidRPr="00823A57">
        <w:rPr>
          <w:rFonts w:asciiTheme="minorHAnsi" w:hAnsiTheme="minorHAnsi"/>
          <w:sz w:val="14"/>
          <w:szCs w:val="14"/>
        </w:rPr>
        <w:t>Auswertung</w:t>
      </w:r>
      <w:proofErr w:type="spellEnd"/>
      <w:r w:rsidRPr="00823A57">
        <w:rPr>
          <w:rFonts w:asciiTheme="minorHAnsi" w:hAnsiTheme="minorHAnsi"/>
          <w:sz w:val="14"/>
          <w:szCs w:val="14"/>
        </w:rPr>
        <w:t xml:space="preserve"> von </w:t>
      </w:r>
      <w:proofErr w:type="spellStart"/>
      <w:r w:rsidRPr="00823A57">
        <w:rPr>
          <w:rFonts w:asciiTheme="minorHAnsi" w:hAnsiTheme="minorHAnsi"/>
          <w:sz w:val="14"/>
          <w:szCs w:val="14"/>
        </w:rPr>
        <w:t>Vorfallszahlen</w:t>
      </w:r>
      <w:proofErr w:type="spellEnd"/>
      <w:r w:rsidRPr="00823A57">
        <w:rPr>
          <w:rFonts w:asciiTheme="minorHAnsi" w:hAnsiTheme="minorHAnsi"/>
          <w:sz w:val="14"/>
          <w:szCs w:val="14"/>
        </w:rPr>
        <w:t xml:space="preserve"> in </w:t>
      </w:r>
      <w:proofErr w:type="spellStart"/>
      <w:r w:rsidRPr="00823A57">
        <w:rPr>
          <w:rFonts w:asciiTheme="minorHAnsi" w:hAnsiTheme="minorHAnsi"/>
          <w:sz w:val="14"/>
          <w:szCs w:val="14"/>
        </w:rPr>
        <w:t>Berichten</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Abbildungen</w:t>
      </w:r>
      <w:proofErr w:type="spellEnd"/>
      <w:r w:rsidRPr="00823A57">
        <w:rPr>
          <w:rFonts w:asciiTheme="minorHAnsi" w:hAnsiTheme="minorHAnsi"/>
          <w:sz w:val="14"/>
          <w:szCs w:val="14"/>
        </w:rPr>
        <w:t xml:space="preserve"> und </w:t>
      </w:r>
      <w:proofErr w:type="spellStart"/>
      <w:r w:rsidRPr="00823A57">
        <w:rPr>
          <w:rFonts w:asciiTheme="minorHAnsi" w:hAnsiTheme="minorHAnsi"/>
          <w:sz w:val="14"/>
          <w:szCs w:val="14"/>
        </w:rPr>
        <w:t>Beispielen</w:t>
      </w:r>
      <w:proofErr w:type="spellEnd"/>
      <w:r w:rsidRPr="00823A57">
        <w:rPr>
          <w:rFonts w:asciiTheme="minorHAnsi" w:hAnsiTheme="minorHAnsi"/>
          <w:sz w:val="14"/>
          <w:szCs w:val="14"/>
        </w:rPr>
        <w:t xml:space="preserve">” [“Annual reports - Evaluation of incident figures in reports, illustrations and examples”], </w:t>
      </w:r>
      <w:hyperlink r:id="rId16" w:history="1">
        <w:r w:rsidRPr="00823A57">
          <w:rPr>
            <w:rStyle w:val="Hyperlink"/>
            <w:rFonts w:asciiTheme="minorHAnsi" w:hAnsiTheme="minorHAnsi"/>
            <w:sz w:val="14"/>
            <w:szCs w:val="14"/>
          </w:rPr>
          <w:t>https://report-antisemitism.de/annuals/</w:t>
        </w:r>
      </w:hyperlink>
      <w:r w:rsidRPr="00823A57">
        <w:rPr>
          <w:rFonts w:asciiTheme="minorHAnsi" w:hAnsiTheme="minorHAnsi"/>
          <w:sz w:val="14"/>
          <w:szCs w:val="14"/>
        </w:rPr>
        <w:t xml:space="preserve"> (in German). </w:t>
      </w:r>
      <w:bookmarkEnd w:id="6"/>
      <w:r w:rsidRPr="00823A57">
        <w:rPr>
          <w:rFonts w:asciiTheme="minorHAnsi" w:hAnsiTheme="minorHAnsi"/>
          <w:sz w:val="14"/>
          <w:szCs w:val="14"/>
        </w:rPr>
        <w:fldChar w:fldCharType="begin"/>
      </w:r>
      <w:r w:rsidRPr="00823A57">
        <w:rPr>
          <w:rFonts w:asciiTheme="minorHAnsi" w:hAnsiTheme="minorHAnsi"/>
          <w:sz w:val="14"/>
          <w:szCs w:val="14"/>
        </w:rPr>
        <w:instrText xml:space="preserve"> HYPERLINK "https://report-antisemitism.de/annuals/" </w:instrText>
      </w:r>
      <w:r w:rsidRPr="00823A57">
        <w:rPr>
          <w:rFonts w:asciiTheme="minorHAnsi" w:hAnsiTheme="minorHAnsi"/>
          <w:sz w:val="14"/>
          <w:szCs w:val="14"/>
        </w:rPr>
      </w:r>
      <w:r w:rsidR="00000000" w:rsidRPr="00823A57">
        <w:rPr>
          <w:rFonts w:asciiTheme="minorHAnsi" w:hAnsiTheme="minorHAnsi"/>
          <w:sz w:val="14"/>
          <w:szCs w:val="14"/>
        </w:rPr>
        <w:fldChar w:fldCharType="separate"/>
      </w:r>
      <w:r w:rsidRPr="00823A57">
        <w:rPr>
          <w:rFonts w:asciiTheme="minorHAnsi" w:hAnsiTheme="minorHAnsi"/>
          <w:sz w:val="14"/>
          <w:szCs w:val="14"/>
        </w:rPr>
        <w:fldChar w:fldCharType="end"/>
      </w:r>
    </w:p>
  </w:footnote>
  <w:footnote w:id="23">
    <w:p w14:paraId="641B21B0"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w:t>
      </w:r>
      <w:proofErr w:type="spellStart"/>
      <w:r w:rsidRPr="00823A57">
        <w:rPr>
          <w:rFonts w:asciiTheme="minorHAnsi" w:hAnsiTheme="minorHAnsi"/>
          <w:sz w:val="14"/>
          <w:szCs w:val="14"/>
        </w:rPr>
        <w:t>Aikins</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Muna</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AnNisa</w:t>
      </w:r>
      <w:proofErr w:type="spellEnd"/>
      <w:r w:rsidRPr="00823A57">
        <w:rPr>
          <w:rFonts w:asciiTheme="minorHAnsi" w:hAnsiTheme="minorHAnsi"/>
          <w:sz w:val="14"/>
          <w:szCs w:val="14"/>
        </w:rPr>
        <w:t>/</w:t>
      </w:r>
      <w:proofErr w:type="spellStart"/>
      <w:r w:rsidRPr="00823A57">
        <w:rPr>
          <w:rFonts w:asciiTheme="minorHAnsi" w:hAnsiTheme="minorHAnsi"/>
          <w:sz w:val="14"/>
          <w:szCs w:val="14"/>
        </w:rPr>
        <w:t>Bremberger</w:t>
      </w:r>
      <w:proofErr w:type="spellEnd"/>
      <w:r w:rsidRPr="00823A57">
        <w:rPr>
          <w:rFonts w:asciiTheme="minorHAnsi" w:hAnsiTheme="minorHAnsi"/>
          <w:sz w:val="14"/>
          <w:szCs w:val="14"/>
        </w:rPr>
        <w:t>, Teresa/</w:t>
      </w:r>
      <w:proofErr w:type="spellStart"/>
      <w:r w:rsidRPr="00823A57">
        <w:rPr>
          <w:rFonts w:asciiTheme="minorHAnsi" w:hAnsiTheme="minorHAnsi"/>
          <w:sz w:val="14"/>
          <w:szCs w:val="14"/>
        </w:rPr>
        <w:t>Aikins</w:t>
      </w:r>
      <w:proofErr w:type="spellEnd"/>
      <w:r w:rsidRPr="00823A57">
        <w:rPr>
          <w:rFonts w:asciiTheme="minorHAnsi" w:hAnsiTheme="minorHAnsi"/>
          <w:sz w:val="14"/>
          <w:szCs w:val="14"/>
        </w:rPr>
        <w:t>, Joshua Kwesi/</w:t>
      </w:r>
      <w:proofErr w:type="spellStart"/>
      <w:r w:rsidRPr="00823A57">
        <w:rPr>
          <w:rFonts w:asciiTheme="minorHAnsi" w:hAnsiTheme="minorHAnsi"/>
          <w:sz w:val="14"/>
          <w:szCs w:val="14"/>
        </w:rPr>
        <w:t>Gyamerah</w:t>
      </w:r>
      <w:proofErr w:type="spellEnd"/>
      <w:r w:rsidRPr="00823A57">
        <w:rPr>
          <w:rFonts w:asciiTheme="minorHAnsi" w:hAnsiTheme="minorHAnsi"/>
          <w:sz w:val="14"/>
          <w:szCs w:val="14"/>
        </w:rPr>
        <w:t xml:space="preserve">, Daniel/ </w:t>
      </w:r>
      <w:proofErr w:type="spellStart"/>
      <w:r w:rsidRPr="00823A57">
        <w:rPr>
          <w:rFonts w:asciiTheme="minorHAnsi" w:hAnsiTheme="minorHAnsi"/>
          <w:sz w:val="14"/>
          <w:szCs w:val="14"/>
        </w:rPr>
        <w:t>Yıldırım-Caliman</w:t>
      </w:r>
      <w:proofErr w:type="spellEnd"/>
      <w:r w:rsidRPr="00823A57">
        <w:rPr>
          <w:rFonts w:asciiTheme="minorHAnsi" w:hAnsiTheme="minorHAnsi"/>
          <w:sz w:val="14"/>
          <w:szCs w:val="14"/>
        </w:rPr>
        <w:t>, Deniz, “</w:t>
      </w:r>
      <w:proofErr w:type="spellStart"/>
      <w:r w:rsidRPr="00823A57">
        <w:rPr>
          <w:rFonts w:asciiTheme="minorHAnsi" w:hAnsiTheme="minorHAnsi"/>
          <w:sz w:val="14"/>
          <w:szCs w:val="14"/>
        </w:rPr>
        <w:t>Afrozensus</w:t>
      </w:r>
      <w:proofErr w:type="spellEnd"/>
      <w:r w:rsidRPr="00823A57">
        <w:rPr>
          <w:rFonts w:asciiTheme="minorHAnsi" w:hAnsiTheme="minorHAnsi"/>
          <w:sz w:val="14"/>
          <w:szCs w:val="14"/>
        </w:rPr>
        <w:t xml:space="preserve"> 2020: </w:t>
      </w:r>
      <w:proofErr w:type="spellStart"/>
      <w:r w:rsidRPr="00823A57">
        <w:rPr>
          <w:rFonts w:asciiTheme="minorHAnsi" w:hAnsiTheme="minorHAnsi"/>
          <w:sz w:val="14"/>
          <w:szCs w:val="14"/>
        </w:rPr>
        <w:t>Perspektiven</w:t>
      </w:r>
      <w:proofErr w:type="spellEnd"/>
      <w:r w:rsidRPr="00823A57">
        <w:rPr>
          <w:rFonts w:asciiTheme="minorHAnsi" w:hAnsiTheme="minorHAnsi"/>
          <w:sz w:val="14"/>
          <w:szCs w:val="14"/>
        </w:rPr>
        <w:t>, Anti-</w:t>
      </w:r>
      <w:proofErr w:type="spellStart"/>
      <w:r w:rsidRPr="00823A57">
        <w:rPr>
          <w:rFonts w:asciiTheme="minorHAnsi" w:hAnsiTheme="minorHAnsi"/>
          <w:sz w:val="14"/>
          <w:szCs w:val="14"/>
        </w:rPr>
        <w:t>Schwarze</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Rassismuserfahrungen</w:t>
      </w:r>
      <w:proofErr w:type="spellEnd"/>
      <w:r w:rsidRPr="00823A57">
        <w:rPr>
          <w:rFonts w:asciiTheme="minorHAnsi" w:hAnsiTheme="minorHAnsi"/>
          <w:sz w:val="14"/>
          <w:szCs w:val="14"/>
        </w:rPr>
        <w:t xml:space="preserve"> und Engagement Schwarzer, </w:t>
      </w:r>
      <w:proofErr w:type="spellStart"/>
      <w:r w:rsidRPr="00823A57">
        <w:rPr>
          <w:rFonts w:asciiTheme="minorHAnsi" w:hAnsiTheme="minorHAnsi"/>
          <w:sz w:val="14"/>
          <w:szCs w:val="14"/>
        </w:rPr>
        <w:t>afrikanischer</w:t>
      </w:r>
      <w:proofErr w:type="spellEnd"/>
      <w:r w:rsidRPr="00823A57">
        <w:rPr>
          <w:rFonts w:asciiTheme="minorHAnsi" w:hAnsiTheme="minorHAnsi"/>
          <w:sz w:val="14"/>
          <w:szCs w:val="14"/>
        </w:rPr>
        <w:t xml:space="preserve"> und </w:t>
      </w:r>
      <w:proofErr w:type="spellStart"/>
      <w:r w:rsidRPr="00823A57">
        <w:rPr>
          <w:rFonts w:asciiTheme="minorHAnsi" w:hAnsiTheme="minorHAnsi"/>
          <w:sz w:val="14"/>
          <w:szCs w:val="14"/>
        </w:rPr>
        <w:t>afrodiasporischer</w:t>
      </w:r>
      <w:proofErr w:type="spellEnd"/>
      <w:r w:rsidRPr="00823A57">
        <w:rPr>
          <w:rFonts w:asciiTheme="minorHAnsi" w:hAnsiTheme="minorHAnsi"/>
          <w:sz w:val="14"/>
          <w:szCs w:val="14"/>
        </w:rPr>
        <w:t xml:space="preserve"> Menschen in Deutschland” [“</w:t>
      </w:r>
      <w:proofErr w:type="spellStart"/>
      <w:r w:rsidRPr="00823A57">
        <w:rPr>
          <w:rFonts w:asciiTheme="minorHAnsi" w:hAnsiTheme="minorHAnsi"/>
          <w:sz w:val="14"/>
          <w:szCs w:val="14"/>
        </w:rPr>
        <w:t>Afrozensus</w:t>
      </w:r>
      <w:proofErr w:type="spellEnd"/>
      <w:r w:rsidRPr="00823A57">
        <w:rPr>
          <w:rFonts w:asciiTheme="minorHAnsi" w:hAnsiTheme="minorHAnsi"/>
          <w:sz w:val="14"/>
          <w:szCs w:val="14"/>
        </w:rPr>
        <w:t xml:space="preserve"> 2020: Perspectives on Anti-Black Racism Experiences and Engagement of Black, African, and Afro-Diasporic People in Germany”], 2021 (in German).</w:t>
      </w:r>
    </w:p>
    <w:p w14:paraId="31F40809" w14:textId="77777777" w:rsidR="00AD41E6" w:rsidRPr="00823A57" w:rsidRDefault="00AD41E6" w:rsidP="00CD0A25">
      <w:pPr>
        <w:pStyle w:val="FootnoteText"/>
        <w:shd w:val="clear" w:color="auto" w:fill="FFFFFF"/>
        <w:spacing w:after="0"/>
        <w:rPr>
          <w:rFonts w:asciiTheme="minorHAnsi" w:hAnsiTheme="minorHAnsi"/>
          <w:sz w:val="14"/>
          <w:szCs w:val="14"/>
        </w:rPr>
      </w:pPr>
    </w:p>
  </w:footnote>
  <w:footnote w:id="24">
    <w:p w14:paraId="7FE836FF" w14:textId="77777777" w:rsidR="00070213" w:rsidRPr="00823A57" w:rsidRDefault="00070213" w:rsidP="00CD0A25">
      <w:pPr>
        <w:pStyle w:val="FootnoteText"/>
        <w:spacing w:after="0"/>
        <w:rPr>
          <w:rFonts w:asciiTheme="minorHAnsi" w:hAnsiTheme="minorHAnsi"/>
          <w:sz w:val="14"/>
          <w:szCs w:val="14"/>
          <w:lang w:val="de-DE"/>
        </w:rPr>
      </w:pPr>
      <w:r w:rsidRPr="00823A57">
        <w:rPr>
          <w:rFonts w:asciiTheme="minorHAnsi" w:hAnsiTheme="minorHAnsi"/>
          <w:sz w:val="14"/>
          <w:szCs w:val="14"/>
          <w:vertAlign w:val="superscript"/>
        </w:rPr>
        <w:footnoteRef/>
      </w:r>
      <w:r w:rsidRPr="00823A57">
        <w:rPr>
          <w:rFonts w:asciiTheme="minorHAnsi" w:hAnsiTheme="minorHAnsi"/>
          <w:sz w:val="14"/>
          <w:szCs w:val="14"/>
          <w:lang w:val="de-DE"/>
        </w:rPr>
        <w:t xml:space="preserve"> Independent Expert Group on </w:t>
      </w:r>
      <w:proofErr w:type="spellStart"/>
      <w:r w:rsidRPr="00823A57">
        <w:rPr>
          <w:rFonts w:asciiTheme="minorHAnsi" w:hAnsiTheme="minorHAnsi"/>
          <w:sz w:val="14"/>
          <w:szCs w:val="14"/>
          <w:lang w:val="de-DE"/>
        </w:rPr>
        <w:t>Muslimophobia</w:t>
      </w:r>
      <w:proofErr w:type="spellEnd"/>
      <w:r w:rsidRPr="00823A57">
        <w:rPr>
          <w:rFonts w:asciiTheme="minorHAnsi" w:hAnsiTheme="minorHAnsi"/>
          <w:sz w:val="14"/>
          <w:szCs w:val="14"/>
          <w:lang w:val="de-DE"/>
        </w:rPr>
        <w:t>, ”Muslimfeindlichkeit – Eine deutsche Bilanz“ [”</w:t>
      </w:r>
      <w:proofErr w:type="spellStart"/>
      <w:r w:rsidRPr="00823A57">
        <w:rPr>
          <w:rFonts w:asciiTheme="minorHAnsi" w:hAnsiTheme="minorHAnsi"/>
          <w:sz w:val="14"/>
          <w:szCs w:val="14"/>
          <w:lang w:val="de-DE"/>
        </w:rPr>
        <w:t>Muslimophobia</w:t>
      </w:r>
      <w:proofErr w:type="spellEnd"/>
      <w:r w:rsidRPr="00823A57">
        <w:rPr>
          <w:rFonts w:asciiTheme="minorHAnsi" w:hAnsiTheme="minorHAnsi"/>
          <w:sz w:val="14"/>
          <w:szCs w:val="14"/>
          <w:lang w:val="de-DE"/>
        </w:rPr>
        <w:t xml:space="preserve"> - A German Balance Sheet“], 2023, </w:t>
      </w:r>
      <w:hyperlink r:id="rId17" w:tooltip="https://www.bmi.bund.de/SharedDocs/pressemitteilungen/DE/2023/06/uem-abschlussbericht.html" w:history="1">
        <w:r w:rsidRPr="00823A57">
          <w:rPr>
            <w:rStyle w:val="Hyperlink"/>
            <w:rFonts w:asciiTheme="minorHAnsi" w:hAnsiTheme="minorHAnsi"/>
            <w:sz w:val="14"/>
            <w:szCs w:val="14"/>
            <w:lang w:val="de-DE"/>
          </w:rPr>
          <w:t>https://www.bmi.bund.de/SharedDocs/pressemitteilungen/DE/2023/06/uem-abschlussbericht.html</w:t>
        </w:r>
      </w:hyperlink>
      <w:r w:rsidRPr="00823A57">
        <w:rPr>
          <w:rFonts w:asciiTheme="minorHAnsi" w:hAnsiTheme="minorHAnsi"/>
          <w:sz w:val="14"/>
          <w:szCs w:val="14"/>
          <w:lang w:val="de-DE"/>
        </w:rPr>
        <w:t xml:space="preserve"> (in German).</w:t>
      </w:r>
    </w:p>
  </w:footnote>
  <w:footnote w:id="25">
    <w:p w14:paraId="0A92E195" w14:textId="77777777" w:rsidR="00070213" w:rsidRPr="00823A57" w:rsidRDefault="00070213" w:rsidP="00CD0A25">
      <w:pPr>
        <w:pStyle w:val="FootnoteText"/>
        <w:spacing w:after="0"/>
        <w:rPr>
          <w:rFonts w:asciiTheme="minorHAnsi" w:hAnsiTheme="minorHAnsi"/>
          <w:sz w:val="14"/>
          <w:szCs w:val="14"/>
          <w:lang w:val="de-DE"/>
        </w:rPr>
      </w:pPr>
      <w:r w:rsidRPr="00823A57">
        <w:rPr>
          <w:rFonts w:asciiTheme="minorHAnsi" w:hAnsiTheme="minorHAnsi"/>
          <w:sz w:val="14"/>
          <w:szCs w:val="14"/>
          <w:vertAlign w:val="superscript"/>
        </w:rPr>
        <w:footnoteRef/>
      </w:r>
      <w:r w:rsidRPr="00823A57">
        <w:rPr>
          <w:rFonts w:asciiTheme="minorHAnsi" w:hAnsiTheme="minorHAnsi"/>
          <w:sz w:val="14"/>
          <w:szCs w:val="14"/>
          <w:lang w:val="de-DE"/>
        </w:rPr>
        <w:t xml:space="preserve"> CLAIM – Alliance </w:t>
      </w:r>
      <w:proofErr w:type="spellStart"/>
      <w:r w:rsidRPr="00823A57">
        <w:rPr>
          <w:rFonts w:asciiTheme="minorHAnsi" w:hAnsiTheme="minorHAnsi"/>
          <w:sz w:val="14"/>
          <w:szCs w:val="14"/>
          <w:lang w:val="de-DE"/>
        </w:rPr>
        <w:t>against</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Hostility</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towards</w:t>
      </w:r>
      <w:proofErr w:type="spellEnd"/>
      <w:r w:rsidRPr="00823A57">
        <w:rPr>
          <w:rFonts w:asciiTheme="minorHAnsi" w:hAnsiTheme="minorHAnsi"/>
          <w:sz w:val="14"/>
          <w:szCs w:val="14"/>
          <w:lang w:val="de-DE"/>
        </w:rPr>
        <w:t xml:space="preserve"> Islam and Muslims, “Pressemitteilung - Erstes zivilgesellschaftliches Lagebild zeigt: Mehr als zwei antimuslimische Vorfälle pro Tag in Deutschland“ [“Press release - First </w:t>
      </w:r>
      <w:proofErr w:type="spellStart"/>
      <w:r w:rsidRPr="00823A57">
        <w:rPr>
          <w:rFonts w:asciiTheme="minorHAnsi" w:hAnsiTheme="minorHAnsi"/>
          <w:sz w:val="14"/>
          <w:szCs w:val="14"/>
          <w:lang w:val="de-DE"/>
        </w:rPr>
        <w:t>civil</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society</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situation</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report</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shows</w:t>
      </w:r>
      <w:proofErr w:type="spellEnd"/>
      <w:r w:rsidRPr="00823A57">
        <w:rPr>
          <w:rFonts w:asciiTheme="minorHAnsi" w:hAnsiTheme="minorHAnsi"/>
          <w:sz w:val="14"/>
          <w:szCs w:val="14"/>
          <w:lang w:val="de-DE"/>
        </w:rPr>
        <w:t xml:space="preserve">: More </w:t>
      </w:r>
      <w:proofErr w:type="spellStart"/>
      <w:r w:rsidRPr="00823A57">
        <w:rPr>
          <w:rFonts w:asciiTheme="minorHAnsi" w:hAnsiTheme="minorHAnsi"/>
          <w:sz w:val="14"/>
          <w:szCs w:val="14"/>
          <w:lang w:val="de-DE"/>
        </w:rPr>
        <w:t>than</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two</w:t>
      </w:r>
      <w:proofErr w:type="spellEnd"/>
      <w:r w:rsidRPr="00823A57">
        <w:rPr>
          <w:rFonts w:asciiTheme="minorHAnsi" w:hAnsiTheme="minorHAnsi"/>
          <w:sz w:val="14"/>
          <w:szCs w:val="14"/>
          <w:lang w:val="de-DE"/>
        </w:rPr>
        <w:t xml:space="preserve"> anti-Muslim </w:t>
      </w:r>
      <w:proofErr w:type="spellStart"/>
      <w:r w:rsidRPr="00823A57">
        <w:rPr>
          <w:rFonts w:asciiTheme="minorHAnsi" w:hAnsiTheme="minorHAnsi"/>
          <w:sz w:val="14"/>
          <w:szCs w:val="14"/>
          <w:lang w:val="de-DE"/>
        </w:rPr>
        <w:t>incidents</w:t>
      </w:r>
      <w:proofErr w:type="spellEnd"/>
      <w:r w:rsidRPr="00823A57">
        <w:rPr>
          <w:rFonts w:asciiTheme="minorHAnsi" w:hAnsiTheme="minorHAnsi"/>
          <w:sz w:val="14"/>
          <w:szCs w:val="14"/>
          <w:lang w:val="de-DE"/>
        </w:rPr>
        <w:t xml:space="preserve"> per </w:t>
      </w:r>
      <w:proofErr w:type="spellStart"/>
      <w:r w:rsidRPr="00823A57">
        <w:rPr>
          <w:rFonts w:asciiTheme="minorHAnsi" w:hAnsiTheme="minorHAnsi"/>
          <w:sz w:val="14"/>
          <w:szCs w:val="14"/>
          <w:lang w:val="de-DE"/>
        </w:rPr>
        <w:t>day</w:t>
      </w:r>
      <w:proofErr w:type="spellEnd"/>
      <w:r w:rsidRPr="00823A57">
        <w:rPr>
          <w:rFonts w:asciiTheme="minorHAnsi" w:hAnsiTheme="minorHAnsi"/>
          <w:sz w:val="14"/>
          <w:szCs w:val="14"/>
          <w:lang w:val="de-DE"/>
        </w:rPr>
        <w:t xml:space="preserve"> in Germany“], 26 June 2023, </w:t>
      </w:r>
      <w:hyperlink r:id="rId18" w:tooltip="https://www.claim-allianz.de/aktuelles/news/pressemitteilung-erstes-zivilgesellschaftliches-lagebild-zeigt-mehr-als-zwei-antimuslimische-vorfaelle-pro-tag-in-deutschland/" w:history="1">
        <w:r w:rsidRPr="00823A57">
          <w:rPr>
            <w:rStyle w:val="Hyperlink"/>
            <w:rFonts w:asciiTheme="minorHAnsi" w:hAnsiTheme="minorHAnsi"/>
            <w:sz w:val="14"/>
            <w:szCs w:val="14"/>
            <w:lang w:val="de-DE"/>
          </w:rPr>
          <w:t>https://www.claim-allianz.de/aktuelles/news/pressemitteilung-erstes-zivilgesellschaftliches-lagebild-zeigt-mehr-als-zwei-antimuslimische-vorfaelle-pro-tag-in-deutschland/</w:t>
        </w:r>
      </w:hyperlink>
      <w:r w:rsidRPr="00823A57">
        <w:rPr>
          <w:rFonts w:asciiTheme="minorHAnsi" w:hAnsiTheme="minorHAnsi"/>
          <w:color w:val="2B579A"/>
          <w:sz w:val="14"/>
          <w:szCs w:val="14"/>
          <w:shd w:val="clear" w:color="auto" w:fill="FFFFFF" w:themeFill="background1"/>
          <w:lang w:val="de-DE"/>
        </w:rPr>
        <w:t xml:space="preserve"> (in German).</w:t>
      </w:r>
    </w:p>
  </w:footnote>
  <w:footnote w:id="26">
    <w:p w14:paraId="3FE4B7DE" w14:textId="77777777" w:rsidR="00070213" w:rsidRPr="00823A57" w:rsidRDefault="00070213" w:rsidP="00CD0A25">
      <w:pPr>
        <w:pStyle w:val="FootnoteText"/>
        <w:shd w:val="clear" w:color="auto" w:fill="FFFFFF"/>
        <w:spacing w:after="0"/>
        <w:rPr>
          <w:rStyle w:val="FootnoteTextChar"/>
          <w:rFonts w:asciiTheme="minorHAnsi" w:hAnsiTheme="minorHAnsi" w:cs="Amnesty Trade Gothic"/>
          <w:sz w:val="14"/>
          <w:szCs w:val="14"/>
          <w:lang w:val="de-DE"/>
        </w:rPr>
      </w:pPr>
      <w:r w:rsidRPr="00823A57">
        <w:rPr>
          <w:rFonts w:asciiTheme="minorHAnsi" w:eastAsia="Amnesty Trade Gothic" w:hAnsiTheme="minorHAnsi" w:cs="Amnesty Trade Gothic"/>
          <w:color w:val="auto"/>
          <w:sz w:val="14"/>
          <w:szCs w:val="14"/>
          <w:vertAlign w:val="superscript"/>
        </w:rPr>
        <w:footnoteRef/>
      </w:r>
      <w:r w:rsidRPr="00823A57">
        <w:rPr>
          <w:rFonts w:asciiTheme="minorHAnsi" w:eastAsia="Amnesty Trade Gothic" w:hAnsiTheme="minorHAnsi" w:cs="Amnesty Trade Gothic"/>
          <w:color w:val="2B579A"/>
          <w:sz w:val="14"/>
          <w:szCs w:val="14"/>
          <w:shd w:val="clear" w:color="auto" w:fill="FFFFFF" w:themeFill="background1"/>
          <w:lang w:val="de-DE"/>
        </w:rPr>
        <w:t xml:space="preserve"> </w:t>
      </w:r>
      <w:proofErr w:type="spellStart"/>
      <w:r w:rsidRPr="00823A57">
        <w:rPr>
          <w:rStyle w:val="FootnoteTextChar"/>
          <w:rFonts w:asciiTheme="minorHAnsi" w:eastAsia="Amnesty Trade Gothic" w:hAnsiTheme="minorHAnsi" w:cs="Amnesty Trade Gothic"/>
          <w:sz w:val="14"/>
          <w:szCs w:val="14"/>
          <w:lang w:val="de-DE"/>
        </w:rPr>
        <w:t>Antiziganism</w:t>
      </w:r>
      <w:proofErr w:type="spellEnd"/>
      <w:r w:rsidRPr="00823A57">
        <w:rPr>
          <w:rStyle w:val="FootnoteTextChar"/>
          <w:rFonts w:asciiTheme="minorHAnsi" w:eastAsia="Amnesty Trade Gothic" w:hAnsiTheme="minorHAnsi" w:cs="Amnesty Trade Gothic"/>
          <w:sz w:val="14"/>
          <w:szCs w:val="14"/>
          <w:lang w:val="de-DE"/>
        </w:rPr>
        <w:t xml:space="preserve"> Reporting and Information Centre, “</w:t>
      </w:r>
      <w:proofErr w:type="spellStart"/>
      <w:r w:rsidRPr="00823A57">
        <w:rPr>
          <w:rStyle w:val="FootnoteTextChar"/>
          <w:rFonts w:asciiTheme="minorHAnsi" w:eastAsia="Amnesty Trade Gothic" w:hAnsiTheme="minorHAnsi" w:cs="Amnesty Trade Gothic"/>
          <w:sz w:val="14"/>
          <w:szCs w:val="14"/>
          <w:lang w:val="de-DE"/>
        </w:rPr>
        <w:t>Antziganistische</w:t>
      </w:r>
      <w:proofErr w:type="spellEnd"/>
      <w:r w:rsidRPr="00823A57">
        <w:rPr>
          <w:rStyle w:val="FootnoteTextChar"/>
          <w:rFonts w:asciiTheme="minorHAnsi" w:eastAsia="Amnesty Trade Gothic" w:hAnsiTheme="minorHAnsi" w:cs="Amnesty Trade Gothic"/>
          <w:sz w:val="14"/>
          <w:szCs w:val="14"/>
          <w:lang w:val="de-DE"/>
        </w:rPr>
        <w:t xml:space="preserve"> Vorfälle in Deutschland - Erster Jahresbericht der Melde- und Informationsstelle Antiziganismus” [“</w:t>
      </w:r>
      <w:proofErr w:type="spellStart"/>
      <w:r w:rsidRPr="00823A57">
        <w:rPr>
          <w:rStyle w:val="FootnoteTextChar"/>
          <w:rFonts w:asciiTheme="minorHAnsi" w:eastAsia="Amnesty Trade Gothic" w:hAnsiTheme="minorHAnsi" w:cs="Amnesty Trade Gothic"/>
          <w:sz w:val="14"/>
          <w:szCs w:val="14"/>
          <w:lang w:val="de-DE"/>
        </w:rPr>
        <w:t>Antiziganist</w:t>
      </w:r>
      <w:proofErr w:type="spellEnd"/>
      <w:r w:rsidRPr="00823A57">
        <w:rPr>
          <w:rStyle w:val="FootnoteTextChar"/>
          <w:rFonts w:asciiTheme="minorHAnsi" w:eastAsia="Amnesty Trade Gothic" w:hAnsiTheme="minorHAnsi" w:cs="Amnesty Trade Gothic"/>
          <w:sz w:val="14"/>
          <w:szCs w:val="14"/>
          <w:lang w:val="de-DE"/>
        </w:rPr>
        <w:t xml:space="preserve"> </w:t>
      </w:r>
      <w:proofErr w:type="spellStart"/>
      <w:r w:rsidRPr="00823A57">
        <w:rPr>
          <w:rStyle w:val="FootnoteTextChar"/>
          <w:rFonts w:asciiTheme="minorHAnsi" w:eastAsia="Amnesty Trade Gothic" w:hAnsiTheme="minorHAnsi" w:cs="Amnesty Trade Gothic"/>
          <w:sz w:val="14"/>
          <w:szCs w:val="14"/>
          <w:lang w:val="de-DE"/>
        </w:rPr>
        <w:t>Incidents</w:t>
      </w:r>
      <w:proofErr w:type="spellEnd"/>
      <w:r w:rsidRPr="00823A57">
        <w:rPr>
          <w:rStyle w:val="FootnoteTextChar"/>
          <w:rFonts w:asciiTheme="minorHAnsi" w:eastAsia="Amnesty Trade Gothic" w:hAnsiTheme="minorHAnsi" w:cs="Amnesty Trade Gothic"/>
          <w:sz w:val="14"/>
          <w:szCs w:val="14"/>
          <w:lang w:val="de-DE"/>
        </w:rPr>
        <w:t xml:space="preserve"> in Germany - First Annual Report of the </w:t>
      </w:r>
      <w:proofErr w:type="spellStart"/>
      <w:r w:rsidRPr="00823A57">
        <w:rPr>
          <w:rStyle w:val="FootnoteTextChar"/>
          <w:rFonts w:asciiTheme="minorHAnsi" w:eastAsia="Amnesty Trade Gothic" w:hAnsiTheme="minorHAnsi" w:cs="Amnesty Trade Gothic"/>
          <w:sz w:val="14"/>
          <w:szCs w:val="14"/>
          <w:lang w:val="de-DE"/>
        </w:rPr>
        <w:t>Antiziganism</w:t>
      </w:r>
      <w:proofErr w:type="spellEnd"/>
      <w:r w:rsidRPr="00823A57">
        <w:rPr>
          <w:rStyle w:val="FootnoteTextChar"/>
          <w:rFonts w:asciiTheme="minorHAnsi" w:eastAsia="Amnesty Trade Gothic" w:hAnsiTheme="minorHAnsi" w:cs="Amnesty Trade Gothic"/>
          <w:sz w:val="14"/>
          <w:szCs w:val="14"/>
          <w:lang w:val="de-DE"/>
        </w:rPr>
        <w:t xml:space="preserve"> Reporting and Information Centre”], September 2023, </w:t>
      </w:r>
      <w:hyperlink r:id="rId19" w:tooltip="https://www.antiziganismus-melden.de/2023/09/18/melde-und-informationsstelle-antiziganismus-mia-veroeffentlicht-ersten-jahresbericht-2022-zu-antiziganistischen-vorfaellen-in-deutschland/" w:history="1">
        <w:r w:rsidRPr="00823A57">
          <w:rPr>
            <w:rStyle w:val="Hyperlink"/>
            <w:rFonts w:asciiTheme="minorHAnsi" w:eastAsia="Amnesty Trade Gothic" w:hAnsiTheme="minorHAnsi" w:cs="Amnesty Trade Gothic"/>
            <w:sz w:val="14"/>
            <w:szCs w:val="14"/>
            <w:lang w:val="de-DE"/>
          </w:rPr>
          <w:t>https://www.antiziganismus-melden.de/2023/09/18/melde-und-informationsstelle-antiziganismus-mia-veroeffentlicht-ersten-jahresbericht-2022-zu-antiziganistischen-vorfaellen-in-deutschland/</w:t>
        </w:r>
      </w:hyperlink>
      <w:r w:rsidRPr="00823A57">
        <w:rPr>
          <w:rStyle w:val="Hyperlink"/>
          <w:rFonts w:asciiTheme="minorHAnsi" w:eastAsia="Amnesty Trade Gothic" w:hAnsiTheme="minorHAnsi" w:cs="Amnesty Trade Gothic"/>
          <w:sz w:val="14"/>
          <w:szCs w:val="14"/>
          <w:lang w:val="de-DE"/>
        </w:rPr>
        <w:t xml:space="preserve"> </w:t>
      </w:r>
      <w:r w:rsidRPr="00823A57">
        <w:rPr>
          <w:rFonts w:asciiTheme="minorHAnsi" w:eastAsia="Amnesty Trade Gothic" w:hAnsiTheme="minorHAnsi" w:cs="Amnesty Trade Gothic"/>
          <w:color w:val="2B579A"/>
          <w:sz w:val="14"/>
          <w:szCs w:val="14"/>
          <w:shd w:val="clear" w:color="auto" w:fill="FFFFFF" w:themeFill="background1"/>
          <w:lang w:val="de-DE"/>
        </w:rPr>
        <w:t>(in German).</w:t>
      </w:r>
    </w:p>
  </w:footnote>
  <w:footnote w:id="27">
    <w:p w14:paraId="446E95F7" w14:textId="77777777" w:rsidR="00070213" w:rsidRPr="00823A57" w:rsidRDefault="00070213" w:rsidP="00CD0A25">
      <w:pPr>
        <w:pStyle w:val="FootnoteText"/>
        <w:shd w:val="clear" w:color="auto" w:fill="FFFFFF"/>
        <w:spacing w:after="0"/>
        <w:rPr>
          <w:rStyle w:val="FootnoteTextChar"/>
          <w:rFonts w:asciiTheme="minorHAnsi" w:hAnsiTheme="minorHAnsi" w:cs="Amnesty Trade Gothic"/>
          <w:sz w:val="14"/>
          <w:szCs w:val="14"/>
          <w:lang w:val="de-DE"/>
        </w:rPr>
      </w:pPr>
      <w:r w:rsidRPr="00823A57">
        <w:rPr>
          <w:rFonts w:asciiTheme="minorHAnsi" w:eastAsia="Amnesty Trade Gothic" w:hAnsiTheme="minorHAnsi" w:cs="Amnesty Trade Gothic"/>
          <w:color w:val="auto"/>
          <w:sz w:val="14"/>
          <w:szCs w:val="14"/>
          <w:vertAlign w:val="superscript"/>
        </w:rPr>
        <w:footnoteRef/>
      </w:r>
      <w:r w:rsidRPr="00823A57">
        <w:rPr>
          <w:rFonts w:asciiTheme="minorHAnsi" w:eastAsia="Amnesty Trade Gothic" w:hAnsiTheme="minorHAnsi" w:cs="Amnesty Trade Gothic"/>
          <w:sz w:val="14"/>
          <w:szCs w:val="14"/>
          <w:lang w:val="de-DE"/>
        </w:rPr>
        <w:t xml:space="preserve"> </w:t>
      </w:r>
      <w:proofErr w:type="spellStart"/>
      <w:r w:rsidRPr="00823A57">
        <w:rPr>
          <w:rFonts w:asciiTheme="minorHAnsi" w:eastAsia="Amnesty Trade Gothic" w:hAnsiTheme="minorHAnsi" w:cs="Amnesty Trade Gothic"/>
          <w:sz w:val="14"/>
          <w:szCs w:val="14"/>
          <w:lang w:val="de-DE"/>
        </w:rPr>
        <w:t>rive</w:t>
      </w:r>
      <w:proofErr w:type="spellEnd"/>
      <w:r w:rsidRPr="00823A57">
        <w:rPr>
          <w:rFonts w:asciiTheme="minorHAnsi" w:eastAsia="Amnesty Trade Gothic" w:hAnsiTheme="minorHAnsi" w:cs="Amnesty Trade Gothic"/>
          <w:sz w:val="14"/>
          <w:szCs w:val="14"/>
          <w:lang w:val="de-DE"/>
        </w:rPr>
        <w:t xml:space="preserve">, </w:t>
      </w:r>
      <w:proofErr w:type="spellStart"/>
      <w:r w:rsidRPr="00823A57">
        <w:rPr>
          <w:rStyle w:val="FootnoteTextChar"/>
          <w:rFonts w:asciiTheme="minorHAnsi" w:eastAsia="Amnesty Trade Gothic" w:hAnsiTheme="minorHAnsi" w:cs="Amnesty Trade Gothic"/>
          <w:sz w:val="14"/>
          <w:szCs w:val="14"/>
          <w:lang w:val="de-DE"/>
        </w:rPr>
        <w:t>akiko</w:t>
      </w:r>
      <w:proofErr w:type="spellEnd"/>
      <w:r w:rsidRPr="00823A57">
        <w:rPr>
          <w:rStyle w:val="FootnoteTextChar"/>
          <w:rFonts w:asciiTheme="minorHAnsi" w:eastAsia="Amnesty Trade Gothic" w:hAnsiTheme="minorHAnsi" w:cs="Amnesty Trade Gothic"/>
          <w:sz w:val="14"/>
          <w:szCs w:val="14"/>
          <w:lang w:val="de-DE"/>
        </w:rPr>
        <w:t>/</w:t>
      </w:r>
      <w:proofErr w:type="spellStart"/>
      <w:r w:rsidRPr="00823A57">
        <w:rPr>
          <w:rStyle w:val="FootnoteTextChar"/>
          <w:rFonts w:asciiTheme="minorHAnsi" w:eastAsia="Amnesty Trade Gothic" w:hAnsiTheme="minorHAnsi" w:cs="Amnesty Trade Gothic"/>
          <w:sz w:val="14"/>
          <w:szCs w:val="14"/>
          <w:lang w:val="de-DE"/>
        </w:rPr>
        <w:t>Ehrich</w:t>
      </w:r>
      <w:proofErr w:type="spellEnd"/>
      <w:r w:rsidRPr="00823A57">
        <w:rPr>
          <w:rStyle w:val="FootnoteTextChar"/>
          <w:rFonts w:asciiTheme="minorHAnsi" w:eastAsia="Amnesty Trade Gothic" w:hAnsiTheme="minorHAnsi" w:cs="Amnesty Trade Gothic"/>
          <w:sz w:val="14"/>
          <w:szCs w:val="14"/>
          <w:lang w:val="de-DE"/>
        </w:rPr>
        <w:t xml:space="preserve">, </w:t>
      </w:r>
      <w:proofErr w:type="spellStart"/>
      <w:r w:rsidRPr="00823A57">
        <w:rPr>
          <w:rStyle w:val="FootnoteTextChar"/>
          <w:rFonts w:asciiTheme="minorHAnsi" w:eastAsia="Amnesty Trade Gothic" w:hAnsiTheme="minorHAnsi" w:cs="Amnesty Trade Gothic"/>
          <w:sz w:val="14"/>
          <w:szCs w:val="14"/>
          <w:lang w:val="de-DE"/>
        </w:rPr>
        <w:t>Cuso</w:t>
      </w:r>
      <w:proofErr w:type="spellEnd"/>
      <w:r w:rsidRPr="00823A57">
        <w:rPr>
          <w:rStyle w:val="FootnoteTextChar"/>
          <w:rFonts w:asciiTheme="minorHAnsi" w:eastAsia="Amnesty Trade Gothic" w:hAnsiTheme="minorHAnsi" w:cs="Amnesty Trade Gothic"/>
          <w:sz w:val="14"/>
          <w:szCs w:val="14"/>
          <w:lang w:val="de-DE"/>
        </w:rPr>
        <w:t>, “Broschüre Anti-Asiatischer Rassismus: Eine Einführung für die politische Bildungsarbeit [“</w:t>
      </w:r>
      <w:proofErr w:type="spellStart"/>
      <w:r w:rsidRPr="00823A57">
        <w:rPr>
          <w:rStyle w:val="FootnoteTextChar"/>
          <w:rFonts w:asciiTheme="minorHAnsi" w:eastAsia="Amnesty Trade Gothic" w:hAnsiTheme="minorHAnsi" w:cs="Amnesty Trade Gothic"/>
          <w:sz w:val="14"/>
          <w:szCs w:val="14"/>
          <w:lang w:val="de-DE"/>
        </w:rPr>
        <w:t>Brochure</w:t>
      </w:r>
      <w:proofErr w:type="spellEnd"/>
      <w:r w:rsidRPr="00823A57">
        <w:rPr>
          <w:rStyle w:val="FootnoteTextChar"/>
          <w:rFonts w:asciiTheme="minorHAnsi" w:eastAsia="Amnesty Trade Gothic" w:hAnsiTheme="minorHAnsi" w:cs="Amnesty Trade Gothic"/>
          <w:sz w:val="14"/>
          <w:szCs w:val="14"/>
          <w:lang w:val="de-DE"/>
        </w:rPr>
        <w:t xml:space="preserve"> Anti-Asian Racism: An </w:t>
      </w:r>
      <w:proofErr w:type="spellStart"/>
      <w:r w:rsidRPr="00823A57">
        <w:rPr>
          <w:rStyle w:val="FootnoteTextChar"/>
          <w:rFonts w:asciiTheme="minorHAnsi" w:eastAsia="Amnesty Trade Gothic" w:hAnsiTheme="minorHAnsi" w:cs="Amnesty Trade Gothic"/>
          <w:sz w:val="14"/>
          <w:szCs w:val="14"/>
          <w:lang w:val="de-DE"/>
        </w:rPr>
        <w:t>Introduction</w:t>
      </w:r>
      <w:proofErr w:type="spellEnd"/>
      <w:r w:rsidRPr="00823A57">
        <w:rPr>
          <w:rStyle w:val="FootnoteTextChar"/>
          <w:rFonts w:asciiTheme="minorHAnsi" w:eastAsia="Amnesty Trade Gothic" w:hAnsiTheme="minorHAnsi" w:cs="Amnesty Trade Gothic"/>
          <w:sz w:val="14"/>
          <w:szCs w:val="14"/>
          <w:lang w:val="de-DE"/>
        </w:rPr>
        <w:t xml:space="preserve"> for Political Education Work“], 14 June 2023, </w:t>
      </w:r>
      <w:hyperlink r:id="rId20" w:tooltip="https://www.korientation.de/projekte/radar/broschuere-anti-asiatischer-rassismus/" w:history="1">
        <w:r w:rsidRPr="00823A57">
          <w:rPr>
            <w:rStyle w:val="Hyperlink"/>
            <w:rFonts w:asciiTheme="minorHAnsi" w:eastAsia="Amnesty Trade Gothic" w:hAnsiTheme="minorHAnsi" w:cs="Amnesty Trade Gothic"/>
            <w:sz w:val="14"/>
            <w:szCs w:val="14"/>
            <w:lang w:val="de-DE"/>
          </w:rPr>
          <w:t>https://www.korientation.de/projekte/radar/broschuere-anti-asiatischer-rassismus/</w:t>
        </w:r>
      </w:hyperlink>
      <w:r w:rsidRPr="00823A57">
        <w:rPr>
          <w:rFonts w:asciiTheme="minorHAnsi" w:eastAsia="Amnesty Trade Gothic" w:hAnsiTheme="minorHAnsi" w:cs="Amnesty Trade Gothic"/>
          <w:sz w:val="14"/>
          <w:szCs w:val="14"/>
          <w:lang w:val="de-DE"/>
        </w:rPr>
        <w:t xml:space="preserve"> (in German).</w:t>
      </w:r>
    </w:p>
  </w:footnote>
  <w:footnote w:id="28">
    <w:p w14:paraId="617C0829" w14:textId="77777777" w:rsidR="00070213" w:rsidRPr="00823A57" w:rsidRDefault="00070213" w:rsidP="00CD0A25">
      <w:pPr>
        <w:pStyle w:val="FootnoteText"/>
        <w:shd w:val="clear" w:color="auto" w:fill="FFFFFF"/>
        <w:spacing w:after="0"/>
        <w:rPr>
          <w:rFonts w:asciiTheme="minorHAnsi" w:hAnsiTheme="minorHAnsi"/>
          <w:sz w:val="14"/>
          <w:szCs w:val="14"/>
          <w:lang w:val="de-DE"/>
        </w:rPr>
      </w:pPr>
      <w:r w:rsidRPr="00823A57">
        <w:rPr>
          <w:rStyle w:val="FootnoteReference"/>
          <w:rFonts w:asciiTheme="minorHAnsi" w:eastAsia="Amnesty Trade Gothic" w:hAnsiTheme="minorHAnsi" w:cs="Amnesty Trade Gothic"/>
          <w:sz w:val="14"/>
          <w:szCs w:val="14"/>
        </w:rPr>
        <w:footnoteRef/>
      </w:r>
      <w:r w:rsidRPr="00823A57">
        <w:rPr>
          <w:rFonts w:asciiTheme="minorHAnsi" w:hAnsiTheme="minorHAnsi"/>
          <w:sz w:val="14"/>
          <w:szCs w:val="14"/>
          <w:lang w:val="de-DE"/>
        </w:rPr>
        <w:t xml:space="preserve"> S</w:t>
      </w:r>
      <w:r w:rsidRPr="00823A57">
        <w:rPr>
          <w:rStyle w:val="FootnoteTextChar"/>
          <w:rFonts w:asciiTheme="minorHAnsi" w:eastAsia="Amnesty Trade Gothic" w:hAnsiTheme="minorHAnsi" w:cs="Amnesty Trade Gothic"/>
          <w:sz w:val="14"/>
          <w:szCs w:val="14"/>
          <w:lang w:val="de-DE"/>
        </w:rPr>
        <w:t>ee Panagiotidis, Jannis/Petersen, Hans-Christian, “Antiosteuropäischer und antislawischer Rassismus” [”Anti-</w:t>
      </w:r>
      <w:r w:rsidRPr="00823A57">
        <w:rPr>
          <w:rFonts w:asciiTheme="minorHAnsi" w:hAnsiTheme="minorHAnsi"/>
          <w:sz w:val="14"/>
          <w:szCs w:val="14"/>
          <w:lang w:val="de-DE"/>
        </w:rPr>
        <w:t>Eastern-E</w:t>
      </w:r>
      <w:r w:rsidRPr="00823A57">
        <w:rPr>
          <w:rStyle w:val="FootnoteTextChar"/>
          <w:rFonts w:asciiTheme="minorHAnsi" w:eastAsia="Amnesty Trade Gothic" w:hAnsiTheme="minorHAnsi" w:cs="Amnesty Trade Gothic"/>
          <w:sz w:val="14"/>
          <w:szCs w:val="14"/>
          <w:lang w:val="de-DE"/>
        </w:rPr>
        <w:t>uropean and anti-</w:t>
      </w:r>
      <w:proofErr w:type="spellStart"/>
      <w:r w:rsidRPr="00823A57">
        <w:rPr>
          <w:rStyle w:val="FootnoteTextChar"/>
          <w:rFonts w:asciiTheme="minorHAnsi" w:eastAsia="Amnesty Trade Gothic" w:hAnsiTheme="minorHAnsi" w:cs="Amnesty Trade Gothic"/>
          <w:sz w:val="14"/>
          <w:szCs w:val="14"/>
          <w:lang w:val="de-DE"/>
        </w:rPr>
        <w:t>Slavic</w:t>
      </w:r>
      <w:proofErr w:type="spellEnd"/>
      <w:r w:rsidRPr="00823A57">
        <w:rPr>
          <w:rStyle w:val="FootnoteTextChar"/>
          <w:rFonts w:asciiTheme="minorHAnsi" w:eastAsia="Amnesty Trade Gothic" w:hAnsiTheme="minorHAnsi" w:cs="Amnesty Trade Gothic"/>
          <w:sz w:val="14"/>
          <w:szCs w:val="14"/>
          <w:lang w:val="de-DE"/>
        </w:rPr>
        <w:t xml:space="preserve"> </w:t>
      </w:r>
      <w:proofErr w:type="spellStart"/>
      <w:r w:rsidRPr="00823A57">
        <w:rPr>
          <w:rStyle w:val="FootnoteTextChar"/>
          <w:rFonts w:asciiTheme="minorHAnsi" w:eastAsia="Amnesty Trade Gothic" w:hAnsiTheme="minorHAnsi" w:cs="Amnesty Trade Gothic"/>
          <w:sz w:val="14"/>
          <w:szCs w:val="14"/>
          <w:lang w:val="de-DE"/>
        </w:rPr>
        <w:t>racism</w:t>
      </w:r>
      <w:proofErr w:type="spellEnd"/>
      <w:r w:rsidRPr="00823A57">
        <w:rPr>
          <w:rStyle w:val="FootnoteTextChar"/>
          <w:rFonts w:asciiTheme="minorHAnsi" w:eastAsia="Amnesty Trade Gothic" w:hAnsiTheme="minorHAnsi" w:cs="Amnesty Trade Gothic"/>
          <w:sz w:val="14"/>
          <w:szCs w:val="14"/>
          <w:lang w:val="de-DE"/>
        </w:rPr>
        <w:t>“], May 2023</w:t>
      </w:r>
      <w:r w:rsidRPr="00823A57">
        <w:rPr>
          <w:rFonts w:asciiTheme="minorHAnsi" w:hAnsiTheme="minorHAnsi"/>
          <w:sz w:val="14"/>
          <w:szCs w:val="14"/>
          <w:lang w:val="de-DE"/>
        </w:rPr>
        <w:t xml:space="preserve">, </w:t>
      </w:r>
      <w:hyperlink r:id="rId21" w:tooltip="https://mediendienst-integration.de/fileadmin/Dateien/MEDIENDIENST_Expertise_Antislawischer_Rassismus.pdf" w:history="1">
        <w:r w:rsidRPr="00823A57">
          <w:rPr>
            <w:rStyle w:val="Hyperlink"/>
            <w:rFonts w:asciiTheme="minorHAnsi" w:eastAsia="Amnesty Trade Gothic" w:hAnsiTheme="minorHAnsi" w:cs="Amnesty Trade Gothic"/>
            <w:sz w:val="14"/>
            <w:szCs w:val="14"/>
            <w:lang w:val="de-DE"/>
          </w:rPr>
          <w:t>https://mediendienst-integration.de/fileadmin/Dateien/MEDIENDIENST_Expertise_Antislawischer_Rassismus.pdf</w:t>
        </w:r>
      </w:hyperlink>
      <w:r w:rsidRPr="00823A57">
        <w:rPr>
          <w:rFonts w:asciiTheme="minorHAnsi" w:hAnsiTheme="minorHAnsi"/>
          <w:sz w:val="14"/>
          <w:szCs w:val="14"/>
          <w:lang w:val="de-DE"/>
        </w:rPr>
        <w:t xml:space="preserve"> </w:t>
      </w:r>
      <w:r w:rsidRPr="00823A57">
        <w:rPr>
          <w:rStyle w:val="FootnoteTextChar"/>
          <w:rFonts w:asciiTheme="minorHAnsi" w:eastAsia="Amnesty Trade Gothic" w:hAnsiTheme="minorHAnsi" w:cs="Amnesty Trade Gothic"/>
          <w:sz w:val="14"/>
          <w:szCs w:val="14"/>
          <w:lang w:val="de-DE"/>
        </w:rPr>
        <w:t>(in German)</w:t>
      </w:r>
      <w:r w:rsidRPr="00823A57">
        <w:rPr>
          <w:rFonts w:asciiTheme="minorHAnsi" w:hAnsiTheme="minorHAnsi"/>
          <w:sz w:val="14"/>
          <w:szCs w:val="14"/>
          <w:lang w:val="de-DE"/>
        </w:rPr>
        <w:t>.</w:t>
      </w:r>
    </w:p>
  </w:footnote>
  <w:footnote w:id="29">
    <w:p w14:paraId="6E51E828"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eastAsia="Amnesty Trade Gothic" w:hAnsiTheme="minorHAnsi" w:cs="Amnesty Trade Gothic"/>
          <w:sz w:val="14"/>
          <w:szCs w:val="14"/>
        </w:rPr>
        <w:footnoteRef/>
      </w:r>
      <w:r w:rsidRPr="00823A57">
        <w:rPr>
          <w:rFonts w:asciiTheme="minorHAnsi" w:hAnsiTheme="minorHAnsi"/>
          <w:sz w:val="14"/>
          <w:szCs w:val="14"/>
        </w:rPr>
        <w:t xml:space="preserve"> See CERD Concluding observations on Germany, UN Doc. </w:t>
      </w:r>
      <w:r w:rsidRPr="00823A57">
        <w:rPr>
          <w:rFonts w:asciiTheme="minorHAnsi" w:hAnsiTheme="minorHAnsi"/>
          <w:sz w:val="14"/>
          <w:szCs w:val="14"/>
          <w:lang w:val="es-ES"/>
        </w:rPr>
        <w:t xml:space="preserve">CERD/C/DEU/CO/19-22, para. </w:t>
      </w:r>
      <w:r w:rsidRPr="00823A57">
        <w:rPr>
          <w:rFonts w:asciiTheme="minorHAnsi" w:hAnsiTheme="minorHAnsi"/>
          <w:sz w:val="14"/>
          <w:szCs w:val="14"/>
        </w:rPr>
        <w:t>6.</w:t>
      </w:r>
    </w:p>
  </w:footnote>
  <w:footnote w:id="30">
    <w:p w14:paraId="57442983" w14:textId="77777777" w:rsidR="00070213" w:rsidRPr="00823A57" w:rsidRDefault="00070213" w:rsidP="00CD0A25">
      <w:pPr>
        <w:pStyle w:val="FootnoteText"/>
        <w:shd w:val="clear" w:color="auto" w:fill="FFFFFF"/>
        <w:spacing w:after="0"/>
        <w:rPr>
          <w:rStyle w:val="Hyperlink"/>
          <w:rFonts w:asciiTheme="minorHAnsi" w:eastAsia="Amnesty Trade Gothic" w:hAnsiTheme="minorHAnsi" w:cs="Amnesty Trade Gothic"/>
          <w:sz w:val="14"/>
          <w:szCs w:val="14"/>
        </w:rPr>
      </w:pPr>
      <w:r w:rsidRPr="00823A57">
        <w:rPr>
          <w:rFonts w:asciiTheme="minorHAnsi" w:eastAsia="Amnesty Trade Gothic" w:hAnsiTheme="minorHAnsi" w:cs="Amnesty Trade Gothic"/>
          <w:sz w:val="14"/>
          <w:szCs w:val="14"/>
        </w:rPr>
        <w:t xml:space="preserve">Amnesty International, Living in insecurity: Germany is failing victims of racist violence (Index: EUR 23/4112/2016), 9 June 2016, </w:t>
      </w:r>
      <w:hyperlink r:id="rId22" w:history="1">
        <w:r w:rsidRPr="00823A57">
          <w:rPr>
            <w:rStyle w:val="Hyperlink"/>
            <w:rFonts w:asciiTheme="minorHAnsi" w:eastAsia="Amnesty Trade Gothic" w:hAnsiTheme="minorHAnsi" w:cs="Amnesty Trade Gothic"/>
            <w:sz w:val="14"/>
            <w:szCs w:val="14"/>
          </w:rPr>
          <w:t>https://www.amnesty.org/en/documents/EUR23/4112/2016/en/</w:t>
        </w:r>
      </w:hyperlink>
      <w:r w:rsidRPr="00823A57">
        <w:rPr>
          <w:rFonts w:asciiTheme="minorHAnsi" w:eastAsia="Amnesty Trade Gothic" w:hAnsiTheme="minorHAnsi" w:cs="Amnesty Trade Gothic"/>
          <w:sz w:val="14"/>
          <w:szCs w:val="14"/>
        </w:rPr>
        <w:t>, p.7.</w:t>
      </w:r>
    </w:p>
  </w:footnote>
  <w:footnote w:id="31">
    <w:p w14:paraId="6CF95E7A" w14:textId="0D9F4CBC" w:rsidR="00070213" w:rsidRPr="00823A57" w:rsidRDefault="00070213" w:rsidP="00CD0A25">
      <w:pPr>
        <w:pStyle w:val="FootnoteText"/>
        <w:spacing w:after="0"/>
        <w:rPr>
          <w:rFonts w:asciiTheme="minorHAnsi" w:hAnsiTheme="minorHAnsi"/>
          <w:sz w:val="14"/>
          <w:szCs w:val="14"/>
        </w:rPr>
      </w:pPr>
      <w:r w:rsidRPr="00823A57">
        <w:rPr>
          <w:rFonts w:asciiTheme="minorHAnsi" w:hAnsiTheme="minorHAnsi"/>
          <w:sz w:val="14"/>
          <w:szCs w:val="14"/>
        </w:rPr>
        <w:footnoteRef/>
      </w:r>
      <w:r w:rsidRPr="00823A57">
        <w:rPr>
          <w:rFonts w:asciiTheme="minorHAnsi" w:hAnsiTheme="minorHAnsi"/>
          <w:sz w:val="14"/>
          <w:szCs w:val="14"/>
        </w:rPr>
        <w:t xml:space="preserve"> International Independent Expert Mechanism to Advance Racial Justice and Equality in Law Enforcement, Report:</w:t>
      </w:r>
      <w:r w:rsidR="00B2598B" w:rsidRPr="00823A57">
        <w:rPr>
          <w:rFonts w:asciiTheme="minorHAnsi" w:hAnsiTheme="minorHAnsi"/>
          <w:sz w:val="14"/>
          <w:szCs w:val="14"/>
        </w:rPr>
        <w:t xml:space="preserve"> </w:t>
      </w:r>
      <w:r w:rsidRPr="00823A57">
        <w:rPr>
          <w:rFonts w:asciiTheme="minorHAnsi" w:hAnsiTheme="minorHAnsi"/>
          <w:sz w:val="14"/>
          <w:szCs w:val="14"/>
        </w:rPr>
        <w:t>Promotion and protection of the human rights and fundamental freedoms of Africans and of people of African descent against excessive use of force and other human rights violations by law enforcement officers through transformative change for racial justice and equality, 21 August 2023, UN Doc. A/HRC/54/69, para. 21.</w:t>
      </w:r>
    </w:p>
  </w:footnote>
  <w:footnote w:id="32">
    <w:p w14:paraId="35AA70FF" w14:textId="77777777" w:rsidR="00070213" w:rsidRPr="00823A57" w:rsidRDefault="00070213" w:rsidP="00CD0A25">
      <w:pPr>
        <w:pStyle w:val="FootnoteText"/>
        <w:spacing w:after="0"/>
        <w:rPr>
          <w:rFonts w:asciiTheme="minorHAnsi" w:hAnsiTheme="minorHAnsi"/>
          <w:sz w:val="14"/>
          <w:szCs w:val="14"/>
        </w:rPr>
      </w:pPr>
      <w:r w:rsidRPr="00823A57">
        <w:rPr>
          <w:rFonts w:asciiTheme="minorHAnsi" w:hAnsiTheme="minorHAnsi"/>
          <w:sz w:val="14"/>
          <w:szCs w:val="14"/>
          <w:vertAlign w:val="superscript"/>
        </w:rPr>
        <w:footnoteRef/>
      </w:r>
      <w:r w:rsidRPr="00823A57">
        <w:rPr>
          <w:rFonts w:asciiTheme="minorHAnsi" w:hAnsiTheme="minorHAnsi"/>
          <w:sz w:val="14"/>
          <w:szCs w:val="14"/>
        </w:rPr>
        <w:t xml:space="preserve"> ECRI, General Policy Recommendation N°11 on combating racism and racial discrimination in policing, 29 June 2007, </w:t>
      </w:r>
      <w:hyperlink r:id="rId23" w:tooltip="https://www.coe.int/en/web/european-commission-against-racism-and-intolerance/recommendation-no.11," w:history="1">
        <w:r w:rsidRPr="00823A57">
          <w:rPr>
            <w:rStyle w:val="Hyperlink"/>
            <w:rFonts w:asciiTheme="minorHAnsi" w:hAnsiTheme="minorHAnsi"/>
            <w:sz w:val="14"/>
            <w:szCs w:val="14"/>
          </w:rPr>
          <w:t>https://www.coe.int/en/web/european-commission-against-racism-and-intolerance/recommendation-no.11</w:t>
        </w:r>
      </w:hyperlink>
      <w:r w:rsidRPr="00823A57">
        <w:rPr>
          <w:rFonts w:asciiTheme="minorHAnsi" w:hAnsiTheme="minorHAnsi"/>
          <w:sz w:val="14"/>
          <w:szCs w:val="14"/>
        </w:rPr>
        <w:t>, para 1.</w:t>
      </w:r>
    </w:p>
  </w:footnote>
  <w:footnote w:id="33">
    <w:p w14:paraId="66BDB815" w14:textId="77777777" w:rsidR="00070213" w:rsidRPr="00823A57" w:rsidRDefault="00070213" w:rsidP="00CD0A25">
      <w:pPr>
        <w:pStyle w:val="FootnoteText"/>
        <w:spacing w:after="0"/>
        <w:rPr>
          <w:rFonts w:asciiTheme="minorHAnsi" w:hAnsiTheme="minorHAnsi"/>
          <w:sz w:val="14"/>
          <w:szCs w:val="14"/>
        </w:rPr>
      </w:pPr>
      <w:r w:rsidRPr="00823A57">
        <w:rPr>
          <w:rFonts w:asciiTheme="minorHAnsi" w:hAnsiTheme="minorHAnsi"/>
          <w:sz w:val="14"/>
          <w:szCs w:val="14"/>
          <w:vertAlign w:val="superscript"/>
        </w:rPr>
        <w:footnoteRef/>
      </w:r>
      <w:r w:rsidRPr="00823A57">
        <w:rPr>
          <w:rFonts w:asciiTheme="minorHAnsi" w:hAnsiTheme="minorHAnsi"/>
          <w:sz w:val="14"/>
          <w:szCs w:val="14"/>
        </w:rPr>
        <w:t xml:space="preserve"> </w:t>
      </w:r>
      <w:hyperlink r:id="rId24" w:tooltip="https://fra.europa.eu/sites/default/files/fra_uploads/fra-2021-fundamental-rights-survey-police-stops_en.pdf" w:history="1">
        <w:r w:rsidRPr="00823A57">
          <w:rPr>
            <w:rStyle w:val="Hyperlink"/>
            <w:rFonts w:asciiTheme="minorHAnsi" w:hAnsiTheme="minorHAnsi"/>
            <w:sz w:val="14"/>
            <w:szCs w:val="14"/>
          </w:rPr>
          <w:t>European Union Agency for Fundamental Rights, Your Rights Matter: Police Stops</w:t>
        </w:r>
      </w:hyperlink>
      <w:r w:rsidRPr="00823A57">
        <w:rPr>
          <w:rFonts w:asciiTheme="minorHAnsi" w:hAnsiTheme="minorHAnsi"/>
          <w:sz w:val="14"/>
          <w:szCs w:val="14"/>
        </w:rPr>
        <w:t xml:space="preserve">, 2021, </w:t>
      </w:r>
      <w:hyperlink r:id="rId25" w:tooltip="https://fra.europa.eu/sites/default/files/fra_uploads/fra-2021-fundamental-rights-survey-police-stops_en.pdf" w:history="1">
        <w:r w:rsidRPr="00823A57">
          <w:rPr>
            <w:rStyle w:val="Hyperlink"/>
            <w:rFonts w:asciiTheme="minorHAnsi" w:hAnsiTheme="minorHAnsi"/>
            <w:sz w:val="14"/>
            <w:szCs w:val="14"/>
          </w:rPr>
          <w:t>https://fra.europa.eu/sites/default/files/fra_uploads/fra-2021-fundamental-rights-survey-police-stops_en.pdf</w:t>
        </w:r>
      </w:hyperlink>
      <w:r w:rsidRPr="00823A57">
        <w:rPr>
          <w:rFonts w:asciiTheme="minorHAnsi" w:hAnsiTheme="minorHAnsi"/>
          <w:sz w:val="14"/>
          <w:szCs w:val="14"/>
        </w:rPr>
        <w:t xml:space="preserve">. </w:t>
      </w:r>
    </w:p>
  </w:footnote>
  <w:footnote w:id="34">
    <w:p w14:paraId="174BE87B" w14:textId="77777777" w:rsidR="00070213" w:rsidRPr="00823A57" w:rsidRDefault="00070213" w:rsidP="00CD0A25">
      <w:pPr>
        <w:pStyle w:val="FootnoteText"/>
        <w:spacing w:after="0"/>
        <w:rPr>
          <w:rFonts w:asciiTheme="minorHAnsi" w:hAnsiTheme="minorHAnsi"/>
          <w:sz w:val="14"/>
          <w:szCs w:val="14"/>
        </w:rPr>
      </w:pPr>
      <w:r w:rsidRPr="00823A57">
        <w:rPr>
          <w:rFonts w:asciiTheme="minorHAnsi" w:hAnsiTheme="minorHAnsi"/>
          <w:sz w:val="14"/>
          <w:szCs w:val="14"/>
          <w:vertAlign w:val="superscript"/>
        </w:rPr>
        <w:footnoteRef/>
      </w:r>
      <w:r w:rsidRPr="00823A57">
        <w:rPr>
          <w:rFonts w:asciiTheme="minorHAnsi" w:hAnsiTheme="minorHAnsi"/>
          <w:sz w:val="14"/>
          <w:szCs w:val="14"/>
        </w:rPr>
        <w:t xml:space="preserve"> Amnesty International, Germany: Discrimination on the rise: Submission to the 44th session of the UPR Working Group, November 2023 (Index: EUR 23/6481/2023), 31 March 2023, </w:t>
      </w:r>
      <w:hyperlink r:id="rId26" w:tooltip="https://www.amnesty.org/en/documents/eur23/6481/2023/en/," w:history="1">
        <w:r w:rsidRPr="00823A57">
          <w:rPr>
            <w:rStyle w:val="Hyperlink"/>
            <w:rFonts w:asciiTheme="minorHAnsi" w:hAnsiTheme="minorHAnsi"/>
            <w:sz w:val="14"/>
            <w:szCs w:val="14"/>
          </w:rPr>
          <w:t>https://www.amnesty.org/en/documents/eur23/6481/2023/en/</w:t>
        </w:r>
      </w:hyperlink>
      <w:r w:rsidRPr="00823A57">
        <w:rPr>
          <w:rFonts w:asciiTheme="minorHAnsi" w:hAnsiTheme="minorHAnsi"/>
          <w:sz w:val="14"/>
          <w:szCs w:val="14"/>
        </w:rPr>
        <w:t xml:space="preserve">, para. 17. </w:t>
      </w:r>
    </w:p>
  </w:footnote>
  <w:footnote w:id="35">
    <w:p w14:paraId="56226AE8" w14:textId="6BA5AABA" w:rsidR="00070213" w:rsidRPr="00823A57" w:rsidRDefault="00070213" w:rsidP="00CD0A25">
      <w:pPr>
        <w:pStyle w:val="FootnoteText"/>
        <w:spacing w:after="0"/>
        <w:rPr>
          <w:rFonts w:asciiTheme="minorHAnsi" w:hAnsiTheme="minorHAnsi"/>
          <w:sz w:val="14"/>
          <w:szCs w:val="14"/>
        </w:rPr>
      </w:pPr>
      <w:r w:rsidRPr="00823A57">
        <w:rPr>
          <w:rFonts w:asciiTheme="minorHAnsi" w:hAnsiTheme="minorHAnsi"/>
          <w:sz w:val="14"/>
          <w:szCs w:val="14"/>
          <w:vertAlign w:val="superscript"/>
        </w:rPr>
        <w:footnoteRef/>
      </w:r>
      <w:r w:rsidR="0034709B" w:rsidRPr="00823A57">
        <w:rPr>
          <w:rFonts w:asciiTheme="minorHAnsi" w:hAnsiTheme="minorHAnsi"/>
          <w:sz w:val="14"/>
          <w:szCs w:val="14"/>
        </w:rPr>
        <w:t xml:space="preserve"> </w:t>
      </w:r>
      <w:r w:rsidRPr="00823A57">
        <w:rPr>
          <w:rFonts w:asciiTheme="minorHAnsi" w:hAnsiTheme="minorHAnsi"/>
          <w:sz w:val="14"/>
          <w:szCs w:val="14"/>
        </w:rPr>
        <w:t xml:space="preserve">Committee on the Elimination of Racial Discrimination, Combined twenty-third to twenty-sixth reports submitted by Germany under article 9 of the Convention, due in 2018, 29 June 2020, UN Doc. </w:t>
      </w:r>
      <w:r w:rsidR="003D7719" w:rsidRPr="00823A57">
        <w:rPr>
          <w:rFonts w:asciiTheme="minorHAnsi" w:hAnsiTheme="minorHAnsi"/>
          <w:sz w:val="14"/>
          <w:szCs w:val="14"/>
        </w:rPr>
        <w:t xml:space="preserve">CERD/C/DEU/23-26, </w:t>
      </w:r>
      <w:hyperlink r:id="rId27" w:history="1">
        <w:r w:rsidR="003D7719" w:rsidRPr="00823A57">
          <w:rPr>
            <w:rStyle w:val="Hyperlink"/>
            <w:rFonts w:asciiTheme="minorHAnsi" w:hAnsiTheme="minorHAnsi"/>
            <w:sz w:val="14"/>
            <w:szCs w:val="14"/>
          </w:rPr>
          <w:t>https://tbinternet.ohchr.org/_layouts/15/treatybodyexternal/Download.aspx?symbolno=CERD%2FC%2FDEU%2F23-26&amp;Lang=en</w:t>
        </w:r>
      </w:hyperlink>
      <w:r w:rsidR="003D7719" w:rsidRPr="00823A57">
        <w:rPr>
          <w:rFonts w:asciiTheme="minorHAnsi" w:hAnsiTheme="minorHAnsi"/>
          <w:sz w:val="14"/>
          <w:szCs w:val="14"/>
        </w:rPr>
        <w:t>,  para. 144.</w:t>
      </w:r>
    </w:p>
  </w:footnote>
  <w:footnote w:id="36">
    <w:p w14:paraId="016C3747"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Concluding Observations on 19th-22nd reports on Germany, para. 11. </w:t>
      </w:r>
    </w:p>
  </w:footnote>
  <w:footnote w:id="37">
    <w:p w14:paraId="2F914EF9" w14:textId="77777777" w:rsidR="00070213" w:rsidRPr="00823A57" w:rsidRDefault="00070213" w:rsidP="00CD0A25">
      <w:pPr>
        <w:pStyle w:val="FootnoteText"/>
        <w:shd w:val="clear" w:color="auto" w:fill="FFFFFF"/>
        <w:spacing w:after="0"/>
        <w:rPr>
          <w:rFonts w:asciiTheme="minorHAnsi" w:hAnsiTheme="minorHAnsi"/>
          <w:color w:val="auto"/>
          <w:sz w:val="14"/>
          <w:szCs w:val="14"/>
        </w:rPr>
      </w:pPr>
      <w:r w:rsidRPr="00823A57">
        <w:rPr>
          <w:rFonts w:asciiTheme="minorHAnsi" w:hAnsiTheme="minorHAnsi"/>
          <w:color w:val="auto"/>
          <w:sz w:val="14"/>
          <w:szCs w:val="14"/>
          <w:vertAlign w:val="superscript"/>
        </w:rPr>
        <w:footnoteRef/>
      </w:r>
      <w:r w:rsidRPr="00823A57">
        <w:rPr>
          <w:rFonts w:asciiTheme="minorHAnsi" w:hAnsiTheme="minorHAnsi"/>
          <w:color w:val="auto"/>
          <w:sz w:val="14"/>
          <w:szCs w:val="14"/>
        </w:rPr>
        <w:t xml:space="preserve"> Concluding Observations on 19th-22nd reports on Germany, para. 11. </w:t>
      </w:r>
    </w:p>
  </w:footnote>
  <w:footnote w:id="38">
    <w:p w14:paraId="748F786D" w14:textId="77777777" w:rsidR="00070213" w:rsidRPr="00823A57" w:rsidRDefault="00070213" w:rsidP="00CD0A25">
      <w:pPr>
        <w:pStyle w:val="FootnoteText"/>
        <w:shd w:val="clear" w:color="auto" w:fill="FFFFFF"/>
        <w:spacing w:after="0"/>
        <w:rPr>
          <w:rFonts w:asciiTheme="minorHAnsi" w:hAnsiTheme="minorHAnsi" w:cs="Amnesty Trade Gothic"/>
          <w:sz w:val="14"/>
          <w:szCs w:val="14"/>
        </w:rPr>
      </w:pPr>
      <w:r w:rsidRPr="00823A57">
        <w:rPr>
          <w:rFonts w:asciiTheme="minorHAnsi" w:eastAsia="Amnesty Trade Gothic" w:hAnsiTheme="minorHAnsi" w:cs="Amnesty Trade Gothic"/>
          <w:color w:val="auto"/>
          <w:sz w:val="14"/>
          <w:szCs w:val="14"/>
          <w:vertAlign w:val="superscript"/>
        </w:rPr>
        <w:footnoteRef/>
      </w:r>
      <w:r w:rsidRPr="00823A57">
        <w:rPr>
          <w:rFonts w:asciiTheme="minorHAnsi" w:eastAsia="Amnesty Trade Gothic" w:hAnsiTheme="minorHAnsi" w:cs="Amnesty Trade Gothic"/>
          <w:sz w:val="14"/>
          <w:szCs w:val="14"/>
        </w:rPr>
        <w:t xml:space="preserve"> </w:t>
      </w:r>
      <w:hyperlink r:id="rId28" w:tooltip="https://rm.coe.int/ecri-general-policy-recommendation-no-11-on-combating-racism-and-racia/16808b5adf" w:history="1">
        <w:r w:rsidRPr="00823A57">
          <w:rPr>
            <w:rFonts w:asciiTheme="minorHAnsi" w:eastAsia="Amnesty Trade Gothic" w:hAnsiTheme="minorHAnsi" w:cs="Amnesty Trade Gothic"/>
            <w:color w:val="000000"/>
            <w:sz w:val="14"/>
            <w:szCs w:val="14"/>
          </w:rPr>
          <w:t xml:space="preserve">ECRI, </w:t>
        </w:r>
        <w:r w:rsidRPr="00823A57">
          <w:rPr>
            <w:rFonts w:asciiTheme="minorHAnsi" w:eastAsia="Amnesty Trade Gothic" w:hAnsiTheme="minorHAnsi" w:cs="Amnesty Trade Gothic"/>
            <w:sz w:val="14"/>
            <w:szCs w:val="14"/>
          </w:rPr>
          <w:t xml:space="preserve">General Policy Recommendation N°11 on combating racism and racial discrimination in policing, 29 June 2007, </w:t>
        </w:r>
        <w:r w:rsidRPr="00823A57">
          <w:rPr>
            <w:rStyle w:val="Hyperlink"/>
            <w:rFonts w:asciiTheme="minorHAnsi" w:eastAsia="Amnesty Trade Gothic" w:hAnsiTheme="minorHAnsi" w:cs="Amnesty Trade Gothic"/>
            <w:sz w:val="14"/>
            <w:szCs w:val="14"/>
          </w:rPr>
          <w:t>https://www.coe.int/en/web/european-commission-against-racism-and-intolerance/recommendation-no.11</w:t>
        </w:r>
        <w:r w:rsidRPr="00823A57">
          <w:rPr>
            <w:rFonts w:asciiTheme="minorHAnsi" w:eastAsia="Amnesty Trade Gothic" w:hAnsiTheme="minorHAnsi" w:cs="Amnesty Trade Gothic"/>
            <w:color w:val="000000"/>
            <w:sz w:val="14"/>
            <w:szCs w:val="14"/>
          </w:rPr>
          <w:t>, para</w:t>
        </w:r>
      </w:hyperlink>
      <w:r w:rsidRPr="00823A57">
        <w:rPr>
          <w:rFonts w:asciiTheme="minorHAnsi" w:eastAsia="Amnesty Trade Gothic" w:hAnsiTheme="minorHAnsi" w:cs="Amnesty Trade Gothic"/>
          <w:color w:val="000000"/>
          <w:sz w:val="14"/>
          <w:szCs w:val="14"/>
        </w:rPr>
        <w:t xml:space="preserve">. 3. </w:t>
      </w:r>
    </w:p>
  </w:footnote>
  <w:footnote w:id="39">
    <w:p w14:paraId="3F0BEE5D"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w:t>
      </w:r>
      <w:r w:rsidRPr="00823A57">
        <w:rPr>
          <w:rFonts w:asciiTheme="minorHAnsi" w:hAnsiTheme="minorHAnsi"/>
          <w:color w:val="000000"/>
          <w:sz w:val="14"/>
          <w:szCs w:val="14"/>
        </w:rPr>
        <w:t xml:space="preserve">§ 27 para. 1 sentence 1 no. 2 a) </w:t>
      </w:r>
      <w:proofErr w:type="spellStart"/>
      <w:r w:rsidRPr="00823A57">
        <w:rPr>
          <w:rFonts w:asciiTheme="minorHAnsi" w:hAnsiTheme="minorHAnsi"/>
          <w:color w:val="000000"/>
          <w:sz w:val="14"/>
          <w:szCs w:val="14"/>
        </w:rPr>
        <w:t>PolGBremen</w:t>
      </w:r>
      <w:proofErr w:type="spellEnd"/>
      <w:r w:rsidRPr="00823A57">
        <w:rPr>
          <w:rFonts w:asciiTheme="minorHAnsi" w:hAnsiTheme="minorHAnsi"/>
          <w:color w:val="000000"/>
          <w:sz w:val="14"/>
          <w:szCs w:val="14"/>
        </w:rPr>
        <w:t xml:space="preserve">, </w:t>
      </w:r>
      <w:hyperlink r:id="rId29" w:history="1">
        <w:r w:rsidRPr="00823A57">
          <w:rPr>
            <w:rStyle w:val="Hyperlink"/>
            <w:rFonts w:asciiTheme="minorHAnsi" w:eastAsia="Amnesty Trade Gothic" w:hAnsiTheme="minorHAnsi" w:cs="Amnesty Trade Gothic"/>
            <w:sz w:val="14"/>
            <w:szCs w:val="14"/>
          </w:rPr>
          <w:t>https://gesetze.io/gesetze/hb/brempolg</w:t>
        </w:r>
      </w:hyperlink>
      <w:r w:rsidRPr="00823A57">
        <w:rPr>
          <w:rFonts w:asciiTheme="minorHAnsi" w:hAnsiTheme="minorHAnsi"/>
          <w:color w:val="000000"/>
          <w:sz w:val="14"/>
          <w:szCs w:val="14"/>
        </w:rPr>
        <w:t xml:space="preserve"> (in German)</w:t>
      </w:r>
      <w:r w:rsidRPr="00823A57">
        <w:rPr>
          <w:rFonts w:asciiTheme="minorHAnsi" w:hAnsiTheme="minorHAnsi"/>
          <w:sz w:val="14"/>
          <w:szCs w:val="14"/>
        </w:rPr>
        <w:t>.</w:t>
      </w:r>
    </w:p>
  </w:footnote>
  <w:footnote w:id="40">
    <w:p w14:paraId="47C43249"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German Bundestag, ”</w:t>
      </w:r>
      <w:proofErr w:type="spellStart"/>
      <w:r w:rsidRPr="00823A57">
        <w:rPr>
          <w:rFonts w:asciiTheme="minorHAnsi" w:hAnsiTheme="minorHAnsi"/>
          <w:sz w:val="14"/>
          <w:szCs w:val="14"/>
        </w:rPr>
        <w:t>Antwort</w:t>
      </w:r>
      <w:proofErr w:type="spellEnd"/>
      <w:r w:rsidRPr="00823A57">
        <w:rPr>
          <w:rFonts w:asciiTheme="minorHAnsi" w:hAnsiTheme="minorHAnsi"/>
          <w:sz w:val="14"/>
          <w:szCs w:val="14"/>
        </w:rPr>
        <w:t xml:space="preserve"> der </w:t>
      </w:r>
      <w:proofErr w:type="spellStart"/>
      <w:r w:rsidRPr="00823A57">
        <w:rPr>
          <w:rFonts w:asciiTheme="minorHAnsi" w:hAnsiTheme="minorHAnsi"/>
          <w:sz w:val="14"/>
          <w:szCs w:val="14"/>
        </w:rPr>
        <w:t>deutschen</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Bundesregierung</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zur</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Problematik</w:t>
      </w:r>
      <w:proofErr w:type="spellEnd"/>
      <w:r w:rsidRPr="00823A57">
        <w:rPr>
          <w:rFonts w:asciiTheme="minorHAnsi" w:hAnsiTheme="minorHAnsi"/>
          <w:sz w:val="14"/>
          <w:szCs w:val="14"/>
        </w:rPr>
        <w:t xml:space="preserve"> des Racial Profiling und </w:t>
      </w:r>
      <w:proofErr w:type="spellStart"/>
      <w:r w:rsidRPr="00823A57">
        <w:rPr>
          <w:rFonts w:asciiTheme="minorHAnsi" w:hAnsiTheme="minorHAnsi"/>
          <w:sz w:val="14"/>
          <w:szCs w:val="14"/>
        </w:rPr>
        <w:t>anlasslose</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Kontrollen</w:t>
      </w:r>
      <w:proofErr w:type="spellEnd"/>
      <w:r w:rsidRPr="00823A57">
        <w:rPr>
          <w:rFonts w:asciiTheme="minorHAnsi" w:hAnsiTheme="minorHAnsi"/>
          <w:sz w:val="14"/>
          <w:szCs w:val="14"/>
        </w:rPr>
        <w:t xml:space="preserve"> der </w:t>
      </w:r>
      <w:proofErr w:type="spellStart"/>
      <w:r w:rsidRPr="00823A57">
        <w:rPr>
          <w:rFonts w:asciiTheme="minorHAnsi" w:hAnsiTheme="minorHAnsi"/>
          <w:sz w:val="14"/>
          <w:szCs w:val="14"/>
        </w:rPr>
        <w:t>Bundespolizei</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seit</w:t>
      </w:r>
      <w:proofErr w:type="spellEnd"/>
      <w:r w:rsidRPr="00823A57">
        <w:rPr>
          <w:rFonts w:asciiTheme="minorHAnsi" w:hAnsiTheme="minorHAnsi"/>
          <w:sz w:val="14"/>
          <w:szCs w:val="14"/>
        </w:rPr>
        <w:t xml:space="preserve"> 2021” [“Answer of the German Federal Government on the Issue of Racial Profiling and Groundless Checks by the Federal Police since 2021”], 14 December 2022, </w:t>
      </w:r>
      <w:proofErr w:type="spellStart"/>
      <w:r w:rsidRPr="00823A57">
        <w:rPr>
          <w:rFonts w:asciiTheme="minorHAnsi" w:hAnsiTheme="minorHAnsi"/>
          <w:sz w:val="14"/>
          <w:szCs w:val="14"/>
        </w:rPr>
        <w:t>Drs.</w:t>
      </w:r>
      <w:proofErr w:type="spellEnd"/>
      <w:r w:rsidRPr="00823A57">
        <w:rPr>
          <w:rFonts w:asciiTheme="minorHAnsi" w:hAnsiTheme="minorHAnsi"/>
          <w:sz w:val="14"/>
          <w:szCs w:val="14"/>
        </w:rPr>
        <w:t xml:space="preserve"> 20/4961, </w:t>
      </w:r>
      <w:hyperlink r:id="rId30" w:tooltip="https://dserver.bundestag.de/btd/20/049/2004961.pdf" w:history="1">
        <w:r w:rsidRPr="00823A57">
          <w:rPr>
            <w:rStyle w:val="Hyperlink"/>
            <w:rFonts w:asciiTheme="minorHAnsi" w:eastAsia="Amnesty Trade Gothic" w:hAnsiTheme="minorHAnsi" w:cs="Amnesty Trade Gothic"/>
            <w:sz w:val="14"/>
            <w:szCs w:val="14"/>
          </w:rPr>
          <w:t>https://dserver.bundestag.de/btd/20/049/2004961.pdf</w:t>
        </w:r>
      </w:hyperlink>
      <w:r w:rsidRPr="00823A57">
        <w:rPr>
          <w:rFonts w:asciiTheme="minorHAnsi" w:hAnsiTheme="minorHAnsi"/>
          <w:sz w:val="14"/>
          <w:szCs w:val="14"/>
        </w:rPr>
        <w:t xml:space="preserve"> (in German).</w:t>
      </w:r>
    </w:p>
  </w:footnote>
  <w:footnote w:id="41">
    <w:p w14:paraId="4CCA05D1"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CERD General recommendation 36, CERD/C/GC/36, para. 26. </w:t>
      </w:r>
    </w:p>
  </w:footnote>
  <w:footnote w:id="42">
    <w:p w14:paraId="7D4E00F5" w14:textId="77777777" w:rsidR="00070213" w:rsidRPr="00823A57" w:rsidRDefault="00070213" w:rsidP="00CD0A25">
      <w:pPr>
        <w:pStyle w:val="FootnoteText"/>
        <w:shd w:val="clear" w:color="auto" w:fill="FFFFFF"/>
        <w:spacing w:after="0"/>
        <w:rPr>
          <w:rFonts w:asciiTheme="minorHAnsi" w:hAnsiTheme="minorHAnsi" w:cs="Amnesty Trade Gothic"/>
          <w:sz w:val="14"/>
          <w:szCs w:val="14"/>
        </w:rPr>
      </w:pPr>
      <w:r w:rsidRPr="00823A57">
        <w:rPr>
          <w:rFonts w:asciiTheme="minorHAnsi" w:eastAsia="Amnesty Trade Gothic" w:hAnsiTheme="minorHAnsi" w:cs="Amnesty Trade Gothic"/>
          <w:color w:val="auto"/>
          <w:sz w:val="14"/>
          <w:szCs w:val="14"/>
          <w:vertAlign w:val="superscript"/>
        </w:rPr>
        <w:footnoteRef/>
      </w:r>
      <w:r w:rsidRPr="00823A57">
        <w:rPr>
          <w:rFonts w:asciiTheme="minorHAnsi" w:eastAsia="Amnesty Trade Gothic" w:hAnsiTheme="minorHAnsi" w:cs="Amnesty Trade Gothic"/>
          <w:sz w:val="14"/>
          <w:szCs w:val="14"/>
        </w:rPr>
        <w:t xml:space="preserve"> </w:t>
      </w:r>
      <w:r w:rsidRPr="00823A57">
        <w:rPr>
          <w:rFonts w:asciiTheme="minorHAnsi" w:eastAsia="Amnesty Trade Gothic" w:hAnsiTheme="minorHAnsi" w:cs="Amnesty Trade Gothic"/>
          <w:color w:val="000000"/>
          <w:sz w:val="14"/>
          <w:szCs w:val="14"/>
        </w:rPr>
        <w:t xml:space="preserve">Draft Law on the Federal Police Act, 1 June 2023, </w:t>
      </w:r>
      <w:hyperlink r:id="rId31" w:tooltip="https://www.bmi.bund.de/SharedDocs/gesetzgebungsverfahren/DE/Downloads/referentenentwuerfe/B1/ref-neustrukturierung-bundespolizeigesetz.pdf;jsessionid=F73CCB2959273429F790F35BA0436F05.2_cid360?__blob=publicationFile&amp;v=6," w:history="1">
        <w:r w:rsidRPr="00823A57">
          <w:rPr>
            <w:rStyle w:val="Hyperlink"/>
            <w:rFonts w:asciiTheme="minorHAnsi" w:eastAsia="Amnesty Trade Gothic" w:hAnsiTheme="minorHAnsi" w:cs="Amnesty Trade Gothic"/>
            <w:sz w:val="14"/>
            <w:szCs w:val="14"/>
          </w:rPr>
          <w:t>https://www.bmi.bund.de/SharedDocs/gesetzgebungsverfahren/DE/Downloads/referentenentwuerfe/B1/ref-neustrukturierung-bundespolizeigesetz.pdf;jsessionid=F73CCB2959273429F790F35BA0436F05.2_cid360?__blob=publicationFile&amp;v=6</w:t>
        </w:r>
      </w:hyperlink>
      <w:r w:rsidRPr="00823A57">
        <w:rPr>
          <w:rStyle w:val="Hyperlink"/>
          <w:rFonts w:asciiTheme="minorHAnsi" w:eastAsia="Amnesty Trade Gothic" w:hAnsiTheme="minorHAnsi" w:cs="Amnesty Trade Gothic"/>
          <w:sz w:val="14"/>
          <w:szCs w:val="14"/>
        </w:rPr>
        <w:t xml:space="preserve"> </w:t>
      </w:r>
      <w:r w:rsidRPr="00823A57">
        <w:rPr>
          <w:rFonts w:asciiTheme="minorHAnsi" w:eastAsia="Amnesty Trade Gothic" w:hAnsiTheme="minorHAnsi" w:cs="Amnesty Trade Gothic"/>
          <w:color w:val="000000"/>
          <w:sz w:val="14"/>
          <w:szCs w:val="14"/>
        </w:rPr>
        <w:t xml:space="preserve">(in German), § 23 para. 2 </w:t>
      </w:r>
      <w:proofErr w:type="spellStart"/>
      <w:r w:rsidRPr="00823A57">
        <w:rPr>
          <w:rFonts w:asciiTheme="minorHAnsi" w:eastAsia="Amnesty Trade Gothic" w:hAnsiTheme="minorHAnsi" w:cs="Amnesty Trade Gothic"/>
          <w:color w:val="000000"/>
          <w:sz w:val="14"/>
          <w:szCs w:val="14"/>
        </w:rPr>
        <w:t>BPolGE</w:t>
      </w:r>
      <w:proofErr w:type="spellEnd"/>
      <w:r w:rsidRPr="00823A57">
        <w:rPr>
          <w:rFonts w:asciiTheme="minorHAnsi" w:eastAsia="Amnesty Trade Gothic" w:hAnsiTheme="minorHAnsi" w:cs="Amnesty Trade Gothic"/>
          <w:color w:val="000000"/>
          <w:sz w:val="14"/>
          <w:szCs w:val="14"/>
        </w:rPr>
        <w:t xml:space="preserve">, § 26 para. 1 no. 3 and § 65 para. 2 </w:t>
      </w:r>
      <w:proofErr w:type="spellStart"/>
      <w:r w:rsidRPr="00823A57">
        <w:rPr>
          <w:rFonts w:asciiTheme="minorHAnsi" w:eastAsia="Amnesty Trade Gothic" w:hAnsiTheme="minorHAnsi" w:cs="Amnesty Trade Gothic"/>
          <w:color w:val="000000"/>
          <w:sz w:val="14"/>
          <w:szCs w:val="14"/>
        </w:rPr>
        <w:t>BPolG</w:t>
      </w:r>
      <w:proofErr w:type="spellEnd"/>
      <w:r w:rsidRPr="00823A57">
        <w:rPr>
          <w:rFonts w:asciiTheme="minorHAnsi" w:eastAsia="Amnesty Trade Gothic" w:hAnsiTheme="minorHAnsi" w:cs="Amnesty Trade Gothic"/>
          <w:color w:val="000000"/>
          <w:sz w:val="14"/>
          <w:szCs w:val="14"/>
        </w:rPr>
        <w:t xml:space="preserve">-E. </w:t>
      </w:r>
    </w:p>
  </w:footnote>
  <w:footnote w:id="43">
    <w:p w14:paraId="3487B5A2" w14:textId="6012B48B"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See Amnesty International,”</w:t>
      </w:r>
      <w:proofErr w:type="spellStart"/>
      <w:r w:rsidRPr="00823A57">
        <w:rPr>
          <w:rFonts w:asciiTheme="minorHAnsi" w:hAnsiTheme="minorHAnsi"/>
          <w:sz w:val="14"/>
          <w:szCs w:val="14"/>
        </w:rPr>
        <w:t>Stellungnahme</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zum</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Gesetzesentwurf</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zur</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Neustrukturierung</w:t>
      </w:r>
      <w:proofErr w:type="spellEnd"/>
      <w:r w:rsidRPr="00823A57">
        <w:rPr>
          <w:rFonts w:asciiTheme="minorHAnsi" w:hAnsiTheme="minorHAnsi"/>
          <w:sz w:val="14"/>
          <w:szCs w:val="14"/>
        </w:rPr>
        <w:t xml:space="preserve"> des </w:t>
      </w:r>
      <w:proofErr w:type="spellStart"/>
      <w:r w:rsidRPr="00823A57">
        <w:rPr>
          <w:rFonts w:asciiTheme="minorHAnsi" w:hAnsiTheme="minorHAnsi"/>
          <w:sz w:val="14"/>
          <w:szCs w:val="14"/>
        </w:rPr>
        <w:t>Bundespolizeigesetzes</w:t>
      </w:r>
      <w:proofErr w:type="spellEnd"/>
      <w:r w:rsidRPr="00823A57">
        <w:rPr>
          <w:rFonts w:asciiTheme="minorHAnsi" w:hAnsiTheme="minorHAnsi"/>
          <w:sz w:val="14"/>
          <w:szCs w:val="14"/>
        </w:rPr>
        <w:t xml:space="preserve">” [“Statement on the Draft Law on the restructuring of the Federal Police Act”], 09 June 2023, </w:t>
      </w:r>
      <w:hyperlink r:id="rId32" w:history="1">
        <w:r w:rsidR="00AC6D8A" w:rsidRPr="00823A57">
          <w:rPr>
            <w:rStyle w:val="Hyperlink"/>
            <w:rFonts w:asciiTheme="minorHAnsi" w:hAnsiTheme="minorHAnsi"/>
            <w:sz w:val="14"/>
            <w:szCs w:val="14"/>
          </w:rPr>
          <w:t>https://www.amnesty.de/sites/default/files/2023-06/Amnesty-Stellungnahme-Bundespolizeigesetz-Juni-2023.pdf</w:t>
        </w:r>
      </w:hyperlink>
      <w:r w:rsidR="00AC6D8A" w:rsidRPr="00823A57">
        <w:rPr>
          <w:rFonts w:asciiTheme="minorHAnsi" w:hAnsiTheme="minorHAnsi"/>
          <w:sz w:val="14"/>
          <w:szCs w:val="14"/>
        </w:rPr>
        <w:t xml:space="preserve"> </w:t>
      </w:r>
      <w:r w:rsidRPr="00823A57">
        <w:rPr>
          <w:rFonts w:asciiTheme="minorHAnsi" w:hAnsiTheme="minorHAnsi"/>
          <w:sz w:val="14"/>
          <w:szCs w:val="14"/>
        </w:rPr>
        <w:t>(in German), p. 6.</w:t>
      </w:r>
      <w:r w:rsidRPr="00823A57">
        <w:rPr>
          <w:rFonts w:asciiTheme="minorHAnsi" w:hAnsiTheme="minorHAnsi"/>
          <w:color w:val="000000"/>
          <w:sz w:val="14"/>
          <w:szCs w:val="14"/>
        </w:rPr>
        <w:t xml:space="preserve"> </w:t>
      </w:r>
    </w:p>
  </w:footnote>
  <w:footnote w:id="44">
    <w:p w14:paraId="554FE0CA" w14:textId="77777777" w:rsidR="00070213" w:rsidRPr="00823A57" w:rsidRDefault="00070213" w:rsidP="00CD0A25">
      <w:pPr>
        <w:pStyle w:val="FootnoteText"/>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w:t>
      </w:r>
      <w:r w:rsidRPr="00823A57">
        <w:rPr>
          <w:rFonts w:asciiTheme="minorHAnsi" w:hAnsiTheme="minorHAnsi"/>
          <w:color w:val="000000"/>
          <w:sz w:val="14"/>
          <w:szCs w:val="14"/>
        </w:rPr>
        <w:t xml:space="preserve">§ 27 para. </w:t>
      </w:r>
      <w:r w:rsidRPr="00823A57">
        <w:rPr>
          <w:rFonts w:asciiTheme="minorHAnsi" w:hAnsiTheme="minorHAnsi"/>
          <w:sz w:val="14"/>
          <w:szCs w:val="14"/>
        </w:rPr>
        <w:t xml:space="preserve">1 sentence 2 </w:t>
      </w:r>
      <w:proofErr w:type="spellStart"/>
      <w:r w:rsidRPr="00823A57">
        <w:rPr>
          <w:rFonts w:asciiTheme="minorHAnsi" w:hAnsiTheme="minorHAnsi"/>
          <w:sz w:val="14"/>
          <w:szCs w:val="14"/>
        </w:rPr>
        <w:t>PolGBremen</w:t>
      </w:r>
      <w:proofErr w:type="spellEnd"/>
      <w:r w:rsidRPr="00823A57">
        <w:rPr>
          <w:rFonts w:asciiTheme="minorHAnsi" w:hAnsiTheme="minorHAnsi"/>
          <w:sz w:val="14"/>
          <w:szCs w:val="14"/>
        </w:rPr>
        <w:t xml:space="preserve">, </w:t>
      </w:r>
      <w:hyperlink r:id="rId33" w:history="1">
        <w:r w:rsidRPr="00823A57">
          <w:rPr>
            <w:rStyle w:val="Hyperlink"/>
            <w:rFonts w:asciiTheme="minorHAnsi" w:hAnsiTheme="minorHAnsi"/>
            <w:sz w:val="14"/>
            <w:szCs w:val="14"/>
          </w:rPr>
          <w:t>https://gesetze.io/gesetze/hb/brempolg</w:t>
        </w:r>
      </w:hyperlink>
      <w:r w:rsidRPr="00823A57">
        <w:rPr>
          <w:rFonts w:asciiTheme="minorHAnsi" w:hAnsiTheme="minorHAnsi"/>
          <w:sz w:val="14"/>
          <w:szCs w:val="14"/>
        </w:rPr>
        <w:t xml:space="preserve"> (in German).</w:t>
      </w:r>
    </w:p>
  </w:footnote>
  <w:footnote w:id="45">
    <w:p w14:paraId="746F9686" w14:textId="77777777" w:rsidR="00070213" w:rsidRPr="00823A57" w:rsidRDefault="00070213" w:rsidP="00CD0A25">
      <w:pPr>
        <w:pStyle w:val="FootnoteText"/>
        <w:spacing w:after="0"/>
        <w:rPr>
          <w:rFonts w:asciiTheme="minorHAnsi" w:hAnsiTheme="minorHAnsi"/>
          <w:sz w:val="14"/>
          <w:szCs w:val="14"/>
        </w:rPr>
      </w:pPr>
      <w:r w:rsidRPr="00823A57">
        <w:rPr>
          <w:rFonts w:asciiTheme="minorHAnsi" w:hAnsiTheme="minorHAnsi"/>
          <w:sz w:val="14"/>
          <w:szCs w:val="14"/>
        </w:rPr>
        <w:footnoteRef/>
      </w:r>
      <w:r w:rsidRPr="00823A57">
        <w:rPr>
          <w:rFonts w:asciiTheme="minorHAnsi" w:hAnsiTheme="minorHAnsi"/>
          <w:sz w:val="14"/>
          <w:szCs w:val="14"/>
        </w:rPr>
        <w:t xml:space="preserve"> Only in § 23 para. 2 (“Questioning and duty to provide information”) </w:t>
      </w:r>
      <w:proofErr w:type="spellStart"/>
      <w:r w:rsidRPr="00823A57">
        <w:rPr>
          <w:rFonts w:asciiTheme="minorHAnsi" w:hAnsiTheme="minorHAnsi"/>
          <w:sz w:val="14"/>
          <w:szCs w:val="14"/>
        </w:rPr>
        <w:t>BPolGE</w:t>
      </w:r>
      <w:proofErr w:type="spellEnd"/>
      <w:r w:rsidRPr="00823A57">
        <w:rPr>
          <w:rFonts w:asciiTheme="minorHAnsi" w:hAnsiTheme="minorHAnsi"/>
          <w:sz w:val="14"/>
          <w:szCs w:val="14"/>
        </w:rPr>
        <w:t xml:space="preserve">, not in § 26 para. 1 no. 3 (“Establishing identity and checking entitlement certificates”) or § 65 para. 2 (“Search of property”) </w:t>
      </w:r>
      <w:proofErr w:type="spellStart"/>
      <w:r w:rsidRPr="00823A57">
        <w:rPr>
          <w:rFonts w:asciiTheme="minorHAnsi" w:hAnsiTheme="minorHAnsi"/>
          <w:sz w:val="14"/>
          <w:szCs w:val="14"/>
        </w:rPr>
        <w:t>BPolG</w:t>
      </w:r>
      <w:proofErr w:type="spellEnd"/>
      <w:r w:rsidRPr="00823A57">
        <w:rPr>
          <w:rFonts w:asciiTheme="minorHAnsi" w:hAnsiTheme="minorHAnsi"/>
          <w:sz w:val="14"/>
          <w:szCs w:val="14"/>
        </w:rPr>
        <w:t xml:space="preserve">-E. </w:t>
      </w:r>
    </w:p>
  </w:footnote>
  <w:footnote w:id="46">
    <w:p w14:paraId="77EE7728" w14:textId="77777777" w:rsidR="00070213" w:rsidRPr="00823A57" w:rsidRDefault="00070213" w:rsidP="00CD0A25">
      <w:pPr>
        <w:pStyle w:val="FootnoteText"/>
        <w:spacing w:after="0"/>
        <w:rPr>
          <w:rFonts w:asciiTheme="minorHAnsi" w:hAnsiTheme="minorHAnsi"/>
          <w:sz w:val="14"/>
          <w:szCs w:val="14"/>
        </w:rPr>
      </w:pPr>
      <w:r w:rsidRPr="00823A57">
        <w:rPr>
          <w:rFonts w:asciiTheme="minorHAnsi" w:hAnsiTheme="minorHAnsi"/>
          <w:sz w:val="14"/>
          <w:szCs w:val="14"/>
        </w:rPr>
        <w:footnoteRef/>
      </w:r>
      <w:r w:rsidRPr="00823A57">
        <w:rPr>
          <w:rFonts w:asciiTheme="minorHAnsi" w:hAnsiTheme="minorHAnsi"/>
          <w:sz w:val="14"/>
          <w:szCs w:val="14"/>
        </w:rPr>
        <w:t xml:space="preserve"> See Abdul-Rahman, Laila/ </w:t>
      </w:r>
      <w:proofErr w:type="spellStart"/>
      <w:r w:rsidRPr="00823A57">
        <w:rPr>
          <w:rFonts w:asciiTheme="minorHAnsi" w:hAnsiTheme="minorHAnsi"/>
          <w:sz w:val="14"/>
          <w:szCs w:val="14"/>
        </w:rPr>
        <w:t>Espín</w:t>
      </w:r>
      <w:proofErr w:type="spellEnd"/>
      <w:r w:rsidRPr="00823A57">
        <w:rPr>
          <w:rFonts w:asciiTheme="minorHAnsi" w:hAnsiTheme="minorHAnsi"/>
          <w:sz w:val="14"/>
          <w:szCs w:val="14"/>
        </w:rPr>
        <w:t xml:space="preserve"> Grau, Hannah/ Klaus, </w:t>
      </w:r>
      <w:proofErr w:type="spellStart"/>
      <w:r w:rsidRPr="00823A57">
        <w:rPr>
          <w:rFonts w:asciiTheme="minorHAnsi" w:hAnsiTheme="minorHAnsi"/>
          <w:sz w:val="14"/>
          <w:szCs w:val="14"/>
        </w:rPr>
        <w:t>Luise</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Singelnstein</w:t>
      </w:r>
      <w:proofErr w:type="spellEnd"/>
      <w:r w:rsidRPr="00823A57">
        <w:rPr>
          <w:rFonts w:asciiTheme="minorHAnsi" w:hAnsiTheme="minorHAnsi"/>
          <w:sz w:val="14"/>
          <w:szCs w:val="14"/>
        </w:rPr>
        <w:t xml:space="preserve">, Tobias, “The use of excessive force by the police and struggles for accountability”, 2023, </w:t>
      </w:r>
      <w:hyperlink r:id="rId34" w:history="1">
        <w:r w:rsidRPr="00823A57">
          <w:rPr>
            <w:rStyle w:val="Hyperlink"/>
            <w:rFonts w:asciiTheme="minorHAnsi" w:eastAsia="Amnesty Trade Gothic" w:hAnsiTheme="minorHAnsi" w:cs="Amnesty Trade Gothic"/>
            <w:sz w:val="14"/>
            <w:szCs w:val="14"/>
          </w:rPr>
          <w:t>https://kviapol.uni-frankfurt.de/images/pdf/en/Executive%20Summary_Gewalt%20im%20Amt.pdf</w:t>
        </w:r>
      </w:hyperlink>
      <w:r w:rsidRPr="00823A57">
        <w:rPr>
          <w:rFonts w:asciiTheme="minorHAnsi" w:hAnsiTheme="minorHAnsi"/>
          <w:sz w:val="14"/>
          <w:szCs w:val="14"/>
        </w:rPr>
        <w:t>, p. 2.</w:t>
      </w:r>
    </w:p>
  </w:footnote>
  <w:footnote w:id="47">
    <w:p w14:paraId="125E29B4" w14:textId="77777777" w:rsidR="00070213" w:rsidRPr="00823A57" w:rsidRDefault="00070213" w:rsidP="00CD0A25">
      <w:pPr>
        <w:pStyle w:val="FootnoteText"/>
        <w:shd w:val="clear" w:color="auto" w:fill="FFFFFF"/>
        <w:spacing w:after="0"/>
        <w:rPr>
          <w:rFonts w:asciiTheme="minorHAnsi" w:hAnsiTheme="minorHAnsi" w:cs="Amnesty Trade Gothic"/>
          <w:sz w:val="14"/>
          <w:szCs w:val="14"/>
        </w:rPr>
      </w:pPr>
      <w:r w:rsidRPr="00823A57">
        <w:rPr>
          <w:rFonts w:asciiTheme="minorHAnsi" w:eastAsia="Amnesty Trade Gothic" w:hAnsiTheme="minorHAnsi" w:cs="Amnesty Trade Gothic"/>
          <w:sz w:val="14"/>
          <w:szCs w:val="14"/>
          <w:vertAlign w:val="superscript"/>
        </w:rPr>
        <w:footnoteRef/>
      </w:r>
      <w:r w:rsidRPr="00823A57">
        <w:rPr>
          <w:rFonts w:asciiTheme="minorHAnsi" w:eastAsia="Amnesty Trade Gothic" w:hAnsiTheme="minorHAnsi" w:cs="Amnesty Trade Gothic"/>
          <w:sz w:val="14"/>
          <w:szCs w:val="14"/>
        </w:rPr>
        <w:t xml:space="preserve"> European Court of Human Rights (ECtHR), </w:t>
      </w:r>
      <w:proofErr w:type="spellStart"/>
      <w:r w:rsidRPr="00823A57">
        <w:rPr>
          <w:rFonts w:asciiTheme="minorHAnsi" w:eastAsia="Amnesty Trade Gothic" w:hAnsiTheme="minorHAnsi" w:cs="Amnesty Trade Gothic"/>
          <w:i/>
          <w:sz w:val="14"/>
          <w:szCs w:val="14"/>
        </w:rPr>
        <w:t>Basu</w:t>
      </w:r>
      <w:proofErr w:type="spellEnd"/>
      <w:r w:rsidRPr="00823A57">
        <w:rPr>
          <w:rFonts w:asciiTheme="minorHAnsi" w:eastAsia="Amnesty Trade Gothic" w:hAnsiTheme="minorHAnsi" w:cs="Amnesty Trade Gothic"/>
          <w:i/>
          <w:sz w:val="14"/>
          <w:szCs w:val="14"/>
        </w:rPr>
        <w:t xml:space="preserve"> v. Germany</w:t>
      </w:r>
      <w:r w:rsidRPr="00823A57">
        <w:rPr>
          <w:rFonts w:asciiTheme="minorHAnsi" w:eastAsia="Amnesty Trade Gothic" w:hAnsiTheme="minorHAnsi" w:cs="Amnesty Trade Gothic"/>
          <w:sz w:val="14"/>
          <w:szCs w:val="14"/>
        </w:rPr>
        <w:t xml:space="preserve">, Application </w:t>
      </w:r>
      <w:hyperlink r:id="rId35" w:anchor="{%22appno%22:[%22215/19%22]}" w:tooltip="https://hudoc.echr.coe.int/eng#{%22appno%22:[%22215/19%22]}" w:history="1">
        <w:r w:rsidRPr="00823A57">
          <w:rPr>
            <w:rFonts w:asciiTheme="minorHAnsi" w:eastAsia="Amnesty Trade Gothic" w:hAnsiTheme="minorHAnsi" w:cs="Amnesty Trade Gothic"/>
            <w:sz w:val="14"/>
            <w:szCs w:val="14"/>
          </w:rPr>
          <w:t>215/19</w:t>
        </w:r>
      </w:hyperlink>
      <w:r w:rsidRPr="00823A57">
        <w:rPr>
          <w:rFonts w:asciiTheme="minorHAnsi" w:eastAsia="Amnesty Trade Gothic" w:hAnsiTheme="minorHAnsi" w:cs="Amnesty Trade Gothic"/>
          <w:sz w:val="14"/>
          <w:szCs w:val="14"/>
        </w:rPr>
        <w:t xml:space="preserve">, Chamber Judgment, 18 October 2022, </w:t>
      </w:r>
      <w:hyperlink r:id="rId36" w:anchor="{%22itemid%22:[%22001-220007%22]}," w:tooltip="https://hudoc.echr.coe.int/eng#{%22itemid%22:[%22001-220007%22]}," w:history="1">
        <w:r w:rsidRPr="00823A57">
          <w:rPr>
            <w:rFonts w:asciiTheme="minorHAnsi" w:hAnsiTheme="minorHAnsi"/>
            <w:sz w:val="14"/>
            <w:szCs w:val="14"/>
            <w:lang w:val="en-US"/>
          </w:rPr>
          <w:t xml:space="preserve"> </w:t>
        </w:r>
        <w:r w:rsidRPr="00823A57">
          <w:rPr>
            <w:rStyle w:val="Hyperlink"/>
            <w:rFonts w:asciiTheme="minorHAnsi" w:eastAsia="Amnesty Trade Gothic" w:hAnsiTheme="minorHAnsi" w:cs="Amnesty Trade Gothic"/>
            <w:sz w:val="14"/>
            <w:szCs w:val="14"/>
          </w:rPr>
          <w:t>https://hudoc.echr.coe.int/eng#{%22itemid%22:[%22001-220369%22]}</w:t>
        </w:r>
      </w:hyperlink>
      <w:r w:rsidRPr="00823A57">
        <w:rPr>
          <w:rFonts w:asciiTheme="minorHAnsi" w:eastAsia="Amnesty Trade Gothic" w:hAnsiTheme="minorHAnsi" w:cs="Amnesty Trade Gothic"/>
          <w:sz w:val="14"/>
          <w:szCs w:val="14"/>
        </w:rPr>
        <w:t>, para. 39.</w:t>
      </w:r>
    </w:p>
  </w:footnote>
  <w:footnote w:id="48">
    <w:p w14:paraId="41728EB8"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sz w:val="14"/>
          <w:szCs w:val="14"/>
          <w:vertAlign w:val="superscript"/>
        </w:rPr>
        <w:footnoteRef/>
      </w:r>
      <w:r w:rsidRPr="00823A57">
        <w:rPr>
          <w:rFonts w:asciiTheme="minorHAnsi" w:hAnsiTheme="minorHAnsi"/>
          <w:sz w:val="14"/>
          <w:szCs w:val="14"/>
        </w:rPr>
        <w:t xml:space="preserve"> Department for the execution of Judgements of the European Court of Human Rights on main issues before the committee of ministers - ongoing supervision in Germany, </w:t>
      </w:r>
      <w:hyperlink r:id="rId37" w:tooltip="https://rm.coe.int/mi-germany-eng/1680a23c90" w:history="1">
        <w:r w:rsidRPr="00823A57">
          <w:rPr>
            <w:rStyle w:val="Hyperlink"/>
            <w:rFonts w:asciiTheme="minorHAnsi" w:eastAsia="Amnesty Trade Gothic" w:hAnsiTheme="minorHAnsi" w:cs="Amnesty Trade Gothic"/>
            <w:sz w:val="14"/>
            <w:szCs w:val="14"/>
          </w:rPr>
          <w:t>https://rm.coe.int/mi-germany-eng/1680a23c90</w:t>
        </w:r>
      </w:hyperlink>
      <w:r w:rsidRPr="00823A57">
        <w:rPr>
          <w:rFonts w:asciiTheme="minorHAnsi" w:hAnsiTheme="minorHAnsi"/>
          <w:sz w:val="14"/>
          <w:szCs w:val="14"/>
        </w:rPr>
        <w:t xml:space="preserve"> (accessed on 20 September 2023). </w:t>
      </w:r>
    </w:p>
  </w:footnote>
  <w:footnote w:id="49">
    <w:p w14:paraId="62DA08C0"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sz w:val="14"/>
          <w:szCs w:val="14"/>
          <w:vertAlign w:val="superscript"/>
        </w:rPr>
        <w:footnoteRef/>
      </w:r>
      <w:r w:rsidRPr="00823A57">
        <w:rPr>
          <w:rFonts w:asciiTheme="minorHAnsi" w:hAnsiTheme="minorHAnsi"/>
          <w:sz w:val="14"/>
          <w:szCs w:val="14"/>
        </w:rPr>
        <w:t xml:space="preserve"> Concluding Observations on 19th-22nd reports on Germany, para. 11 (f). </w:t>
      </w:r>
    </w:p>
  </w:footnote>
  <w:footnote w:id="50">
    <w:p w14:paraId="618E9AC5" w14:textId="77777777" w:rsidR="00070213" w:rsidRPr="00823A57" w:rsidRDefault="00070213" w:rsidP="00CD0A25">
      <w:pPr>
        <w:pStyle w:val="FootnoteText"/>
        <w:spacing w:after="0"/>
        <w:rPr>
          <w:rFonts w:asciiTheme="minorHAnsi" w:hAnsiTheme="minorHAnsi"/>
          <w:sz w:val="14"/>
          <w:szCs w:val="14"/>
        </w:rPr>
      </w:pPr>
      <w:r w:rsidRPr="00823A57">
        <w:rPr>
          <w:rFonts w:asciiTheme="minorHAnsi" w:hAnsiTheme="minorHAnsi"/>
          <w:sz w:val="14"/>
          <w:szCs w:val="14"/>
          <w:vertAlign w:val="superscript"/>
        </w:rPr>
        <w:footnoteRef/>
      </w:r>
      <w:r w:rsidRPr="00823A57">
        <w:rPr>
          <w:rFonts w:asciiTheme="minorHAnsi" w:hAnsiTheme="minorHAnsi"/>
          <w:sz w:val="14"/>
          <w:szCs w:val="14"/>
        </w:rPr>
        <w:t xml:space="preserve"> Four other federal states have independent complaints offices with differing tasks and powers. These are partly contact persons for the police, partly for both police and citizens. See </w:t>
      </w:r>
      <w:hyperlink r:id="rId38" w:history="1">
        <w:r w:rsidRPr="00823A57">
          <w:rPr>
            <w:rStyle w:val="Hyperlink"/>
            <w:rFonts w:asciiTheme="minorHAnsi" w:hAnsiTheme="minorHAnsi"/>
            <w:sz w:val="14"/>
            <w:szCs w:val="14"/>
          </w:rPr>
          <w:t>https://www.bundestag.de/resource/blob/899854/c703911ae8f6e04a16618f8a85727ad3/WD-3-057-22-pdf-data.pdf</w:t>
        </w:r>
      </w:hyperlink>
      <w:r w:rsidRPr="00823A57">
        <w:rPr>
          <w:rFonts w:asciiTheme="minorHAnsi" w:hAnsiTheme="minorHAnsi"/>
          <w:sz w:val="14"/>
          <w:szCs w:val="14"/>
        </w:rPr>
        <w:t>; Bavaria and Saarland currently have no such institutions.</w:t>
      </w:r>
    </w:p>
  </w:footnote>
  <w:footnote w:id="51">
    <w:p w14:paraId="36D45C6C" w14:textId="77777777" w:rsidR="00070213" w:rsidRPr="00823A57" w:rsidRDefault="00070213" w:rsidP="00CD0A25">
      <w:pPr>
        <w:pStyle w:val="FootnoteText"/>
        <w:spacing w:after="0"/>
        <w:rPr>
          <w:rFonts w:asciiTheme="minorHAnsi" w:hAnsiTheme="minorHAnsi"/>
          <w:sz w:val="14"/>
          <w:szCs w:val="14"/>
        </w:rPr>
      </w:pPr>
      <w:r w:rsidRPr="00823A57">
        <w:rPr>
          <w:rFonts w:asciiTheme="minorHAnsi" w:hAnsiTheme="minorHAnsi"/>
          <w:sz w:val="14"/>
          <w:szCs w:val="14"/>
          <w:vertAlign w:val="superscript"/>
        </w:rPr>
        <w:footnoteRef/>
      </w:r>
      <w:r w:rsidRPr="00823A57">
        <w:rPr>
          <w:rFonts w:asciiTheme="minorHAnsi" w:hAnsiTheme="minorHAnsi"/>
          <w:sz w:val="14"/>
          <w:szCs w:val="14"/>
        </w:rPr>
        <w:t xml:space="preserve"> Amnesty International, Germany: Discrimination on the rise: Submission to the 44th session of the UPR Working Group, 9 November 2023 (Index: EUR 23/6481/2023), 31 March 2023, </w:t>
      </w:r>
      <w:hyperlink r:id="rId39" w:tooltip="https://www.amnesty.org/en/documents/eur23/6481/2023/en/," w:history="1">
        <w:r w:rsidRPr="00823A57">
          <w:rPr>
            <w:rStyle w:val="Hyperlink"/>
            <w:rFonts w:asciiTheme="minorHAnsi" w:hAnsiTheme="minorHAnsi"/>
            <w:sz w:val="14"/>
            <w:szCs w:val="14"/>
          </w:rPr>
          <w:t>https://www.amnesty.org/en/documents/eur23/6481/2023/en/</w:t>
        </w:r>
      </w:hyperlink>
      <w:r w:rsidRPr="00823A57">
        <w:rPr>
          <w:rFonts w:asciiTheme="minorHAnsi" w:hAnsiTheme="minorHAnsi"/>
          <w:sz w:val="14"/>
          <w:szCs w:val="14"/>
        </w:rPr>
        <w:t xml:space="preserve">. </w:t>
      </w:r>
    </w:p>
  </w:footnote>
  <w:footnote w:id="52">
    <w:p w14:paraId="0BEA6172" w14:textId="77777777" w:rsidR="00070213" w:rsidRPr="00823A57" w:rsidRDefault="00070213" w:rsidP="00CD0A25">
      <w:pPr>
        <w:pStyle w:val="FootnoteText"/>
        <w:spacing w:after="0"/>
        <w:rPr>
          <w:rFonts w:asciiTheme="minorHAnsi" w:hAnsiTheme="minorHAnsi"/>
          <w:sz w:val="14"/>
          <w:szCs w:val="14"/>
          <w:lang w:val="de-DE"/>
        </w:rPr>
      </w:pPr>
      <w:r w:rsidRPr="00823A57">
        <w:rPr>
          <w:rFonts w:asciiTheme="minorHAnsi" w:hAnsiTheme="minorHAnsi"/>
          <w:sz w:val="14"/>
          <w:szCs w:val="14"/>
          <w:vertAlign w:val="superscript"/>
        </w:rPr>
        <w:footnoteRef/>
      </w:r>
      <w:r w:rsidRPr="00823A57">
        <w:rPr>
          <w:rFonts w:asciiTheme="minorHAnsi" w:hAnsiTheme="minorHAnsi"/>
          <w:sz w:val="14"/>
          <w:szCs w:val="14"/>
          <w:lang w:val="de-DE"/>
        </w:rPr>
        <w:t xml:space="preserve"> Amnesty International, “Amnesty-Positionspapier zu unabhängigen Untersuchungsmechanismen in Fällen von rechtswidriger Polizeigewalt in Deutschland“ [„Position Paper on Independent Investigation </w:t>
      </w:r>
      <w:proofErr w:type="spellStart"/>
      <w:r w:rsidRPr="00823A57">
        <w:rPr>
          <w:rFonts w:asciiTheme="minorHAnsi" w:hAnsiTheme="minorHAnsi"/>
          <w:sz w:val="14"/>
          <w:szCs w:val="14"/>
          <w:lang w:val="de-DE"/>
        </w:rPr>
        <w:t>Mechanisms</w:t>
      </w:r>
      <w:proofErr w:type="spellEnd"/>
      <w:r w:rsidRPr="00823A57">
        <w:rPr>
          <w:rFonts w:asciiTheme="minorHAnsi" w:hAnsiTheme="minorHAnsi"/>
          <w:sz w:val="14"/>
          <w:szCs w:val="14"/>
          <w:lang w:val="de-DE"/>
        </w:rPr>
        <w:t xml:space="preserve"> in Cases of </w:t>
      </w:r>
      <w:proofErr w:type="spellStart"/>
      <w:r w:rsidRPr="00823A57">
        <w:rPr>
          <w:rFonts w:asciiTheme="minorHAnsi" w:hAnsiTheme="minorHAnsi"/>
          <w:sz w:val="14"/>
          <w:szCs w:val="14"/>
          <w:lang w:val="de-DE"/>
        </w:rPr>
        <w:t>Unlawful</w:t>
      </w:r>
      <w:proofErr w:type="spellEnd"/>
      <w:r w:rsidRPr="00823A57">
        <w:rPr>
          <w:rFonts w:asciiTheme="minorHAnsi" w:hAnsiTheme="minorHAnsi"/>
          <w:sz w:val="14"/>
          <w:szCs w:val="14"/>
          <w:lang w:val="de-DE"/>
        </w:rPr>
        <w:t xml:space="preserve"> Police </w:t>
      </w:r>
      <w:proofErr w:type="spellStart"/>
      <w:r w:rsidRPr="00823A57">
        <w:rPr>
          <w:rFonts w:asciiTheme="minorHAnsi" w:hAnsiTheme="minorHAnsi"/>
          <w:sz w:val="14"/>
          <w:szCs w:val="14"/>
          <w:lang w:val="de-DE"/>
        </w:rPr>
        <w:t>Violence</w:t>
      </w:r>
      <w:proofErr w:type="spellEnd"/>
      <w:r w:rsidRPr="00823A57">
        <w:rPr>
          <w:rFonts w:asciiTheme="minorHAnsi" w:hAnsiTheme="minorHAnsi"/>
          <w:sz w:val="14"/>
          <w:szCs w:val="14"/>
          <w:lang w:val="de-DE"/>
        </w:rPr>
        <w:t xml:space="preserve"> in Germany“], 21 November 2018, </w:t>
      </w:r>
    </w:p>
    <w:p w14:paraId="39A90D75" w14:textId="77777777" w:rsidR="00070213" w:rsidRPr="00823A57" w:rsidRDefault="00070213" w:rsidP="00CD0A25">
      <w:pPr>
        <w:pStyle w:val="FootnoteText"/>
        <w:spacing w:after="0"/>
        <w:rPr>
          <w:rFonts w:asciiTheme="minorHAnsi" w:hAnsiTheme="minorHAnsi"/>
          <w:sz w:val="14"/>
          <w:szCs w:val="14"/>
          <w:lang w:val="de-DE"/>
        </w:rPr>
      </w:pPr>
      <w:r w:rsidRPr="00823A57">
        <w:rPr>
          <w:rFonts w:asciiTheme="minorHAnsi" w:hAnsiTheme="minorHAnsi"/>
          <w:sz w:val="14"/>
          <w:szCs w:val="14"/>
          <w:lang w:val="de-DE"/>
        </w:rPr>
        <w:t> </w:t>
      </w:r>
      <w:hyperlink r:id="rId40" w:tooltip="https://www.amnesty.de/informieren/positionspapiere/deutschland-amnesty-positionspapier-zu-unabhaengigen" w:history="1">
        <w:r w:rsidRPr="00823A57">
          <w:rPr>
            <w:rStyle w:val="Hyperlink"/>
            <w:rFonts w:asciiTheme="minorHAnsi" w:hAnsiTheme="minorHAnsi"/>
            <w:sz w:val="14"/>
            <w:szCs w:val="14"/>
            <w:lang w:val="es-ES"/>
          </w:rPr>
          <w:t>https://www.amnesty.de/informieren/positionspapiere/deutschland-amnesty-positionspapier-zu-unabhaengigen</w:t>
        </w:r>
      </w:hyperlink>
      <w:r w:rsidRPr="00823A57">
        <w:rPr>
          <w:rFonts w:asciiTheme="minorHAnsi" w:hAnsiTheme="minorHAnsi"/>
          <w:sz w:val="14"/>
          <w:szCs w:val="14"/>
          <w:lang w:val="es-ES"/>
        </w:rPr>
        <w:t xml:space="preserve">, para. </w:t>
      </w:r>
      <w:r w:rsidRPr="00823A57">
        <w:rPr>
          <w:rFonts w:asciiTheme="minorHAnsi" w:hAnsiTheme="minorHAnsi"/>
          <w:sz w:val="14"/>
          <w:szCs w:val="14"/>
          <w:lang w:val="de-DE"/>
        </w:rPr>
        <w:t>3.2 (in German).</w:t>
      </w:r>
    </w:p>
  </w:footnote>
  <w:footnote w:id="53">
    <w:p w14:paraId="25762071" w14:textId="3EEA3979" w:rsidR="00070213" w:rsidRPr="00823A57" w:rsidRDefault="00070213" w:rsidP="00CD0A25">
      <w:pPr>
        <w:pStyle w:val="FootnoteText"/>
        <w:spacing w:after="0"/>
        <w:rPr>
          <w:rFonts w:asciiTheme="minorHAnsi" w:hAnsiTheme="minorHAnsi"/>
          <w:sz w:val="14"/>
          <w:szCs w:val="14"/>
          <w:lang w:val="de-DE"/>
        </w:rPr>
      </w:pPr>
      <w:r w:rsidRPr="00823A57">
        <w:rPr>
          <w:rFonts w:asciiTheme="minorHAnsi" w:hAnsiTheme="minorHAnsi"/>
          <w:sz w:val="14"/>
          <w:szCs w:val="14"/>
          <w:vertAlign w:val="superscript"/>
        </w:rPr>
        <w:footnoteRef/>
      </w:r>
      <w:r w:rsidRPr="00823A57">
        <w:rPr>
          <w:rFonts w:asciiTheme="minorHAnsi" w:hAnsiTheme="minorHAnsi"/>
          <w:sz w:val="14"/>
          <w:szCs w:val="14"/>
          <w:lang w:val="de-DE"/>
        </w:rPr>
        <w:t xml:space="preserve"> Green Party, “Eckpunkte für Bundespolizeibeauftragten vorgestellt” [„</w:t>
      </w:r>
      <w:proofErr w:type="spellStart"/>
      <w:r w:rsidRPr="00823A57">
        <w:rPr>
          <w:rFonts w:asciiTheme="minorHAnsi" w:hAnsiTheme="minorHAnsi"/>
          <w:sz w:val="14"/>
          <w:szCs w:val="14"/>
          <w:lang w:val="de-DE"/>
        </w:rPr>
        <w:t>Cornerstones</w:t>
      </w:r>
      <w:proofErr w:type="spellEnd"/>
      <w:r w:rsidRPr="00823A57">
        <w:rPr>
          <w:rFonts w:asciiTheme="minorHAnsi" w:hAnsiTheme="minorHAnsi"/>
          <w:sz w:val="14"/>
          <w:szCs w:val="14"/>
          <w:lang w:val="de-DE"/>
        </w:rPr>
        <w:t xml:space="preserve"> for Federal Police Commissioner </w:t>
      </w:r>
      <w:proofErr w:type="spellStart"/>
      <w:r w:rsidRPr="00823A57">
        <w:rPr>
          <w:rFonts w:asciiTheme="minorHAnsi" w:hAnsiTheme="minorHAnsi"/>
          <w:sz w:val="14"/>
          <w:szCs w:val="14"/>
          <w:lang w:val="de-DE"/>
        </w:rPr>
        <w:t>presented</w:t>
      </w:r>
      <w:proofErr w:type="spellEnd"/>
      <w:r w:rsidRPr="00823A57">
        <w:rPr>
          <w:rFonts w:asciiTheme="minorHAnsi" w:hAnsiTheme="minorHAnsi"/>
          <w:sz w:val="14"/>
          <w:szCs w:val="14"/>
          <w:lang w:val="de-DE"/>
        </w:rPr>
        <w:t xml:space="preserve">“], 2 June 2023, </w:t>
      </w:r>
      <w:hyperlink r:id="rId41" w:history="1">
        <w:r w:rsidRPr="00823A57">
          <w:rPr>
            <w:rStyle w:val="Hyperlink"/>
            <w:rFonts w:asciiTheme="minorHAnsi" w:hAnsiTheme="minorHAnsi"/>
            <w:sz w:val="14"/>
            <w:szCs w:val="14"/>
            <w:lang w:val="de-DE"/>
          </w:rPr>
          <w:t>https://www.gruene-bundestag.de/themen/innenpolitik/eckpunkte-fuer-bundespolizeibeauftragten-vorgestellt</w:t>
        </w:r>
      </w:hyperlink>
      <w:r w:rsidRPr="00823A57">
        <w:rPr>
          <w:rFonts w:asciiTheme="minorHAnsi" w:hAnsiTheme="minorHAnsi"/>
          <w:sz w:val="14"/>
          <w:szCs w:val="14"/>
          <w:lang w:val="de-DE"/>
        </w:rPr>
        <w:t xml:space="preserve"> (in German).</w:t>
      </w:r>
    </w:p>
  </w:footnote>
  <w:footnote w:id="54">
    <w:p w14:paraId="3FC747D9" w14:textId="3AABA868" w:rsidR="00070213" w:rsidRPr="00823A57" w:rsidRDefault="00070213" w:rsidP="00CD0A25">
      <w:pPr>
        <w:pStyle w:val="FootnoteText"/>
        <w:spacing w:after="0"/>
        <w:rPr>
          <w:rFonts w:asciiTheme="minorHAnsi" w:hAnsiTheme="minorHAnsi"/>
          <w:sz w:val="14"/>
          <w:szCs w:val="14"/>
          <w:lang w:val="de-DE"/>
        </w:rPr>
      </w:pPr>
      <w:r w:rsidRPr="00823A57">
        <w:rPr>
          <w:rFonts w:asciiTheme="minorHAnsi" w:hAnsiTheme="minorHAnsi"/>
          <w:sz w:val="14"/>
          <w:szCs w:val="14"/>
          <w:vertAlign w:val="superscript"/>
        </w:rPr>
        <w:footnoteRef/>
      </w:r>
      <w:r w:rsidRPr="00823A57">
        <w:rPr>
          <w:rFonts w:asciiTheme="minorHAnsi" w:hAnsiTheme="minorHAnsi"/>
          <w:sz w:val="14"/>
          <w:szCs w:val="14"/>
          <w:lang w:val="de-DE"/>
        </w:rPr>
        <w:t xml:space="preserve"> See Amnesty International, “Positionspapier Kennzeichnungspflicht für </w:t>
      </w:r>
      <w:proofErr w:type="spellStart"/>
      <w:r w:rsidRPr="00823A57">
        <w:rPr>
          <w:rFonts w:asciiTheme="minorHAnsi" w:hAnsiTheme="minorHAnsi"/>
          <w:sz w:val="14"/>
          <w:szCs w:val="14"/>
          <w:lang w:val="de-DE"/>
        </w:rPr>
        <w:t>Polizist_innen</w:t>
      </w:r>
      <w:proofErr w:type="spellEnd"/>
      <w:r w:rsidRPr="00823A57">
        <w:rPr>
          <w:rFonts w:asciiTheme="minorHAnsi" w:hAnsiTheme="minorHAnsi"/>
          <w:sz w:val="14"/>
          <w:szCs w:val="14"/>
          <w:lang w:val="de-DE"/>
        </w:rPr>
        <w:t xml:space="preserve">“ [“Position Paper </w:t>
      </w:r>
      <w:proofErr w:type="spellStart"/>
      <w:r w:rsidRPr="00823A57">
        <w:rPr>
          <w:rFonts w:asciiTheme="minorHAnsi" w:hAnsiTheme="minorHAnsi"/>
          <w:sz w:val="14"/>
          <w:szCs w:val="14"/>
          <w:lang w:val="de-DE"/>
        </w:rPr>
        <w:t>Identification</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Requirenment</w:t>
      </w:r>
      <w:proofErr w:type="spellEnd"/>
      <w:r w:rsidRPr="00823A57">
        <w:rPr>
          <w:rFonts w:asciiTheme="minorHAnsi" w:hAnsiTheme="minorHAnsi"/>
          <w:sz w:val="14"/>
          <w:szCs w:val="14"/>
          <w:lang w:val="de-DE"/>
        </w:rPr>
        <w:t xml:space="preserve"> for Police </w:t>
      </w:r>
      <w:proofErr w:type="spellStart"/>
      <w:r w:rsidRPr="00823A57">
        <w:rPr>
          <w:rFonts w:asciiTheme="minorHAnsi" w:hAnsiTheme="minorHAnsi"/>
          <w:sz w:val="14"/>
          <w:szCs w:val="14"/>
          <w:lang w:val="de-DE"/>
        </w:rPr>
        <w:t>Officers</w:t>
      </w:r>
      <w:proofErr w:type="spellEnd"/>
      <w:r w:rsidRPr="00823A57">
        <w:rPr>
          <w:rFonts w:asciiTheme="minorHAnsi" w:hAnsiTheme="minorHAnsi"/>
          <w:sz w:val="14"/>
          <w:szCs w:val="14"/>
          <w:lang w:val="de-DE"/>
        </w:rPr>
        <w:t xml:space="preserve">“], September 2018, </w:t>
      </w:r>
      <w:hyperlink r:id="rId42" w:history="1">
        <w:r w:rsidRPr="00823A57">
          <w:rPr>
            <w:rStyle w:val="Hyperlink"/>
            <w:rFonts w:asciiTheme="minorHAnsi" w:hAnsiTheme="minorHAnsi"/>
            <w:sz w:val="14"/>
            <w:szCs w:val="14"/>
            <w:lang w:val="de-DE"/>
          </w:rPr>
          <w:t>https://www.amnesty.de/sites/default/files/2019-03/Amnesty-Positionspapier-Kennzeichnungspflicht-fuer-Polizist_innen-November-2018.pdf</w:t>
        </w:r>
      </w:hyperlink>
      <w:r w:rsidRPr="00823A57">
        <w:rPr>
          <w:rFonts w:asciiTheme="minorHAnsi" w:hAnsiTheme="minorHAnsi"/>
          <w:sz w:val="14"/>
          <w:szCs w:val="14"/>
          <w:lang w:val="de-DE"/>
        </w:rPr>
        <w:t xml:space="preserve"> (in German).</w:t>
      </w:r>
    </w:p>
  </w:footnote>
  <w:footnote w:id="55">
    <w:p w14:paraId="5B1C1D88" w14:textId="77777777" w:rsidR="00070213" w:rsidRPr="00823A57" w:rsidRDefault="00070213" w:rsidP="00CD0A25">
      <w:pPr>
        <w:pStyle w:val="FootnoteText"/>
        <w:spacing w:after="0"/>
        <w:rPr>
          <w:rFonts w:asciiTheme="minorHAnsi" w:hAnsiTheme="minorHAnsi"/>
          <w:sz w:val="14"/>
          <w:szCs w:val="14"/>
        </w:rPr>
      </w:pPr>
      <w:r w:rsidRPr="00823A57">
        <w:rPr>
          <w:rFonts w:asciiTheme="minorHAnsi" w:hAnsiTheme="minorHAnsi"/>
          <w:sz w:val="14"/>
          <w:szCs w:val="14"/>
          <w:vertAlign w:val="superscript"/>
        </w:rPr>
        <w:footnoteRef/>
      </w:r>
      <w:r w:rsidRPr="00823A57">
        <w:rPr>
          <w:rFonts w:asciiTheme="minorHAnsi" w:hAnsiTheme="minorHAnsi"/>
          <w:sz w:val="14"/>
          <w:szCs w:val="14"/>
          <w:lang w:val="de-DE"/>
        </w:rPr>
        <w:t xml:space="preserve"> Amnesty International, “Forderungspapier: Einsatzbereit gegen Rassismus?“ </w:t>
      </w:r>
      <w:r w:rsidRPr="00823A57">
        <w:rPr>
          <w:rFonts w:asciiTheme="minorHAnsi" w:hAnsiTheme="minorHAnsi"/>
          <w:sz w:val="14"/>
          <w:szCs w:val="14"/>
        </w:rPr>
        <w:t>[“Demand Paper: Ready for Action Against Racism?”], June 2021, </w:t>
      </w:r>
      <w:hyperlink r:id="rId43" w:history="1">
        <w:r w:rsidRPr="00823A57">
          <w:rPr>
            <w:rStyle w:val="Hyperlink"/>
            <w:rFonts w:asciiTheme="minorHAnsi" w:eastAsia="Amnesty Trade Gothic" w:hAnsiTheme="minorHAnsi" w:cs="Amnesty Trade Gothic"/>
            <w:sz w:val="14"/>
            <w:szCs w:val="14"/>
          </w:rPr>
          <w:t>https://www.amnesty.de/sites/default/files/2021-06/Amnesty-Forderungspapier-Polizei-Rassismus-Juni-2021.pdf</w:t>
        </w:r>
      </w:hyperlink>
      <w:r w:rsidRPr="00823A57">
        <w:rPr>
          <w:rFonts w:asciiTheme="minorHAnsi" w:hAnsiTheme="minorHAnsi"/>
          <w:sz w:val="14"/>
          <w:szCs w:val="14"/>
        </w:rPr>
        <w:t>, (in German), p. 4.</w:t>
      </w:r>
    </w:p>
  </w:footnote>
  <w:footnote w:id="56">
    <w:p w14:paraId="60A5D21B" w14:textId="77777777" w:rsidR="00070213" w:rsidRPr="00823A57" w:rsidRDefault="00070213" w:rsidP="00CD0A25">
      <w:pPr>
        <w:pStyle w:val="FootnoteText"/>
        <w:shd w:val="clear" w:color="auto" w:fill="FFFFFF"/>
        <w:spacing w:after="0"/>
        <w:rPr>
          <w:rFonts w:asciiTheme="minorHAnsi" w:hAnsiTheme="minorHAnsi" w:cs="Amnesty Trade Gothic"/>
          <w:sz w:val="14"/>
          <w:szCs w:val="14"/>
        </w:rPr>
      </w:pPr>
      <w:r w:rsidRPr="00823A57">
        <w:rPr>
          <w:rFonts w:asciiTheme="minorHAnsi" w:eastAsia="Amnesty Trade Gothic" w:hAnsiTheme="minorHAnsi" w:cs="Amnesty Trade Gothic"/>
          <w:sz w:val="14"/>
          <w:szCs w:val="14"/>
          <w:vertAlign w:val="superscript"/>
        </w:rPr>
        <w:footnoteRef/>
      </w:r>
      <w:r w:rsidRPr="00823A57">
        <w:rPr>
          <w:rFonts w:asciiTheme="minorHAnsi" w:eastAsia="Amnesty Trade Gothic" w:hAnsiTheme="minorHAnsi" w:cs="Amnesty Trade Gothic"/>
          <w:sz w:val="14"/>
          <w:szCs w:val="14"/>
        </w:rPr>
        <w:t xml:space="preserve"> European Commission against Racism and Intolerance, Conclusions, 20 September 2022, </w:t>
      </w:r>
      <w:hyperlink r:id="rId44" w:tooltip="https://rm.coe.int/ecri-conclusions-on-the-implementation-of-the-recommendations-in-respe/1680a807d2" w:history="1">
        <w:r w:rsidRPr="00823A57">
          <w:rPr>
            <w:rStyle w:val="Hyperlink"/>
            <w:rFonts w:asciiTheme="minorHAnsi" w:eastAsia="Amnesty Trade Gothic" w:hAnsiTheme="minorHAnsi" w:cs="Amnesty Trade Gothic"/>
            <w:sz w:val="14"/>
            <w:szCs w:val="14"/>
          </w:rPr>
          <w:t>https://rm.coe.int/ecri-conclusions-on-the-implementation-of-the-recommendations-in-respe/1680a807d2</w:t>
        </w:r>
      </w:hyperlink>
      <w:r w:rsidRPr="00823A57">
        <w:rPr>
          <w:rFonts w:asciiTheme="minorHAnsi" w:eastAsia="Amnesty Trade Gothic" w:hAnsiTheme="minorHAnsi" w:cs="Amnesty Trade Gothic"/>
          <w:sz w:val="14"/>
          <w:szCs w:val="14"/>
        </w:rPr>
        <w:t>, para 2; On deficiencies of existing studies see Amnesty International, Observation</w:t>
      </w:r>
      <w:r w:rsidRPr="00823A57">
        <w:rPr>
          <w:rStyle w:val="Hyperlink"/>
          <w:rFonts w:asciiTheme="minorHAnsi" w:eastAsia="Amnesty Trade Gothic" w:hAnsiTheme="minorHAnsi" w:cs="Amnesty Trade Gothic"/>
          <w:sz w:val="14"/>
          <w:szCs w:val="14"/>
        </w:rPr>
        <w:t xml:space="preserve"> of Amnesty International Germany to the European Commission on Racism and Intolerance (ECRI) on Germany’s 6th Report Interim Follow-Up</w:t>
      </w:r>
      <w:r w:rsidRPr="00823A57">
        <w:rPr>
          <w:rFonts w:asciiTheme="minorHAnsi" w:eastAsia="Amnesty Trade Gothic" w:hAnsiTheme="minorHAnsi" w:cs="Amnesty Trade Gothic"/>
          <w:sz w:val="14"/>
          <w:szCs w:val="14"/>
        </w:rPr>
        <w:t xml:space="preserve">, 4 May 2022, </w:t>
      </w:r>
      <w:hyperlink r:id="rId45" w:tooltip="https://www.amnesty.de/sites/default/files/2022-05/Amnesty-Stellungnahme-ECRE-Deutschland-sechster-Bericht-Mai-2022.pdf" w:history="1">
        <w:r w:rsidRPr="00823A57">
          <w:rPr>
            <w:rStyle w:val="Hyperlink"/>
            <w:rFonts w:asciiTheme="minorHAnsi" w:eastAsia="Amnesty Trade Gothic" w:hAnsiTheme="minorHAnsi" w:cs="Amnesty Trade Gothic"/>
            <w:sz w:val="14"/>
            <w:szCs w:val="14"/>
          </w:rPr>
          <w:t>https://www.amnesty.de/sites/default/files/2022-05/Amnesty-Stellungnahme-ECRE-Deutschland-sechster-Bericht-Mai-2022.pdf</w:t>
        </w:r>
      </w:hyperlink>
      <w:r w:rsidRPr="00823A57">
        <w:rPr>
          <w:rFonts w:asciiTheme="minorHAnsi" w:eastAsia="Amnesty Trade Gothic" w:hAnsiTheme="minorHAnsi" w:cs="Amnesty Trade Gothic"/>
          <w:sz w:val="14"/>
          <w:szCs w:val="14"/>
        </w:rPr>
        <w:t xml:space="preserve">, p. 3. </w:t>
      </w:r>
    </w:p>
  </w:footnote>
  <w:footnote w:id="57">
    <w:p w14:paraId="547A3EA2" w14:textId="77777777" w:rsidR="00070213" w:rsidRPr="00823A57" w:rsidRDefault="00070213" w:rsidP="00CD0A25">
      <w:pPr>
        <w:pStyle w:val="FootnoteText"/>
        <w:shd w:val="clear" w:color="auto" w:fill="FFFFFF"/>
        <w:spacing w:after="0"/>
        <w:rPr>
          <w:rFonts w:asciiTheme="minorHAnsi" w:hAnsiTheme="minorHAnsi" w:cs="Amnesty Trade Gothic"/>
          <w:sz w:val="14"/>
          <w:szCs w:val="14"/>
        </w:rPr>
      </w:pPr>
      <w:r w:rsidRPr="00823A57">
        <w:rPr>
          <w:rFonts w:asciiTheme="minorHAnsi" w:eastAsia="Amnesty Trade Gothic" w:hAnsiTheme="minorHAnsi" w:cs="Amnesty Trade Gothic"/>
          <w:sz w:val="14"/>
          <w:szCs w:val="14"/>
          <w:vertAlign w:val="superscript"/>
        </w:rPr>
        <w:footnoteRef/>
      </w:r>
      <w:r w:rsidRPr="00823A57">
        <w:rPr>
          <w:rFonts w:asciiTheme="minorHAnsi" w:eastAsia="Amnesty Trade Gothic" w:hAnsiTheme="minorHAnsi" w:cs="Amnesty Trade Gothic"/>
          <w:sz w:val="14"/>
          <w:szCs w:val="14"/>
        </w:rPr>
        <w:t xml:space="preserve"> See </w:t>
      </w:r>
      <w:proofErr w:type="spellStart"/>
      <w:r w:rsidRPr="00823A57">
        <w:rPr>
          <w:rFonts w:asciiTheme="minorHAnsi" w:eastAsia="Amnesty Trade Gothic" w:hAnsiTheme="minorHAnsi" w:cs="Amnesty Trade Gothic"/>
          <w:sz w:val="14"/>
          <w:szCs w:val="14"/>
        </w:rPr>
        <w:t>See</w:t>
      </w:r>
      <w:proofErr w:type="spellEnd"/>
      <w:r w:rsidRPr="00823A57">
        <w:rPr>
          <w:rFonts w:asciiTheme="minorHAnsi" w:eastAsia="Amnesty Trade Gothic" w:hAnsiTheme="minorHAnsi" w:cs="Amnesty Trade Gothic"/>
          <w:sz w:val="14"/>
          <w:szCs w:val="14"/>
        </w:rPr>
        <w:t xml:space="preserve"> SWR, “</w:t>
      </w:r>
      <w:proofErr w:type="spellStart"/>
      <w:r w:rsidRPr="00823A57">
        <w:rPr>
          <w:rFonts w:asciiTheme="minorHAnsi" w:eastAsia="Amnesty Trade Gothic" w:hAnsiTheme="minorHAnsi" w:cs="Amnesty Trade Gothic"/>
          <w:sz w:val="14"/>
          <w:szCs w:val="14"/>
        </w:rPr>
        <w:t>Hakenkreuze</w:t>
      </w:r>
      <w:proofErr w:type="spellEnd"/>
      <w:r w:rsidRPr="00823A57">
        <w:rPr>
          <w:rFonts w:asciiTheme="minorHAnsi" w:eastAsia="Amnesty Trade Gothic" w:hAnsiTheme="minorHAnsi" w:cs="Amnesty Trade Gothic"/>
          <w:sz w:val="14"/>
          <w:szCs w:val="14"/>
        </w:rPr>
        <w:t xml:space="preserve"> </w:t>
      </w:r>
      <w:proofErr w:type="spellStart"/>
      <w:r w:rsidRPr="00823A57">
        <w:rPr>
          <w:rFonts w:asciiTheme="minorHAnsi" w:eastAsia="Amnesty Trade Gothic" w:hAnsiTheme="minorHAnsi" w:cs="Amnesty Trade Gothic"/>
          <w:sz w:val="14"/>
          <w:szCs w:val="14"/>
        </w:rPr>
        <w:t>verbreitet</w:t>
      </w:r>
      <w:proofErr w:type="spellEnd"/>
      <w:r w:rsidRPr="00823A57">
        <w:rPr>
          <w:rFonts w:asciiTheme="minorHAnsi" w:eastAsia="Amnesty Trade Gothic" w:hAnsiTheme="minorHAnsi" w:cs="Amnesty Trade Gothic"/>
          <w:sz w:val="14"/>
          <w:szCs w:val="14"/>
        </w:rPr>
        <w:t xml:space="preserve">: </w:t>
      </w:r>
      <w:proofErr w:type="spellStart"/>
      <w:r w:rsidRPr="00823A57">
        <w:rPr>
          <w:rFonts w:asciiTheme="minorHAnsi" w:eastAsia="Amnesty Trade Gothic" w:hAnsiTheme="minorHAnsi" w:cs="Amnesty Trade Gothic"/>
          <w:sz w:val="14"/>
          <w:szCs w:val="14"/>
        </w:rPr>
        <w:t>Ermittlungen</w:t>
      </w:r>
      <w:proofErr w:type="spellEnd"/>
      <w:r w:rsidRPr="00823A57">
        <w:rPr>
          <w:rFonts w:asciiTheme="minorHAnsi" w:eastAsia="Amnesty Trade Gothic" w:hAnsiTheme="minorHAnsi" w:cs="Amnesty Trade Gothic"/>
          <w:sz w:val="14"/>
          <w:szCs w:val="14"/>
        </w:rPr>
        <w:t xml:space="preserve"> </w:t>
      </w:r>
      <w:proofErr w:type="spellStart"/>
      <w:r w:rsidRPr="00823A57">
        <w:rPr>
          <w:rFonts w:asciiTheme="minorHAnsi" w:eastAsia="Amnesty Trade Gothic" w:hAnsiTheme="minorHAnsi" w:cs="Amnesty Trade Gothic"/>
          <w:sz w:val="14"/>
          <w:szCs w:val="14"/>
        </w:rPr>
        <w:t>gegen</w:t>
      </w:r>
      <w:proofErr w:type="spellEnd"/>
      <w:r w:rsidRPr="00823A57">
        <w:rPr>
          <w:rFonts w:asciiTheme="minorHAnsi" w:eastAsia="Amnesty Trade Gothic" w:hAnsiTheme="minorHAnsi" w:cs="Amnesty Trade Gothic"/>
          <w:sz w:val="14"/>
          <w:szCs w:val="14"/>
        </w:rPr>
        <w:t xml:space="preserve"> 70 </w:t>
      </w:r>
      <w:proofErr w:type="spellStart"/>
      <w:r w:rsidRPr="00823A57">
        <w:rPr>
          <w:rFonts w:asciiTheme="minorHAnsi" w:eastAsia="Amnesty Trade Gothic" w:hAnsiTheme="minorHAnsi" w:cs="Amnesty Trade Gothic"/>
          <w:sz w:val="14"/>
          <w:szCs w:val="14"/>
        </w:rPr>
        <w:t>Polizisten</w:t>
      </w:r>
      <w:proofErr w:type="spellEnd"/>
      <w:r w:rsidRPr="00823A57">
        <w:rPr>
          <w:rFonts w:asciiTheme="minorHAnsi" w:eastAsia="Amnesty Trade Gothic" w:hAnsiTheme="minorHAnsi" w:cs="Amnesty Trade Gothic"/>
          <w:sz w:val="14"/>
          <w:szCs w:val="14"/>
        </w:rPr>
        <w:t xml:space="preserve"> in BW” ["Swastikas Spread: Investigations Against 70 Police Officers in Baden-Württemberg", 9 December 2022, </w:t>
      </w:r>
      <w:hyperlink r:id="rId46" w:tooltip="https://www.swr.de/swraktuell/baden-wuerttemberg/polizisten-volksverhetzung-100.html" w:history="1">
        <w:r w:rsidRPr="00823A57">
          <w:rPr>
            <w:rStyle w:val="Hyperlink"/>
            <w:rFonts w:asciiTheme="minorHAnsi" w:eastAsia="Amnesty Trade Gothic" w:hAnsiTheme="minorHAnsi" w:cs="Amnesty Trade Gothic"/>
            <w:sz w:val="14"/>
            <w:szCs w:val="14"/>
          </w:rPr>
          <w:t>https://www.swr.de/swraktuell/baden-wuerttemberg/polizisten-volksverhetzung-100.html</w:t>
        </w:r>
      </w:hyperlink>
      <w:r w:rsidRPr="00823A57">
        <w:rPr>
          <w:rFonts w:asciiTheme="minorHAnsi" w:eastAsia="Amnesty Trade Gothic" w:hAnsiTheme="minorHAnsi" w:cs="Amnesty Trade Gothic"/>
          <w:sz w:val="14"/>
          <w:szCs w:val="14"/>
        </w:rPr>
        <w:t>, Burger, Reiner, “Nazi-</w:t>
      </w:r>
      <w:proofErr w:type="spellStart"/>
      <w:r w:rsidRPr="00823A57">
        <w:rPr>
          <w:rFonts w:asciiTheme="minorHAnsi" w:eastAsia="Amnesty Trade Gothic" w:hAnsiTheme="minorHAnsi" w:cs="Amnesty Trade Gothic"/>
          <w:sz w:val="14"/>
          <w:szCs w:val="14"/>
        </w:rPr>
        <w:t>Symbole</w:t>
      </w:r>
      <w:proofErr w:type="spellEnd"/>
      <w:r w:rsidRPr="00823A57">
        <w:rPr>
          <w:rFonts w:asciiTheme="minorHAnsi" w:eastAsia="Amnesty Trade Gothic" w:hAnsiTheme="minorHAnsi" w:cs="Amnesty Trade Gothic"/>
          <w:sz w:val="14"/>
          <w:szCs w:val="14"/>
        </w:rPr>
        <w:t xml:space="preserve"> und </w:t>
      </w:r>
      <w:proofErr w:type="spellStart"/>
      <w:r w:rsidRPr="00823A57">
        <w:rPr>
          <w:rFonts w:asciiTheme="minorHAnsi" w:eastAsia="Amnesty Trade Gothic" w:hAnsiTheme="minorHAnsi" w:cs="Amnesty Trade Gothic"/>
          <w:sz w:val="14"/>
          <w:szCs w:val="14"/>
        </w:rPr>
        <w:t>Menschenverachtung</w:t>
      </w:r>
      <w:proofErr w:type="spellEnd"/>
      <w:r w:rsidRPr="00823A57">
        <w:rPr>
          <w:rFonts w:asciiTheme="minorHAnsi" w:eastAsia="Amnesty Trade Gothic" w:hAnsiTheme="minorHAnsi" w:cs="Amnesty Trade Gothic"/>
          <w:sz w:val="14"/>
          <w:szCs w:val="14"/>
        </w:rPr>
        <w:t xml:space="preserve">” [“Nazi Symbols and Contempt for Humanity"], 3 August 2023, </w:t>
      </w:r>
      <w:hyperlink r:id="rId47" w:history="1">
        <w:r w:rsidRPr="00823A57">
          <w:rPr>
            <w:rStyle w:val="Hyperlink"/>
            <w:rFonts w:asciiTheme="minorHAnsi" w:eastAsia="Amnesty Trade Gothic" w:hAnsiTheme="minorHAnsi" w:cs="Amnesty Trade Gothic"/>
            <w:sz w:val="14"/>
            <w:szCs w:val="14"/>
          </w:rPr>
          <w:t>https://www.faz.net/aktuell/politik/inland/polizei-in-nrw-nazi-symbole-und-menschenverachtung-in-rechtsextremem-chat-19078319.html</w:t>
        </w:r>
      </w:hyperlink>
      <w:r w:rsidRPr="00823A57">
        <w:rPr>
          <w:rFonts w:asciiTheme="minorHAnsi" w:eastAsia="Amnesty Trade Gothic" w:hAnsiTheme="minorHAnsi" w:cs="Amnesty Trade Gothic"/>
          <w:sz w:val="14"/>
          <w:szCs w:val="14"/>
        </w:rPr>
        <w:t xml:space="preserve"> (in German).</w:t>
      </w:r>
    </w:p>
  </w:footnote>
  <w:footnote w:id="58">
    <w:p w14:paraId="70C1AB1C" w14:textId="66686244"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hAnsiTheme="minorHAnsi"/>
          <w:sz w:val="14"/>
          <w:szCs w:val="14"/>
        </w:rPr>
        <w:footnoteRef/>
      </w:r>
      <w:r w:rsidRPr="00823A57">
        <w:rPr>
          <w:rFonts w:asciiTheme="minorHAnsi" w:hAnsiTheme="minorHAnsi"/>
          <w:sz w:val="14"/>
          <w:szCs w:val="14"/>
        </w:rPr>
        <w:t xml:space="preserve"> The National Racism and Discrimination Monitor found that </w:t>
      </w:r>
      <w:proofErr w:type="gramStart"/>
      <w:r w:rsidRPr="00823A57">
        <w:rPr>
          <w:rFonts w:asciiTheme="minorHAnsi" w:hAnsiTheme="minorHAnsi"/>
          <w:sz w:val="14"/>
          <w:szCs w:val="14"/>
        </w:rPr>
        <w:t>in order to</w:t>
      </w:r>
      <w:proofErr w:type="gramEnd"/>
      <w:r w:rsidRPr="00823A57">
        <w:rPr>
          <w:rFonts w:asciiTheme="minorHAnsi" w:hAnsiTheme="minorHAnsi"/>
          <w:sz w:val="14"/>
          <w:szCs w:val="14"/>
        </w:rPr>
        <w:t xml:space="preserve"> reduce uncertainty in their everyday work, police officers also classify people on the basis of their appearance. In doing so, they fall back on widespread racist stereotypes. Police officers also have 'knowledge' about the (supposed) culture and nationality of people who are read as migrants, which they use in their work. This knowledge is partly conveyed to them as 'intercultural competence' or passed on as 'experience-based knowledge' among colleagues. Through this ’body of knowledge’, police officers (re)produce racist discourses. See </w:t>
      </w:r>
      <w:hyperlink r:id="rId48" w:history="1">
        <w:r w:rsidRPr="00823A57">
          <w:rPr>
            <w:rStyle w:val="Hyperlink"/>
            <w:rFonts w:asciiTheme="minorHAnsi" w:hAnsiTheme="minorHAnsi"/>
            <w:sz w:val="14"/>
            <w:szCs w:val="14"/>
          </w:rPr>
          <w:t>https://www.rassismusmonitor.de/kurzstudien/rassismus-in-der-polizei/</w:t>
        </w:r>
      </w:hyperlink>
      <w:r w:rsidRPr="00823A57">
        <w:rPr>
          <w:rFonts w:asciiTheme="minorHAnsi" w:hAnsiTheme="minorHAnsi"/>
          <w:sz w:val="14"/>
          <w:szCs w:val="14"/>
        </w:rPr>
        <w:t xml:space="preserve"> (in German).</w:t>
      </w:r>
    </w:p>
  </w:footnote>
  <w:footnote w:id="59">
    <w:p w14:paraId="50CE3E57" w14:textId="77777777" w:rsidR="00070213" w:rsidRPr="00823A57" w:rsidRDefault="00070213" w:rsidP="00CD0A25">
      <w:pPr>
        <w:pStyle w:val="FootnoteText"/>
        <w:spacing w:after="0"/>
        <w:rPr>
          <w:rFonts w:asciiTheme="minorHAnsi" w:hAnsiTheme="minorHAnsi"/>
          <w:sz w:val="14"/>
          <w:szCs w:val="14"/>
          <w:lang w:val="de-DE"/>
        </w:rPr>
      </w:pPr>
      <w:r w:rsidRPr="00823A57">
        <w:rPr>
          <w:rFonts w:asciiTheme="minorHAnsi" w:hAnsiTheme="minorHAnsi"/>
          <w:sz w:val="14"/>
          <w:szCs w:val="14"/>
          <w:vertAlign w:val="superscript"/>
        </w:rPr>
        <w:footnoteRef/>
      </w:r>
      <w:r w:rsidRPr="00823A57">
        <w:rPr>
          <w:rFonts w:asciiTheme="minorHAnsi" w:hAnsiTheme="minorHAnsi"/>
          <w:sz w:val="14"/>
          <w:szCs w:val="14"/>
          <w:lang w:val="de-DE"/>
        </w:rPr>
        <w:t xml:space="preserve"> Independent Expert Group on </w:t>
      </w:r>
      <w:proofErr w:type="spellStart"/>
      <w:r w:rsidRPr="00823A57">
        <w:rPr>
          <w:rFonts w:asciiTheme="minorHAnsi" w:hAnsiTheme="minorHAnsi"/>
          <w:sz w:val="14"/>
          <w:szCs w:val="14"/>
          <w:lang w:val="de-DE"/>
        </w:rPr>
        <w:t>Muslimophobia</w:t>
      </w:r>
      <w:proofErr w:type="spellEnd"/>
      <w:r w:rsidRPr="00823A57">
        <w:rPr>
          <w:rFonts w:asciiTheme="minorHAnsi" w:hAnsiTheme="minorHAnsi"/>
          <w:sz w:val="14"/>
          <w:szCs w:val="14"/>
          <w:lang w:val="de-DE"/>
        </w:rPr>
        <w:t>, “Muslimfeindlichkeit – Eine deutsche Bilanz“ [“</w:t>
      </w:r>
      <w:proofErr w:type="spellStart"/>
      <w:r w:rsidRPr="00823A57">
        <w:rPr>
          <w:rFonts w:asciiTheme="minorHAnsi" w:hAnsiTheme="minorHAnsi"/>
          <w:sz w:val="14"/>
          <w:szCs w:val="14"/>
          <w:lang w:val="de-DE"/>
        </w:rPr>
        <w:t>Muslimophobia</w:t>
      </w:r>
      <w:proofErr w:type="spellEnd"/>
      <w:r w:rsidRPr="00823A57">
        <w:rPr>
          <w:rFonts w:asciiTheme="minorHAnsi" w:hAnsiTheme="minorHAnsi"/>
          <w:sz w:val="14"/>
          <w:szCs w:val="14"/>
          <w:lang w:val="de-DE"/>
        </w:rPr>
        <w:t xml:space="preserve"> - A German Balance Sheet“], 2023, </w:t>
      </w:r>
      <w:hyperlink r:id="rId49" w:history="1">
        <w:r w:rsidRPr="00823A57">
          <w:rPr>
            <w:rStyle w:val="Hyperlink"/>
            <w:rFonts w:asciiTheme="minorHAnsi" w:hAnsiTheme="minorHAnsi"/>
            <w:sz w:val="14"/>
            <w:szCs w:val="14"/>
            <w:lang w:val="de-DE"/>
          </w:rPr>
          <w:t>https://www.bmi.bund.de/SharedDocs/downloads/DE/publikationen/themen/heimat-integration/BMI23006-muslimfeindlichkeit.html</w:t>
        </w:r>
      </w:hyperlink>
      <w:r w:rsidRPr="00823A57">
        <w:rPr>
          <w:rFonts w:asciiTheme="minorHAnsi" w:hAnsiTheme="minorHAnsi"/>
          <w:sz w:val="14"/>
          <w:szCs w:val="14"/>
          <w:lang w:val="de-DE"/>
        </w:rPr>
        <w:t xml:space="preserve">, (in German), p. 232. </w:t>
      </w:r>
    </w:p>
  </w:footnote>
  <w:footnote w:id="60">
    <w:p w14:paraId="133A8279" w14:textId="404D76E0" w:rsidR="00070213" w:rsidRPr="00823A57" w:rsidRDefault="00070213" w:rsidP="00CD0A25">
      <w:pPr>
        <w:pStyle w:val="FootnoteText"/>
        <w:spacing w:after="0"/>
        <w:rPr>
          <w:rFonts w:asciiTheme="minorHAnsi" w:hAnsiTheme="minorHAnsi"/>
          <w:color w:val="auto"/>
          <w:sz w:val="14"/>
          <w:szCs w:val="14"/>
          <w:lang w:val="en-US"/>
        </w:rPr>
      </w:pPr>
      <w:r w:rsidRPr="00823A57">
        <w:rPr>
          <w:rFonts w:asciiTheme="minorHAnsi" w:hAnsiTheme="minorHAnsi"/>
          <w:sz w:val="14"/>
          <w:szCs w:val="14"/>
          <w:vertAlign w:val="superscript"/>
        </w:rPr>
        <w:footnoteRef/>
      </w:r>
      <w:r w:rsidRPr="00823A57">
        <w:rPr>
          <w:rFonts w:asciiTheme="minorHAnsi" w:hAnsiTheme="minorHAnsi"/>
          <w:sz w:val="14"/>
          <w:szCs w:val="14"/>
        </w:rPr>
        <w:t xml:space="preserve"> See </w:t>
      </w:r>
      <w:r w:rsidR="0034709B" w:rsidRPr="00823A57">
        <w:rPr>
          <w:rFonts w:asciiTheme="minorHAnsi" w:hAnsiTheme="minorHAnsi"/>
          <w:sz w:val="14"/>
          <w:szCs w:val="14"/>
        </w:rPr>
        <w:t>“</w:t>
      </w:r>
      <w:proofErr w:type="spellStart"/>
      <w:r w:rsidRPr="00823A57">
        <w:rPr>
          <w:rFonts w:asciiTheme="minorHAnsi" w:hAnsiTheme="minorHAnsi"/>
          <w:sz w:val="14"/>
          <w:szCs w:val="14"/>
        </w:rPr>
        <w:t>Muslimophobia</w:t>
      </w:r>
      <w:proofErr w:type="spellEnd"/>
      <w:r w:rsidRPr="00823A57">
        <w:rPr>
          <w:rFonts w:asciiTheme="minorHAnsi" w:hAnsiTheme="minorHAnsi"/>
          <w:sz w:val="14"/>
          <w:szCs w:val="14"/>
        </w:rPr>
        <w:t xml:space="preserve"> - A German Balance </w:t>
      </w:r>
      <w:proofErr w:type="gramStart"/>
      <w:r w:rsidRPr="00823A57">
        <w:rPr>
          <w:rFonts w:asciiTheme="minorHAnsi" w:hAnsiTheme="minorHAnsi"/>
          <w:sz w:val="14"/>
          <w:szCs w:val="14"/>
        </w:rPr>
        <w:t>Sheet“</w:t>
      </w:r>
      <w:proofErr w:type="gramEnd"/>
      <w:r w:rsidRPr="00823A57">
        <w:rPr>
          <w:rFonts w:asciiTheme="minorHAnsi" w:hAnsiTheme="minorHAnsi"/>
          <w:sz w:val="14"/>
          <w:szCs w:val="14"/>
        </w:rPr>
        <w:t>, p. 93 ff.</w:t>
      </w:r>
    </w:p>
  </w:footnote>
  <w:footnote w:id="61">
    <w:p w14:paraId="46AC20E4" w14:textId="1737ABE3" w:rsidR="00070213" w:rsidRPr="00823A57" w:rsidRDefault="00070213" w:rsidP="00CD0A25">
      <w:pPr>
        <w:pStyle w:val="FootnoteText"/>
        <w:shd w:val="clear" w:color="auto" w:fill="FFFFFF"/>
        <w:spacing w:after="0"/>
        <w:rPr>
          <w:rFonts w:asciiTheme="minorHAnsi" w:hAnsiTheme="minorHAnsi"/>
          <w:color w:val="auto"/>
          <w:sz w:val="14"/>
          <w:szCs w:val="14"/>
          <w:lang w:val="en-US"/>
        </w:rPr>
      </w:pPr>
      <w:r w:rsidRPr="00823A57">
        <w:rPr>
          <w:rFonts w:asciiTheme="minorHAnsi" w:hAnsiTheme="minorHAnsi"/>
          <w:color w:val="auto"/>
          <w:sz w:val="14"/>
          <w:szCs w:val="14"/>
          <w:vertAlign w:val="superscript"/>
        </w:rPr>
        <w:footnoteRef/>
      </w:r>
      <w:r w:rsidRPr="00823A57">
        <w:rPr>
          <w:rFonts w:asciiTheme="minorHAnsi" w:hAnsiTheme="minorHAnsi"/>
          <w:color w:val="auto"/>
          <w:sz w:val="14"/>
          <w:szCs w:val="14"/>
          <w:lang w:val="en-US"/>
        </w:rPr>
        <w:t xml:space="preserve"> See </w:t>
      </w:r>
      <w:r w:rsidR="0034709B" w:rsidRPr="00823A57">
        <w:rPr>
          <w:rFonts w:asciiTheme="minorHAnsi" w:hAnsiTheme="minorHAnsi"/>
          <w:color w:val="auto"/>
          <w:sz w:val="14"/>
          <w:szCs w:val="14"/>
          <w:lang w:val="en-US"/>
        </w:rPr>
        <w:t>“</w:t>
      </w:r>
      <w:proofErr w:type="spellStart"/>
      <w:r w:rsidRPr="00823A57">
        <w:rPr>
          <w:rFonts w:asciiTheme="minorHAnsi" w:hAnsiTheme="minorHAnsi"/>
          <w:color w:val="auto"/>
          <w:sz w:val="14"/>
          <w:szCs w:val="14"/>
          <w:lang w:val="en-US"/>
        </w:rPr>
        <w:t>Muslimophobia</w:t>
      </w:r>
      <w:proofErr w:type="spellEnd"/>
      <w:r w:rsidRPr="00823A57">
        <w:rPr>
          <w:rFonts w:asciiTheme="minorHAnsi" w:hAnsiTheme="minorHAnsi"/>
          <w:color w:val="auto"/>
          <w:sz w:val="14"/>
          <w:szCs w:val="14"/>
          <w:lang w:val="en-US"/>
        </w:rPr>
        <w:t xml:space="preserve"> - A German Balance </w:t>
      </w:r>
      <w:proofErr w:type="gramStart"/>
      <w:r w:rsidRPr="00823A57">
        <w:rPr>
          <w:rFonts w:asciiTheme="minorHAnsi" w:hAnsiTheme="minorHAnsi"/>
          <w:color w:val="auto"/>
          <w:sz w:val="14"/>
          <w:szCs w:val="14"/>
          <w:lang w:val="en-US"/>
        </w:rPr>
        <w:t>Sheet“</w:t>
      </w:r>
      <w:proofErr w:type="gramEnd"/>
      <w:r w:rsidRPr="00823A57">
        <w:rPr>
          <w:rFonts w:asciiTheme="minorHAnsi" w:hAnsiTheme="minorHAnsi"/>
          <w:color w:val="auto"/>
          <w:sz w:val="14"/>
          <w:szCs w:val="14"/>
          <w:lang w:val="en-US"/>
        </w:rPr>
        <w:t>, p. 233.</w:t>
      </w:r>
    </w:p>
  </w:footnote>
  <w:footnote w:id="62">
    <w:p w14:paraId="5476A8DD" w14:textId="77777777" w:rsidR="00070213" w:rsidRPr="00823A57" w:rsidRDefault="00070213" w:rsidP="00CD0A25">
      <w:pPr>
        <w:pStyle w:val="FootnoteText"/>
        <w:shd w:val="clear" w:color="auto" w:fill="FFFFFF"/>
        <w:spacing w:after="0"/>
        <w:rPr>
          <w:rFonts w:asciiTheme="minorHAnsi" w:hAnsiTheme="minorHAnsi"/>
          <w:sz w:val="14"/>
          <w:szCs w:val="14"/>
          <w:lang w:val="en-US"/>
        </w:rPr>
      </w:pPr>
      <w:r w:rsidRPr="00823A57">
        <w:rPr>
          <w:rFonts w:asciiTheme="minorHAnsi" w:hAnsiTheme="minorHAnsi"/>
          <w:color w:val="auto"/>
          <w:sz w:val="14"/>
          <w:szCs w:val="14"/>
          <w:vertAlign w:val="superscript"/>
        </w:rPr>
        <w:footnoteRef/>
      </w:r>
      <w:r w:rsidRPr="00823A57">
        <w:rPr>
          <w:rFonts w:asciiTheme="minorHAnsi" w:hAnsiTheme="minorHAnsi"/>
          <w:sz w:val="14"/>
          <w:szCs w:val="14"/>
          <w:lang w:val="en-US"/>
        </w:rPr>
        <w:t xml:space="preserve"> See Wegener, Kilian, “</w:t>
      </w:r>
      <w:proofErr w:type="spellStart"/>
      <w:r w:rsidRPr="00823A57">
        <w:rPr>
          <w:rFonts w:asciiTheme="minorHAnsi" w:hAnsiTheme="minorHAnsi"/>
          <w:sz w:val="14"/>
          <w:szCs w:val="14"/>
          <w:lang w:val="en-US"/>
        </w:rPr>
        <w:t>Über</w:t>
      </w:r>
      <w:proofErr w:type="spellEnd"/>
      <w:r w:rsidRPr="00823A57">
        <w:rPr>
          <w:rFonts w:asciiTheme="minorHAnsi" w:hAnsiTheme="minorHAnsi"/>
          <w:sz w:val="14"/>
          <w:szCs w:val="14"/>
          <w:lang w:val="en-US"/>
        </w:rPr>
        <w:t xml:space="preserve"> die </w:t>
      </w:r>
      <w:proofErr w:type="spellStart"/>
      <w:r w:rsidRPr="00823A57">
        <w:rPr>
          <w:rFonts w:asciiTheme="minorHAnsi" w:hAnsiTheme="minorHAnsi"/>
          <w:sz w:val="14"/>
          <w:szCs w:val="14"/>
          <w:lang w:val="en-US"/>
        </w:rPr>
        <w:t>sogenannte</w:t>
      </w:r>
      <w:proofErr w:type="spellEnd"/>
      <w:r w:rsidRPr="00823A57">
        <w:rPr>
          <w:rFonts w:asciiTheme="minorHAnsi" w:hAnsiTheme="minorHAnsi"/>
          <w:sz w:val="14"/>
          <w:szCs w:val="14"/>
          <w:lang w:val="en-US"/>
        </w:rPr>
        <w:t xml:space="preserve"> </w:t>
      </w:r>
      <w:proofErr w:type="spellStart"/>
      <w:r w:rsidRPr="00823A57">
        <w:rPr>
          <w:rFonts w:asciiTheme="minorHAnsi" w:hAnsiTheme="minorHAnsi"/>
          <w:sz w:val="14"/>
          <w:szCs w:val="14"/>
          <w:lang w:val="en-US"/>
        </w:rPr>
        <w:t>Clankriminalität</w:t>
      </w:r>
      <w:proofErr w:type="spellEnd"/>
      <w:r w:rsidRPr="00823A57">
        <w:rPr>
          <w:rFonts w:asciiTheme="minorHAnsi" w:hAnsiTheme="minorHAnsi"/>
          <w:sz w:val="14"/>
          <w:szCs w:val="14"/>
          <w:lang w:val="en-US"/>
        </w:rPr>
        <w:t xml:space="preserve">” [“Regarding the so called Clan Criminality”], August 2023, </w:t>
      </w:r>
      <w:hyperlink r:id="rId50" w:history="1">
        <w:r w:rsidRPr="00823A57">
          <w:rPr>
            <w:rStyle w:val="Hyperlink"/>
            <w:rFonts w:asciiTheme="minorHAnsi" w:eastAsia="Amnesty Trade Gothic" w:hAnsiTheme="minorHAnsi" w:cs="Amnesty Trade Gothic"/>
            <w:sz w:val="14"/>
            <w:szCs w:val="14"/>
            <w:lang w:val="en-US"/>
          </w:rPr>
          <w:t>https://verfassungsblog.de/uber-die-sogenannte-clankriminalitat</w:t>
        </w:r>
      </w:hyperlink>
      <w:r w:rsidRPr="00823A57">
        <w:rPr>
          <w:rFonts w:asciiTheme="minorHAnsi" w:hAnsiTheme="minorHAnsi"/>
          <w:sz w:val="14"/>
          <w:szCs w:val="14"/>
          <w:lang w:val="en-US"/>
        </w:rPr>
        <w:t>,</w:t>
      </w:r>
      <w:hyperlink w:history="1"/>
      <w:r w:rsidRPr="00823A57">
        <w:rPr>
          <w:rFonts w:asciiTheme="minorHAnsi" w:hAnsiTheme="minorHAnsi"/>
          <w:sz w:val="14"/>
          <w:szCs w:val="14"/>
          <w:lang w:val="en-US"/>
        </w:rPr>
        <w:t xml:space="preserve"> (in German).</w:t>
      </w:r>
    </w:p>
  </w:footnote>
  <w:footnote w:id="63">
    <w:p w14:paraId="6738FE8C" w14:textId="77777777" w:rsidR="00070213" w:rsidRPr="00823A57" w:rsidRDefault="00070213" w:rsidP="00CD0A25">
      <w:pPr>
        <w:pStyle w:val="FootnoteText"/>
        <w:shd w:val="clear" w:color="auto" w:fill="FFFFFF"/>
        <w:spacing w:after="0"/>
        <w:rPr>
          <w:rFonts w:asciiTheme="minorHAnsi" w:hAnsiTheme="minorHAnsi"/>
          <w:color w:val="auto"/>
          <w:sz w:val="14"/>
          <w:szCs w:val="14"/>
          <w:lang w:val="de-DE"/>
        </w:rPr>
      </w:pPr>
      <w:r w:rsidRPr="00823A57">
        <w:rPr>
          <w:rFonts w:asciiTheme="minorHAnsi" w:hAnsiTheme="minorHAnsi"/>
          <w:color w:val="auto"/>
          <w:sz w:val="14"/>
          <w:szCs w:val="14"/>
          <w:vertAlign w:val="superscript"/>
        </w:rPr>
        <w:footnoteRef/>
      </w:r>
      <w:r w:rsidRPr="00823A57">
        <w:rPr>
          <w:rFonts w:asciiTheme="minorHAnsi" w:hAnsiTheme="minorHAnsi"/>
          <w:color w:val="auto"/>
          <w:sz w:val="14"/>
          <w:szCs w:val="14"/>
        </w:rPr>
        <w:t xml:space="preserve"> Concluding Observations on 19th-22nd reports on Germany, para. </w:t>
      </w:r>
      <w:r w:rsidRPr="00823A57">
        <w:rPr>
          <w:rFonts w:asciiTheme="minorHAnsi" w:hAnsiTheme="minorHAnsi"/>
          <w:color w:val="auto"/>
          <w:sz w:val="14"/>
          <w:szCs w:val="14"/>
          <w:lang w:val="de-DE"/>
        </w:rPr>
        <w:t xml:space="preserve">10. </w:t>
      </w:r>
    </w:p>
  </w:footnote>
  <w:footnote w:id="64">
    <w:p w14:paraId="108A4004"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color w:val="auto"/>
          <w:sz w:val="14"/>
          <w:szCs w:val="14"/>
          <w:lang w:val="de-DE"/>
        </w:rPr>
        <w:t xml:space="preserve"> See Media Service, “Recherche: Rassismus und Antisemitismus bei der Polizei: Was tun Bund und Länder?“ </w:t>
      </w:r>
      <w:r w:rsidRPr="00823A57">
        <w:rPr>
          <w:rFonts w:asciiTheme="minorHAnsi" w:hAnsiTheme="minorHAnsi"/>
          <w:color w:val="auto"/>
          <w:sz w:val="14"/>
          <w:szCs w:val="14"/>
        </w:rPr>
        <w:t xml:space="preserve">["Research: </w:t>
      </w:r>
      <w:r w:rsidRPr="00823A57">
        <w:rPr>
          <w:rFonts w:asciiTheme="minorHAnsi" w:hAnsiTheme="minorHAnsi"/>
          <w:sz w:val="14"/>
          <w:szCs w:val="14"/>
        </w:rPr>
        <w:t>Racism and Antisemitism within the Police: What do the Federal Government and States do?"</w:t>
      </w:r>
      <w:r w:rsidRPr="00823A57">
        <w:rPr>
          <w:rFonts w:asciiTheme="minorHAnsi" w:hAnsiTheme="minorHAnsi"/>
          <w:color w:val="000000"/>
          <w:sz w:val="14"/>
          <w:szCs w:val="14"/>
        </w:rPr>
        <w:t xml:space="preserve">], August 2022, </w:t>
      </w:r>
      <w:hyperlink r:id="rId51" w:tooltip="https://mediendienst-integration.de/fileadmin/Rassismus_und_Antisemitismus_bei_der_Polizei_MEDIENDIENST_Recherche.pdf" w:history="1">
        <w:r w:rsidRPr="00823A57">
          <w:rPr>
            <w:rStyle w:val="Hyperlink"/>
            <w:rFonts w:asciiTheme="minorHAnsi" w:eastAsia="Amnesty Trade Gothic" w:hAnsiTheme="minorHAnsi" w:cs="Amnesty Trade Gothic"/>
            <w:sz w:val="14"/>
            <w:szCs w:val="14"/>
          </w:rPr>
          <w:t>https://mediendienst-integration.de/fileadmin/Rassismus_und_Antisemitismus_bei_der_Polizei_MEDIENDIENST_Recherche.pdf</w:t>
        </w:r>
      </w:hyperlink>
      <w:r w:rsidRPr="00823A57">
        <w:rPr>
          <w:rFonts w:asciiTheme="minorHAnsi" w:hAnsiTheme="minorHAnsi"/>
          <w:color w:val="000000"/>
          <w:sz w:val="14"/>
          <w:szCs w:val="14"/>
        </w:rPr>
        <w:t xml:space="preserve"> (in German).</w:t>
      </w:r>
    </w:p>
  </w:footnote>
  <w:footnote w:id="65">
    <w:p w14:paraId="22C6964C"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sz w:val="14"/>
          <w:szCs w:val="14"/>
          <w:vertAlign w:val="superscript"/>
        </w:rPr>
        <w:footnoteRef/>
      </w:r>
      <w:r w:rsidRPr="00823A57">
        <w:rPr>
          <w:rFonts w:asciiTheme="minorHAnsi" w:hAnsiTheme="minorHAnsi"/>
          <w:sz w:val="14"/>
          <w:szCs w:val="14"/>
        </w:rPr>
        <w:t xml:space="preserve"> Amnesty International, “</w:t>
      </w:r>
      <w:proofErr w:type="spellStart"/>
      <w:r w:rsidRPr="00823A57">
        <w:rPr>
          <w:rFonts w:asciiTheme="minorHAnsi" w:hAnsiTheme="minorHAnsi"/>
          <w:sz w:val="14"/>
          <w:szCs w:val="14"/>
        </w:rPr>
        <w:t>Positionspapier</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zur</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Menschenrechtlichen</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Notwendigkeit</w:t>
      </w:r>
      <w:proofErr w:type="spellEnd"/>
      <w:r w:rsidRPr="00823A57">
        <w:rPr>
          <w:rFonts w:asciiTheme="minorHAnsi" w:hAnsiTheme="minorHAnsi"/>
          <w:sz w:val="14"/>
          <w:szCs w:val="14"/>
        </w:rPr>
        <w:t xml:space="preserve"> von </w:t>
      </w:r>
      <w:proofErr w:type="spellStart"/>
      <w:r w:rsidRPr="00823A57">
        <w:rPr>
          <w:rFonts w:asciiTheme="minorHAnsi" w:hAnsiTheme="minorHAnsi"/>
          <w:sz w:val="14"/>
          <w:szCs w:val="14"/>
        </w:rPr>
        <w:t>Antirassismus</w:t>
      </w:r>
      <w:proofErr w:type="spellEnd"/>
      <w:r w:rsidRPr="00823A57">
        <w:rPr>
          <w:rFonts w:asciiTheme="minorHAnsi" w:hAnsiTheme="minorHAnsi"/>
          <w:sz w:val="14"/>
          <w:szCs w:val="14"/>
        </w:rPr>
        <w:t xml:space="preserve">-Trainings für die </w:t>
      </w:r>
      <w:proofErr w:type="spellStart"/>
      <w:r w:rsidRPr="00823A57">
        <w:rPr>
          <w:rFonts w:asciiTheme="minorHAnsi" w:hAnsiTheme="minorHAnsi"/>
          <w:sz w:val="14"/>
          <w:szCs w:val="14"/>
        </w:rPr>
        <w:t>Polizei</w:t>
      </w:r>
      <w:proofErr w:type="spellEnd"/>
      <w:r w:rsidRPr="00823A57">
        <w:rPr>
          <w:rFonts w:asciiTheme="minorHAnsi" w:hAnsiTheme="minorHAnsi"/>
          <w:sz w:val="14"/>
          <w:szCs w:val="14"/>
        </w:rPr>
        <w:t xml:space="preserve">” [“Position Paper on the Human Rights Necessity of Anti-racism Training for the Police”], 19 October 2021, </w:t>
      </w:r>
      <w:hyperlink r:id="rId52" w:history="1">
        <w:r w:rsidRPr="00823A57">
          <w:rPr>
            <w:rStyle w:val="Hyperlink"/>
            <w:rFonts w:asciiTheme="minorHAnsi" w:eastAsia="Amnesty Trade Gothic" w:hAnsiTheme="minorHAnsi" w:cs="Amnesty Trade Gothic"/>
            <w:sz w:val="14"/>
            <w:szCs w:val="14"/>
          </w:rPr>
          <w:t>https://www.amnesty.de/sites/default/files/2022-01/Amnesty-Positionspapier-Polizei-Antirassimus-Trainings-Deutschland-Oktober-2021.pdf</w:t>
        </w:r>
      </w:hyperlink>
      <w:r w:rsidRPr="00823A57">
        <w:rPr>
          <w:rFonts w:asciiTheme="minorHAnsi" w:hAnsiTheme="minorHAnsi"/>
          <w:sz w:val="14"/>
          <w:szCs w:val="14"/>
        </w:rPr>
        <w:t xml:space="preserve"> (in German).</w:t>
      </w:r>
    </w:p>
  </w:footnote>
  <w:footnote w:id="66">
    <w:p w14:paraId="3780A7F8"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eastAsia="Amnesty Trade Gothic" w:hAnsiTheme="minorHAnsi" w:cs="Amnesty Trade Gothic"/>
          <w:sz w:val="14"/>
          <w:szCs w:val="14"/>
        </w:rPr>
        <w:footnoteRef/>
      </w:r>
      <w:r w:rsidRPr="00823A57">
        <w:rPr>
          <w:rFonts w:asciiTheme="minorHAnsi" w:hAnsiTheme="minorHAnsi"/>
          <w:sz w:val="14"/>
          <w:szCs w:val="14"/>
        </w:rPr>
        <w:t xml:space="preserve"> See UN Human Rights Council, Promotion and protection of the human rights and fundamental freedoms of Africans and of people of African descent against excessive use of force and other human rights violations by law enforcement officers through transformative change for racial justice and equality, 26 July 2021, UN Doc. A/HRC/RES/47/21.</w:t>
      </w:r>
    </w:p>
  </w:footnote>
  <w:footnote w:id="67">
    <w:p w14:paraId="5DB89E13"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sz w:val="14"/>
          <w:szCs w:val="14"/>
          <w:vertAlign w:val="superscript"/>
        </w:rPr>
        <w:footnoteRef/>
      </w:r>
      <w:r w:rsidRPr="00823A57">
        <w:rPr>
          <w:rFonts w:asciiTheme="minorHAnsi" w:hAnsiTheme="minorHAnsi"/>
          <w:sz w:val="14"/>
          <w:szCs w:val="14"/>
        </w:rPr>
        <w:t xml:space="preserve"> Concluding Observations on 19th-22nd reports on Germany, para. 10.</w:t>
      </w:r>
    </w:p>
  </w:footnote>
  <w:footnote w:id="68">
    <w:p w14:paraId="0E951599"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sz w:val="14"/>
          <w:szCs w:val="14"/>
          <w:vertAlign w:val="superscript"/>
        </w:rPr>
        <w:footnoteRef/>
      </w:r>
      <w:r w:rsidRPr="00823A57">
        <w:rPr>
          <w:rFonts w:asciiTheme="minorHAnsi" w:hAnsiTheme="minorHAnsi"/>
          <w:sz w:val="14"/>
          <w:szCs w:val="14"/>
          <w:lang w:val="en-US"/>
        </w:rPr>
        <w:t xml:space="preserve"> </w:t>
      </w:r>
      <w:r w:rsidRPr="00823A57">
        <w:rPr>
          <w:rFonts w:asciiTheme="minorHAnsi" w:hAnsiTheme="minorHAnsi"/>
          <w:sz w:val="14"/>
          <w:szCs w:val="14"/>
        </w:rPr>
        <w:t xml:space="preserve">Abdul-Rahman, Laila/ </w:t>
      </w:r>
      <w:proofErr w:type="spellStart"/>
      <w:r w:rsidRPr="00823A57">
        <w:rPr>
          <w:rFonts w:asciiTheme="minorHAnsi" w:hAnsiTheme="minorHAnsi"/>
          <w:sz w:val="14"/>
          <w:szCs w:val="14"/>
        </w:rPr>
        <w:t>Espín</w:t>
      </w:r>
      <w:proofErr w:type="spellEnd"/>
      <w:r w:rsidRPr="00823A57">
        <w:rPr>
          <w:rFonts w:asciiTheme="minorHAnsi" w:hAnsiTheme="minorHAnsi"/>
          <w:sz w:val="14"/>
          <w:szCs w:val="14"/>
        </w:rPr>
        <w:t xml:space="preserve"> Grau, Hannah/ Klaus, </w:t>
      </w:r>
      <w:proofErr w:type="spellStart"/>
      <w:r w:rsidRPr="00823A57">
        <w:rPr>
          <w:rFonts w:asciiTheme="minorHAnsi" w:hAnsiTheme="minorHAnsi"/>
          <w:sz w:val="14"/>
          <w:szCs w:val="14"/>
        </w:rPr>
        <w:t>Luise</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Singelnstein</w:t>
      </w:r>
      <w:proofErr w:type="spellEnd"/>
      <w:r w:rsidRPr="00823A57">
        <w:rPr>
          <w:rFonts w:asciiTheme="minorHAnsi" w:hAnsiTheme="minorHAnsi"/>
          <w:sz w:val="14"/>
          <w:szCs w:val="14"/>
        </w:rPr>
        <w:t xml:space="preserve">, Tobias, “The use of excessive force by the police and struggles for accountability”, 2023, </w:t>
      </w:r>
      <w:hyperlink r:id="rId53" w:history="1">
        <w:r w:rsidRPr="00823A57">
          <w:rPr>
            <w:rStyle w:val="Hyperlink"/>
            <w:rFonts w:asciiTheme="minorHAnsi" w:eastAsia="Amnesty Trade Gothic" w:hAnsiTheme="minorHAnsi" w:cs="Amnesty Trade Gothic"/>
            <w:sz w:val="14"/>
            <w:szCs w:val="14"/>
          </w:rPr>
          <w:t>https://kviapol.uni-frankfurt.de/images/pdf/en/Executive%20Summary_Gewalt%20im%20Amt.pdf</w:t>
        </w:r>
      </w:hyperlink>
      <w:r w:rsidRPr="00823A57">
        <w:rPr>
          <w:rFonts w:asciiTheme="minorHAnsi" w:hAnsiTheme="minorHAnsi"/>
          <w:sz w:val="14"/>
          <w:szCs w:val="14"/>
        </w:rPr>
        <w:t>.</w:t>
      </w:r>
    </w:p>
  </w:footnote>
  <w:footnote w:id="69">
    <w:p w14:paraId="086A4821"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sz w:val="14"/>
          <w:szCs w:val="14"/>
          <w:vertAlign w:val="superscript"/>
        </w:rPr>
        <w:footnoteRef/>
      </w:r>
      <w:r w:rsidRPr="00823A57">
        <w:rPr>
          <w:rFonts w:asciiTheme="minorHAnsi" w:hAnsiTheme="minorHAnsi"/>
          <w:sz w:val="14"/>
          <w:szCs w:val="14"/>
        </w:rPr>
        <w:t xml:space="preserve"> Documentation of death in custody, </w:t>
      </w:r>
      <w:hyperlink r:id="rId54" w:tooltip="https://doku.deathincustody.info/" w:history="1">
        <w:r w:rsidRPr="00823A57">
          <w:rPr>
            <w:rStyle w:val="Hyperlink"/>
            <w:rFonts w:asciiTheme="minorHAnsi" w:eastAsia="Amnesty Trade Gothic" w:hAnsiTheme="minorHAnsi" w:cs="Amnesty Trade Gothic"/>
            <w:sz w:val="14"/>
            <w:szCs w:val="14"/>
          </w:rPr>
          <w:t>https://doku.deathincustody.info/</w:t>
        </w:r>
      </w:hyperlink>
      <w:r w:rsidRPr="00823A57">
        <w:rPr>
          <w:rFonts w:asciiTheme="minorHAnsi" w:hAnsiTheme="minorHAnsi"/>
          <w:sz w:val="14"/>
          <w:szCs w:val="14"/>
        </w:rPr>
        <w:t>en/ (accessed on 21 September 2023).</w:t>
      </w:r>
    </w:p>
  </w:footnote>
  <w:footnote w:id="70">
    <w:p w14:paraId="705DE0A5"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sz w:val="14"/>
          <w:szCs w:val="14"/>
          <w:vertAlign w:val="superscript"/>
        </w:rPr>
        <w:footnoteRef/>
      </w:r>
      <w:r w:rsidRPr="00823A57">
        <w:rPr>
          <w:rFonts w:asciiTheme="minorHAnsi" w:hAnsiTheme="minorHAnsi"/>
          <w:sz w:val="14"/>
          <w:szCs w:val="14"/>
        </w:rPr>
        <w:t xml:space="preserve"> See Amnesty International, Report 2022/23, Germany (Index: POL 10/5670/2023), 2023, </w:t>
      </w:r>
      <w:hyperlink r:id="rId55" w:history="1">
        <w:r w:rsidRPr="00823A57">
          <w:rPr>
            <w:rStyle w:val="Hyperlink"/>
            <w:rFonts w:asciiTheme="minorHAnsi" w:eastAsia="Amnesty Trade Gothic" w:hAnsiTheme="minorHAnsi" w:cs="Amnesty Trade Gothic"/>
            <w:sz w:val="14"/>
            <w:szCs w:val="14"/>
          </w:rPr>
          <w:t>https://www.amnesty.org/en/location/europe-and-central-asia/germany/report-germany/</w:t>
        </w:r>
      </w:hyperlink>
    </w:p>
    <w:p w14:paraId="5C7FFECB" w14:textId="77777777" w:rsidR="00070213" w:rsidRPr="00823A57" w:rsidRDefault="00070213" w:rsidP="00CD0A25">
      <w:pPr>
        <w:pStyle w:val="FootnoteText"/>
        <w:shd w:val="clear" w:color="auto" w:fill="FFFFFF"/>
        <w:spacing w:after="0"/>
        <w:rPr>
          <w:rFonts w:asciiTheme="minorHAnsi" w:hAnsiTheme="minorHAnsi" w:cs="Amnesty Trade Gothic"/>
          <w:sz w:val="14"/>
          <w:szCs w:val="14"/>
        </w:rPr>
      </w:pPr>
      <w:proofErr w:type="spellStart"/>
      <w:r w:rsidRPr="00823A57">
        <w:rPr>
          <w:rFonts w:asciiTheme="minorHAnsi" w:eastAsia="Amnesty Trade Gothic" w:hAnsiTheme="minorHAnsi" w:cs="Amnesty Trade Gothic"/>
          <w:sz w:val="14"/>
          <w:szCs w:val="14"/>
        </w:rPr>
        <w:t>Wörtz</w:t>
      </w:r>
      <w:proofErr w:type="spellEnd"/>
      <w:r w:rsidRPr="00823A57">
        <w:rPr>
          <w:rFonts w:asciiTheme="minorHAnsi" w:eastAsia="Amnesty Trade Gothic" w:hAnsiTheme="minorHAnsi" w:cs="Amnesty Trade Gothic"/>
          <w:sz w:val="14"/>
          <w:szCs w:val="14"/>
        </w:rPr>
        <w:t>, Aaron, “</w:t>
      </w:r>
      <w:proofErr w:type="spellStart"/>
      <w:r w:rsidRPr="00823A57">
        <w:rPr>
          <w:rFonts w:asciiTheme="minorHAnsi" w:eastAsia="Amnesty Trade Gothic" w:hAnsiTheme="minorHAnsi" w:cs="Amnesty Trade Gothic"/>
          <w:sz w:val="14"/>
          <w:szCs w:val="14"/>
        </w:rPr>
        <w:t>Polizei</w:t>
      </w:r>
      <w:proofErr w:type="spellEnd"/>
      <w:r w:rsidRPr="00823A57">
        <w:rPr>
          <w:rFonts w:asciiTheme="minorHAnsi" w:eastAsia="Amnesty Trade Gothic" w:hAnsiTheme="minorHAnsi" w:cs="Amnesty Trade Gothic"/>
          <w:sz w:val="14"/>
          <w:szCs w:val="14"/>
        </w:rPr>
        <w:t xml:space="preserve"> </w:t>
      </w:r>
      <w:proofErr w:type="spellStart"/>
      <w:r w:rsidRPr="00823A57">
        <w:rPr>
          <w:rFonts w:asciiTheme="minorHAnsi" w:eastAsia="Amnesty Trade Gothic" w:hAnsiTheme="minorHAnsi" w:cs="Amnesty Trade Gothic"/>
          <w:sz w:val="14"/>
          <w:szCs w:val="14"/>
        </w:rPr>
        <w:t>erschießt</w:t>
      </w:r>
      <w:proofErr w:type="spellEnd"/>
      <w:r w:rsidRPr="00823A57">
        <w:rPr>
          <w:rFonts w:asciiTheme="minorHAnsi" w:eastAsia="Amnesty Trade Gothic" w:hAnsiTheme="minorHAnsi" w:cs="Amnesty Trade Gothic"/>
          <w:sz w:val="14"/>
          <w:szCs w:val="14"/>
        </w:rPr>
        <w:t xml:space="preserve"> Teenager” [“Police Officer shoots Teenager”], August 2022, </w:t>
      </w:r>
      <w:hyperlink r:id="rId56" w:tooltip="https://taz.de/Polizist-erschiesst-Teenager/!5872147/" w:history="1">
        <w:r w:rsidRPr="00823A57">
          <w:rPr>
            <w:rStyle w:val="Hyperlink"/>
            <w:rFonts w:asciiTheme="minorHAnsi" w:eastAsia="Amnesty Trade Gothic" w:hAnsiTheme="minorHAnsi" w:cs="Amnesty Trade Gothic"/>
            <w:sz w:val="14"/>
            <w:szCs w:val="14"/>
          </w:rPr>
          <w:t>https://taz.de/Polizist-erschiesst-Teenager/!5872147/</w:t>
        </w:r>
      </w:hyperlink>
      <w:r w:rsidRPr="00823A57">
        <w:rPr>
          <w:rFonts w:asciiTheme="minorHAnsi" w:eastAsia="Amnesty Trade Gothic" w:hAnsiTheme="minorHAnsi" w:cs="Amnesty Trade Gothic"/>
          <w:sz w:val="14"/>
          <w:szCs w:val="14"/>
        </w:rPr>
        <w:t xml:space="preserve"> (in German).</w:t>
      </w:r>
    </w:p>
  </w:footnote>
  <w:footnote w:id="71">
    <w:p w14:paraId="355E9E78" w14:textId="77777777" w:rsidR="00070213" w:rsidRPr="00823A57" w:rsidRDefault="00070213" w:rsidP="00CD0A25">
      <w:pPr>
        <w:pStyle w:val="FootnoteText"/>
        <w:shd w:val="clear" w:color="auto" w:fill="FFFFFF"/>
        <w:spacing w:after="0"/>
        <w:rPr>
          <w:rFonts w:asciiTheme="minorHAnsi" w:hAnsiTheme="minorHAnsi"/>
          <w:sz w:val="14"/>
          <w:szCs w:val="14"/>
          <w:lang w:val="en-US"/>
        </w:rPr>
      </w:pPr>
      <w:r w:rsidRPr="00823A57">
        <w:rPr>
          <w:rStyle w:val="FootnoteReference"/>
          <w:rFonts w:asciiTheme="minorHAnsi" w:hAnsiTheme="minorHAnsi"/>
          <w:sz w:val="14"/>
          <w:szCs w:val="14"/>
        </w:rPr>
        <w:footnoteRef/>
      </w:r>
      <w:r w:rsidRPr="00823A57">
        <w:rPr>
          <w:rFonts w:asciiTheme="minorHAnsi" w:hAnsiTheme="minorHAnsi"/>
          <w:sz w:val="14"/>
          <w:szCs w:val="14"/>
          <w:lang w:val="en-US"/>
        </w:rPr>
        <w:t xml:space="preserve"> See Peters, David, “</w:t>
      </w:r>
      <w:proofErr w:type="spellStart"/>
      <w:r w:rsidRPr="00823A57">
        <w:rPr>
          <w:rFonts w:asciiTheme="minorHAnsi" w:hAnsiTheme="minorHAnsi"/>
          <w:sz w:val="14"/>
          <w:szCs w:val="14"/>
          <w:lang w:val="en-US"/>
        </w:rPr>
        <w:t>Tödliche</w:t>
      </w:r>
      <w:proofErr w:type="spellEnd"/>
      <w:r w:rsidRPr="00823A57">
        <w:rPr>
          <w:rFonts w:asciiTheme="minorHAnsi" w:hAnsiTheme="minorHAnsi"/>
          <w:sz w:val="14"/>
          <w:szCs w:val="14"/>
          <w:lang w:val="en-US"/>
        </w:rPr>
        <w:t xml:space="preserve"> </w:t>
      </w:r>
      <w:proofErr w:type="spellStart"/>
      <w:r w:rsidRPr="00823A57">
        <w:rPr>
          <w:rFonts w:asciiTheme="minorHAnsi" w:hAnsiTheme="minorHAnsi"/>
          <w:sz w:val="14"/>
          <w:szCs w:val="14"/>
          <w:lang w:val="en-US"/>
        </w:rPr>
        <w:t>Schüsse</w:t>
      </w:r>
      <w:proofErr w:type="spellEnd"/>
      <w:r w:rsidRPr="00823A57">
        <w:rPr>
          <w:rFonts w:asciiTheme="minorHAnsi" w:hAnsiTheme="minorHAnsi"/>
          <w:sz w:val="14"/>
          <w:szCs w:val="14"/>
          <w:lang w:val="en-US"/>
        </w:rPr>
        <w:t xml:space="preserve"> auf Mouhamed </w:t>
      </w:r>
      <w:proofErr w:type="spellStart"/>
      <w:r w:rsidRPr="00823A57">
        <w:rPr>
          <w:rFonts w:asciiTheme="minorHAnsi" w:hAnsiTheme="minorHAnsi"/>
          <w:sz w:val="14"/>
          <w:szCs w:val="14"/>
          <w:lang w:val="en-US"/>
        </w:rPr>
        <w:t>Dramé</w:t>
      </w:r>
      <w:proofErr w:type="spellEnd"/>
      <w:r w:rsidRPr="00823A57">
        <w:rPr>
          <w:rFonts w:asciiTheme="minorHAnsi" w:hAnsiTheme="minorHAnsi"/>
          <w:sz w:val="14"/>
          <w:szCs w:val="14"/>
          <w:lang w:val="en-US"/>
        </w:rPr>
        <w:t xml:space="preserve">: </w:t>
      </w:r>
      <w:proofErr w:type="spellStart"/>
      <w:r w:rsidRPr="00823A57">
        <w:rPr>
          <w:rFonts w:asciiTheme="minorHAnsi" w:hAnsiTheme="minorHAnsi"/>
          <w:sz w:val="14"/>
          <w:szCs w:val="14"/>
          <w:lang w:val="en-US"/>
        </w:rPr>
        <w:t>Anklage</w:t>
      </w:r>
      <w:proofErr w:type="spellEnd"/>
      <w:r w:rsidRPr="00823A57">
        <w:rPr>
          <w:rFonts w:asciiTheme="minorHAnsi" w:hAnsiTheme="minorHAnsi"/>
          <w:sz w:val="14"/>
          <w:szCs w:val="14"/>
          <w:lang w:val="en-US"/>
        </w:rPr>
        <w:t xml:space="preserve"> </w:t>
      </w:r>
      <w:proofErr w:type="spellStart"/>
      <w:r w:rsidRPr="00823A57">
        <w:rPr>
          <w:rFonts w:asciiTheme="minorHAnsi" w:hAnsiTheme="minorHAnsi"/>
          <w:sz w:val="14"/>
          <w:szCs w:val="14"/>
          <w:lang w:val="en-US"/>
        </w:rPr>
        <w:t>gegen</w:t>
      </w:r>
      <w:proofErr w:type="spellEnd"/>
      <w:r w:rsidRPr="00823A57">
        <w:rPr>
          <w:rFonts w:asciiTheme="minorHAnsi" w:hAnsiTheme="minorHAnsi"/>
          <w:sz w:val="14"/>
          <w:szCs w:val="14"/>
          <w:lang w:val="en-US"/>
        </w:rPr>
        <w:t xml:space="preserve"> </w:t>
      </w:r>
      <w:proofErr w:type="spellStart"/>
      <w:r w:rsidRPr="00823A57">
        <w:rPr>
          <w:rFonts w:asciiTheme="minorHAnsi" w:hAnsiTheme="minorHAnsi"/>
          <w:sz w:val="14"/>
          <w:szCs w:val="14"/>
          <w:lang w:val="en-US"/>
        </w:rPr>
        <w:t>fünf</w:t>
      </w:r>
      <w:proofErr w:type="spellEnd"/>
      <w:r w:rsidRPr="00823A57">
        <w:rPr>
          <w:rFonts w:asciiTheme="minorHAnsi" w:hAnsiTheme="minorHAnsi"/>
          <w:sz w:val="14"/>
          <w:szCs w:val="14"/>
          <w:lang w:val="en-US"/>
        </w:rPr>
        <w:t xml:space="preserve"> </w:t>
      </w:r>
      <w:proofErr w:type="spellStart"/>
      <w:r w:rsidRPr="00823A57">
        <w:rPr>
          <w:rFonts w:asciiTheme="minorHAnsi" w:hAnsiTheme="minorHAnsi"/>
          <w:sz w:val="14"/>
          <w:szCs w:val="14"/>
          <w:lang w:val="en-US"/>
        </w:rPr>
        <w:t>Polizeikräfte</w:t>
      </w:r>
      <w:proofErr w:type="spellEnd"/>
      <w:r w:rsidRPr="00823A57">
        <w:rPr>
          <w:rFonts w:asciiTheme="minorHAnsi" w:hAnsiTheme="minorHAnsi"/>
          <w:sz w:val="14"/>
          <w:szCs w:val="14"/>
          <w:lang w:val="en-US"/>
        </w:rPr>
        <w:t>” [</w:t>
      </w:r>
      <w:r w:rsidRPr="00823A57">
        <w:rPr>
          <w:rFonts w:asciiTheme="minorHAnsi" w:eastAsia="Amnesty Trade Gothic" w:hAnsiTheme="minorHAnsi" w:cs="Amnesty Trade Gothic"/>
          <w:sz w:val="14"/>
          <w:szCs w:val="14"/>
          <w:lang w:val="en-US"/>
        </w:rPr>
        <w:t>“</w:t>
      </w:r>
      <w:r w:rsidRPr="00823A57">
        <w:rPr>
          <w:rFonts w:asciiTheme="minorHAnsi" w:hAnsiTheme="minorHAnsi"/>
          <w:sz w:val="14"/>
          <w:szCs w:val="14"/>
          <w:lang w:val="en-US"/>
        </w:rPr>
        <w:t xml:space="preserve">Fatal shooting of Mouhamed </w:t>
      </w:r>
      <w:proofErr w:type="spellStart"/>
      <w:r w:rsidRPr="00823A57">
        <w:rPr>
          <w:rFonts w:asciiTheme="minorHAnsi" w:hAnsiTheme="minorHAnsi"/>
          <w:sz w:val="14"/>
          <w:szCs w:val="14"/>
          <w:lang w:val="en-US"/>
        </w:rPr>
        <w:t>Dramé</w:t>
      </w:r>
      <w:proofErr w:type="spellEnd"/>
      <w:r w:rsidRPr="00823A57">
        <w:rPr>
          <w:rFonts w:asciiTheme="minorHAnsi" w:hAnsiTheme="minorHAnsi"/>
          <w:sz w:val="14"/>
          <w:szCs w:val="14"/>
          <w:lang w:val="en-US"/>
        </w:rPr>
        <w:t>: Charges against five police officers”], 16 February 2023, [</w:t>
      </w:r>
      <w:hyperlink r:id="rId57" w:history="1">
        <w:r w:rsidRPr="00823A57">
          <w:rPr>
            <w:rStyle w:val="Hyperlink"/>
            <w:rFonts w:asciiTheme="minorHAnsi" w:hAnsiTheme="minorHAnsi"/>
            <w:sz w:val="14"/>
            <w:szCs w:val="14"/>
            <w:lang w:val="en-US"/>
          </w:rPr>
          <w:t>https://www1.wdr.de/nachrichten/ruhrgebiet/anklagen-fall-mouhamed-100.html</w:t>
        </w:r>
      </w:hyperlink>
      <w:r w:rsidRPr="00823A57">
        <w:rPr>
          <w:rFonts w:asciiTheme="minorHAnsi" w:hAnsiTheme="minorHAnsi"/>
          <w:sz w:val="14"/>
          <w:szCs w:val="14"/>
          <w:lang w:val="en-US"/>
        </w:rPr>
        <w:t xml:space="preserve"> (in German).</w:t>
      </w:r>
    </w:p>
  </w:footnote>
  <w:footnote w:id="72">
    <w:p w14:paraId="09F22A94" w14:textId="22953158"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hAnsiTheme="minorHAnsi"/>
          <w:sz w:val="14"/>
          <w:szCs w:val="14"/>
        </w:rPr>
        <w:footnoteRef/>
      </w:r>
      <w:r w:rsidR="00135C10" w:rsidRPr="00823A57">
        <w:rPr>
          <w:rFonts w:asciiTheme="minorHAnsi" w:hAnsiTheme="minorHAnsi"/>
          <w:sz w:val="14"/>
          <w:szCs w:val="14"/>
        </w:rPr>
        <w:t xml:space="preserve"> </w:t>
      </w:r>
      <w:r w:rsidRPr="00823A57">
        <w:rPr>
          <w:rFonts w:asciiTheme="minorHAnsi" w:hAnsiTheme="minorHAnsi"/>
          <w:sz w:val="14"/>
          <w:szCs w:val="14"/>
        </w:rPr>
        <w:t xml:space="preserve">See </w:t>
      </w:r>
      <w:proofErr w:type="spellStart"/>
      <w:r w:rsidRPr="00823A57">
        <w:rPr>
          <w:rFonts w:asciiTheme="minorHAnsi" w:hAnsiTheme="minorHAnsi"/>
          <w:sz w:val="14"/>
          <w:szCs w:val="14"/>
        </w:rPr>
        <w:t>Jaspard</w:t>
      </w:r>
      <w:proofErr w:type="spellEnd"/>
      <w:r w:rsidRPr="00823A57">
        <w:rPr>
          <w:rFonts w:asciiTheme="minorHAnsi" w:hAnsiTheme="minorHAnsi"/>
          <w:sz w:val="14"/>
          <w:szCs w:val="14"/>
        </w:rPr>
        <w:t>, Catherine/ Voigt, Christof/ Peters, David, “</w:t>
      </w:r>
      <w:proofErr w:type="spellStart"/>
      <w:r w:rsidRPr="00823A57">
        <w:rPr>
          <w:rFonts w:asciiTheme="minorHAnsi" w:hAnsiTheme="minorHAnsi"/>
          <w:sz w:val="14"/>
          <w:szCs w:val="14"/>
        </w:rPr>
        <w:t>Erster</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Todestag</w:t>
      </w:r>
      <w:proofErr w:type="spellEnd"/>
      <w:r w:rsidRPr="00823A57">
        <w:rPr>
          <w:rFonts w:asciiTheme="minorHAnsi" w:hAnsiTheme="minorHAnsi"/>
          <w:sz w:val="14"/>
          <w:szCs w:val="14"/>
        </w:rPr>
        <w:t xml:space="preserve"> Mouhamed </w:t>
      </w:r>
      <w:proofErr w:type="spellStart"/>
      <w:r w:rsidRPr="00823A57">
        <w:rPr>
          <w:rFonts w:asciiTheme="minorHAnsi" w:hAnsiTheme="minorHAnsi"/>
          <w:sz w:val="14"/>
          <w:szCs w:val="14"/>
        </w:rPr>
        <w:t>Dramé</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Tödliche</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Polizei-Schüsse</w:t>
      </w:r>
      <w:proofErr w:type="spellEnd"/>
      <w:r w:rsidRPr="00823A57">
        <w:rPr>
          <w:rFonts w:asciiTheme="minorHAnsi" w:hAnsiTheme="minorHAnsi"/>
          <w:sz w:val="14"/>
          <w:szCs w:val="14"/>
        </w:rPr>
        <w:t xml:space="preserve"> in Dortmund“ [“First Anniversary of Mohamed </w:t>
      </w:r>
      <w:proofErr w:type="spellStart"/>
      <w:r w:rsidRPr="00823A57">
        <w:rPr>
          <w:rFonts w:asciiTheme="minorHAnsi" w:hAnsiTheme="minorHAnsi"/>
          <w:sz w:val="14"/>
          <w:szCs w:val="14"/>
        </w:rPr>
        <w:t>Dramé‘s</w:t>
      </w:r>
      <w:proofErr w:type="spellEnd"/>
      <w:r w:rsidRPr="00823A57">
        <w:rPr>
          <w:rFonts w:asciiTheme="minorHAnsi" w:hAnsiTheme="minorHAnsi"/>
          <w:sz w:val="14"/>
          <w:szCs w:val="14"/>
        </w:rPr>
        <w:t xml:space="preserve"> Death: Deadly Police Shooting in Dortmund”], August 2023, </w:t>
      </w:r>
      <w:hyperlink r:id="rId58" w:tooltip="https://www1.wdr.de/nachrichten/ruhrgebiet/jahrestag-toedlich-schuesse-mouhamed-dortmund-100.html" w:history="1">
        <w:r w:rsidRPr="00823A57">
          <w:rPr>
            <w:rStyle w:val="Hyperlink"/>
            <w:rFonts w:asciiTheme="minorHAnsi" w:eastAsia="Amnesty Trade Gothic" w:hAnsiTheme="minorHAnsi" w:cs="Amnesty Trade Gothic"/>
            <w:sz w:val="14"/>
            <w:szCs w:val="14"/>
          </w:rPr>
          <w:t>https://www1.wdr.de/nachrichten/ruhrgebiet/jahrestag-toedlich-schuesse-mouhamed-dortmund-100.html</w:t>
        </w:r>
      </w:hyperlink>
      <w:r w:rsidRPr="00823A57">
        <w:rPr>
          <w:rFonts w:asciiTheme="minorHAnsi" w:hAnsiTheme="minorHAnsi"/>
          <w:sz w:val="14"/>
          <w:szCs w:val="14"/>
        </w:rPr>
        <w:t xml:space="preserve"> (in German).</w:t>
      </w:r>
    </w:p>
  </w:footnote>
  <w:footnote w:id="73">
    <w:p w14:paraId="2A582019" w14:textId="77777777" w:rsidR="00070213" w:rsidRPr="00823A57" w:rsidRDefault="00070213" w:rsidP="00CD0A25">
      <w:pPr>
        <w:pStyle w:val="FootnoteText"/>
        <w:shd w:val="clear" w:color="auto" w:fill="FFFFFF"/>
        <w:spacing w:after="0"/>
        <w:rPr>
          <w:rFonts w:asciiTheme="minorHAnsi" w:eastAsia="Amnesty Trade Gothic" w:hAnsiTheme="minorHAnsi" w:cs="Amnesty Trade Gothic"/>
          <w:sz w:val="14"/>
          <w:szCs w:val="14"/>
        </w:rPr>
      </w:pPr>
      <w:r w:rsidRPr="00823A57">
        <w:rPr>
          <w:rStyle w:val="FootnoteReference"/>
          <w:rFonts w:asciiTheme="minorHAnsi" w:eastAsia="Amnesty Trade Gothic" w:hAnsiTheme="minorHAnsi" w:cs="Amnesty Trade Gothic"/>
          <w:sz w:val="14"/>
          <w:szCs w:val="14"/>
          <w:shd w:val="clear" w:color="auto" w:fill="FFFFFF" w:themeFill="background1"/>
        </w:rPr>
        <w:footnoteRef/>
      </w:r>
      <w:r w:rsidRPr="00823A57">
        <w:rPr>
          <w:rFonts w:asciiTheme="minorHAnsi" w:eastAsia="Amnesty Trade Gothic" w:hAnsiTheme="minorHAnsi" w:cs="Amnesty Trade Gothic"/>
          <w:color w:val="2B579A"/>
          <w:sz w:val="14"/>
          <w:szCs w:val="14"/>
          <w:shd w:val="clear" w:color="auto" w:fill="FFFFFF" w:themeFill="background1"/>
        </w:rPr>
        <w:t xml:space="preserve"> </w:t>
      </w:r>
      <w:r w:rsidRPr="00823A57">
        <w:rPr>
          <w:rFonts w:asciiTheme="minorHAnsi" w:eastAsia="Amnesty Trade Gothic" w:hAnsiTheme="minorHAnsi" w:cs="Amnesty Trade Gothic"/>
          <w:sz w:val="14"/>
          <w:szCs w:val="14"/>
          <w:shd w:val="clear" w:color="auto" w:fill="FFFFFF" w:themeFill="background1"/>
        </w:rPr>
        <w:t>See Amnesty International, Unknown assailant: Insufficient investigation into alleged ill-treatment by police in Germany (Index:</w:t>
      </w:r>
      <w:r w:rsidRPr="00823A57">
        <w:rPr>
          <w:rFonts w:asciiTheme="minorHAnsi" w:eastAsia="Amnesty Trade Gothic" w:hAnsiTheme="minorHAnsi" w:cs="Amnesty Trade Gothic"/>
          <w:sz w:val="14"/>
          <w:szCs w:val="14"/>
          <w:shd w:val="clear" w:color="auto" w:fill="FFFFFF" w:themeFill="background1"/>
          <w:lang w:val="en-US"/>
        </w:rPr>
        <w:t xml:space="preserve"> EUR 23/002/2010)</w:t>
      </w:r>
      <w:r w:rsidRPr="00823A57">
        <w:rPr>
          <w:rFonts w:asciiTheme="minorHAnsi" w:eastAsia="Amnesty Trade Gothic" w:hAnsiTheme="minorHAnsi" w:cs="Amnesty Trade Gothic"/>
          <w:sz w:val="14"/>
          <w:szCs w:val="14"/>
          <w:shd w:val="clear" w:color="auto" w:fill="FFFFFF" w:themeFill="background1"/>
        </w:rPr>
        <w:t>, July 2010,</w:t>
      </w:r>
      <w:r w:rsidRPr="00823A57">
        <w:rPr>
          <w:rFonts w:asciiTheme="minorHAnsi" w:eastAsia="Amnesty Trade Gothic" w:hAnsiTheme="minorHAnsi" w:cs="Amnesty Trade Gothic"/>
          <w:sz w:val="14"/>
          <w:szCs w:val="14"/>
        </w:rPr>
        <w:t xml:space="preserve"> </w:t>
      </w:r>
      <w:hyperlink r:id="rId59" w:history="1">
        <w:r w:rsidRPr="00823A57">
          <w:rPr>
            <w:rStyle w:val="Hyperlink"/>
            <w:rFonts w:asciiTheme="minorHAnsi" w:eastAsia="Amnesty Trade Gothic" w:hAnsiTheme="minorHAnsi" w:cs="Amnesty Trade Gothic"/>
            <w:sz w:val="14"/>
            <w:szCs w:val="14"/>
          </w:rPr>
          <w:t>https://www.amnesty.org/en/documents/eur23/002/2010/en/</w:t>
        </w:r>
      </w:hyperlink>
      <w:r w:rsidRPr="00823A57">
        <w:rPr>
          <w:rFonts w:asciiTheme="minorHAnsi" w:eastAsia="Amnesty Trade Gothic" w:hAnsiTheme="minorHAnsi" w:cs="Amnesty Trade Gothic"/>
          <w:sz w:val="14"/>
          <w:szCs w:val="14"/>
        </w:rPr>
        <w:t>, p. 11-12.</w:t>
      </w:r>
    </w:p>
  </w:footnote>
  <w:footnote w:id="74">
    <w:p w14:paraId="11D418A1" w14:textId="360A1B15" w:rsidR="00070213" w:rsidRPr="00823A57" w:rsidRDefault="00070213" w:rsidP="00CD0A25">
      <w:pPr>
        <w:pStyle w:val="FootnoteText"/>
        <w:shd w:val="clear" w:color="auto" w:fill="FFFFFF" w:themeFill="background1"/>
        <w:spacing w:after="0"/>
        <w:rPr>
          <w:rFonts w:asciiTheme="minorHAnsi" w:hAnsiTheme="minorHAnsi"/>
          <w:sz w:val="14"/>
          <w:szCs w:val="14"/>
          <w:lang w:val="en-US"/>
        </w:rPr>
      </w:pPr>
      <w:r w:rsidRPr="00823A57">
        <w:rPr>
          <w:rStyle w:val="FootnoteReference"/>
          <w:rFonts w:asciiTheme="minorHAnsi" w:eastAsia="Amnesty Trade Gothic" w:hAnsiTheme="minorHAnsi" w:cs="Amnesty Trade Gothic"/>
          <w:sz w:val="14"/>
          <w:szCs w:val="14"/>
          <w:shd w:val="clear" w:color="auto" w:fill="FFFFFF" w:themeFill="background1"/>
        </w:rPr>
        <w:footnoteRef/>
      </w:r>
      <w:r w:rsidRPr="00823A57">
        <w:rPr>
          <w:rFonts w:asciiTheme="minorHAnsi" w:hAnsiTheme="minorHAnsi"/>
          <w:color w:val="2B579A"/>
          <w:sz w:val="14"/>
          <w:szCs w:val="14"/>
          <w:shd w:val="clear" w:color="auto" w:fill="FFFFFF" w:themeFill="background1"/>
        </w:rPr>
        <w:t xml:space="preserve"> </w:t>
      </w:r>
      <w:r w:rsidRPr="00823A57">
        <w:rPr>
          <w:rFonts w:asciiTheme="minorHAnsi" w:hAnsiTheme="minorHAnsi"/>
          <w:sz w:val="14"/>
          <w:szCs w:val="14"/>
          <w:shd w:val="clear" w:color="auto" w:fill="FFFFFF" w:themeFill="background1"/>
          <w:lang w:val="en-US"/>
        </w:rPr>
        <w:t>UN Human Rights Council, Working Group of Experts on People of African Descent, Report: Germany, 15 August 2017, UN. A/HRC/36/</w:t>
      </w:r>
      <w:r w:rsidRPr="00823A57">
        <w:rPr>
          <w:rFonts w:asciiTheme="minorHAnsi" w:hAnsiTheme="minorHAnsi"/>
          <w:sz w:val="14"/>
          <w:szCs w:val="14"/>
          <w:lang w:val="en-US"/>
        </w:rPr>
        <w:t>60/Add.2, para</w:t>
      </w:r>
      <w:r w:rsidR="0034709B" w:rsidRPr="00823A57">
        <w:rPr>
          <w:rFonts w:asciiTheme="minorHAnsi" w:hAnsiTheme="minorHAnsi"/>
          <w:sz w:val="14"/>
          <w:szCs w:val="14"/>
          <w:lang w:val="en-US"/>
        </w:rPr>
        <w:t>.</w:t>
      </w:r>
      <w:r w:rsidRPr="00823A57">
        <w:rPr>
          <w:rFonts w:asciiTheme="minorHAnsi" w:hAnsiTheme="minorHAnsi"/>
          <w:sz w:val="14"/>
          <w:szCs w:val="14"/>
          <w:lang w:val="en-US"/>
        </w:rPr>
        <w:t xml:space="preserve"> 28.</w:t>
      </w:r>
    </w:p>
  </w:footnote>
  <w:footnote w:id="75">
    <w:p w14:paraId="7ED91FBA" w14:textId="57416E1D" w:rsidR="00070213" w:rsidRPr="00823A57" w:rsidRDefault="00070213" w:rsidP="00CD0A25">
      <w:pPr>
        <w:pStyle w:val="FootnoteText"/>
        <w:shd w:val="clear" w:color="auto" w:fill="FFFFFF" w:themeFill="background1"/>
        <w:spacing w:after="0"/>
        <w:rPr>
          <w:rFonts w:asciiTheme="minorHAnsi" w:hAnsiTheme="minorHAnsi"/>
          <w:sz w:val="14"/>
          <w:szCs w:val="14"/>
          <w:lang w:val="en-US"/>
        </w:rPr>
      </w:pPr>
      <w:r w:rsidRPr="00823A57">
        <w:rPr>
          <w:rStyle w:val="FootnoteReference"/>
          <w:rFonts w:asciiTheme="minorHAnsi" w:hAnsiTheme="minorHAnsi"/>
          <w:sz w:val="14"/>
          <w:szCs w:val="14"/>
        </w:rPr>
        <w:footnoteRef/>
      </w:r>
      <w:r w:rsidRPr="00823A57">
        <w:rPr>
          <w:rFonts w:asciiTheme="minorHAnsi" w:hAnsiTheme="minorHAnsi"/>
          <w:sz w:val="14"/>
          <w:szCs w:val="14"/>
        </w:rPr>
        <w:t xml:space="preserve"> </w:t>
      </w:r>
      <w:r w:rsidRPr="00823A57">
        <w:rPr>
          <w:rFonts w:asciiTheme="minorHAnsi" w:hAnsiTheme="minorHAnsi"/>
          <w:sz w:val="14"/>
          <w:szCs w:val="14"/>
          <w:lang w:val="en-US"/>
        </w:rPr>
        <w:t xml:space="preserve">Ibid. </w:t>
      </w:r>
    </w:p>
  </w:footnote>
  <w:footnote w:id="76">
    <w:p w14:paraId="6F03334B" w14:textId="77777777" w:rsidR="00070213" w:rsidRPr="00823A57" w:rsidRDefault="00070213" w:rsidP="00CD0A25">
      <w:pPr>
        <w:pStyle w:val="FootnoteText"/>
        <w:shd w:val="clear" w:color="auto" w:fill="FFFFFF" w:themeFill="background1"/>
        <w:spacing w:after="0"/>
        <w:rPr>
          <w:rFonts w:asciiTheme="minorHAnsi" w:eastAsia="Amnesty Trade Gothic" w:hAnsiTheme="minorHAnsi" w:cs="Amnesty Trade Gothic"/>
          <w:sz w:val="14"/>
          <w:szCs w:val="14"/>
        </w:rPr>
      </w:pPr>
      <w:r w:rsidRPr="00823A57">
        <w:rPr>
          <w:rStyle w:val="FootnoteReference"/>
          <w:rFonts w:asciiTheme="minorHAnsi" w:eastAsia="Amnesty Trade Gothic" w:hAnsiTheme="minorHAnsi" w:cs="Amnesty Trade Gothic"/>
          <w:sz w:val="14"/>
          <w:szCs w:val="14"/>
          <w:shd w:val="clear" w:color="auto" w:fill="FFFFFF" w:themeFill="background1"/>
        </w:rPr>
        <w:footnoteRef/>
      </w:r>
      <w:r w:rsidRPr="00823A57">
        <w:rPr>
          <w:rFonts w:asciiTheme="minorHAnsi" w:eastAsia="Amnesty Trade Gothic" w:hAnsiTheme="minorHAnsi" w:cs="Amnesty Trade Gothic"/>
          <w:color w:val="2B579A"/>
          <w:sz w:val="14"/>
          <w:szCs w:val="14"/>
          <w:shd w:val="clear" w:color="auto" w:fill="FFFFFF" w:themeFill="background1"/>
          <w:lang w:val="en-US"/>
        </w:rPr>
        <w:t xml:space="preserve"> </w:t>
      </w:r>
      <w:r w:rsidRPr="00823A57">
        <w:rPr>
          <w:rFonts w:asciiTheme="minorHAnsi" w:eastAsia="Amnesty Trade Gothic" w:hAnsiTheme="minorHAnsi" w:cs="Amnesty Trade Gothic"/>
          <w:sz w:val="14"/>
          <w:szCs w:val="14"/>
          <w:shd w:val="clear" w:color="auto" w:fill="FFFFFF" w:themeFill="background1"/>
        </w:rPr>
        <w:t>In</w:t>
      </w:r>
      <w:r w:rsidRPr="00823A57">
        <w:rPr>
          <w:rFonts w:asciiTheme="minorHAnsi" w:eastAsia="Amnesty Trade Gothic" w:hAnsiTheme="minorHAnsi" w:cs="Amnesty Trade Gothic"/>
          <w:sz w:val="14"/>
          <w:szCs w:val="14"/>
        </w:rPr>
        <w:t xml:space="preserve">itiative </w:t>
      </w:r>
      <w:proofErr w:type="spellStart"/>
      <w:r w:rsidRPr="00823A57">
        <w:rPr>
          <w:rFonts w:asciiTheme="minorHAnsi" w:eastAsia="Amnesty Trade Gothic" w:hAnsiTheme="minorHAnsi" w:cs="Amnesty Trade Gothic"/>
          <w:sz w:val="14"/>
          <w:szCs w:val="14"/>
        </w:rPr>
        <w:t>Oury</w:t>
      </w:r>
      <w:proofErr w:type="spellEnd"/>
      <w:r w:rsidRPr="00823A57">
        <w:rPr>
          <w:rFonts w:asciiTheme="minorHAnsi" w:eastAsia="Amnesty Trade Gothic" w:hAnsiTheme="minorHAnsi" w:cs="Amnesty Trade Gothic"/>
          <w:sz w:val="14"/>
          <w:szCs w:val="14"/>
        </w:rPr>
        <w:t xml:space="preserve"> Jalloh, “Die </w:t>
      </w:r>
      <w:proofErr w:type="spellStart"/>
      <w:r w:rsidRPr="00823A57">
        <w:rPr>
          <w:rFonts w:asciiTheme="minorHAnsi" w:eastAsia="Amnesty Trade Gothic" w:hAnsiTheme="minorHAnsi" w:cs="Amnesty Trade Gothic"/>
          <w:sz w:val="14"/>
          <w:szCs w:val="14"/>
        </w:rPr>
        <w:t>Familie</w:t>
      </w:r>
      <w:proofErr w:type="spellEnd"/>
      <w:r w:rsidRPr="00823A57">
        <w:rPr>
          <w:rFonts w:asciiTheme="minorHAnsi" w:eastAsia="Amnesty Trade Gothic" w:hAnsiTheme="minorHAnsi" w:cs="Amnesty Trade Gothic"/>
          <w:sz w:val="14"/>
          <w:szCs w:val="14"/>
        </w:rPr>
        <w:t xml:space="preserve"> </w:t>
      </w:r>
      <w:proofErr w:type="spellStart"/>
      <w:r w:rsidRPr="00823A57">
        <w:rPr>
          <w:rFonts w:asciiTheme="minorHAnsi" w:eastAsia="Amnesty Trade Gothic" w:hAnsiTheme="minorHAnsi" w:cs="Amnesty Trade Gothic"/>
          <w:sz w:val="14"/>
          <w:szCs w:val="14"/>
        </w:rPr>
        <w:t>Oury</w:t>
      </w:r>
      <w:proofErr w:type="spellEnd"/>
      <w:r w:rsidRPr="00823A57">
        <w:rPr>
          <w:rFonts w:asciiTheme="minorHAnsi" w:eastAsia="Amnesty Trade Gothic" w:hAnsiTheme="minorHAnsi" w:cs="Amnesty Trade Gothic"/>
          <w:sz w:val="14"/>
          <w:szCs w:val="14"/>
        </w:rPr>
        <w:t xml:space="preserve"> </w:t>
      </w:r>
      <w:proofErr w:type="spellStart"/>
      <w:r w:rsidRPr="00823A57">
        <w:rPr>
          <w:rFonts w:asciiTheme="minorHAnsi" w:eastAsia="Amnesty Trade Gothic" w:hAnsiTheme="minorHAnsi" w:cs="Amnesty Trade Gothic"/>
          <w:sz w:val="14"/>
          <w:szCs w:val="14"/>
        </w:rPr>
        <w:t>Jallohs</w:t>
      </w:r>
      <w:proofErr w:type="spellEnd"/>
      <w:r w:rsidRPr="00823A57">
        <w:rPr>
          <w:rFonts w:asciiTheme="minorHAnsi" w:eastAsia="Amnesty Trade Gothic" w:hAnsiTheme="minorHAnsi" w:cs="Amnesty Trade Gothic"/>
          <w:sz w:val="14"/>
          <w:szCs w:val="14"/>
        </w:rPr>
        <w:t xml:space="preserve"> </w:t>
      </w:r>
      <w:proofErr w:type="spellStart"/>
      <w:r w:rsidRPr="00823A57">
        <w:rPr>
          <w:rFonts w:asciiTheme="minorHAnsi" w:eastAsia="Amnesty Trade Gothic" w:hAnsiTheme="minorHAnsi" w:cs="Amnesty Trade Gothic"/>
          <w:sz w:val="14"/>
          <w:szCs w:val="14"/>
        </w:rPr>
        <w:t>reicht</w:t>
      </w:r>
      <w:proofErr w:type="spellEnd"/>
      <w:r w:rsidRPr="00823A57">
        <w:rPr>
          <w:rFonts w:asciiTheme="minorHAnsi" w:eastAsia="Amnesty Trade Gothic" w:hAnsiTheme="minorHAnsi" w:cs="Amnesty Trade Gothic"/>
          <w:sz w:val="14"/>
          <w:szCs w:val="14"/>
        </w:rPr>
        <w:t xml:space="preserve"> </w:t>
      </w:r>
      <w:proofErr w:type="spellStart"/>
      <w:r w:rsidRPr="00823A57">
        <w:rPr>
          <w:rFonts w:asciiTheme="minorHAnsi" w:eastAsia="Amnesty Trade Gothic" w:hAnsiTheme="minorHAnsi" w:cs="Amnesty Trade Gothic"/>
          <w:sz w:val="14"/>
          <w:szCs w:val="14"/>
        </w:rPr>
        <w:t>Beschwerde</w:t>
      </w:r>
      <w:proofErr w:type="spellEnd"/>
      <w:r w:rsidRPr="00823A57">
        <w:rPr>
          <w:rFonts w:asciiTheme="minorHAnsi" w:eastAsia="Amnesty Trade Gothic" w:hAnsiTheme="minorHAnsi" w:cs="Amnesty Trade Gothic"/>
          <w:sz w:val="14"/>
          <w:szCs w:val="14"/>
        </w:rPr>
        <w:t xml:space="preserve"> </w:t>
      </w:r>
      <w:proofErr w:type="spellStart"/>
      <w:r w:rsidRPr="00823A57">
        <w:rPr>
          <w:rFonts w:asciiTheme="minorHAnsi" w:eastAsia="Amnesty Trade Gothic" w:hAnsiTheme="minorHAnsi" w:cs="Amnesty Trade Gothic"/>
          <w:sz w:val="14"/>
          <w:szCs w:val="14"/>
        </w:rPr>
        <w:t>beim</w:t>
      </w:r>
      <w:proofErr w:type="spellEnd"/>
      <w:r w:rsidRPr="00823A57">
        <w:rPr>
          <w:rFonts w:asciiTheme="minorHAnsi" w:eastAsia="Amnesty Trade Gothic" w:hAnsiTheme="minorHAnsi" w:cs="Amnesty Trade Gothic"/>
          <w:sz w:val="14"/>
          <w:szCs w:val="14"/>
        </w:rPr>
        <w:t xml:space="preserve"> </w:t>
      </w:r>
      <w:proofErr w:type="spellStart"/>
      <w:r w:rsidRPr="00823A57">
        <w:rPr>
          <w:rFonts w:asciiTheme="minorHAnsi" w:eastAsia="Amnesty Trade Gothic" w:hAnsiTheme="minorHAnsi" w:cs="Amnesty Trade Gothic"/>
          <w:sz w:val="14"/>
          <w:szCs w:val="14"/>
        </w:rPr>
        <w:t>Europäischen</w:t>
      </w:r>
      <w:proofErr w:type="spellEnd"/>
      <w:r w:rsidRPr="00823A57">
        <w:rPr>
          <w:rFonts w:asciiTheme="minorHAnsi" w:eastAsia="Amnesty Trade Gothic" w:hAnsiTheme="minorHAnsi" w:cs="Amnesty Trade Gothic"/>
          <w:sz w:val="14"/>
          <w:szCs w:val="14"/>
        </w:rPr>
        <w:t xml:space="preserve"> </w:t>
      </w:r>
      <w:proofErr w:type="spellStart"/>
      <w:r w:rsidRPr="00823A57">
        <w:rPr>
          <w:rFonts w:asciiTheme="minorHAnsi" w:eastAsia="Amnesty Trade Gothic" w:hAnsiTheme="minorHAnsi" w:cs="Amnesty Trade Gothic"/>
          <w:sz w:val="14"/>
          <w:szCs w:val="14"/>
        </w:rPr>
        <w:t>Gerichtshof</w:t>
      </w:r>
      <w:proofErr w:type="spellEnd"/>
      <w:r w:rsidRPr="00823A57">
        <w:rPr>
          <w:rFonts w:asciiTheme="minorHAnsi" w:eastAsia="Amnesty Trade Gothic" w:hAnsiTheme="minorHAnsi" w:cs="Amnesty Trade Gothic"/>
          <w:sz w:val="14"/>
          <w:szCs w:val="14"/>
        </w:rPr>
        <w:t xml:space="preserve"> für </w:t>
      </w:r>
      <w:proofErr w:type="spellStart"/>
      <w:r w:rsidRPr="00823A57">
        <w:rPr>
          <w:rFonts w:asciiTheme="minorHAnsi" w:eastAsia="Amnesty Trade Gothic" w:hAnsiTheme="minorHAnsi" w:cs="Amnesty Trade Gothic"/>
          <w:sz w:val="14"/>
          <w:szCs w:val="14"/>
        </w:rPr>
        <w:t>Menschenrechte</w:t>
      </w:r>
      <w:proofErr w:type="spellEnd"/>
      <w:r w:rsidRPr="00823A57">
        <w:rPr>
          <w:rFonts w:asciiTheme="minorHAnsi" w:eastAsia="Amnesty Trade Gothic" w:hAnsiTheme="minorHAnsi" w:cs="Amnesty Trade Gothic"/>
          <w:sz w:val="14"/>
          <w:szCs w:val="14"/>
        </w:rPr>
        <w:t xml:space="preserve"> in </w:t>
      </w:r>
      <w:proofErr w:type="spellStart"/>
      <w:r w:rsidRPr="00823A57">
        <w:rPr>
          <w:rFonts w:asciiTheme="minorHAnsi" w:eastAsia="Amnesty Trade Gothic" w:hAnsiTheme="minorHAnsi" w:cs="Amnesty Trade Gothic"/>
          <w:sz w:val="14"/>
          <w:szCs w:val="14"/>
        </w:rPr>
        <w:t>Straßburg</w:t>
      </w:r>
      <w:proofErr w:type="spellEnd"/>
      <w:r w:rsidRPr="00823A57">
        <w:rPr>
          <w:rFonts w:asciiTheme="minorHAnsi" w:eastAsia="Amnesty Trade Gothic" w:hAnsiTheme="minorHAnsi" w:cs="Amnesty Trade Gothic"/>
          <w:sz w:val="14"/>
          <w:szCs w:val="14"/>
        </w:rPr>
        <w:t xml:space="preserve"> </w:t>
      </w:r>
      <w:proofErr w:type="spellStart"/>
      <w:r w:rsidRPr="00823A57">
        <w:rPr>
          <w:rFonts w:asciiTheme="minorHAnsi" w:eastAsia="Amnesty Trade Gothic" w:hAnsiTheme="minorHAnsi" w:cs="Amnesty Trade Gothic"/>
          <w:sz w:val="14"/>
          <w:szCs w:val="14"/>
        </w:rPr>
        <w:t>ein</w:t>
      </w:r>
      <w:proofErr w:type="spellEnd"/>
      <w:r w:rsidRPr="00823A57">
        <w:rPr>
          <w:rFonts w:asciiTheme="minorHAnsi" w:eastAsia="Amnesty Trade Gothic" w:hAnsiTheme="minorHAnsi" w:cs="Amnesty Trade Gothic"/>
          <w:sz w:val="14"/>
          <w:szCs w:val="14"/>
        </w:rPr>
        <w:t xml:space="preserve">” [“The family of </w:t>
      </w:r>
      <w:proofErr w:type="spellStart"/>
      <w:r w:rsidRPr="00823A57">
        <w:rPr>
          <w:rFonts w:asciiTheme="minorHAnsi" w:eastAsia="Amnesty Trade Gothic" w:hAnsiTheme="minorHAnsi" w:cs="Amnesty Trade Gothic"/>
          <w:sz w:val="14"/>
          <w:szCs w:val="14"/>
        </w:rPr>
        <w:t>Oury</w:t>
      </w:r>
      <w:proofErr w:type="spellEnd"/>
      <w:r w:rsidRPr="00823A57">
        <w:rPr>
          <w:rFonts w:asciiTheme="minorHAnsi" w:eastAsia="Amnesty Trade Gothic" w:hAnsiTheme="minorHAnsi" w:cs="Amnesty Trade Gothic"/>
          <w:sz w:val="14"/>
          <w:szCs w:val="14"/>
        </w:rPr>
        <w:t xml:space="preserve"> Jalloh submits a complaint to the European Court of Human Rights in Strasbourg”], July 2023, </w:t>
      </w:r>
      <w:hyperlink r:id="rId60" w:history="1">
        <w:r w:rsidRPr="00823A57">
          <w:rPr>
            <w:rStyle w:val="Hyperlink"/>
            <w:rFonts w:asciiTheme="minorHAnsi" w:eastAsia="Amnesty Trade Gothic" w:hAnsiTheme="minorHAnsi" w:cs="Amnesty Trade Gothic"/>
            <w:sz w:val="14"/>
            <w:szCs w:val="14"/>
          </w:rPr>
          <w:t>https://initiativeouryjalloh.wordpress.com/2023/07/05/klage-vor-dem-europaischen-gerichtshof/</w:t>
        </w:r>
      </w:hyperlink>
      <w:r w:rsidRPr="00823A57">
        <w:rPr>
          <w:rFonts w:asciiTheme="minorHAnsi" w:eastAsia="Amnesty Trade Gothic" w:hAnsiTheme="minorHAnsi" w:cs="Amnesty Trade Gothic"/>
          <w:sz w:val="14"/>
          <w:szCs w:val="14"/>
        </w:rPr>
        <w:t xml:space="preserve"> (in German).</w:t>
      </w:r>
    </w:p>
  </w:footnote>
  <w:footnote w:id="77">
    <w:p w14:paraId="68D3B0D1" w14:textId="77777777" w:rsidR="00070213" w:rsidRPr="00823A57" w:rsidRDefault="00070213" w:rsidP="00CD0A25">
      <w:pPr>
        <w:pStyle w:val="FootnoteText"/>
        <w:spacing w:after="0"/>
        <w:rPr>
          <w:rFonts w:asciiTheme="minorHAnsi" w:hAnsiTheme="minorHAnsi"/>
          <w:sz w:val="14"/>
          <w:szCs w:val="14"/>
        </w:rPr>
      </w:pPr>
      <w:r w:rsidRPr="00823A57">
        <w:rPr>
          <w:rFonts w:asciiTheme="minorHAnsi" w:hAnsiTheme="minorHAnsi"/>
          <w:sz w:val="14"/>
          <w:szCs w:val="14"/>
          <w:vertAlign w:val="superscript"/>
        </w:rPr>
        <w:footnoteRef/>
      </w:r>
      <w:r w:rsidRPr="00823A57">
        <w:rPr>
          <w:rFonts w:asciiTheme="minorHAnsi" w:hAnsiTheme="minorHAnsi"/>
          <w:sz w:val="14"/>
          <w:szCs w:val="14"/>
        </w:rPr>
        <w:t xml:space="preserve"> United Nations High Commissioner for Human Rights, Report: Promotion and protection of the human rights and fundamental freedoms of Africans and of people of African descent against excessive use of force and other human rights violations by law enforcement officers, 1 June 2021, UN Doc. A/HRC/47/53, para. 31.</w:t>
      </w:r>
    </w:p>
  </w:footnote>
  <w:footnote w:id="78">
    <w:p w14:paraId="1C332369" w14:textId="5707C207" w:rsidR="00070213" w:rsidRPr="00823A57" w:rsidRDefault="00070213" w:rsidP="00CD0A25">
      <w:pPr>
        <w:pStyle w:val="FootnoteText"/>
        <w:shd w:val="clear" w:color="auto" w:fill="FFFFFF" w:themeFill="background1"/>
        <w:spacing w:after="0"/>
        <w:rPr>
          <w:rFonts w:asciiTheme="minorHAnsi" w:hAnsiTheme="minorHAnsi"/>
          <w:sz w:val="14"/>
          <w:szCs w:val="14"/>
        </w:rPr>
      </w:pPr>
      <w:r w:rsidRPr="00823A57">
        <w:rPr>
          <w:rStyle w:val="FootnoteReference"/>
          <w:rFonts w:asciiTheme="minorHAnsi" w:eastAsia="Amnesty Trade Gothic" w:hAnsiTheme="minorHAnsi" w:cs="Amnesty Trade Gothic"/>
          <w:sz w:val="14"/>
          <w:szCs w:val="14"/>
        </w:rPr>
        <w:footnoteRef/>
      </w:r>
      <w:r w:rsidRPr="00823A57">
        <w:rPr>
          <w:rFonts w:asciiTheme="minorHAnsi" w:hAnsiTheme="minorHAnsi"/>
          <w:sz w:val="14"/>
          <w:szCs w:val="14"/>
          <w:shd w:val="clear" w:color="auto" w:fill="FFFFFF" w:themeFill="background1"/>
        </w:rPr>
        <w:t xml:space="preserve"> Ibid</w:t>
      </w:r>
      <w:r w:rsidR="0034709B" w:rsidRPr="00823A57">
        <w:rPr>
          <w:rFonts w:asciiTheme="minorHAnsi" w:hAnsiTheme="minorHAnsi"/>
          <w:sz w:val="14"/>
          <w:szCs w:val="14"/>
          <w:shd w:val="clear" w:color="auto" w:fill="FFFFFF" w:themeFill="background1"/>
        </w:rPr>
        <w:t>.</w:t>
      </w:r>
      <w:r w:rsidRPr="00823A57">
        <w:rPr>
          <w:rFonts w:asciiTheme="minorHAnsi" w:hAnsiTheme="minorHAnsi"/>
          <w:sz w:val="14"/>
          <w:szCs w:val="14"/>
          <w:shd w:val="clear" w:color="auto" w:fill="FFFFFF" w:themeFill="background1"/>
        </w:rPr>
        <w:t>, para. 37.</w:t>
      </w:r>
    </w:p>
  </w:footnote>
  <w:footnote w:id="79">
    <w:p w14:paraId="70E232AE" w14:textId="77777777" w:rsidR="00070213" w:rsidRPr="00823A57" w:rsidRDefault="00070213" w:rsidP="00CD0A25">
      <w:pPr>
        <w:pStyle w:val="FootnoteText"/>
        <w:shd w:val="clear" w:color="auto" w:fill="FFFFFF" w:themeFill="background1"/>
        <w:spacing w:after="0"/>
        <w:rPr>
          <w:rFonts w:asciiTheme="minorHAnsi" w:hAnsiTheme="minorHAnsi"/>
          <w:sz w:val="14"/>
          <w:szCs w:val="14"/>
        </w:rPr>
      </w:pPr>
      <w:r w:rsidRPr="00823A57">
        <w:rPr>
          <w:rStyle w:val="FootnoteReference"/>
          <w:rFonts w:asciiTheme="minorHAnsi" w:eastAsia="Amnesty Trade Gothic" w:hAnsiTheme="minorHAnsi" w:cs="Amnesty Trade Gothic"/>
          <w:sz w:val="14"/>
          <w:szCs w:val="14"/>
        </w:rPr>
        <w:footnoteRef/>
      </w:r>
      <w:r w:rsidRPr="00823A57">
        <w:rPr>
          <w:rFonts w:asciiTheme="minorHAnsi" w:hAnsiTheme="minorHAnsi"/>
          <w:sz w:val="14"/>
          <w:szCs w:val="14"/>
          <w:shd w:val="clear" w:color="auto" w:fill="FFFFFF" w:themeFill="background1"/>
        </w:rPr>
        <w:t xml:space="preserve"> Ibid., para. 42.</w:t>
      </w:r>
    </w:p>
  </w:footnote>
  <w:footnote w:id="80">
    <w:p w14:paraId="30BF3E9D"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hAnsiTheme="minorHAnsi"/>
          <w:sz w:val="14"/>
          <w:szCs w:val="14"/>
        </w:rPr>
        <w:footnoteRef/>
      </w:r>
      <w:r w:rsidRPr="00823A57">
        <w:rPr>
          <w:rFonts w:asciiTheme="minorHAnsi" w:hAnsiTheme="minorHAnsi"/>
          <w:sz w:val="14"/>
          <w:szCs w:val="14"/>
        </w:rPr>
        <w:t xml:space="preserve"> Amnesty International, Germany: Discrimination on the rise Submission to the 44th session of the UPR Working Group, 9 November 2023, (Index: </w:t>
      </w:r>
      <w:r w:rsidRPr="00823A57">
        <w:rPr>
          <w:rStyle w:val="indexnumber"/>
          <w:rFonts w:asciiTheme="minorHAnsi" w:hAnsiTheme="minorHAnsi"/>
          <w:sz w:val="14"/>
          <w:szCs w:val="14"/>
          <w:lang w:val="en-US"/>
        </w:rPr>
        <w:t>EUR 23/6481/2023)</w:t>
      </w:r>
      <w:r w:rsidRPr="00823A57">
        <w:rPr>
          <w:rFonts w:asciiTheme="minorHAnsi" w:hAnsiTheme="minorHAnsi"/>
          <w:sz w:val="14"/>
          <w:szCs w:val="14"/>
          <w:lang w:val="en-US"/>
        </w:rPr>
        <w:t xml:space="preserve">, 31 March 2023, </w:t>
      </w:r>
      <w:hyperlink w:history="1">
        <w:r w:rsidRPr="00823A57">
          <w:rPr>
            <w:rStyle w:val="Hyperlink"/>
            <w:rFonts w:asciiTheme="minorHAnsi" w:eastAsia="Amnesty Trade Gothic" w:hAnsiTheme="minorHAnsi" w:cs="Amnesty Trade Gothic"/>
            <w:sz w:val="14"/>
            <w:szCs w:val="14"/>
          </w:rPr>
          <w:t>https://www.amnesty.org/en/documents/eur23/6481/2023/en/</w:t>
        </w:r>
      </w:hyperlink>
      <w:r w:rsidRPr="00823A57">
        <w:rPr>
          <w:rFonts w:asciiTheme="minorHAnsi" w:hAnsiTheme="minorHAnsi"/>
          <w:sz w:val="14"/>
          <w:szCs w:val="14"/>
        </w:rPr>
        <w:t>, para. 1.</w:t>
      </w:r>
    </w:p>
  </w:footnote>
  <w:footnote w:id="81">
    <w:p w14:paraId="33D1DB30"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hAnsiTheme="minorHAnsi"/>
          <w:sz w:val="14"/>
          <w:szCs w:val="14"/>
        </w:rPr>
        <w:footnoteRef/>
      </w:r>
      <w:r w:rsidRPr="00823A57">
        <w:rPr>
          <w:rFonts w:asciiTheme="minorHAnsi" w:hAnsiTheme="minorHAnsi"/>
          <w:sz w:val="14"/>
          <w:szCs w:val="14"/>
        </w:rPr>
        <w:t xml:space="preserve"> </w:t>
      </w:r>
      <w:r w:rsidRPr="00823A57">
        <w:rPr>
          <w:rFonts w:asciiTheme="minorHAnsi" w:eastAsia="Amnesty Trade Gothic" w:hAnsiTheme="minorHAnsi" w:cs="Amnesty Trade Gothic"/>
          <w:sz w:val="14"/>
          <w:szCs w:val="14"/>
        </w:rPr>
        <w:t xml:space="preserve">Amnesty International, </w:t>
      </w:r>
      <w:r w:rsidRPr="00823A57">
        <w:rPr>
          <w:rFonts w:asciiTheme="minorHAnsi" w:eastAsia="Amnesty Trade Gothic" w:hAnsiTheme="minorHAnsi" w:cs="Amnesty Trade Gothic"/>
          <w:color w:val="000000"/>
          <w:sz w:val="14"/>
          <w:szCs w:val="14"/>
        </w:rPr>
        <w:t xml:space="preserve">Living in insecurity: Germany is failing victims of racist violence (Index: EUR 23/4112/2016), 9 June 2016, </w:t>
      </w:r>
      <w:hyperlink r:id="rId61" w:history="1">
        <w:r w:rsidRPr="00823A57">
          <w:rPr>
            <w:rStyle w:val="Hyperlink"/>
            <w:rFonts w:asciiTheme="minorHAnsi" w:eastAsia="Amnesty Trade Gothic" w:hAnsiTheme="minorHAnsi" w:cs="Amnesty Trade Gothic"/>
            <w:sz w:val="14"/>
            <w:szCs w:val="14"/>
          </w:rPr>
          <w:t>https://www.amnesty.org/en/documents/EUR23/4112/2016/en/</w:t>
        </w:r>
      </w:hyperlink>
      <w:r w:rsidRPr="00823A57">
        <w:rPr>
          <w:rStyle w:val="Hyperlink"/>
          <w:rFonts w:asciiTheme="minorHAnsi" w:eastAsia="Amnesty Trade Gothic" w:hAnsiTheme="minorHAnsi" w:cs="Amnesty Trade Gothic"/>
          <w:sz w:val="14"/>
          <w:szCs w:val="14"/>
        </w:rPr>
        <w:t xml:space="preserve">, </w:t>
      </w:r>
      <w:r w:rsidRPr="00823A57">
        <w:rPr>
          <w:rFonts w:asciiTheme="minorHAnsi" w:eastAsia="Amnesty Trade Gothic" w:hAnsiTheme="minorHAnsi" w:cs="Amnesty Trade Gothic"/>
          <w:sz w:val="14"/>
          <w:szCs w:val="14"/>
        </w:rPr>
        <w:t>p. 55 ff.</w:t>
      </w:r>
    </w:p>
  </w:footnote>
  <w:footnote w:id="82">
    <w:p w14:paraId="14D2853A"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This should be in line with the general recommendation No. 11 by the European Commission against Racism and Intolerance (ECRI) which says that a racist incident shall be: “any incident which is perceived to be racist by the victim or any other person”. See next chapter „Lack of comprehensive recording of criminal </w:t>
      </w:r>
      <w:proofErr w:type="spellStart"/>
      <w:r w:rsidRPr="00823A57">
        <w:rPr>
          <w:rFonts w:asciiTheme="minorHAnsi" w:hAnsiTheme="minorHAnsi"/>
          <w:sz w:val="14"/>
          <w:szCs w:val="14"/>
        </w:rPr>
        <w:t>offenses</w:t>
      </w:r>
      <w:proofErr w:type="spellEnd"/>
      <w:r w:rsidRPr="00823A57">
        <w:rPr>
          <w:rFonts w:asciiTheme="minorHAnsi" w:hAnsiTheme="minorHAnsi"/>
          <w:sz w:val="14"/>
          <w:szCs w:val="14"/>
        </w:rPr>
        <w:t xml:space="preserve">”. </w:t>
      </w:r>
    </w:p>
  </w:footnote>
  <w:footnote w:id="83">
    <w:p w14:paraId="6B4DABCE"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Federal Ministry of the Interior and Community, “</w:t>
      </w:r>
      <w:proofErr w:type="spellStart"/>
      <w:r w:rsidRPr="00823A57">
        <w:rPr>
          <w:rFonts w:asciiTheme="minorHAnsi" w:hAnsiTheme="minorHAnsi"/>
          <w:sz w:val="14"/>
          <w:szCs w:val="14"/>
        </w:rPr>
        <w:t>Politisch</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motivierte</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Kriminalität</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im</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Jahr</w:t>
      </w:r>
      <w:proofErr w:type="spellEnd"/>
      <w:r w:rsidRPr="00823A57">
        <w:rPr>
          <w:rFonts w:asciiTheme="minorHAnsi" w:hAnsiTheme="minorHAnsi"/>
          <w:sz w:val="14"/>
          <w:szCs w:val="14"/>
        </w:rPr>
        <w:t xml:space="preserve"> 2022” [“Politically motivated Criminality in the year 2022”], 21 April 2023, </w:t>
      </w:r>
      <w:hyperlink r:id="rId62" w:tooltip="https://www.bka.de/SharedDocs/Kurzmeldungen/DE/Kurzmeldungen/230509_PMK_PK.html" w:history="1">
        <w:r w:rsidRPr="00823A57">
          <w:rPr>
            <w:rStyle w:val="Hyperlink"/>
            <w:rFonts w:asciiTheme="minorHAnsi" w:eastAsia="Amnesty Trade Gothic" w:hAnsiTheme="minorHAnsi" w:cs="Amnesty Trade Gothic"/>
            <w:color w:val="0563C1"/>
            <w:sz w:val="14"/>
            <w:szCs w:val="14"/>
          </w:rPr>
          <w:t>https://www.bka.de/SharedDocs/Kurzmeldungen/DE/Kurzmeldungen/230509_PMK_PK.html</w:t>
        </w:r>
      </w:hyperlink>
      <w:r w:rsidRPr="00823A57">
        <w:rPr>
          <w:rFonts w:asciiTheme="minorHAnsi" w:hAnsiTheme="minorHAnsi"/>
          <w:sz w:val="14"/>
          <w:szCs w:val="14"/>
        </w:rPr>
        <w:t> (in German). </w:t>
      </w:r>
    </w:p>
  </w:footnote>
  <w:footnote w:id="84">
    <w:p w14:paraId="1DC4DE59" w14:textId="77777777" w:rsidR="00070213" w:rsidRPr="00823A57" w:rsidRDefault="00070213" w:rsidP="00CD0A25">
      <w:pPr>
        <w:pStyle w:val="FootnoteText"/>
        <w:shd w:val="clear" w:color="auto" w:fill="FFFFFF"/>
        <w:spacing w:after="0"/>
        <w:rPr>
          <w:rFonts w:asciiTheme="minorHAnsi" w:hAnsiTheme="minorHAnsi" w:cs="Amnesty Trade Gothic"/>
          <w:sz w:val="14"/>
          <w:szCs w:val="14"/>
        </w:rPr>
      </w:pPr>
      <w:r w:rsidRPr="00823A57">
        <w:rPr>
          <w:rFonts w:asciiTheme="minorHAnsi" w:eastAsia="Amnesty Trade Gothic" w:hAnsiTheme="minorHAnsi" w:cs="Amnesty Trade Gothic"/>
          <w:color w:val="auto"/>
          <w:sz w:val="14"/>
          <w:szCs w:val="14"/>
          <w:vertAlign w:val="superscript"/>
        </w:rPr>
        <w:footnoteRef/>
      </w:r>
      <w:r w:rsidRPr="00823A57">
        <w:rPr>
          <w:rFonts w:asciiTheme="minorHAnsi" w:eastAsia="Amnesty Trade Gothic" w:hAnsiTheme="minorHAnsi" w:cs="Amnesty Trade Gothic"/>
          <w:color w:val="000000"/>
          <w:sz w:val="14"/>
          <w:szCs w:val="14"/>
        </w:rPr>
        <w:t xml:space="preserve"> Their names </w:t>
      </w:r>
      <w:proofErr w:type="gramStart"/>
      <w:r w:rsidRPr="00823A57">
        <w:rPr>
          <w:rFonts w:asciiTheme="minorHAnsi" w:eastAsia="Amnesty Trade Gothic" w:hAnsiTheme="minorHAnsi" w:cs="Amnesty Trade Gothic"/>
          <w:color w:val="000000"/>
          <w:sz w:val="14"/>
          <w:szCs w:val="14"/>
        </w:rPr>
        <w:t>are:</w:t>
      </w:r>
      <w:proofErr w:type="gram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Enver</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Şimşek</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Abdurrahim</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Özüdoğru</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Süleyman</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Taşköprü</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Habil</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Kiliç</w:t>
      </w:r>
      <w:proofErr w:type="spellEnd"/>
      <w:r w:rsidRPr="00823A57">
        <w:rPr>
          <w:rFonts w:asciiTheme="minorHAnsi" w:eastAsia="Amnesty Trade Gothic" w:hAnsiTheme="minorHAnsi" w:cs="Amnesty Trade Gothic"/>
          <w:color w:val="000000"/>
          <w:sz w:val="14"/>
          <w:szCs w:val="14"/>
        </w:rPr>
        <w:t xml:space="preserve">, Mehmet Turgut, Ismail </w:t>
      </w:r>
      <w:proofErr w:type="spellStart"/>
      <w:r w:rsidRPr="00823A57">
        <w:rPr>
          <w:rFonts w:asciiTheme="minorHAnsi" w:eastAsia="Amnesty Trade Gothic" w:hAnsiTheme="minorHAnsi" w:cs="Amnesty Trade Gothic"/>
          <w:color w:val="000000"/>
          <w:sz w:val="14"/>
          <w:szCs w:val="14"/>
        </w:rPr>
        <w:t>Yaşar</w:t>
      </w:r>
      <w:proofErr w:type="spellEnd"/>
      <w:r w:rsidRPr="00823A57">
        <w:rPr>
          <w:rFonts w:asciiTheme="minorHAnsi" w:eastAsia="Amnesty Trade Gothic" w:hAnsiTheme="minorHAnsi" w:cs="Amnesty Trade Gothic"/>
          <w:color w:val="000000"/>
          <w:sz w:val="14"/>
          <w:szCs w:val="14"/>
        </w:rPr>
        <w:t xml:space="preserve">, Theodoros </w:t>
      </w:r>
      <w:proofErr w:type="spellStart"/>
      <w:r w:rsidRPr="00823A57">
        <w:rPr>
          <w:rFonts w:asciiTheme="minorHAnsi" w:eastAsia="Amnesty Trade Gothic" w:hAnsiTheme="minorHAnsi" w:cs="Amnesty Trade Gothic"/>
          <w:color w:val="000000"/>
          <w:sz w:val="14"/>
          <w:szCs w:val="14"/>
        </w:rPr>
        <w:t>Boulgarides</w:t>
      </w:r>
      <w:proofErr w:type="spellEnd"/>
      <w:r w:rsidRPr="00823A57">
        <w:rPr>
          <w:rFonts w:asciiTheme="minorHAnsi" w:eastAsia="Amnesty Trade Gothic" w:hAnsiTheme="minorHAnsi" w:cs="Amnesty Trade Gothic"/>
          <w:color w:val="000000"/>
          <w:sz w:val="14"/>
          <w:szCs w:val="14"/>
        </w:rPr>
        <w:t xml:space="preserve">, Mehmet </w:t>
      </w:r>
      <w:proofErr w:type="spellStart"/>
      <w:r w:rsidRPr="00823A57">
        <w:rPr>
          <w:rFonts w:asciiTheme="minorHAnsi" w:eastAsia="Amnesty Trade Gothic" w:hAnsiTheme="minorHAnsi" w:cs="Amnesty Trade Gothic"/>
          <w:color w:val="000000"/>
          <w:sz w:val="14"/>
          <w:szCs w:val="14"/>
        </w:rPr>
        <w:t>Kubaşik</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Halit</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Yozgat</w:t>
      </w:r>
      <w:proofErr w:type="spellEnd"/>
      <w:r w:rsidRPr="00823A57">
        <w:rPr>
          <w:rFonts w:asciiTheme="minorHAnsi" w:eastAsia="Amnesty Trade Gothic" w:hAnsiTheme="minorHAnsi" w:cs="Amnesty Trade Gothic"/>
          <w:color w:val="000000"/>
          <w:sz w:val="14"/>
          <w:szCs w:val="14"/>
        </w:rPr>
        <w:t xml:space="preserve">. </w:t>
      </w:r>
    </w:p>
  </w:footnote>
  <w:footnote w:id="85">
    <w:p w14:paraId="2492AE03"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vertAlign w:val="superscript"/>
        </w:rPr>
        <w:t xml:space="preserve"> </w:t>
      </w:r>
      <w:r w:rsidRPr="00823A57">
        <w:rPr>
          <w:rFonts w:asciiTheme="minorHAnsi" w:hAnsiTheme="minorHAnsi"/>
          <w:sz w:val="14"/>
          <w:szCs w:val="14"/>
        </w:rPr>
        <w:t>The murders were uncovered in 2011 after two members of the NSU (allegedly) committed suicide and a third surrendered to police.</w:t>
      </w:r>
    </w:p>
  </w:footnote>
  <w:footnote w:id="86">
    <w:p w14:paraId="2A2A6CFA"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vertAlign w:val="superscript"/>
        </w:rPr>
        <w:t xml:space="preserve"> </w:t>
      </w:r>
      <w:r w:rsidRPr="00823A57">
        <w:rPr>
          <w:rFonts w:asciiTheme="minorHAnsi" w:hAnsiTheme="minorHAnsi"/>
          <w:sz w:val="14"/>
          <w:szCs w:val="14"/>
        </w:rPr>
        <w:t xml:space="preserve">Amnesty International has documented that a quick investigation of the crimes of the so-called NSU failed again and again over the years, not least because of racist prejudices of the law enforcement agencies against the relatives of the victims. Amnesty International, Living in insecurity: Germany is failing victims of racist violence (Index: EUR 23/4112/2016), 9 June 2016, </w:t>
      </w:r>
      <w:hyperlink r:id="rId63" w:tooltip="https://www.amnesty.org/en/documents/EUR23/4112/2016/en" w:history="1">
        <w:r w:rsidRPr="00823A57">
          <w:rPr>
            <w:rStyle w:val="Hyperlink"/>
            <w:rFonts w:asciiTheme="minorHAnsi" w:eastAsia="Amnesty Trade Gothic" w:hAnsiTheme="minorHAnsi" w:cs="Amnesty Trade Gothic"/>
            <w:color w:val="0563C1"/>
            <w:sz w:val="14"/>
            <w:szCs w:val="14"/>
          </w:rPr>
          <w:t>https://www.amnesty.org/en/documents/EUR23/4112/2016/en</w:t>
        </w:r>
      </w:hyperlink>
      <w:r w:rsidRPr="00823A57">
        <w:rPr>
          <w:rFonts w:asciiTheme="minorHAnsi" w:hAnsiTheme="minorHAnsi"/>
          <w:sz w:val="14"/>
          <w:szCs w:val="14"/>
        </w:rPr>
        <w:t>. </w:t>
      </w:r>
    </w:p>
  </w:footnote>
  <w:footnote w:id="87">
    <w:p w14:paraId="38A37C07" w14:textId="77777777" w:rsidR="00070213" w:rsidRPr="00823A57" w:rsidRDefault="00070213" w:rsidP="00CD0A25">
      <w:pPr>
        <w:pStyle w:val="FootnoteText"/>
        <w:shd w:val="clear" w:color="auto" w:fill="FFFFFF"/>
        <w:spacing w:after="0"/>
        <w:rPr>
          <w:rFonts w:asciiTheme="minorHAnsi" w:hAnsiTheme="minorHAnsi"/>
          <w:sz w:val="14"/>
          <w:szCs w:val="14"/>
          <w:lang w:val="en-US"/>
        </w:rPr>
      </w:pPr>
      <w:r w:rsidRPr="00823A57">
        <w:rPr>
          <w:rStyle w:val="FootnoteReference"/>
          <w:rFonts w:asciiTheme="minorHAnsi" w:eastAsia="Amnesty Trade Gothic" w:hAnsiTheme="minorHAnsi" w:cs="Amnesty Trade Gothic"/>
          <w:sz w:val="14"/>
          <w:szCs w:val="14"/>
        </w:rPr>
        <w:footnoteRef/>
      </w:r>
      <w:r w:rsidRPr="00823A57">
        <w:rPr>
          <w:rFonts w:asciiTheme="minorHAnsi" w:hAnsiTheme="minorHAnsi"/>
          <w:sz w:val="14"/>
          <w:szCs w:val="14"/>
          <w:lang w:val="de-DE"/>
        </w:rPr>
        <w:t xml:space="preserve"> German </w:t>
      </w:r>
      <w:proofErr w:type="spellStart"/>
      <w:r w:rsidRPr="00823A57">
        <w:rPr>
          <w:rFonts w:asciiTheme="minorHAnsi" w:hAnsiTheme="minorHAnsi"/>
          <w:sz w:val="14"/>
          <w:szCs w:val="14"/>
          <w:lang w:val="de-DE"/>
        </w:rPr>
        <w:t>Parliament</w:t>
      </w:r>
      <w:proofErr w:type="spellEnd"/>
      <w:r w:rsidRPr="00823A57">
        <w:rPr>
          <w:rFonts w:asciiTheme="minorHAnsi" w:hAnsiTheme="minorHAnsi"/>
          <w:sz w:val="14"/>
          <w:szCs w:val="14"/>
          <w:lang w:val="de-DE"/>
        </w:rPr>
        <w:t xml:space="preserve">, “Beschlussempfehlung und Bericht des 3. </w:t>
      </w:r>
      <w:proofErr w:type="spellStart"/>
      <w:r w:rsidRPr="00823A57">
        <w:rPr>
          <w:rFonts w:asciiTheme="minorHAnsi" w:hAnsiTheme="minorHAnsi"/>
          <w:sz w:val="14"/>
          <w:szCs w:val="14"/>
          <w:lang w:val="en-US"/>
        </w:rPr>
        <w:t>Untersuchungsausschusses</w:t>
      </w:r>
      <w:proofErr w:type="spellEnd"/>
      <w:r w:rsidRPr="00823A57">
        <w:rPr>
          <w:rFonts w:asciiTheme="minorHAnsi" w:hAnsiTheme="minorHAnsi"/>
          <w:sz w:val="14"/>
          <w:szCs w:val="14"/>
          <w:lang w:val="en-US"/>
        </w:rPr>
        <w:t xml:space="preserve"> </w:t>
      </w:r>
      <w:proofErr w:type="spellStart"/>
      <w:r w:rsidRPr="00823A57">
        <w:rPr>
          <w:rFonts w:asciiTheme="minorHAnsi" w:hAnsiTheme="minorHAnsi"/>
          <w:sz w:val="14"/>
          <w:szCs w:val="14"/>
          <w:lang w:val="en-US"/>
        </w:rPr>
        <w:t>gemäß</w:t>
      </w:r>
      <w:proofErr w:type="spellEnd"/>
      <w:r w:rsidRPr="00823A57">
        <w:rPr>
          <w:rFonts w:asciiTheme="minorHAnsi" w:hAnsiTheme="minorHAnsi"/>
          <w:sz w:val="14"/>
          <w:szCs w:val="14"/>
          <w:lang w:val="en-US"/>
        </w:rPr>
        <w:t xml:space="preserve"> Artikel 44 des </w:t>
      </w:r>
      <w:proofErr w:type="spellStart"/>
      <w:r w:rsidRPr="00823A57">
        <w:rPr>
          <w:rFonts w:asciiTheme="minorHAnsi" w:hAnsiTheme="minorHAnsi"/>
          <w:sz w:val="14"/>
          <w:szCs w:val="14"/>
          <w:lang w:val="en-US"/>
        </w:rPr>
        <w:t>Grundgesetzes</w:t>
      </w:r>
      <w:proofErr w:type="spellEnd"/>
      <w:r w:rsidRPr="00823A57">
        <w:rPr>
          <w:rFonts w:asciiTheme="minorHAnsi" w:hAnsiTheme="minorHAnsi"/>
          <w:sz w:val="14"/>
          <w:szCs w:val="14"/>
          <w:lang w:val="en-US"/>
        </w:rPr>
        <w:t xml:space="preserve">“ [”Recommendation for a Resolution and Report of the 3rd Committee of Inquiry according to Article 44 of the Basic Law”], Drs. 18/12950, </w:t>
      </w:r>
      <w:hyperlink r:id="rId64" w:history="1">
        <w:r w:rsidRPr="00823A57">
          <w:rPr>
            <w:rStyle w:val="Hyperlink"/>
            <w:rFonts w:asciiTheme="minorHAnsi" w:eastAsia="Amnesty Trade Gothic" w:hAnsiTheme="minorHAnsi" w:cs="Amnesty Trade Gothic"/>
            <w:sz w:val="14"/>
            <w:szCs w:val="14"/>
            <w:lang w:val="en-US"/>
          </w:rPr>
          <w:t>https://dserver.bundestag.de/btd/18/129/1812950.pdf</w:t>
        </w:r>
      </w:hyperlink>
      <w:r w:rsidRPr="00823A57">
        <w:rPr>
          <w:rFonts w:asciiTheme="minorHAnsi" w:hAnsiTheme="minorHAnsi"/>
          <w:sz w:val="14"/>
          <w:szCs w:val="14"/>
          <w:lang w:val="en-US"/>
        </w:rPr>
        <w:t>, p.1176f.</w:t>
      </w:r>
    </w:p>
  </w:footnote>
  <w:footnote w:id="88">
    <w:p w14:paraId="72D9DDC6" w14:textId="77777777" w:rsidR="00070213" w:rsidRPr="00823A57" w:rsidRDefault="00070213" w:rsidP="00CD0A25">
      <w:pPr>
        <w:pStyle w:val="FootnoteText"/>
        <w:shd w:val="clear" w:color="auto" w:fill="FFFFFF"/>
        <w:spacing w:after="0"/>
        <w:rPr>
          <w:rFonts w:asciiTheme="minorHAnsi" w:hAnsiTheme="minorHAnsi"/>
          <w:sz w:val="14"/>
          <w:szCs w:val="14"/>
          <w:lang w:val="en-US"/>
        </w:rPr>
      </w:pPr>
      <w:r w:rsidRPr="00823A57">
        <w:rPr>
          <w:rStyle w:val="FootnoteReference"/>
          <w:rFonts w:asciiTheme="minorHAnsi" w:hAnsiTheme="minorHAnsi"/>
          <w:sz w:val="14"/>
          <w:szCs w:val="14"/>
        </w:rPr>
        <w:footnoteRef/>
      </w:r>
      <w:r w:rsidRPr="00823A57">
        <w:rPr>
          <w:rFonts w:asciiTheme="minorHAnsi" w:hAnsiTheme="minorHAnsi"/>
          <w:sz w:val="14"/>
          <w:szCs w:val="14"/>
          <w:lang w:val="en-US"/>
        </w:rPr>
        <w:t xml:space="preserve"> Amnesty International, “NSU-</w:t>
      </w:r>
      <w:proofErr w:type="spellStart"/>
      <w:r w:rsidRPr="00823A57">
        <w:rPr>
          <w:rFonts w:asciiTheme="minorHAnsi" w:hAnsiTheme="minorHAnsi"/>
          <w:sz w:val="14"/>
          <w:szCs w:val="14"/>
          <w:lang w:val="en-US"/>
        </w:rPr>
        <w:t>Urteil</w:t>
      </w:r>
      <w:proofErr w:type="spellEnd"/>
      <w:r w:rsidRPr="00823A57">
        <w:rPr>
          <w:rFonts w:asciiTheme="minorHAnsi" w:hAnsiTheme="minorHAnsi"/>
          <w:sz w:val="14"/>
          <w:szCs w:val="14"/>
          <w:lang w:val="en-US"/>
        </w:rPr>
        <w:t xml:space="preserve"> </w:t>
      </w:r>
      <w:proofErr w:type="spellStart"/>
      <w:r w:rsidRPr="00823A57">
        <w:rPr>
          <w:rFonts w:asciiTheme="minorHAnsi" w:hAnsiTheme="minorHAnsi"/>
          <w:sz w:val="14"/>
          <w:szCs w:val="14"/>
          <w:lang w:val="en-US"/>
        </w:rPr>
        <w:t>darf</w:t>
      </w:r>
      <w:proofErr w:type="spellEnd"/>
      <w:r w:rsidRPr="00823A57">
        <w:rPr>
          <w:rFonts w:asciiTheme="minorHAnsi" w:hAnsiTheme="minorHAnsi"/>
          <w:sz w:val="14"/>
          <w:szCs w:val="14"/>
          <w:lang w:val="en-US"/>
        </w:rPr>
        <w:t xml:space="preserve"> </w:t>
      </w:r>
      <w:proofErr w:type="spellStart"/>
      <w:r w:rsidRPr="00823A57">
        <w:rPr>
          <w:rFonts w:asciiTheme="minorHAnsi" w:hAnsiTheme="minorHAnsi"/>
          <w:sz w:val="14"/>
          <w:szCs w:val="14"/>
          <w:lang w:val="en-US"/>
        </w:rPr>
        <w:t>kein</w:t>
      </w:r>
      <w:proofErr w:type="spellEnd"/>
      <w:r w:rsidRPr="00823A57">
        <w:rPr>
          <w:rFonts w:asciiTheme="minorHAnsi" w:hAnsiTheme="minorHAnsi"/>
          <w:sz w:val="14"/>
          <w:szCs w:val="14"/>
          <w:lang w:val="en-US"/>
        </w:rPr>
        <w:t xml:space="preserve"> </w:t>
      </w:r>
      <w:proofErr w:type="spellStart"/>
      <w:r w:rsidRPr="00823A57">
        <w:rPr>
          <w:rFonts w:asciiTheme="minorHAnsi" w:hAnsiTheme="minorHAnsi"/>
          <w:sz w:val="14"/>
          <w:szCs w:val="14"/>
          <w:lang w:val="en-US"/>
        </w:rPr>
        <w:t>Schlussstrich</w:t>
      </w:r>
      <w:proofErr w:type="spellEnd"/>
      <w:r w:rsidRPr="00823A57">
        <w:rPr>
          <w:rFonts w:asciiTheme="minorHAnsi" w:hAnsiTheme="minorHAnsi"/>
          <w:sz w:val="14"/>
          <w:szCs w:val="14"/>
          <w:lang w:val="en-US"/>
        </w:rPr>
        <w:t xml:space="preserve"> sein – Rolle von </w:t>
      </w:r>
      <w:proofErr w:type="spellStart"/>
      <w:r w:rsidRPr="00823A57">
        <w:rPr>
          <w:rFonts w:asciiTheme="minorHAnsi" w:hAnsiTheme="minorHAnsi"/>
          <w:sz w:val="14"/>
          <w:szCs w:val="14"/>
          <w:lang w:val="en-US"/>
        </w:rPr>
        <w:t>institutionellem</w:t>
      </w:r>
      <w:proofErr w:type="spellEnd"/>
      <w:r w:rsidRPr="00823A57">
        <w:rPr>
          <w:rFonts w:asciiTheme="minorHAnsi" w:hAnsiTheme="minorHAnsi"/>
          <w:sz w:val="14"/>
          <w:szCs w:val="14"/>
          <w:lang w:val="en-US"/>
        </w:rPr>
        <w:t xml:space="preserve"> </w:t>
      </w:r>
      <w:proofErr w:type="spellStart"/>
      <w:r w:rsidRPr="00823A57">
        <w:rPr>
          <w:rFonts w:asciiTheme="minorHAnsi" w:hAnsiTheme="minorHAnsi"/>
          <w:sz w:val="14"/>
          <w:szCs w:val="14"/>
          <w:lang w:val="en-US"/>
        </w:rPr>
        <w:t>Rassismus</w:t>
      </w:r>
      <w:proofErr w:type="spellEnd"/>
      <w:r w:rsidRPr="00823A57">
        <w:rPr>
          <w:rFonts w:asciiTheme="minorHAnsi" w:hAnsiTheme="minorHAnsi"/>
          <w:sz w:val="14"/>
          <w:szCs w:val="14"/>
          <w:lang w:val="en-US"/>
        </w:rPr>
        <w:t xml:space="preserve"> muss </w:t>
      </w:r>
      <w:proofErr w:type="spellStart"/>
      <w:r w:rsidRPr="00823A57">
        <w:rPr>
          <w:rFonts w:asciiTheme="minorHAnsi" w:hAnsiTheme="minorHAnsi"/>
          <w:sz w:val="14"/>
          <w:szCs w:val="14"/>
          <w:lang w:val="en-US"/>
        </w:rPr>
        <w:t>untersucht</w:t>
      </w:r>
      <w:proofErr w:type="spellEnd"/>
      <w:r w:rsidRPr="00823A57">
        <w:rPr>
          <w:rFonts w:asciiTheme="minorHAnsi" w:hAnsiTheme="minorHAnsi"/>
          <w:sz w:val="14"/>
          <w:szCs w:val="14"/>
          <w:lang w:val="en-US"/>
        </w:rPr>
        <w:t xml:space="preserve"> </w:t>
      </w:r>
      <w:proofErr w:type="spellStart"/>
      <w:r w:rsidRPr="00823A57">
        <w:rPr>
          <w:rFonts w:asciiTheme="minorHAnsi" w:hAnsiTheme="minorHAnsi"/>
          <w:sz w:val="14"/>
          <w:szCs w:val="14"/>
          <w:lang w:val="en-US"/>
        </w:rPr>
        <w:t>werden</w:t>
      </w:r>
      <w:proofErr w:type="spellEnd"/>
      <w:r w:rsidRPr="00823A57">
        <w:rPr>
          <w:rFonts w:asciiTheme="minorHAnsi" w:hAnsiTheme="minorHAnsi"/>
          <w:sz w:val="14"/>
          <w:szCs w:val="14"/>
          <w:lang w:val="en-US"/>
        </w:rPr>
        <w:t xml:space="preserve">” [“NSU verdict must not be the final straw - role of institutional racism must be investigated”], 11 July 2018, </w:t>
      </w:r>
      <w:hyperlink r:id="rId65" w:tooltip="https://www.amnesty.de/informieren/aktuell/deutschland-nsu-urteil-darf-kein-schlussstrich-sein-rolle-von-institutionellem" w:history="1">
        <w:r w:rsidRPr="00823A57">
          <w:rPr>
            <w:rStyle w:val="Hyperlink"/>
            <w:rFonts w:asciiTheme="minorHAnsi" w:eastAsia="Amnesty Trade Gothic" w:hAnsiTheme="minorHAnsi" w:cs="Amnesty Trade Gothic"/>
            <w:sz w:val="14"/>
            <w:szCs w:val="14"/>
            <w:lang w:val="en-US"/>
          </w:rPr>
          <w:t>https://www.amnesty.de/informieren/aktuell/deutschland-nsu-urteil-darf-kein-schlussstrich-sein-rolle-von-institutionellem</w:t>
        </w:r>
      </w:hyperlink>
      <w:r w:rsidRPr="00823A57">
        <w:rPr>
          <w:rFonts w:asciiTheme="minorHAnsi" w:hAnsiTheme="minorHAnsi"/>
          <w:sz w:val="14"/>
          <w:szCs w:val="14"/>
          <w:lang w:val="en-US"/>
        </w:rPr>
        <w:t xml:space="preserve"> (in German).</w:t>
      </w:r>
    </w:p>
  </w:footnote>
  <w:footnote w:id="89">
    <w:p w14:paraId="2B1DEED7"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color w:val="000000"/>
          <w:sz w:val="14"/>
          <w:szCs w:val="14"/>
          <w:vertAlign w:val="superscript"/>
        </w:rPr>
        <w:t xml:space="preserve"> </w:t>
      </w:r>
      <w:r w:rsidRPr="00823A57">
        <w:rPr>
          <w:rFonts w:asciiTheme="minorHAnsi" w:hAnsiTheme="minorHAnsi"/>
          <w:sz w:val="14"/>
          <w:szCs w:val="14"/>
        </w:rPr>
        <w:t xml:space="preserve">Germany, Munich Higher Regional Court, Judgement of 11 July 2018, no. 6 St 3/12, </w:t>
      </w:r>
      <w:hyperlink r:id="rId66" w:history="1">
        <w:r w:rsidRPr="00823A57">
          <w:rPr>
            <w:rStyle w:val="Hyperlink"/>
            <w:rFonts w:asciiTheme="minorHAnsi" w:eastAsia="Amnesty Trade Gothic" w:hAnsiTheme="minorHAnsi" w:cs="Amnesty Trade Gothic"/>
            <w:sz w:val="14"/>
            <w:szCs w:val="14"/>
          </w:rPr>
          <w:t>https://www.gesetze-bayern.de/Content/Document/Y-300-Z-BECKRS-B-2018-N-051467?hl=true</w:t>
        </w:r>
      </w:hyperlink>
      <w:r w:rsidRPr="00823A57">
        <w:rPr>
          <w:rFonts w:asciiTheme="minorHAnsi" w:hAnsiTheme="minorHAnsi"/>
          <w:color w:val="000000"/>
          <w:sz w:val="14"/>
          <w:szCs w:val="14"/>
        </w:rPr>
        <w:t>.</w:t>
      </w:r>
    </w:p>
  </w:footnote>
  <w:footnote w:id="90">
    <w:p w14:paraId="366075F6"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MDR, “</w:t>
      </w:r>
      <w:proofErr w:type="spellStart"/>
      <w:r w:rsidRPr="00823A57">
        <w:rPr>
          <w:rFonts w:asciiTheme="minorHAnsi" w:hAnsiTheme="minorHAnsi"/>
          <w:sz w:val="14"/>
          <w:szCs w:val="14"/>
        </w:rPr>
        <w:t>Vor</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fünf</w:t>
      </w:r>
      <w:proofErr w:type="spellEnd"/>
      <w:r w:rsidRPr="00823A57">
        <w:rPr>
          <w:rFonts w:asciiTheme="minorHAnsi" w:hAnsiTheme="minorHAnsi"/>
          <w:sz w:val="14"/>
          <w:szCs w:val="14"/>
        </w:rPr>
        <w:t xml:space="preserve"> Jahren </w:t>
      </w:r>
      <w:proofErr w:type="spellStart"/>
      <w:r w:rsidRPr="00823A57">
        <w:rPr>
          <w:rFonts w:asciiTheme="minorHAnsi" w:hAnsiTheme="minorHAnsi"/>
          <w:sz w:val="14"/>
          <w:szCs w:val="14"/>
        </w:rPr>
        <w:t>wurde</w:t>
      </w:r>
      <w:proofErr w:type="spellEnd"/>
      <w:r w:rsidRPr="00823A57">
        <w:rPr>
          <w:rFonts w:asciiTheme="minorHAnsi" w:hAnsiTheme="minorHAnsi"/>
          <w:sz w:val="14"/>
          <w:szCs w:val="14"/>
        </w:rPr>
        <w:t xml:space="preserve"> das </w:t>
      </w:r>
      <w:proofErr w:type="spellStart"/>
      <w:r w:rsidRPr="00823A57">
        <w:rPr>
          <w:rFonts w:asciiTheme="minorHAnsi" w:hAnsiTheme="minorHAnsi"/>
          <w:sz w:val="14"/>
          <w:szCs w:val="14"/>
        </w:rPr>
        <w:t>Urteil</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im</w:t>
      </w:r>
      <w:proofErr w:type="spellEnd"/>
      <w:r w:rsidRPr="00823A57">
        <w:rPr>
          <w:rFonts w:asciiTheme="minorHAnsi" w:hAnsiTheme="minorHAnsi"/>
          <w:sz w:val="14"/>
          <w:szCs w:val="14"/>
        </w:rPr>
        <w:t xml:space="preserve"> NSU-</w:t>
      </w:r>
      <w:proofErr w:type="spellStart"/>
      <w:r w:rsidRPr="00823A57">
        <w:rPr>
          <w:rFonts w:asciiTheme="minorHAnsi" w:hAnsiTheme="minorHAnsi"/>
          <w:sz w:val="14"/>
          <w:szCs w:val="14"/>
        </w:rPr>
        <w:t>Prozess</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gefällt</w:t>
      </w:r>
      <w:proofErr w:type="spellEnd"/>
      <w:r w:rsidRPr="00823A57">
        <w:rPr>
          <w:rFonts w:asciiTheme="minorHAnsi" w:hAnsiTheme="minorHAnsi"/>
          <w:sz w:val="14"/>
          <w:szCs w:val="14"/>
        </w:rPr>
        <w:t xml:space="preserve">” [“Five years ago, the verdict in the NSU trial was handed down”], 11 July 2023, </w:t>
      </w:r>
      <w:hyperlink r:id="rId67" w:tooltip="https://www.mdr.de/geschichte/zeitgeschichte-gegenwart/politik-gesellschaft/nsu-urteil-morde-prozess-zschaepe-mundlos-100.html" w:history="1">
        <w:r w:rsidRPr="00823A57">
          <w:rPr>
            <w:rStyle w:val="Hyperlink"/>
            <w:rFonts w:asciiTheme="minorHAnsi" w:eastAsia="Amnesty Trade Gothic" w:hAnsiTheme="minorHAnsi" w:cs="Amnesty Trade Gothic"/>
            <w:sz w:val="14"/>
            <w:szCs w:val="14"/>
          </w:rPr>
          <w:t>https://www.mdr.de/geschichte/zeitgeschichte-gegenwart/politik-gesellschaft/nsu-urteil-morde-prozess-zschaepe-mundlos-100.html</w:t>
        </w:r>
      </w:hyperlink>
      <w:r w:rsidRPr="00823A57">
        <w:rPr>
          <w:rFonts w:asciiTheme="minorHAnsi" w:hAnsiTheme="minorHAnsi"/>
          <w:sz w:val="14"/>
          <w:szCs w:val="14"/>
          <w:shd w:val="clear" w:color="auto" w:fill="FFFFFF" w:themeFill="background1"/>
        </w:rPr>
        <w:t xml:space="preserve"> </w:t>
      </w:r>
      <w:r w:rsidRPr="00823A57">
        <w:rPr>
          <w:rFonts w:asciiTheme="minorHAnsi" w:hAnsiTheme="minorHAnsi"/>
          <w:color w:val="000000"/>
          <w:sz w:val="14"/>
          <w:szCs w:val="14"/>
          <w:shd w:val="clear" w:color="auto" w:fill="FFFFFF" w:themeFill="background1"/>
        </w:rPr>
        <w:t xml:space="preserve">(in German). See also: Amnesty </w:t>
      </w:r>
      <w:r w:rsidRPr="00823A57">
        <w:rPr>
          <w:rFonts w:asciiTheme="minorHAnsi" w:hAnsiTheme="minorHAnsi"/>
          <w:sz w:val="14"/>
          <w:szCs w:val="14"/>
        </w:rPr>
        <w:t>International, “</w:t>
      </w:r>
      <w:proofErr w:type="spellStart"/>
      <w:r w:rsidRPr="00823A57">
        <w:rPr>
          <w:rFonts w:asciiTheme="minorHAnsi" w:hAnsiTheme="minorHAnsi"/>
          <w:sz w:val="14"/>
          <w:szCs w:val="14"/>
        </w:rPr>
        <w:t>Zehn</w:t>
      </w:r>
      <w:proofErr w:type="spellEnd"/>
      <w:r w:rsidRPr="00823A57">
        <w:rPr>
          <w:rFonts w:asciiTheme="minorHAnsi" w:hAnsiTheme="minorHAnsi"/>
          <w:sz w:val="14"/>
          <w:szCs w:val="14"/>
        </w:rPr>
        <w:t xml:space="preserve"> Jahre </w:t>
      </w:r>
      <w:proofErr w:type="spellStart"/>
      <w:r w:rsidRPr="00823A57">
        <w:rPr>
          <w:rFonts w:asciiTheme="minorHAnsi" w:hAnsiTheme="minorHAnsi"/>
          <w:sz w:val="14"/>
          <w:szCs w:val="14"/>
        </w:rPr>
        <w:t>nach</w:t>
      </w:r>
      <w:proofErr w:type="spellEnd"/>
      <w:r w:rsidRPr="00823A57">
        <w:rPr>
          <w:rFonts w:asciiTheme="minorHAnsi" w:hAnsiTheme="minorHAnsi"/>
          <w:sz w:val="14"/>
          <w:szCs w:val="14"/>
        </w:rPr>
        <w:t xml:space="preserve"> NSU-</w:t>
      </w:r>
      <w:proofErr w:type="spellStart"/>
      <w:r w:rsidRPr="00823A57">
        <w:rPr>
          <w:rFonts w:asciiTheme="minorHAnsi" w:hAnsiTheme="minorHAnsi"/>
          <w:sz w:val="14"/>
          <w:szCs w:val="14"/>
        </w:rPr>
        <w:t>Selbstenttarnung</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Kaum</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Verbesserungen</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bei</w:t>
      </w:r>
      <w:proofErr w:type="spellEnd"/>
      <w:r w:rsidRPr="00823A57">
        <w:rPr>
          <w:rFonts w:asciiTheme="minorHAnsi" w:hAnsiTheme="minorHAnsi"/>
          <w:sz w:val="14"/>
          <w:szCs w:val="14"/>
        </w:rPr>
        <w:t xml:space="preserve"> der </w:t>
      </w:r>
      <w:proofErr w:type="spellStart"/>
      <w:r w:rsidRPr="00823A57">
        <w:rPr>
          <w:rFonts w:asciiTheme="minorHAnsi" w:hAnsiTheme="minorHAnsi"/>
          <w:sz w:val="14"/>
          <w:szCs w:val="14"/>
        </w:rPr>
        <w:t>Polizei</w:t>
      </w:r>
      <w:proofErr w:type="spellEnd"/>
      <w:r w:rsidRPr="00823A57">
        <w:rPr>
          <w:rFonts w:asciiTheme="minorHAnsi" w:hAnsiTheme="minorHAnsi"/>
          <w:sz w:val="14"/>
          <w:szCs w:val="14"/>
        </w:rPr>
        <w:t>” [“Ten years after the NSU's self-d</w:t>
      </w:r>
      <w:r w:rsidRPr="00823A57">
        <w:rPr>
          <w:rFonts w:asciiTheme="minorHAnsi" w:hAnsiTheme="minorHAnsi"/>
          <w:color w:val="000000"/>
          <w:sz w:val="14"/>
          <w:szCs w:val="14"/>
          <w:shd w:val="clear" w:color="auto" w:fill="FFFFFF" w:themeFill="background1"/>
        </w:rPr>
        <w:t xml:space="preserve">isclosure: Hardly any improvements in the police force”], 3 November 2012, </w:t>
      </w:r>
      <w:hyperlink r:id="rId68" w:tooltip="https://www.amnesty.de/allgemein/pressemitteilung/deutschland-zehn-jahre-nsu-selbstenttarnung-polizei-bilanz" w:history="1">
        <w:r w:rsidRPr="00823A57">
          <w:rPr>
            <w:rStyle w:val="Hyperlink"/>
            <w:rFonts w:asciiTheme="minorHAnsi" w:eastAsia="Amnesty Trade Gothic" w:hAnsiTheme="minorHAnsi" w:cs="Amnesty Trade Gothic"/>
            <w:sz w:val="14"/>
            <w:szCs w:val="14"/>
            <w:shd w:val="clear" w:color="auto" w:fill="FFFFFF" w:themeFill="background1"/>
          </w:rPr>
          <w:t>https://www.amnesty.de/allgemein/pressemitteilung/deutschland-zehn-jahre-nsu-selbstenttarnung-polizei-bilanz</w:t>
        </w:r>
      </w:hyperlink>
      <w:r w:rsidRPr="00823A57">
        <w:rPr>
          <w:rFonts w:asciiTheme="minorHAnsi" w:hAnsiTheme="minorHAnsi"/>
          <w:sz w:val="14"/>
          <w:szCs w:val="14"/>
          <w:shd w:val="clear" w:color="auto" w:fill="FFFFFF" w:themeFill="background1"/>
        </w:rPr>
        <w:t xml:space="preserve"> </w:t>
      </w:r>
      <w:r w:rsidRPr="00823A57">
        <w:rPr>
          <w:rFonts w:asciiTheme="minorHAnsi" w:hAnsiTheme="minorHAnsi"/>
          <w:color w:val="000000"/>
          <w:sz w:val="14"/>
          <w:szCs w:val="14"/>
          <w:shd w:val="clear" w:color="auto" w:fill="FFFFFF" w:themeFill="background1"/>
        </w:rPr>
        <w:t>(in German).</w:t>
      </w:r>
      <w:r w:rsidRPr="00823A57">
        <w:rPr>
          <w:rFonts w:asciiTheme="minorHAnsi" w:hAnsiTheme="minorHAnsi"/>
          <w:color w:val="000000"/>
          <w:sz w:val="14"/>
          <w:szCs w:val="14"/>
          <w:shd w:val="clear" w:color="auto" w:fill="E6E6E6"/>
        </w:rPr>
        <w:t xml:space="preserve"> </w:t>
      </w:r>
    </w:p>
  </w:footnote>
  <w:footnote w:id="91">
    <w:p w14:paraId="1187AE20"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eastAsia="Amnesty Trade Gothic" w:hAnsiTheme="minorHAnsi" w:cs="Amnesty Trade Gothic"/>
          <w:sz w:val="14"/>
          <w:szCs w:val="14"/>
        </w:rPr>
        <w:footnoteRef/>
      </w:r>
      <w:r w:rsidRPr="00823A57">
        <w:rPr>
          <w:rFonts w:asciiTheme="minorHAnsi" w:hAnsiTheme="minorHAnsi"/>
          <w:sz w:val="14"/>
          <w:szCs w:val="14"/>
        </w:rPr>
        <w:t xml:space="preserve"> See Ministry of Interior, press release from 25 October 2019, https://www.bayern.de/herrmann-zum-abschluss-der-ermittlungen-zum-oez-attentat/ (in German). Media Service Integration, “Der </w:t>
      </w:r>
      <w:proofErr w:type="spellStart"/>
      <w:r w:rsidRPr="00823A57">
        <w:rPr>
          <w:rFonts w:asciiTheme="minorHAnsi" w:hAnsiTheme="minorHAnsi"/>
          <w:sz w:val="14"/>
          <w:szCs w:val="14"/>
        </w:rPr>
        <w:t>verkannte</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Anschlag</w:t>
      </w:r>
      <w:proofErr w:type="spellEnd"/>
      <w:r w:rsidRPr="00823A57">
        <w:rPr>
          <w:rFonts w:asciiTheme="minorHAnsi" w:hAnsiTheme="minorHAnsi"/>
          <w:sz w:val="14"/>
          <w:szCs w:val="14"/>
        </w:rPr>
        <w:t xml:space="preserve">” [“The misjudged attack”], 18 July 2022, </w:t>
      </w:r>
      <w:hyperlink r:id="rId69" w:tooltip="https://mediendienst-integration.de/artikel/der-verkannte-anschlag.html" w:history="1">
        <w:r w:rsidRPr="00823A57">
          <w:rPr>
            <w:rStyle w:val="Hyperlink"/>
            <w:rFonts w:asciiTheme="minorHAnsi" w:eastAsia="Amnesty Trade Gothic" w:hAnsiTheme="minorHAnsi" w:cs="Amnesty Trade Gothic"/>
            <w:sz w:val="14"/>
            <w:szCs w:val="14"/>
          </w:rPr>
          <w:t>https://mediendienst-integration.de/artikel/der-verkannte-anschlag.html</w:t>
        </w:r>
      </w:hyperlink>
      <w:r w:rsidRPr="00823A57">
        <w:rPr>
          <w:rFonts w:asciiTheme="minorHAnsi" w:hAnsiTheme="minorHAnsi"/>
          <w:sz w:val="14"/>
          <w:szCs w:val="14"/>
        </w:rPr>
        <w:t xml:space="preserve"> (in German).</w:t>
      </w:r>
    </w:p>
  </w:footnote>
  <w:footnote w:id="92">
    <w:p w14:paraId="1D2FC2AA"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eastAsia="Amnesty Trade Gothic" w:hAnsiTheme="minorHAnsi" w:cs="Amnesty Trade Gothic"/>
          <w:sz w:val="14"/>
          <w:szCs w:val="14"/>
        </w:rPr>
        <w:footnoteRef/>
      </w:r>
      <w:r w:rsidRPr="00823A57">
        <w:rPr>
          <w:rFonts w:asciiTheme="minorHAnsi" w:hAnsiTheme="minorHAnsi"/>
          <w:sz w:val="14"/>
          <w:szCs w:val="14"/>
        </w:rPr>
        <w:t xml:space="preserve"> It was the same day as the attack in Oslo and </w:t>
      </w:r>
      <w:proofErr w:type="spellStart"/>
      <w:r w:rsidRPr="00823A57">
        <w:rPr>
          <w:rFonts w:asciiTheme="minorHAnsi" w:hAnsiTheme="minorHAnsi"/>
          <w:sz w:val="14"/>
          <w:szCs w:val="14"/>
        </w:rPr>
        <w:t>Utøya</w:t>
      </w:r>
      <w:proofErr w:type="spellEnd"/>
      <w:r w:rsidRPr="00823A57">
        <w:rPr>
          <w:rFonts w:asciiTheme="minorHAnsi" w:hAnsiTheme="minorHAnsi"/>
          <w:sz w:val="14"/>
          <w:szCs w:val="14"/>
        </w:rPr>
        <w:t>, Norway (22 July 2011).</w:t>
      </w:r>
    </w:p>
  </w:footnote>
  <w:footnote w:id="93">
    <w:p w14:paraId="4C4BC0B5" w14:textId="77777777" w:rsidR="00070213" w:rsidRPr="00823A57" w:rsidRDefault="00070213" w:rsidP="00CD0A25">
      <w:pPr>
        <w:pStyle w:val="FootnoteText"/>
        <w:shd w:val="clear" w:color="auto" w:fill="FFFFFF" w:themeFill="background1"/>
        <w:spacing w:after="0"/>
        <w:rPr>
          <w:rFonts w:asciiTheme="minorHAnsi" w:hAnsiTheme="minorHAnsi"/>
          <w:sz w:val="14"/>
          <w:szCs w:val="14"/>
        </w:rPr>
      </w:pPr>
      <w:r w:rsidRPr="00823A57">
        <w:rPr>
          <w:rStyle w:val="FootnoteReference"/>
          <w:rFonts w:asciiTheme="minorHAnsi" w:eastAsia="Amnesty Trade Gothic" w:hAnsiTheme="minorHAnsi" w:cs="Amnesty Trade Gothic"/>
          <w:sz w:val="14"/>
          <w:szCs w:val="14"/>
        </w:rPr>
        <w:footnoteRef/>
      </w:r>
      <w:r w:rsidRPr="00823A57">
        <w:rPr>
          <w:rStyle w:val="FootnoteReference"/>
          <w:rFonts w:asciiTheme="minorHAnsi" w:eastAsia="Amnesty Trade Gothic" w:hAnsiTheme="minorHAnsi" w:cs="Amnesty Trade Gothic"/>
          <w:sz w:val="14"/>
          <w:szCs w:val="14"/>
        </w:rPr>
        <w:t xml:space="preserve"> </w:t>
      </w:r>
      <w:r w:rsidRPr="00823A57">
        <w:rPr>
          <w:rStyle w:val="FootnoteReference"/>
          <w:rFonts w:asciiTheme="minorHAnsi" w:eastAsia="Amnesty Trade Gothic" w:hAnsiTheme="minorHAnsi" w:cs="Amnesty Trade Gothic"/>
          <w:sz w:val="14"/>
          <w:szCs w:val="14"/>
          <w:vertAlign w:val="baseline"/>
        </w:rPr>
        <w:t>Amnesty Internation</w:t>
      </w:r>
      <w:r w:rsidRPr="00823A57">
        <w:rPr>
          <w:rFonts w:asciiTheme="minorHAnsi" w:hAnsiTheme="minorHAnsi"/>
          <w:sz w:val="14"/>
          <w:szCs w:val="14"/>
        </w:rPr>
        <w:t>al</w:t>
      </w:r>
      <w:r w:rsidRPr="00823A57">
        <w:rPr>
          <w:rStyle w:val="FootnoteReference"/>
          <w:rFonts w:asciiTheme="minorHAnsi" w:eastAsia="Amnesty Trade Gothic" w:hAnsiTheme="minorHAnsi" w:cs="Amnesty Trade Gothic"/>
          <w:sz w:val="14"/>
          <w:szCs w:val="14"/>
          <w:vertAlign w:val="baseline"/>
        </w:rPr>
        <w:t>, “"</w:t>
      </w:r>
      <w:proofErr w:type="spellStart"/>
      <w:r w:rsidRPr="00823A57">
        <w:rPr>
          <w:rStyle w:val="FootnoteReference"/>
          <w:rFonts w:asciiTheme="minorHAnsi" w:eastAsia="Amnesty Trade Gothic" w:hAnsiTheme="minorHAnsi" w:cs="Amnesty Trade Gothic"/>
          <w:sz w:val="14"/>
          <w:szCs w:val="14"/>
          <w:vertAlign w:val="baseline"/>
        </w:rPr>
        <w:t>Erinnern</w:t>
      </w:r>
      <w:proofErr w:type="spellEnd"/>
      <w:r w:rsidRPr="00823A57">
        <w:rPr>
          <w:rStyle w:val="FootnoteReference"/>
          <w:rFonts w:asciiTheme="minorHAnsi" w:eastAsia="Amnesty Trade Gothic" w:hAnsiTheme="minorHAnsi" w:cs="Amnesty Trade Gothic"/>
          <w:sz w:val="14"/>
          <w:szCs w:val="14"/>
          <w:vertAlign w:val="baseline"/>
        </w:rPr>
        <w:t xml:space="preserve"> </w:t>
      </w:r>
      <w:proofErr w:type="spellStart"/>
      <w:r w:rsidRPr="00823A57">
        <w:rPr>
          <w:rStyle w:val="FootnoteReference"/>
          <w:rFonts w:asciiTheme="minorHAnsi" w:eastAsia="Amnesty Trade Gothic" w:hAnsiTheme="minorHAnsi" w:cs="Amnesty Trade Gothic"/>
          <w:sz w:val="14"/>
          <w:szCs w:val="14"/>
          <w:vertAlign w:val="baseline"/>
        </w:rPr>
        <w:t>heißt</w:t>
      </w:r>
      <w:proofErr w:type="spellEnd"/>
      <w:r w:rsidRPr="00823A57">
        <w:rPr>
          <w:rStyle w:val="FootnoteReference"/>
          <w:rFonts w:asciiTheme="minorHAnsi" w:eastAsia="Amnesty Trade Gothic" w:hAnsiTheme="minorHAnsi" w:cs="Amnesty Trade Gothic"/>
          <w:sz w:val="14"/>
          <w:szCs w:val="14"/>
          <w:vertAlign w:val="baseline"/>
        </w:rPr>
        <w:t xml:space="preserve"> </w:t>
      </w:r>
      <w:proofErr w:type="spellStart"/>
      <w:r w:rsidRPr="00823A57">
        <w:rPr>
          <w:rStyle w:val="FootnoteReference"/>
          <w:rFonts w:asciiTheme="minorHAnsi" w:eastAsia="Amnesty Trade Gothic" w:hAnsiTheme="minorHAnsi" w:cs="Amnesty Trade Gothic"/>
          <w:sz w:val="14"/>
          <w:szCs w:val="14"/>
          <w:vertAlign w:val="baseline"/>
        </w:rPr>
        <w:t>sich</w:t>
      </w:r>
      <w:proofErr w:type="spellEnd"/>
      <w:r w:rsidRPr="00823A57">
        <w:rPr>
          <w:rStyle w:val="FootnoteReference"/>
          <w:rFonts w:asciiTheme="minorHAnsi" w:eastAsia="Amnesty Trade Gothic" w:hAnsiTheme="minorHAnsi" w:cs="Amnesty Trade Gothic"/>
          <w:sz w:val="14"/>
          <w:szCs w:val="14"/>
          <w:vertAlign w:val="baseline"/>
        </w:rPr>
        <w:t xml:space="preserve"> </w:t>
      </w:r>
      <w:proofErr w:type="spellStart"/>
      <w:r w:rsidRPr="00823A57">
        <w:rPr>
          <w:rStyle w:val="FootnoteReference"/>
          <w:rFonts w:asciiTheme="minorHAnsi" w:eastAsia="Amnesty Trade Gothic" w:hAnsiTheme="minorHAnsi" w:cs="Amnesty Trade Gothic"/>
          <w:sz w:val="14"/>
          <w:szCs w:val="14"/>
          <w:vertAlign w:val="baseline"/>
        </w:rPr>
        <w:t>zu</w:t>
      </w:r>
      <w:proofErr w:type="spellEnd"/>
      <w:r w:rsidRPr="00823A57">
        <w:rPr>
          <w:rStyle w:val="FootnoteReference"/>
          <w:rFonts w:asciiTheme="minorHAnsi" w:eastAsia="Amnesty Trade Gothic" w:hAnsiTheme="minorHAnsi" w:cs="Amnesty Trade Gothic"/>
          <w:sz w:val="14"/>
          <w:szCs w:val="14"/>
          <w:vertAlign w:val="baseline"/>
        </w:rPr>
        <w:t xml:space="preserve"> </w:t>
      </w:r>
      <w:proofErr w:type="spellStart"/>
      <w:r w:rsidRPr="00823A57">
        <w:rPr>
          <w:rStyle w:val="FootnoteReference"/>
          <w:rFonts w:asciiTheme="minorHAnsi" w:eastAsia="Amnesty Trade Gothic" w:hAnsiTheme="minorHAnsi" w:cs="Amnesty Trade Gothic"/>
          <w:sz w:val="14"/>
          <w:szCs w:val="14"/>
          <w:vertAlign w:val="baseline"/>
        </w:rPr>
        <w:t>verbünden</w:t>
      </w:r>
      <w:proofErr w:type="spellEnd"/>
      <w:r w:rsidRPr="00823A57">
        <w:rPr>
          <w:rStyle w:val="FootnoteReference"/>
          <w:rFonts w:asciiTheme="minorHAnsi" w:eastAsia="Amnesty Trade Gothic" w:hAnsiTheme="minorHAnsi" w:cs="Amnesty Trade Gothic"/>
          <w:sz w:val="14"/>
          <w:szCs w:val="14"/>
          <w:vertAlign w:val="baseline"/>
        </w:rPr>
        <w:t xml:space="preserve">": Sieben Jahre </w:t>
      </w:r>
      <w:proofErr w:type="spellStart"/>
      <w:r w:rsidRPr="00823A57">
        <w:rPr>
          <w:rStyle w:val="FootnoteReference"/>
          <w:rFonts w:asciiTheme="minorHAnsi" w:eastAsia="Amnesty Trade Gothic" w:hAnsiTheme="minorHAnsi" w:cs="Amnesty Trade Gothic"/>
          <w:sz w:val="14"/>
          <w:szCs w:val="14"/>
          <w:vertAlign w:val="baseline"/>
        </w:rPr>
        <w:t>nach</w:t>
      </w:r>
      <w:proofErr w:type="spellEnd"/>
      <w:r w:rsidRPr="00823A57">
        <w:rPr>
          <w:rStyle w:val="FootnoteReference"/>
          <w:rFonts w:asciiTheme="minorHAnsi" w:eastAsia="Amnesty Trade Gothic" w:hAnsiTheme="minorHAnsi" w:cs="Amnesty Trade Gothic"/>
          <w:sz w:val="14"/>
          <w:szCs w:val="14"/>
          <w:vertAlign w:val="baseline"/>
        </w:rPr>
        <w:t xml:space="preserve"> </w:t>
      </w:r>
      <w:proofErr w:type="spellStart"/>
      <w:r w:rsidRPr="00823A57">
        <w:rPr>
          <w:rStyle w:val="FootnoteReference"/>
          <w:rFonts w:asciiTheme="minorHAnsi" w:eastAsia="Amnesty Trade Gothic" w:hAnsiTheme="minorHAnsi" w:cs="Amnesty Trade Gothic"/>
          <w:sz w:val="14"/>
          <w:szCs w:val="14"/>
          <w:vertAlign w:val="baseline"/>
        </w:rPr>
        <w:t>dem</w:t>
      </w:r>
      <w:proofErr w:type="spellEnd"/>
      <w:r w:rsidRPr="00823A57">
        <w:rPr>
          <w:rStyle w:val="FootnoteReference"/>
          <w:rFonts w:asciiTheme="minorHAnsi" w:eastAsia="Amnesty Trade Gothic" w:hAnsiTheme="minorHAnsi" w:cs="Amnesty Trade Gothic"/>
          <w:sz w:val="14"/>
          <w:szCs w:val="14"/>
          <w:vertAlign w:val="baseline"/>
        </w:rPr>
        <w:t xml:space="preserve"> </w:t>
      </w:r>
      <w:proofErr w:type="spellStart"/>
      <w:r w:rsidRPr="00823A57">
        <w:rPr>
          <w:rStyle w:val="FootnoteReference"/>
          <w:rFonts w:asciiTheme="minorHAnsi" w:eastAsia="Amnesty Trade Gothic" w:hAnsiTheme="minorHAnsi" w:cs="Amnesty Trade Gothic"/>
          <w:sz w:val="14"/>
          <w:szCs w:val="14"/>
          <w:vertAlign w:val="baseline"/>
        </w:rPr>
        <w:t>rassistischen</w:t>
      </w:r>
      <w:proofErr w:type="spellEnd"/>
      <w:r w:rsidRPr="00823A57">
        <w:rPr>
          <w:rStyle w:val="FootnoteReference"/>
          <w:rFonts w:asciiTheme="minorHAnsi" w:eastAsia="Amnesty Trade Gothic" w:hAnsiTheme="minorHAnsi" w:cs="Amnesty Trade Gothic"/>
          <w:sz w:val="14"/>
          <w:szCs w:val="14"/>
          <w:vertAlign w:val="baseline"/>
        </w:rPr>
        <w:t xml:space="preserve"> </w:t>
      </w:r>
      <w:proofErr w:type="spellStart"/>
      <w:r w:rsidRPr="00823A57">
        <w:rPr>
          <w:rStyle w:val="FootnoteReference"/>
          <w:rFonts w:asciiTheme="minorHAnsi" w:eastAsia="Amnesty Trade Gothic" w:hAnsiTheme="minorHAnsi" w:cs="Amnesty Trade Gothic"/>
          <w:sz w:val="14"/>
          <w:szCs w:val="14"/>
          <w:vertAlign w:val="baseline"/>
        </w:rPr>
        <w:t>Anschlag</w:t>
      </w:r>
      <w:proofErr w:type="spellEnd"/>
      <w:r w:rsidRPr="00823A57">
        <w:rPr>
          <w:rStyle w:val="FootnoteReference"/>
          <w:rFonts w:asciiTheme="minorHAnsi" w:eastAsia="Amnesty Trade Gothic" w:hAnsiTheme="minorHAnsi" w:cs="Amnesty Trade Gothic"/>
          <w:sz w:val="14"/>
          <w:szCs w:val="14"/>
          <w:vertAlign w:val="baseline"/>
        </w:rPr>
        <w:t xml:space="preserve"> in München</w:t>
      </w:r>
      <w:r w:rsidRPr="00823A57">
        <w:rPr>
          <w:rFonts w:asciiTheme="minorHAnsi" w:hAnsiTheme="minorHAnsi"/>
          <w:sz w:val="14"/>
          <w:szCs w:val="14"/>
        </w:rPr>
        <w:t xml:space="preserve">” [“"Remembering means uniting": Seven years after the racist attack in Munich”], 30 June 2023, </w:t>
      </w:r>
      <w:hyperlink r:id="rId70" w:tooltip="https://www.amnesty.de/informieren/aktuell/deutschland-oez-terroranschlag-muenchen-rassismus" w:history="1">
        <w:r w:rsidRPr="00823A57">
          <w:rPr>
            <w:rStyle w:val="Hyperlink"/>
            <w:rFonts w:asciiTheme="minorHAnsi" w:eastAsia="Amnesty Trade Gothic" w:hAnsiTheme="minorHAnsi" w:cs="Amnesty Trade Gothic"/>
            <w:sz w:val="14"/>
            <w:szCs w:val="14"/>
          </w:rPr>
          <w:t>https://www.amnesty.de/informieren/aktuell/deutschland-oez-terroranschlag-muenchen-rassismus</w:t>
        </w:r>
      </w:hyperlink>
      <w:r w:rsidRPr="00823A57">
        <w:rPr>
          <w:rFonts w:asciiTheme="minorHAnsi" w:hAnsiTheme="minorHAnsi"/>
          <w:sz w:val="14"/>
          <w:szCs w:val="14"/>
        </w:rPr>
        <w:t xml:space="preserve"> (in German).</w:t>
      </w:r>
    </w:p>
  </w:footnote>
  <w:footnote w:id="94">
    <w:p w14:paraId="112CCE80" w14:textId="77777777" w:rsidR="00070213" w:rsidRPr="00823A57" w:rsidRDefault="00070213" w:rsidP="00CD0A25">
      <w:pPr>
        <w:pStyle w:val="FootnoteText"/>
        <w:shd w:val="clear" w:color="auto" w:fill="FFFFFF" w:themeFill="background1"/>
        <w:spacing w:after="0"/>
        <w:rPr>
          <w:rFonts w:asciiTheme="minorHAnsi" w:hAnsiTheme="minorHAnsi"/>
          <w:sz w:val="14"/>
          <w:szCs w:val="14"/>
          <w:lang w:val="de-DE"/>
        </w:rPr>
      </w:pPr>
      <w:r w:rsidRPr="00823A57">
        <w:rPr>
          <w:rFonts w:asciiTheme="minorHAnsi" w:hAnsiTheme="minorHAnsi"/>
          <w:color w:val="auto"/>
          <w:sz w:val="14"/>
          <w:szCs w:val="14"/>
          <w:vertAlign w:val="superscript"/>
        </w:rPr>
        <w:footnoteRef/>
      </w:r>
      <w:r w:rsidRPr="00823A57">
        <w:rPr>
          <w:rFonts w:asciiTheme="minorHAnsi" w:hAnsiTheme="minorHAnsi"/>
          <w:color w:val="0000FF"/>
          <w:sz w:val="14"/>
          <w:szCs w:val="14"/>
          <w:shd w:val="clear" w:color="auto" w:fill="FFFFFF" w:themeFill="background1"/>
          <w:vertAlign w:val="superscript"/>
          <w:lang w:val="de-DE"/>
        </w:rPr>
        <w:t xml:space="preserve"> </w:t>
      </w:r>
      <w:r w:rsidRPr="00823A57">
        <w:rPr>
          <w:rStyle w:val="FootnoteReference"/>
          <w:rFonts w:asciiTheme="minorHAnsi" w:eastAsia="Amnesty Trade Gothic" w:hAnsiTheme="minorHAnsi" w:cs="Amnesty Trade Gothic"/>
          <w:sz w:val="14"/>
          <w:szCs w:val="14"/>
          <w:vertAlign w:val="baseline"/>
          <w:lang w:val="de-DE"/>
        </w:rPr>
        <w:t>Amnesty Internation</w:t>
      </w:r>
      <w:r w:rsidRPr="00823A57">
        <w:rPr>
          <w:rFonts w:asciiTheme="minorHAnsi" w:hAnsiTheme="minorHAnsi"/>
          <w:color w:val="2B579A"/>
          <w:sz w:val="14"/>
          <w:szCs w:val="14"/>
          <w:shd w:val="clear" w:color="auto" w:fill="FFFFFF" w:themeFill="background1"/>
          <w:lang w:val="de-DE"/>
        </w:rPr>
        <w:t>al</w:t>
      </w:r>
      <w:r w:rsidRPr="00823A57">
        <w:rPr>
          <w:rStyle w:val="FootnoteReference"/>
          <w:rFonts w:asciiTheme="minorHAnsi" w:eastAsia="Amnesty Trade Gothic" w:hAnsiTheme="minorHAnsi" w:cs="Amnesty Trade Gothic"/>
          <w:sz w:val="14"/>
          <w:szCs w:val="14"/>
          <w:shd w:val="clear" w:color="auto" w:fill="FFFFFF" w:themeFill="background1"/>
          <w:vertAlign w:val="baseline"/>
          <w:lang w:val="de-DE"/>
        </w:rPr>
        <w:t>,</w:t>
      </w:r>
      <w:r w:rsidRPr="00823A57">
        <w:rPr>
          <w:rFonts w:asciiTheme="minorHAnsi" w:hAnsiTheme="minorHAnsi"/>
          <w:color w:val="2B579A"/>
          <w:sz w:val="14"/>
          <w:szCs w:val="14"/>
          <w:shd w:val="clear" w:color="auto" w:fill="FFFFFF" w:themeFill="background1"/>
          <w:lang w:val="de-DE"/>
        </w:rPr>
        <w:t xml:space="preserve"> </w:t>
      </w:r>
      <w:r w:rsidRPr="00823A57">
        <w:rPr>
          <w:rFonts w:asciiTheme="minorHAnsi" w:hAnsiTheme="minorHAnsi"/>
          <w:sz w:val="14"/>
          <w:szCs w:val="14"/>
          <w:shd w:val="clear" w:color="auto" w:fill="FFFFFF" w:themeFill="background1"/>
          <w:lang w:val="de-DE"/>
        </w:rPr>
        <w:t xml:space="preserve">“Dritter Jahrestag des Anschlags in Halle: Erinnern heißt Verändern” [“Third </w:t>
      </w:r>
      <w:proofErr w:type="spellStart"/>
      <w:r w:rsidRPr="00823A57">
        <w:rPr>
          <w:rFonts w:asciiTheme="minorHAnsi" w:hAnsiTheme="minorHAnsi"/>
          <w:sz w:val="14"/>
          <w:szCs w:val="14"/>
          <w:shd w:val="clear" w:color="auto" w:fill="FFFFFF" w:themeFill="background1"/>
          <w:lang w:val="de-DE"/>
        </w:rPr>
        <w:t>anniversary</w:t>
      </w:r>
      <w:proofErr w:type="spellEnd"/>
      <w:r w:rsidRPr="00823A57">
        <w:rPr>
          <w:rFonts w:asciiTheme="minorHAnsi" w:hAnsiTheme="minorHAnsi"/>
          <w:sz w:val="14"/>
          <w:szCs w:val="14"/>
          <w:shd w:val="clear" w:color="auto" w:fill="FFFFFF" w:themeFill="background1"/>
          <w:lang w:val="de-DE"/>
        </w:rPr>
        <w:t xml:space="preserve"> of the </w:t>
      </w:r>
      <w:proofErr w:type="spellStart"/>
      <w:r w:rsidRPr="00823A57">
        <w:rPr>
          <w:rFonts w:asciiTheme="minorHAnsi" w:hAnsiTheme="minorHAnsi"/>
          <w:sz w:val="14"/>
          <w:szCs w:val="14"/>
          <w:shd w:val="clear" w:color="auto" w:fill="FFFFFF" w:themeFill="background1"/>
          <w:lang w:val="de-DE"/>
        </w:rPr>
        <w:t>attack</w:t>
      </w:r>
      <w:proofErr w:type="spellEnd"/>
      <w:r w:rsidRPr="00823A57">
        <w:rPr>
          <w:rFonts w:asciiTheme="minorHAnsi" w:hAnsiTheme="minorHAnsi"/>
          <w:sz w:val="14"/>
          <w:szCs w:val="14"/>
          <w:shd w:val="clear" w:color="auto" w:fill="FFFFFF" w:themeFill="background1"/>
          <w:lang w:val="de-DE"/>
        </w:rPr>
        <w:t xml:space="preserve"> in Halle: </w:t>
      </w:r>
      <w:proofErr w:type="spellStart"/>
      <w:r w:rsidRPr="00823A57">
        <w:rPr>
          <w:rFonts w:asciiTheme="minorHAnsi" w:hAnsiTheme="minorHAnsi"/>
          <w:sz w:val="14"/>
          <w:szCs w:val="14"/>
          <w:shd w:val="clear" w:color="auto" w:fill="FFFFFF" w:themeFill="background1"/>
          <w:lang w:val="de-DE"/>
        </w:rPr>
        <w:t>Remembering</w:t>
      </w:r>
      <w:proofErr w:type="spellEnd"/>
      <w:r w:rsidRPr="00823A57">
        <w:rPr>
          <w:rFonts w:asciiTheme="minorHAnsi" w:hAnsiTheme="minorHAnsi"/>
          <w:sz w:val="14"/>
          <w:szCs w:val="14"/>
          <w:shd w:val="clear" w:color="auto" w:fill="FFFFFF" w:themeFill="background1"/>
          <w:lang w:val="de-DE"/>
        </w:rPr>
        <w:t xml:space="preserve"> </w:t>
      </w:r>
      <w:proofErr w:type="spellStart"/>
      <w:r w:rsidRPr="00823A57">
        <w:rPr>
          <w:rFonts w:asciiTheme="minorHAnsi" w:hAnsiTheme="minorHAnsi"/>
          <w:sz w:val="14"/>
          <w:szCs w:val="14"/>
          <w:shd w:val="clear" w:color="auto" w:fill="FFFFFF" w:themeFill="background1"/>
          <w:lang w:val="de-DE"/>
        </w:rPr>
        <w:t>means</w:t>
      </w:r>
      <w:proofErr w:type="spellEnd"/>
      <w:r w:rsidRPr="00823A57">
        <w:rPr>
          <w:rFonts w:asciiTheme="minorHAnsi" w:hAnsiTheme="minorHAnsi"/>
          <w:sz w:val="14"/>
          <w:szCs w:val="14"/>
          <w:shd w:val="clear" w:color="auto" w:fill="FFFFFF" w:themeFill="background1"/>
          <w:lang w:val="de-DE"/>
        </w:rPr>
        <w:t xml:space="preserve"> </w:t>
      </w:r>
      <w:proofErr w:type="spellStart"/>
      <w:r w:rsidRPr="00823A57">
        <w:rPr>
          <w:rFonts w:asciiTheme="minorHAnsi" w:hAnsiTheme="minorHAnsi"/>
          <w:sz w:val="14"/>
          <w:szCs w:val="14"/>
          <w:shd w:val="clear" w:color="auto" w:fill="FFFFFF" w:themeFill="background1"/>
          <w:lang w:val="de-DE"/>
        </w:rPr>
        <w:t>changing</w:t>
      </w:r>
      <w:proofErr w:type="spellEnd"/>
      <w:r w:rsidRPr="00823A57">
        <w:rPr>
          <w:rFonts w:asciiTheme="minorHAnsi" w:hAnsiTheme="minorHAnsi"/>
          <w:sz w:val="14"/>
          <w:szCs w:val="14"/>
          <w:shd w:val="clear" w:color="auto" w:fill="FFFFFF" w:themeFill="background1"/>
          <w:lang w:val="de-DE"/>
        </w:rPr>
        <w:t xml:space="preserve">”], 7 </w:t>
      </w:r>
      <w:proofErr w:type="spellStart"/>
      <w:r w:rsidRPr="00823A57">
        <w:rPr>
          <w:rFonts w:asciiTheme="minorHAnsi" w:hAnsiTheme="minorHAnsi"/>
          <w:sz w:val="14"/>
          <w:szCs w:val="14"/>
          <w:shd w:val="clear" w:color="auto" w:fill="FFFFFF" w:themeFill="background1"/>
          <w:lang w:val="de-DE"/>
        </w:rPr>
        <w:t>October</w:t>
      </w:r>
      <w:proofErr w:type="spellEnd"/>
      <w:r w:rsidRPr="00823A57">
        <w:rPr>
          <w:rFonts w:asciiTheme="minorHAnsi" w:hAnsiTheme="minorHAnsi"/>
          <w:sz w:val="14"/>
          <w:szCs w:val="14"/>
          <w:shd w:val="clear" w:color="auto" w:fill="FFFFFF" w:themeFill="background1"/>
          <w:lang w:val="de-DE"/>
        </w:rPr>
        <w:t xml:space="preserve"> 2022, </w:t>
      </w:r>
      <w:hyperlink r:id="rId71" w:tooltip="https://www.amnesty.de/informieren/aktuell/deutschland-halle-dritter-jahrestag-des-anschlags-antisemitismus" w:history="1">
        <w:r w:rsidRPr="00823A57">
          <w:rPr>
            <w:rStyle w:val="Hyperlink"/>
            <w:rFonts w:asciiTheme="minorHAnsi" w:eastAsia="Amnesty Trade Gothic" w:hAnsiTheme="minorHAnsi" w:cs="Amnesty Trade Gothic"/>
            <w:color w:val="0563C1"/>
            <w:sz w:val="14"/>
            <w:szCs w:val="14"/>
            <w:shd w:val="clear" w:color="auto" w:fill="FFFFFF" w:themeFill="background1"/>
            <w:lang w:val="de-DE"/>
          </w:rPr>
          <w:t>https://www.amnesty.de/informieren/aktuell/deutschland-halle-dritter-jahrestag-des-anschlags-antisemitismus</w:t>
        </w:r>
      </w:hyperlink>
      <w:r w:rsidRPr="00823A57">
        <w:rPr>
          <w:rFonts w:asciiTheme="minorHAnsi" w:hAnsiTheme="minorHAnsi"/>
          <w:color w:val="2B579A"/>
          <w:sz w:val="14"/>
          <w:szCs w:val="14"/>
          <w:shd w:val="clear" w:color="auto" w:fill="FFFFFF" w:themeFill="background1"/>
          <w:lang w:val="de-DE"/>
        </w:rPr>
        <w:t xml:space="preserve"> (in German).</w:t>
      </w:r>
    </w:p>
  </w:footnote>
  <w:footnote w:id="95">
    <w:p w14:paraId="7EFAC9CE" w14:textId="77777777" w:rsidR="00070213" w:rsidRPr="00823A57" w:rsidRDefault="00070213" w:rsidP="00CD0A25">
      <w:pPr>
        <w:pStyle w:val="FootnoteText"/>
        <w:shd w:val="clear" w:color="auto" w:fill="FFFFFF"/>
        <w:spacing w:after="0"/>
        <w:rPr>
          <w:rFonts w:asciiTheme="minorHAnsi" w:hAnsiTheme="minorHAnsi"/>
          <w:sz w:val="14"/>
          <w:szCs w:val="14"/>
          <w:lang w:val="de-DE"/>
        </w:rPr>
      </w:pPr>
      <w:r w:rsidRPr="00823A57">
        <w:rPr>
          <w:rFonts w:asciiTheme="minorHAnsi" w:hAnsiTheme="minorHAnsi"/>
          <w:color w:val="auto"/>
          <w:sz w:val="14"/>
          <w:szCs w:val="14"/>
          <w:vertAlign w:val="superscript"/>
        </w:rPr>
        <w:footnoteRef/>
      </w:r>
      <w:r w:rsidRPr="00823A57">
        <w:rPr>
          <w:rFonts w:asciiTheme="minorHAnsi" w:hAnsiTheme="minorHAnsi"/>
          <w:sz w:val="14"/>
          <w:szCs w:val="14"/>
          <w:vertAlign w:val="superscript"/>
          <w:lang w:val="de-DE"/>
        </w:rPr>
        <w:t xml:space="preserve"> </w:t>
      </w:r>
      <w:r w:rsidRPr="00823A57">
        <w:rPr>
          <w:rFonts w:asciiTheme="minorHAnsi" w:hAnsiTheme="minorHAnsi"/>
          <w:sz w:val="14"/>
          <w:szCs w:val="14"/>
          <w:lang w:val="de-DE"/>
        </w:rPr>
        <w:t xml:space="preserve">These </w:t>
      </w:r>
      <w:proofErr w:type="spellStart"/>
      <w:r w:rsidRPr="00823A57">
        <w:rPr>
          <w:rFonts w:asciiTheme="minorHAnsi" w:hAnsiTheme="minorHAnsi"/>
          <w:sz w:val="14"/>
          <w:szCs w:val="14"/>
          <w:lang w:val="de-DE"/>
        </w:rPr>
        <w:t>were</w:t>
      </w:r>
      <w:proofErr w:type="spellEnd"/>
      <w:r w:rsidRPr="00823A57">
        <w:rPr>
          <w:rFonts w:asciiTheme="minorHAnsi" w:hAnsiTheme="minorHAnsi"/>
          <w:sz w:val="14"/>
          <w:szCs w:val="14"/>
          <w:lang w:val="de-DE"/>
        </w:rPr>
        <w:t xml:space="preserve"> Gökhan Gültekin, Sedat Gürbüz, Said </w:t>
      </w:r>
      <w:proofErr w:type="spellStart"/>
      <w:r w:rsidRPr="00823A57">
        <w:rPr>
          <w:rFonts w:asciiTheme="minorHAnsi" w:hAnsiTheme="minorHAnsi"/>
          <w:sz w:val="14"/>
          <w:szCs w:val="14"/>
          <w:lang w:val="de-DE"/>
        </w:rPr>
        <w:t>Nesar</w:t>
      </w:r>
      <w:proofErr w:type="spellEnd"/>
      <w:r w:rsidRPr="00823A57">
        <w:rPr>
          <w:rFonts w:asciiTheme="minorHAnsi" w:hAnsiTheme="minorHAnsi"/>
          <w:sz w:val="14"/>
          <w:szCs w:val="14"/>
          <w:lang w:val="de-DE"/>
        </w:rPr>
        <w:t xml:space="preserve"> Hashemi, Mercedes </w:t>
      </w:r>
      <w:proofErr w:type="spellStart"/>
      <w:r w:rsidRPr="00823A57">
        <w:rPr>
          <w:rFonts w:asciiTheme="minorHAnsi" w:hAnsiTheme="minorHAnsi"/>
          <w:sz w:val="14"/>
          <w:szCs w:val="14"/>
          <w:lang w:val="de-DE"/>
        </w:rPr>
        <w:t>Kierpacz</w:t>
      </w:r>
      <w:proofErr w:type="spellEnd"/>
      <w:r w:rsidRPr="00823A57">
        <w:rPr>
          <w:rFonts w:asciiTheme="minorHAnsi" w:hAnsiTheme="minorHAnsi"/>
          <w:sz w:val="14"/>
          <w:szCs w:val="14"/>
          <w:lang w:val="de-DE"/>
        </w:rPr>
        <w:t xml:space="preserve">, Hamza </w:t>
      </w:r>
      <w:proofErr w:type="spellStart"/>
      <w:r w:rsidRPr="00823A57">
        <w:rPr>
          <w:rFonts w:asciiTheme="minorHAnsi" w:hAnsiTheme="minorHAnsi"/>
          <w:sz w:val="14"/>
          <w:szCs w:val="14"/>
          <w:lang w:val="de-DE"/>
        </w:rPr>
        <w:t>Kurtović</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Vili</w:t>
      </w:r>
      <w:proofErr w:type="spellEnd"/>
      <w:r w:rsidRPr="00823A57">
        <w:rPr>
          <w:rFonts w:asciiTheme="minorHAnsi" w:hAnsiTheme="minorHAnsi"/>
          <w:sz w:val="14"/>
          <w:szCs w:val="14"/>
          <w:lang w:val="de-DE"/>
        </w:rPr>
        <w:t xml:space="preserve"> Viorel </w:t>
      </w:r>
      <w:proofErr w:type="spellStart"/>
      <w:r w:rsidRPr="00823A57">
        <w:rPr>
          <w:rFonts w:asciiTheme="minorHAnsi" w:hAnsiTheme="minorHAnsi"/>
          <w:sz w:val="14"/>
          <w:szCs w:val="14"/>
          <w:lang w:val="de-DE"/>
        </w:rPr>
        <w:t>Păun</w:t>
      </w:r>
      <w:proofErr w:type="spellEnd"/>
      <w:r w:rsidRPr="00823A57">
        <w:rPr>
          <w:rFonts w:asciiTheme="minorHAnsi" w:hAnsiTheme="minorHAnsi"/>
          <w:sz w:val="14"/>
          <w:szCs w:val="14"/>
          <w:lang w:val="de-DE"/>
        </w:rPr>
        <w:t xml:space="preserve">, Fatih </w:t>
      </w:r>
      <w:proofErr w:type="spellStart"/>
      <w:r w:rsidRPr="00823A57">
        <w:rPr>
          <w:rFonts w:asciiTheme="minorHAnsi" w:hAnsiTheme="minorHAnsi"/>
          <w:sz w:val="14"/>
          <w:szCs w:val="14"/>
          <w:lang w:val="de-DE"/>
        </w:rPr>
        <w:t>Saraçoğlu</w:t>
      </w:r>
      <w:proofErr w:type="spellEnd"/>
      <w:r w:rsidRPr="00823A57">
        <w:rPr>
          <w:rFonts w:asciiTheme="minorHAnsi" w:hAnsiTheme="minorHAnsi"/>
          <w:sz w:val="14"/>
          <w:szCs w:val="14"/>
          <w:lang w:val="de-DE"/>
        </w:rPr>
        <w:t xml:space="preserve">, Ferhat </w:t>
      </w:r>
      <w:proofErr w:type="spellStart"/>
      <w:r w:rsidRPr="00823A57">
        <w:rPr>
          <w:rFonts w:asciiTheme="minorHAnsi" w:hAnsiTheme="minorHAnsi"/>
          <w:sz w:val="14"/>
          <w:szCs w:val="14"/>
          <w:lang w:val="de-DE"/>
        </w:rPr>
        <w:t>Unvar</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Kaloyan</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Velkov</w:t>
      </w:r>
      <w:proofErr w:type="spellEnd"/>
      <w:r w:rsidRPr="00823A57">
        <w:rPr>
          <w:rFonts w:asciiTheme="minorHAnsi" w:hAnsiTheme="minorHAnsi"/>
          <w:sz w:val="14"/>
          <w:szCs w:val="14"/>
          <w:lang w:val="de-DE"/>
        </w:rPr>
        <w:t>.</w:t>
      </w:r>
    </w:p>
  </w:footnote>
  <w:footnote w:id="96">
    <w:p w14:paraId="761CE4B6" w14:textId="77777777" w:rsidR="00070213" w:rsidRPr="00823A57" w:rsidRDefault="00070213" w:rsidP="00CD0A25">
      <w:pPr>
        <w:pStyle w:val="FootnoteText"/>
        <w:shd w:val="clear" w:color="auto" w:fill="FFFFFF"/>
        <w:spacing w:after="0"/>
        <w:rPr>
          <w:rFonts w:asciiTheme="minorHAnsi" w:hAnsiTheme="minorHAnsi"/>
          <w:sz w:val="14"/>
          <w:szCs w:val="14"/>
          <w:lang w:val="en-US"/>
        </w:rPr>
      </w:pPr>
      <w:r w:rsidRPr="00823A57">
        <w:rPr>
          <w:rFonts w:asciiTheme="minorHAnsi" w:hAnsiTheme="minorHAnsi"/>
          <w:color w:val="auto"/>
          <w:sz w:val="14"/>
          <w:szCs w:val="14"/>
          <w:vertAlign w:val="superscript"/>
        </w:rPr>
        <w:footnoteRef/>
      </w:r>
      <w:r w:rsidRPr="00823A57">
        <w:rPr>
          <w:rFonts w:asciiTheme="minorHAnsi" w:hAnsiTheme="minorHAnsi"/>
          <w:sz w:val="14"/>
          <w:szCs w:val="14"/>
          <w:vertAlign w:val="superscript"/>
          <w:lang w:val="de-DE"/>
        </w:rPr>
        <w:t xml:space="preserve"> </w:t>
      </w:r>
      <w:r w:rsidRPr="00823A57">
        <w:rPr>
          <w:rFonts w:asciiTheme="minorHAnsi" w:hAnsiTheme="minorHAnsi"/>
          <w:sz w:val="14"/>
          <w:szCs w:val="14"/>
          <w:lang w:val="de-DE"/>
        </w:rPr>
        <w:t xml:space="preserve">See Amnesty International, ”Zweiter Jahrestag des Anschlags von Hanau: Rassismus erkennen und entgegentreten!“ </w:t>
      </w:r>
      <w:r w:rsidRPr="00823A57">
        <w:rPr>
          <w:rFonts w:asciiTheme="minorHAnsi" w:hAnsiTheme="minorHAnsi"/>
          <w:sz w:val="14"/>
          <w:szCs w:val="14"/>
          <w:lang w:val="en-US"/>
        </w:rPr>
        <w:t xml:space="preserve">[“Second anniversary of the Hanau attack: </w:t>
      </w:r>
      <w:proofErr w:type="spellStart"/>
      <w:r w:rsidRPr="00823A57">
        <w:rPr>
          <w:rFonts w:asciiTheme="minorHAnsi" w:hAnsiTheme="minorHAnsi"/>
          <w:sz w:val="14"/>
          <w:szCs w:val="14"/>
          <w:lang w:val="en-US"/>
        </w:rPr>
        <w:t>Recognising</w:t>
      </w:r>
      <w:proofErr w:type="spellEnd"/>
      <w:r w:rsidRPr="00823A57">
        <w:rPr>
          <w:rFonts w:asciiTheme="minorHAnsi" w:hAnsiTheme="minorHAnsi"/>
          <w:sz w:val="14"/>
          <w:szCs w:val="14"/>
          <w:lang w:val="en-US"/>
        </w:rPr>
        <w:t xml:space="preserve"> and confronting racism”], 18 February 2022, </w:t>
      </w:r>
      <w:hyperlink r:id="rId72" w:tooltip="https://www.amnesty.de/allgemein/pressemitteilung/deutschland-hanau-anschlag-jahrestag-rassismus-entgegentreten" w:history="1">
        <w:r w:rsidRPr="00823A57">
          <w:rPr>
            <w:rStyle w:val="Hyperlink"/>
            <w:rFonts w:asciiTheme="minorHAnsi" w:eastAsia="Amnesty Trade Gothic" w:hAnsiTheme="minorHAnsi" w:cs="Amnesty Trade Gothic"/>
            <w:color w:val="0563C1"/>
            <w:sz w:val="14"/>
            <w:szCs w:val="14"/>
            <w:lang w:val="en-US"/>
          </w:rPr>
          <w:t>https://www.amnesty.de/allgemein/pressemitteilung/deutschland-hanau-anschlag-jahrestag-rassismus-entgegentreten</w:t>
        </w:r>
      </w:hyperlink>
      <w:r w:rsidRPr="00823A57">
        <w:rPr>
          <w:rStyle w:val="Hyperlink"/>
          <w:rFonts w:asciiTheme="minorHAnsi" w:eastAsia="Amnesty Trade Gothic" w:hAnsiTheme="minorHAnsi" w:cs="Amnesty Trade Gothic"/>
          <w:color w:val="auto"/>
          <w:sz w:val="14"/>
          <w:szCs w:val="14"/>
        </w:rPr>
        <w:t xml:space="preserve"> (in German)</w:t>
      </w:r>
      <w:r w:rsidRPr="00823A57">
        <w:rPr>
          <w:rFonts w:asciiTheme="minorHAnsi" w:hAnsiTheme="minorHAnsi"/>
          <w:sz w:val="14"/>
          <w:szCs w:val="14"/>
          <w:lang w:val="en-US"/>
        </w:rPr>
        <w:t xml:space="preserve">. </w:t>
      </w:r>
    </w:p>
  </w:footnote>
  <w:footnote w:id="97">
    <w:p w14:paraId="4D7F0424" w14:textId="77777777" w:rsidR="00070213" w:rsidRPr="00823A57" w:rsidRDefault="00070213" w:rsidP="00CD0A25">
      <w:pPr>
        <w:pStyle w:val="FootnoteText"/>
        <w:shd w:val="clear" w:color="auto" w:fill="FFFFFF"/>
        <w:spacing w:after="0"/>
        <w:rPr>
          <w:rFonts w:asciiTheme="minorHAnsi" w:hAnsiTheme="minorHAnsi"/>
          <w:sz w:val="14"/>
          <w:szCs w:val="14"/>
          <w:lang w:val="en-US"/>
        </w:rPr>
      </w:pPr>
      <w:r w:rsidRPr="00823A57">
        <w:rPr>
          <w:rStyle w:val="FootnoteReference"/>
          <w:rFonts w:asciiTheme="minorHAnsi" w:eastAsia="Amnesty Trade Gothic" w:hAnsiTheme="minorHAnsi" w:cs="Amnesty Trade Gothic"/>
          <w:sz w:val="14"/>
          <w:szCs w:val="14"/>
        </w:rPr>
        <w:footnoteRef/>
      </w:r>
      <w:proofErr w:type="spellStart"/>
      <w:r w:rsidRPr="00823A57">
        <w:rPr>
          <w:rStyle w:val="FootnoteReference"/>
          <w:rFonts w:asciiTheme="minorHAnsi" w:eastAsia="Amnesty Trade Gothic" w:hAnsiTheme="minorHAnsi" w:cs="Amnesty Trade Gothic"/>
          <w:sz w:val="14"/>
          <w:szCs w:val="14"/>
          <w:vertAlign w:val="baseline"/>
          <w:lang w:val="en-US"/>
        </w:rPr>
        <w:t>Jasser</w:t>
      </w:r>
      <w:proofErr w:type="spellEnd"/>
      <w:r w:rsidRPr="00823A57">
        <w:rPr>
          <w:rFonts w:asciiTheme="minorHAnsi" w:hAnsiTheme="minorHAnsi"/>
          <w:sz w:val="14"/>
          <w:szCs w:val="14"/>
          <w:lang w:val="en-US"/>
        </w:rPr>
        <w:t>, Greta/Kelly,</w:t>
      </w:r>
      <w:r w:rsidRPr="00823A57">
        <w:rPr>
          <w:rStyle w:val="FootnoteReference"/>
          <w:rFonts w:asciiTheme="minorHAnsi" w:eastAsia="Amnesty Trade Gothic" w:hAnsiTheme="minorHAnsi" w:cs="Amnesty Trade Gothic"/>
          <w:sz w:val="14"/>
          <w:szCs w:val="14"/>
          <w:vertAlign w:val="baseline"/>
          <w:lang w:val="en-US"/>
        </w:rPr>
        <w:t xml:space="preserve"> Megan/</w:t>
      </w:r>
      <w:proofErr w:type="spellStart"/>
      <w:r w:rsidRPr="00823A57">
        <w:rPr>
          <w:rStyle w:val="FootnoteReference"/>
          <w:rFonts w:asciiTheme="minorHAnsi" w:eastAsia="Amnesty Trade Gothic" w:hAnsiTheme="minorHAnsi" w:cs="Amnesty Trade Gothic"/>
          <w:sz w:val="14"/>
          <w:szCs w:val="14"/>
          <w:vertAlign w:val="baseline"/>
          <w:lang w:val="en-US"/>
        </w:rPr>
        <w:t>Rothermel</w:t>
      </w:r>
      <w:proofErr w:type="spellEnd"/>
      <w:r w:rsidRPr="00823A57">
        <w:rPr>
          <w:rFonts w:asciiTheme="minorHAnsi" w:hAnsiTheme="minorHAnsi"/>
          <w:sz w:val="14"/>
          <w:szCs w:val="14"/>
          <w:lang w:val="en-US"/>
        </w:rPr>
        <w:t xml:space="preserve">, </w:t>
      </w:r>
      <w:r w:rsidRPr="00823A57">
        <w:rPr>
          <w:rStyle w:val="FootnoteReference"/>
          <w:rFonts w:asciiTheme="minorHAnsi" w:eastAsia="Amnesty Trade Gothic" w:hAnsiTheme="minorHAnsi" w:cs="Amnesty Trade Gothic"/>
          <w:sz w:val="14"/>
          <w:szCs w:val="14"/>
          <w:vertAlign w:val="baseline"/>
          <w:lang w:val="en-US"/>
        </w:rPr>
        <w:t xml:space="preserve">Ann-Kathrin, </w:t>
      </w:r>
      <w:r w:rsidRPr="00823A57">
        <w:rPr>
          <w:rFonts w:asciiTheme="minorHAnsi" w:hAnsiTheme="minorHAnsi"/>
          <w:sz w:val="14"/>
          <w:szCs w:val="14"/>
          <w:lang w:val="en-US"/>
        </w:rPr>
        <w:t>“</w:t>
      </w:r>
      <w:proofErr w:type="spellStart"/>
      <w:r w:rsidRPr="00823A57">
        <w:rPr>
          <w:rStyle w:val="FootnoteReference"/>
          <w:rFonts w:asciiTheme="minorHAnsi" w:eastAsia="Amnesty Trade Gothic" w:hAnsiTheme="minorHAnsi" w:cs="Amnesty Trade Gothic"/>
          <w:sz w:val="14"/>
          <w:szCs w:val="14"/>
          <w:vertAlign w:val="baseline"/>
          <w:lang w:val="en-US"/>
        </w:rPr>
        <w:t>Frauenfeind</w:t>
      </w:r>
      <w:proofErr w:type="spellEnd"/>
      <w:r w:rsidRPr="00823A57">
        <w:rPr>
          <w:rStyle w:val="FootnoteReference"/>
          <w:rFonts w:asciiTheme="minorHAnsi" w:eastAsia="Amnesty Trade Gothic" w:hAnsiTheme="minorHAnsi" w:cs="Amnesty Trade Gothic"/>
          <w:sz w:val="14"/>
          <w:szCs w:val="14"/>
          <w:vertAlign w:val="baseline"/>
          <w:lang w:val="en-US"/>
        </w:rPr>
        <w:t xml:space="preserve"> </w:t>
      </w:r>
      <w:proofErr w:type="spellStart"/>
      <w:r w:rsidRPr="00823A57">
        <w:rPr>
          <w:rStyle w:val="FootnoteReference"/>
          <w:rFonts w:asciiTheme="minorHAnsi" w:eastAsia="Amnesty Trade Gothic" w:hAnsiTheme="minorHAnsi" w:cs="Amnesty Trade Gothic"/>
          <w:sz w:val="14"/>
          <w:szCs w:val="14"/>
          <w:vertAlign w:val="baseline"/>
          <w:lang w:val="en-US"/>
        </w:rPr>
        <w:t>aber</w:t>
      </w:r>
      <w:proofErr w:type="spellEnd"/>
      <w:r w:rsidRPr="00823A57">
        <w:rPr>
          <w:rStyle w:val="FootnoteReference"/>
          <w:rFonts w:asciiTheme="minorHAnsi" w:eastAsia="Amnesty Trade Gothic" w:hAnsiTheme="minorHAnsi" w:cs="Amnesty Trade Gothic"/>
          <w:sz w:val="14"/>
          <w:szCs w:val="14"/>
          <w:vertAlign w:val="baseline"/>
          <w:lang w:val="en-US"/>
        </w:rPr>
        <w:t xml:space="preserve"> </w:t>
      </w:r>
      <w:proofErr w:type="spellStart"/>
      <w:r w:rsidRPr="00823A57">
        <w:rPr>
          <w:rStyle w:val="FootnoteReference"/>
          <w:rFonts w:asciiTheme="minorHAnsi" w:eastAsia="Amnesty Trade Gothic" w:hAnsiTheme="minorHAnsi" w:cs="Amnesty Trade Gothic"/>
          <w:sz w:val="14"/>
          <w:szCs w:val="14"/>
          <w:vertAlign w:val="baseline"/>
          <w:lang w:val="en-US"/>
        </w:rPr>
        <w:t>kein</w:t>
      </w:r>
      <w:proofErr w:type="spellEnd"/>
      <w:r w:rsidRPr="00823A57">
        <w:rPr>
          <w:rStyle w:val="FootnoteReference"/>
          <w:rFonts w:asciiTheme="minorHAnsi" w:eastAsia="Amnesty Trade Gothic" w:hAnsiTheme="minorHAnsi" w:cs="Amnesty Trade Gothic"/>
          <w:sz w:val="14"/>
          <w:szCs w:val="14"/>
          <w:vertAlign w:val="baseline"/>
          <w:lang w:val="en-US"/>
        </w:rPr>
        <w:t xml:space="preserve"> Incel“ [“Misogynist, but not an incel”],</w:t>
      </w:r>
      <w:r w:rsidRPr="00823A57">
        <w:rPr>
          <w:rFonts w:asciiTheme="minorHAnsi" w:hAnsiTheme="minorHAnsi"/>
          <w:sz w:val="14"/>
          <w:szCs w:val="14"/>
          <w:lang w:val="en-US"/>
        </w:rPr>
        <w:t xml:space="preserve"> 30 March 2020,</w:t>
      </w:r>
      <w:r w:rsidRPr="00823A57">
        <w:rPr>
          <w:rStyle w:val="FootnoteReference"/>
          <w:rFonts w:asciiTheme="minorHAnsi" w:eastAsia="Amnesty Trade Gothic" w:hAnsiTheme="minorHAnsi" w:cs="Amnesty Trade Gothic"/>
          <w:sz w:val="14"/>
          <w:szCs w:val="14"/>
          <w:lang w:val="en-US"/>
        </w:rPr>
        <w:t xml:space="preserve"> </w:t>
      </w:r>
      <w:hyperlink r:id="rId73" w:tooltip="https://www.belltower.news/das-manifest-des-hanau-attentaeters-zwischen-rechtsextremismus-und-frauenhass-frauenfeind-aber-kein-incel-97509/" w:history="1">
        <w:r w:rsidRPr="00823A57">
          <w:rPr>
            <w:rStyle w:val="Hyperlink"/>
            <w:rFonts w:asciiTheme="minorHAnsi" w:eastAsia="Amnesty Trade Gothic" w:hAnsiTheme="minorHAnsi" w:cs="Amnesty Trade Gothic"/>
            <w:sz w:val="14"/>
            <w:szCs w:val="14"/>
            <w:lang w:val="en-US"/>
          </w:rPr>
          <w:t>https://www.belltower.news/das-manifest-des-hanau-attentaeters-zwischen-rechtsextremismus-und-frauenhass-frauenfeind-aber-kein-incel-97509/</w:t>
        </w:r>
      </w:hyperlink>
      <w:r w:rsidRPr="00823A57">
        <w:rPr>
          <w:rFonts w:asciiTheme="minorHAnsi" w:hAnsiTheme="minorHAnsi"/>
          <w:sz w:val="14"/>
          <w:szCs w:val="14"/>
          <w:lang w:val="en-US"/>
        </w:rPr>
        <w:t xml:space="preserve"> (in German).</w:t>
      </w:r>
    </w:p>
  </w:footnote>
  <w:footnote w:id="98">
    <w:p w14:paraId="1CCEB3D2" w14:textId="77777777" w:rsidR="00070213" w:rsidRPr="00823A57" w:rsidRDefault="00070213" w:rsidP="00CD0A25">
      <w:pPr>
        <w:pStyle w:val="FootnoteText"/>
        <w:shd w:val="clear" w:color="auto" w:fill="FFFFFF"/>
        <w:spacing w:after="0"/>
        <w:rPr>
          <w:rFonts w:asciiTheme="minorHAnsi" w:hAnsiTheme="minorHAnsi"/>
          <w:sz w:val="14"/>
          <w:szCs w:val="14"/>
          <w:lang w:val="en-US"/>
        </w:rPr>
      </w:pPr>
      <w:r w:rsidRPr="00823A57">
        <w:rPr>
          <w:rStyle w:val="FootnoteReference"/>
          <w:rFonts w:asciiTheme="minorHAnsi" w:eastAsia="Amnesty Trade Gothic" w:hAnsiTheme="minorHAnsi" w:cs="Amnesty Trade Gothic"/>
          <w:sz w:val="14"/>
          <w:szCs w:val="14"/>
        </w:rPr>
        <w:footnoteRef/>
      </w:r>
      <w:r w:rsidRPr="00823A57">
        <w:rPr>
          <w:rFonts w:asciiTheme="minorHAnsi" w:hAnsiTheme="minorHAnsi"/>
          <w:sz w:val="14"/>
          <w:szCs w:val="14"/>
          <w:lang w:val="en-US"/>
        </w:rPr>
        <w:t xml:space="preserve"> Initiative 19th February, ”</w:t>
      </w:r>
      <w:proofErr w:type="spellStart"/>
      <w:r w:rsidRPr="00823A57">
        <w:rPr>
          <w:rFonts w:asciiTheme="minorHAnsi" w:hAnsiTheme="minorHAnsi"/>
          <w:sz w:val="14"/>
          <w:szCs w:val="14"/>
          <w:lang w:val="en-US"/>
        </w:rPr>
        <w:t>Keine</w:t>
      </w:r>
      <w:proofErr w:type="spellEnd"/>
      <w:r w:rsidRPr="00823A57">
        <w:rPr>
          <w:rFonts w:asciiTheme="minorHAnsi" w:hAnsiTheme="minorHAnsi"/>
          <w:sz w:val="14"/>
          <w:szCs w:val="14"/>
          <w:lang w:val="en-US"/>
        </w:rPr>
        <w:t xml:space="preserve"> </w:t>
      </w:r>
      <w:proofErr w:type="spellStart"/>
      <w:r w:rsidRPr="00823A57">
        <w:rPr>
          <w:rFonts w:asciiTheme="minorHAnsi" w:hAnsiTheme="minorHAnsi"/>
          <w:sz w:val="14"/>
          <w:szCs w:val="14"/>
          <w:lang w:val="en-US"/>
        </w:rPr>
        <w:t>Gerechtigkeit</w:t>
      </w:r>
      <w:proofErr w:type="spellEnd"/>
      <w:r w:rsidRPr="00823A57">
        <w:rPr>
          <w:rFonts w:asciiTheme="minorHAnsi" w:hAnsiTheme="minorHAnsi"/>
          <w:sz w:val="14"/>
          <w:szCs w:val="14"/>
          <w:lang w:val="en-US"/>
        </w:rPr>
        <w:t xml:space="preserve"> </w:t>
      </w:r>
      <w:proofErr w:type="spellStart"/>
      <w:r w:rsidRPr="00823A57">
        <w:rPr>
          <w:rFonts w:asciiTheme="minorHAnsi" w:hAnsiTheme="minorHAnsi"/>
          <w:sz w:val="14"/>
          <w:szCs w:val="14"/>
          <w:lang w:val="en-US"/>
        </w:rPr>
        <w:t>ohne</w:t>
      </w:r>
      <w:proofErr w:type="spellEnd"/>
      <w:r w:rsidRPr="00823A57">
        <w:rPr>
          <w:rFonts w:asciiTheme="minorHAnsi" w:hAnsiTheme="minorHAnsi"/>
          <w:sz w:val="14"/>
          <w:szCs w:val="14"/>
          <w:lang w:val="en-US"/>
        </w:rPr>
        <w:t xml:space="preserve"> </w:t>
      </w:r>
      <w:proofErr w:type="spellStart"/>
      <w:r w:rsidRPr="00823A57">
        <w:rPr>
          <w:rFonts w:asciiTheme="minorHAnsi" w:hAnsiTheme="minorHAnsi"/>
          <w:sz w:val="14"/>
          <w:szCs w:val="14"/>
          <w:lang w:val="en-US"/>
        </w:rPr>
        <w:t>Konsequenzen</w:t>
      </w:r>
      <w:proofErr w:type="spellEnd"/>
      <w:r w:rsidRPr="00823A57">
        <w:rPr>
          <w:rFonts w:asciiTheme="minorHAnsi" w:hAnsiTheme="minorHAnsi"/>
          <w:sz w:val="14"/>
          <w:szCs w:val="14"/>
          <w:lang w:val="en-US"/>
        </w:rPr>
        <w:t xml:space="preserve">“ [“No Justice without Consequences”], </w:t>
      </w:r>
      <w:hyperlink r:id="rId74" w:tooltip="https://kein-abschlussbericht.org/" w:history="1">
        <w:r w:rsidRPr="00823A57">
          <w:rPr>
            <w:rStyle w:val="Hyperlink"/>
            <w:rFonts w:asciiTheme="minorHAnsi" w:eastAsia="Amnesty Trade Gothic" w:hAnsiTheme="minorHAnsi" w:cs="Amnesty Trade Gothic"/>
            <w:sz w:val="14"/>
            <w:szCs w:val="14"/>
            <w:lang w:val="en-US"/>
          </w:rPr>
          <w:t>https://kein-abschlussbericht.org/</w:t>
        </w:r>
      </w:hyperlink>
      <w:r w:rsidRPr="00823A57">
        <w:rPr>
          <w:rFonts w:asciiTheme="minorHAnsi" w:hAnsiTheme="minorHAnsi"/>
          <w:sz w:val="14"/>
          <w:szCs w:val="14"/>
          <w:lang w:val="en-US"/>
        </w:rPr>
        <w:t xml:space="preserve"> (in German) (accessed on 21 September 2023).</w:t>
      </w:r>
    </w:p>
  </w:footnote>
  <w:footnote w:id="99">
    <w:p w14:paraId="40D5317E" w14:textId="77777777" w:rsidR="00070213" w:rsidRPr="00823A57" w:rsidRDefault="00070213" w:rsidP="00CD0A25">
      <w:pPr>
        <w:pStyle w:val="FootnoteText"/>
        <w:shd w:val="clear" w:color="auto" w:fill="FFFFFF"/>
        <w:spacing w:after="0"/>
        <w:rPr>
          <w:rFonts w:asciiTheme="minorHAnsi" w:hAnsiTheme="minorHAnsi"/>
          <w:color w:val="0000FF"/>
          <w:sz w:val="14"/>
          <w:szCs w:val="14"/>
          <w:vertAlign w:val="superscript"/>
        </w:rPr>
      </w:pPr>
      <w:r w:rsidRPr="00823A57">
        <w:rPr>
          <w:rFonts w:asciiTheme="minorHAnsi" w:hAnsiTheme="minorHAnsi"/>
          <w:color w:val="auto"/>
          <w:sz w:val="14"/>
          <w:szCs w:val="14"/>
          <w:vertAlign w:val="superscript"/>
        </w:rPr>
        <w:footnoteRef/>
      </w:r>
      <w:r w:rsidRPr="00823A57">
        <w:rPr>
          <w:rFonts w:asciiTheme="minorHAnsi" w:hAnsiTheme="minorHAnsi"/>
          <w:sz w:val="14"/>
          <w:szCs w:val="14"/>
          <w:lang w:val="de-DE"/>
        </w:rPr>
        <w:t xml:space="preserve"> Initiative 19th </w:t>
      </w:r>
      <w:proofErr w:type="spellStart"/>
      <w:r w:rsidRPr="00823A57">
        <w:rPr>
          <w:rFonts w:asciiTheme="minorHAnsi" w:hAnsiTheme="minorHAnsi"/>
          <w:sz w:val="14"/>
          <w:szCs w:val="14"/>
          <w:lang w:val="de-DE"/>
        </w:rPr>
        <w:t>February</w:t>
      </w:r>
      <w:proofErr w:type="spellEnd"/>
      <w:r w:rsidRPr="00823A57">
        <w:rPr>
          <w:rFonts w:asciiTheme="minorHAnsi" w:hAnsiTheme="minorHAnsi"/>
          <w:sz w:val="14"/>
          <w:szCs w:val="14"/>
          <w:lang w:val="de-DE"/>
        </w:rPr>
        <w:t xml:space="preserve">, “Interner Bericht bestätigt Polizei-Versagen in den ersten Einsatzstunden am 19./20. Februar 2020. Wer übernimmt die Verantwortung und zieht Konsequenzen?” [“Internal </w:t>
      </w:r>
      <w:proofErr w:type="spellStart"/>
      <w:r w:rsidRPr="00823A57">
        <w:rPr>
          <w:rFonts w:asciiTheme="minorHAnsi" w:hAnsiTheme="minorHAnsi"/>
          <w:sz w:val="14"/>
          <w:szCs w:val="14"/>
          <w:lang w:val="de-DE"/>
        </w:rPr>
        <w:t>report</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confirms</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police</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failure</w:t>
      </w:r>
      <w:proofErr w:type="spellEnd"/>
      <w:r w:rsidRPr="00823A57">
        <w:rPr>
          <w:rFonts w:asciiTheme="minorHAnsi" w:hAnsiTheme="minorHAnsi"/>
          <w:sz w:val="14"/>
          <w:szCs w:val="14"/>
          <w:lang w:val="de-DE"/>
        </w:rPr>
        <w:t xml:space="preserve"> in the </w:t>
      </w:r>
      <w:proofErr w:type="spellStart"/>
      <w:r w:rsidRPr="00823A57">
        <w:rPr>
          <w:rFonts w:asciiTheme="minorHAnsi" w:hAnsiTheme="minorHAnsi"/>
          <w:sz w:val="14"/>
          <w:szCs w:val="14"/>
          <w:lang w:val="de-DE"/>
        </w:rPr>
        <w:t>first</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hours</w:t>
      </w:r>
      <w:proofErr w:type="spellEnd"/>
      <w:r w:rsidRPr="00823A57">
        <w:rPr>
          <w:rFonts w:asciiTheme="minorHAnsi" w:hAnsiTheme="minorHAnsi"/>
          <w:sz w:val="14"/>
          <w:szCs w:val="14"/>
          <w:lang w:val="de-DE"/>
        </w:rPr>
        <w:t xml:space="preserve"> of </w:t>
      </w:r>
      <w:proofErr w:type="spellStart"/>
      <w:r w:rsidRPr="00823A57">
        <w:rPr>
          <w:rFonts w:asciiTheme="minorHAnsi" w:hAnsiTheme="minorHAnsi"/>
          <w:sz w:val="14"/>
          <w:szCs w:val="14"/>
          <w:lang w:val="de-DE"/>
        </w:rPr>
        <w:t>operation</w:t>
      </w:r>
      <w:proofErr w:type="spellEnd"/>
      <w:r w:rsidRPr="00823A57">
        <w:rPr>
          <w:rFonts w:asciiTheme="minorHAnsi" w:hAnsiTheme="minorHAnsi"/>
          <w:sz w:val="14"/>
          <w:szCs w:val="14"/>
          <w:lang w:val="de-DE"/>
        </w:rPr>
        <w:t xml:space="preserve"> on 19/20 </w:t>
      </w:r>
      <w:proofErr w:type="spellStart"/>
      <w:r w:rsidRPr="00823A57">
        <w:rPr>
          <w:rFonts w:asciiTheme="minorHAnsi" w:hAnsiTheme="minorHAnsi"/>
          <w:sz w:val="14"/>
          <w:szCs w:val="14"/>
          <w:lang w:val="de-DE"/>
        </w:rPr>
        <w:t>February</w:t>
      </w:r>
      <w:proofErr w:type="spellEnd"/>
      <w:r w:rsidRPr="00823A57">
        <w:rPr>
          <w:rFonts w:asciiTheme="minorHAnsi" w:hAnsiTheme="minorHAnsi"/>
          <w:sz w:val="14"/>
          <w:szCs w:val="14"/>
          <w:lang w:val="de-DE"/>
        </w:rPr>
        <w:t xml:space="preserve"> 2020. </w:t>
      </w:r>
      <w:r w:rsidRPr="00823A57">
        <w:rPr>
          <w:rFonts w:asciiTheme="minorHAnsi" w:hAnsiTheme="minorHAnsi"/>
          <w:sz w:val="14"/>
          <w:szCs w:val="14"/>
        </w:rPr>
        <w:t xml:space="preserve">Who takes responsibility and draws consequences?”], 30 May 2023, </w:t>
      </w:r>
      <w:hyperlink r:id="rId75" w:tooltip="https://19feb-hanau.org/2023/05/30/interner-bericht-bestaetigt-polizei-versagen/" w:history="1">
        <w:r w:rsidRPr="00823A57">
          <w:rPr>
            <w:rStyle w:val="Hyperlink"/>
            <w:rFonts w:asciiTheme="minorHAnsi" w:eastAsia="Amnesty Trade Gothic" w:hAnsiTheme="minorHAnsi" w:cs="Amnesty Trade Gothic"/>
            <w:sz w:val="14"/>
            <w:szCs w:val="14"/>
          </w:rPr>
          <w:t>https://19feb-hanau.org/2023/05/30/interner-bericht-bestaetigt-polizei-versagen/</w:t>
        </w:r>
      </w:hyperlink>
      <w:r w:rsidRPr="00823A57">
        <w:rPr>
          <w:rFonts w:asciiTheme="minorHAnsi" w:hAnsiTheme="minorHAnsi"/>
          <w:sz w:val="14"/>
          <w:szCs w:val="14"/>
        </w:rPr>
        <w:t xml:space="preserve"> (in German).</w:t>
      </w:r>
    </w:p>
  </w:footnote>
  <w:footnote w:id="100">
    <w:p w14:paraId="4DD87D13"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color w:val="000000"/>
          <w:sz w:val="14"/>
          <w:szCs w:val="14"/>
          <w:vertAlign w:val="superscript"/>
        </w:rPr>
        <w:t xml:space="preserve"> </w:t>
      </w:r>
      <w:r w:rsidRPr="00823A57">
        <w:rPr>
          <w:rFonts w:asciiTheme="minorHAnsi" w:hAnsiTheme="minorHAnsi"/>
          <w:sz w:val="14"/>
          <w:szCs w:val="14"/>
        </w:rPr>
        <w:t xml:space="preserve">Frankfurter </w:t>
      </w:r>
      <w:proofErr w:type="spellStart"/>
      <w:r w:rsidRPr="00823A57">
        <w:rPr>
          <w:rFonts w:asciiTheme="minorHAnsi" w:hAnsiTheme="minorHAnsi"/>
          <w:sz w:val="14"/>
          <w:szCs w:val="14"/>
        </w:rPr>
        <w:t>Rundschau</w:t>
      </w:r>
      <w:proofErr w:type="spellEnd"/>
      <w:r w:rsidRPr="00823A57">
        <w:rPr>
          <w:rFonts w:asciiTheme="minorHAnsi" w:hAnsiTheme="minorHAnsi"/>
          <w:sz w:val="14"/>
          <w:szCs w:val="14"/>
        </w:rPr>
        <w:t>, “</w:t>
      </w:r>
      <w:proofErr w:type="spellStart"/>
      <w:r w:rsidRPr="00823A57">
        <w:rPr>
          <w:rFonts w:asciiTheme="minorHAnsi" w:hAnsiTheme="minorHAnsi"/>
          <w:sz w:val="14"/>
          <w:szCs w:val="14"/>
        </w:rPr>
        <w:t>Exklusiv</w:t>
      </w:r>
      <w:proofErr w:type="spellEnd"/>
      <w:r w:rsidRPr="00823A57">
        <w:rPr>
          <w:rFonts w:asciiTheme="minorHAnsi" w:hAnsiTheme="minorHAnsi"/>
          <w:sz w:val="14"/>
          <w:szCs w:val="14"/>
        </w:rPr>
        <w:t xml:space="preserve">: Das </w:t>
      </w:r>
      <w:proofErr w:type="spellStart"/>
      <w:r w:rsidRPr="00823A57">
        <w:rPr>
          <w:rFonts w:asciiTheme="minorHAnsi" w:hAnsiTheme="minorHAnsi"/>
          <w:sz w:val="14"/>
          <w:szCs w:val="14"/>
        </w:rPr>
        <w:t>ist</w:t>
      </w:r>
      <w:proofErr w:type="spellEnd"/>
      <w:r w:rsidRPr="00823A57">
        <w:rPr>
          <w:rFonts w:asciiTheme="minorHAnsi" w:hAnsiTheme="minorHAnsi"/>
          <w:sz w:val="14"/>
          <w:szCs w:val="14"/>
        </w:rPr>
        <w:t xml:space="preserve"> in der </w:t>
      </w:r>
      <w:proofErr w:type="spellStart"/>
      <w:r w:rsidRPr="00823A57">
        <w:rPr>
          <w:rFonts w:asciiTheme="minorHAnsi" w:hAnsiTheme="minorHAnsi"/>
          <w:sz w:val="14"/>
          <w:szCs w:val="14"/>
        </w:rPr>
        <w:t>Terrornacht</w:t>
      </w:r>
      <w:proofErr w:type="spellEnd"/>
      <w:r w:rsidRPr="00823A57">
        <w:rPr>
          <w:rFonts w:asciiTheme="minorHAnsi" w:hAnsiTheme="minorHAnsi"/>
          <w:sz w:val="14"/>
          <w:szCs w:val="14"/>
        </w:rPr>
        <w:t xml:space="preserve"> von Hanau </w:t>
      </w:r>
      <w:proofErr w:type="spellStart"/>
      <w:r w:rsidRPr="00823A57">
        <w:rPr>
          <w:rFonts w:asciiTheme="minorHAnsi" w:hAnsiTheme="minorHAnsi"/>
          <w:sz w:val="14"/>
          <w:szCs w:val="14"/>
        </w:rPr>
        <w:t>wirklich</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geschehen</w:t>
      </w:r>
      <w:proofErr w:type="spellEnd"/>
      <w:r w:rsidRPr="00823A57">
        <w:rPr>
          <w:rFonts w:asciiTheme="minorHAnsi" w:hAnsiTheme="minorHAnsi"/>
          <w:sz w:val="14"/>
          <w:szCs w:val="14"/>
        </w:rPr>
        <w:t xml:space="preserve">” [“Exclusive: This is what really happened during the night of terror in Hanau”], 30 May 2023, </w:t>
      </w:r>
      <w:hyperlink r:id="rId76" w:tooltip="https://www.fr.de/rhein-main/terror-in-hanau-sti1519756/exklusiv-rechtsextremismus-terror-von-hanau-chaos-beim-polizeieinsatz-92309241.html" w:history="1">
        <w:r w:rsidRPr="00823A57">
          <w:rPr>
            <w:rStyle w:val="Hyperlink"/>
            <w:rFonts w:asciiTheme="minorHAnsi" w:eastAsia="Amnesty Trade Gothic" w:hAnsiTheme="minorHAnsi" w:cs="Amnesty Trade Gothic"/>
            <w:sz w:val="14"/>
            <w:szCs w:val="14"/>
          </w:rPr>
          <w:t>https://www.fr.de/rhein-main/terror-in-hanau-sti1519756/exklusiv-rechtsextremismus-terror-von-hanau-chaos-beim-polizeieinsatz-92309241.html</w:t>
        </w:r>
      </w:hyperlink>
      <w:r w:rsidRPr="00823A57">
        <w:rPr>
          <w:rFonts w:asciiTheme="minorHAnsi" w:hAnsiTheme="minorHAnsi"/>
          <w:sz w:val="14"/>
          <w:szCs w:val="14"/>
        </w:rPr>
        <w:t xml:space="preserve"> (in German)</w:t>
      </w:r>
      <w:r w:rsidRPr="00823A57">
        <w:rPr>
          <w:rFonts w:asciiTheme="minorHAnsi" w:hAnsiTheme="minorHAnsi"/>
          <w:color w:val="000000"/>
          <w:sz w:val="14"/>
          <w:szCs w:val="14"/>
        </w:rPr>
        <w:t xml:space="preserve"> and </w:t>
      </w:r>
      <w:r w:rsidRPr="00823A57">
        <w:rPr>
          <w:rFonts w:asciiTheme="minorHAnsi" w:hAnsiTheme="minorHAnsi"/>
          <w:sz w:val="14"/>
          <w:szCs w:val="14"/>
        </w:rPr>
        <w:t xml:space="preserve">Frag den </w:t>
      </w:r>
      <w:proofErr w:type="spellStart"/>
      <w:r w:rsidRPr="00823A57">
        <w:rPr>
          <w:rFonts w:asciiTheme="minorHAnsi" w:hAnsiTheme="minorHAnsi"/>
          <w:sz w:val="14"/>
          <w:szCs w:val="14"/>
        </w:rPr>
        <w:t>Staat</w:t>
      </w:r>
      <w:proofErr w:type="spellEnd"/>
      <w:r w:rsidRPr="00823A57">
        <w:rPr>
          <w:rFonts w:asciiTheme="minorHAnsi" w:hAnsiTheme="minorHAnsi"/>
          <w:sz w:val="14"/>
          <w:szCs w:val="14"/>
        </w:rPr>
        <w:t>, “</w:t>
      </w:r>
      <w:proofErr w:type="spellStart"/>
      <w:r w:rsidRPr="00823A57">
        <w:rPr>
          <w:rFonts w:asciiTheme="minorHAnsi" w:hAnsiTheme="minorHAnsi"/>
          <w:sz w:val="14"/>
          <w:szCs w:val="14"/>
        </w:rPr>
        <w:t>Diese</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zehn</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Toten</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sollten</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etwas</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ändern</w:t>
      </w:r>
      <w:proofErr w:type="spellEnd"/>
      <w:r w:rsidRPr="00823A57">
        <w:rPr>
          <w:rFonts w:asciiTheme="minorHAnsi" w:hAnsiTheme="minorHAnsi"/>
          <w:sz w:val="14"/>
          <w:szCs w:val="14"/>
        </w:rPr>
        <w:t xml:space="preserve">“ ["These ten deaths should change something"], 30 May 2023, </w:t>
      </w:r>
      <w:hyperlink r:id="rId77" w:tooltip="https://fragdenstaat.de/blog/2023/05/30/anschlag-hanau-hessische-polizei-interner-bericht-fehler/" w:history="1">
        <w:r w:rsidRPr="00823A57">
          <w:rPr>
            <w:rStyle w:val="Hyperlink"/>
            <w:rFonts w:asciiTheme="minorHAnsi" w:eastAsia="Amnesty Trade Gothic" w:hAnsiTheme="minorHAnsi" w:cs="Amnesty Trade Gothic"/>
            <w:sz w:val="14"/>
            <w:szCs w:val="14"/>
          </w:rPr>
          <w:t>https://fragdenstaat.de/blog/2023/05/30/anschlag-hanau-hessische-polizei-interner-bericht-fehler/</w:t>
        </w:r>
      </w:hyperlink>
      <w:r w:rsidRPr="00823A57">
        <w:rPr>
          <w:rFonts w:asciiTheme="minorHAnsi" w:hAnsiTheme="minorHAnsi"/>
          <w:sz w:val="14"/>
          <w:szCs w:val="14"/>
        </w:rPr>
        <w:t xml:space="preserve"> (in German).</w:t>
      </w:r>
    </w:p>
  </w:footnote>
  <w:footnote w:id="101">
    <w:p w14:paraId="054314A1" w14:textId="77777777" w:rsidR="00070213" w:rsidRPr="00823A57" w:rsidRDefault="00070213" w:rsidP="00CD0A25">
      <w:pPr>
        <w:pStyle w:val="FootnoteText"/>
        <w:shd w:val="clear" w:color="auto" w:fill="FFFFFF"/>
        <w:spacing w:after="0"/>
        <w:rPr>
          <w:rFonts w:asciiTheme="minorHAnsi" w:hAnsiTheme="minorHAnsi" w:cs="Amnesty Trade Gothic"/>
          <w:sz w:val="14"/>
          <w:szCs w:val="14"/>
        </w:rPr>
      </w:pPr>
      <w:r w:rsidRPr="00823A57">
        <w:rPr>
          <w:rFonts w:asciiTheme="minorHAnsi" w:eastAsia="Amnesty Trade Gothic" w:hAnsiTheme="minorHAnsi" w:cs="Amnesty Trade Gothic"/>
          <w:color w:val="auto"/>
          <w:sz w:val="14"/>
          <w:szCs w:val="14"/>
          <w:vertAlign w:val="superscript"/>
        </w:rPr>
        <w:footnoteRef/>
      </w:r>
      <w:r w:rsidRPr="00823A57">
        <w:rPr>
          <w:rFonts w:asciiTheme="minorHAnsi" w:eastAsia="Amnesty Trade Gothic" w:hAnsiTheme="minorHAnsi" w:cs="Amnesty Trade Gothic"/>
          <w:color w:val="000000"/>
          <w:sz w:val="14"/>
          <w:szCs w:val="14"/>
          <w:vertAlign w:val="superscript"/>
        </w:rPr>
        <w:t xml:space="preserve"> </w:t>
      </w:r>
      <w:r w:rsidRPr="00823A57">
        <w:rPr>
          <w:rFonts w:asciiTheme="minorHAnsi" w:eastAsia="Amnesty Trade Gothic" w:hAnsiTheme="minorHAnsi" w:cs="Amnesty Trade Gothic"/>
          <w:sz w:val="14"/>
          <w:szCs w:val="14"/>
        </w:rPr>
        <w:t>Taz, “</w:t>
      </w:r>
      <w:proofErr w:type="spellStart"/>
      <w:r w:rsidRPr="00823A57">
        <w:rPr>
          <w:rFonts w:asciiTheme="minorHAnsi" w:eastAsia="Amnesty Trade Gothic" w:hAnsiTheme="minorHAnsi" w:cs="Amnesty Trade Gothic"/>
          <w:sz w:val="14"/>
          <w:szCs w:val="14"/>
        </w:rPr>
        <w:t>Vater</w:t>
      </w:r>
      <w:proofErr w:type="spellEnd"/>
      <w:r w:rsidRPr="00823A57">
        <w:rPr>
          <w:rFonts w:asciiTheme="minorHAnsi" w:eastAsia="Amnesty Trade Gothic" w:hAnsiTheme="minorHAnsi" w:cs="Amnesty Trade Gothic"/>
          <w:sz w:val="14"/>
          <w:szCs w:val="14"/>
        </w:rPr>
        <w:t xml:space="preserve"> des Hanau-</w:t>
      </w:r>
      <w:proofErr w:type="spellStart"/>
      <w:r w:rsidRPr="00823A57">
        <w:rPr>
          <w:rFonts w:asciiTheme="minorHAnsi" w:eastAsia="Amnesty Trade Gothic" w:hAnsiTheme="minorHAnsi" w:cs="Amnesty Trade Gothic"/>
          <w:sz w:val="14"/>
          <w:szCs w:val="14"/>
        </w:rPr>
        <w:t>Täters</w:t>
      </w:r>
      <w:proofErr w:type="spellEnd"/>
      <w:r w:rsidRPr="00823A57">
        <w:rPr>
          <w:rFonts w:asciiTheme="minorHAnsi" w:eastAsia="Amnesty Trade Gothic" w:hAnsiTheme="minorHAnsi" w:cs="Amnesty Trade Gothic"/>
          <w:sz w:val="14"/>
          <w:szCs w:val="14"/>
        </w:rPr>
        <w:t xml:space="preserve"> </w:t>
      </w:r>
      <w:proofErr w:type="spellStart"/>
      <w:r w:rsidRPr="00823A57">
        <w:rPr>
          <w:rFonts w:asciiTheme="minorHAnsi" w:eastAsia="Amnesty Trade Gothic" w:hAnsiTheme="minorHAnsi" w:cs="Amnesty Trade Gothic"/>
          <w:sz w:val="14"/>
          <w:szCs w:val="14"/>
        </w:rPr>
        <w:t>droht</w:t>
      </w:r>
      <w:proofErr w:type="spellEnd"/>
      <w:r w:rsidRPr="00823A57">
        <w:rPr>
          <w:rFonts w:asciiTheme="minorHAnsi" w:eastAsia="Amnesty Trade Gothic" w:hAnsiTheme="minorHAnsi" w:cs="Amnesty Trade Gothic"/>
          <w:sz w:val="14"/>
          <w:szCs w:val="14"/>
        </w:rPr>
        <w:t xml:space="preserve"> </w:t>
      </w:r>
      <w:proofErr w:type="spellStart"/>
      <w:r w:rsidRPr="00823A57">
        <w:rPr>
          <w:rFonts w:asciiTheme="minorHAnsi" w:eastAsia="Amnesty Trade Gothic" w:hAnsiTheme="minorHAnsi" w:cs="Amnesty Trade Gothic"/>
          <w:sz w:val="14"/>
          <w:szCs w:val="14"/>
        </w:rPr>
        <w:t>Opfer</w:t>
      </w:r>
      <w:proofErr w:type="spellEnd"/>
      <w:r w:rsidRPr="00823A57">
        <w:rPr>
          <w:rFonts w:asciiTheme="minorHAnsi" w:eastAsia="Amnesty Trade Gothic" w:hAnsiTheme="minorHAnsi" w:cs="Amnesty Trade Gothic"/>
          <w:sz w:val="14"/>
          <w:szCs w:val="14"/>
        </w:rPr>
        <w:t xml:space="preserve">” [“Father of Hanau perpetrator threatens victim”], 19 June 2023, </w:t>
      </w:r>
      <w:hyperlink r:id="rId78" w:tooltip="https://taz.de/Ausreiseforderung-aus-Deutschland/!5941454/" w:history="1">
        <w:r w:rsidRPr="00823A57">
          <w:rPr>
            <w:rStyle w:val="Hyperlink"/>
            <w:rFonts w:asciiTheme="minorHAnsi" w:eastAsia="Amnesty Trade Gothic" w:hAnsiTheme="minorHAnsi" w:cs="Amnesty Trade Gothic"/>
            <w:sz w:val="14"/>
            <w:szCs w:val="14"/>
          </w:rPr>
          <w:t>https://taz.de/Ausreiseforderung-aus-Deutschland/!5941454/</w:t>
        </w:r>
      </w:hyperlink>
      <w:r w:rsidRPr="00823A57">
        <w:rPr>
          <w:rFonts w:asciiTheme="minorHAnsi" w:eastAsia="Amnesty Trade Gothic" w:hAnsiTheme="minorHAnsi" w:cs="Amnesty Trade Gothic"/>
          <w:sz w:val="14"/>
          <w:szCs w:val="14"/>
        </w:rPr>
        <w:t xml:space="preserve"> (in German). </w:t>
      </w:r>
    </w:p>
  </w:footnote>
  <w:footnote w:id="102">
    <w:p w14:paraId="797B05FA"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vertAlign w:val="superscript"/>
        </w:rPr>
        <w:t xml:space="preserve"> </w:t>
      </w:r>
      <w:r w:rsidRPr="00823A57">
        <w:rPr>
          <w:rFonts w:asciiTheme="minorHAnsi" w:hAnsiTheme="minorHAnsi"/>
          <w:sz w:val="14"/>
          <w:szCs w:val="14"/>
        </w:rPr>
        <w:t>The threatening material was mostly signed “NSU 2.0”, referring to the racist murders committed by the Nationalist Social Underground (NSU) between 2000 and 2007.</w:t>
      </w:r>
    </w:p>
  </w:footnote>
  <w:footnote w:id="103">
    <w:p w14:paraId="7FA14F70"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color w:val="000000"/>
          <w:sz w:val="14"/>
          <w:szCs w:val="14"/>
          <w:vertAlign w:val="superscript"/>
        </w:rPr>
        <w:t xml:space="preserve"> </w:t>
      </w:r>
      <w:r w:rsidRPr="00823A57">
        <w:rPr>
          <w:rFonts w:asciiTheme="minorHAnsi" w:hAnsiTheme="minorHAnsi"/>
          <w:color w:val="000000"/>
          <w:sz w:val="14"/>
          <w:szCs w:val="14"/>
        </w:rPr>
        <w:t xml:space="preserve">Amnesty International, </w:t>
      </w:r>
      <w:r w:rsidRPr="00823A57">
        <w:rPr>
          <w:rFonts w:asciiTheme="minorHAnsi" w:hAnsiTheme="minorHAnsi"/>
          <w:iCs/>
          <w:color w:val="000000"/>
          <w:sz w:val="14"/>
          <w:szCs w:val="14"/>
        </w:rPr>
        <w:t>Amnesty International Report 2020/21: The state of the world’s human rights</w:t>
      </w:r>
      <w:r w:rsidRPr="00823A57">
        <w:rPr>
          <w:rFonts w:asciiTheme="minorHAnsi" w:hAnsiTheme="minorHAnsi"/>
          <w:color w:val="000000"/>
          <w:sz w:val="14"/>
          <w:szCs w:val="14"/>
        </w:rPr>
        <w:t xml:space="preserve"> (Index </w:t>
      </w:r>
      <w:r w:rsidRPr="00823A57">
        <w:rPr>
          <w:rFonts w:asciiTheme="minorHAnsi" w:hAnsiTheme="minorHAnsi"/>
          <w:sz w:val="14"/>
          <w:szCs w:val="14"/>
        </w:rPr>
        <w:t>POL 10/3202/2021</w:t>
      </w:r>
      <w:r w:rsidRPr="00823A57">
        <w:rPr>
          <w:rFonts w:asciiTheme="minorHAnsi" w:hAnsiTheme="minorHAnsi"/>
          <w:color w:val="000000"/>
          <w:sz w:val="14"/>
          <w:szCs w:val="14"/>
        </w:rPr>
        <w:t>), 7 April 2021</w:t>
      </w:r>
      <w:r w:rsidRPr="00823A57">
        <w:rPr>
          <w:rFonts w:asciiTheme="minorHAnsi" w:hAnsiTheme="minorHAnsi"/>
          <w:sz w:val="14"/>
          <w:szCs w:val="14"/>
        </w:rPr>
        <w:t xml:space="preserve">, </w:t>
      </w:r>
      <w:hyperlink r:id="rId79" w:tooltip="https://www.amnesty.org/en/documents/pol10/3202/2021/en/" w:history="1">
        <w:r w:rsidRPr="00823A57">
          <w:rPr>
            <w:rStyle w:val="Hyperlink"/>
            <w:rFonts w:asciiTheme="minorHAnsi" w:eastAsia="Amnesty Trade Gothic" w:hAnsiTheme="minorHAnsi" w:cs="Amnesty Trade Gothic"/>
            <w:sz w:val="14"/>
            <w:szCs w:val="14"/>
          </w:rPr>
          <w:t>https://www.amnesty.org/en/documents/pol10/3202/2021/en/</w:t>
        </w:r>
      </w:hyperlink>
      <w:r w:rsidRPr="00823A57">
        <w:rPr>
          <w:rFonts w:asciiTheme="minorHAnsi" w:hAnsiTheme="minorHAnsi"/>
          <w:sz w:val="14"/>
          <w:szCs w:val="14"/>
        </w:rPr>
        <w:t>, pp. 168-170.</w:t>
      </w:r>
    </w:p>
  </w:footnote>
  <w:footnote w:id="104">
    <w:p w14:paraId="6A717332"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vertAlign w:val="superscript"/>
        </w:rPr>
        <w:t xml:space="preserve"> </w:t>
      </w:r>
      <w:r w:rsidRPr="00823A57">
        <w:rPr>
          <w:rFonts w:asciiTheme="minorHAnsi" w:hAnsiTheme="minorHAnsi"/>
          <w:sz w:val="14"/>
          <w:szCs w:val="14"/>
        </w:rPr>
        <w:t>Amnesty International,</w:t>
      </w:r>
      <w:r w:rsidRPr="00823A57">
        <w:rPr>
          <w:rFonts w:asciiTheme="minorHAnsi" w:hAnsiTheme="minorHAnsi"/>
          <w:i/>
          <w:iCs/>
          <w:sz w:val="14"/>
          <w:szCs w:val="14"/>
        </w:rPr>
        <w:t xml:space="preserve"> </w:t>
      </w:r>
      <w:r w:rsidRPr="00823A57">
        <w:rPr>
          <w:rFonts w:asciiTheme="minorHAnsi" w:hAnsiTheme="minorHAnsi"/>
          <w:iCs/>
          <w:sz w:val="14"/>
          <w:szCs w:val="14"/>
        </w:rPr>
        <w:t>Germany: Living in insecurity: Germany is failing victims of racist violence</w:t>
      </w:r>
      <w:r w:rsidRPr="00823A57">
        <w:rPr>
          <w:rFonts w:asciiTheme="minorHAnsi" w:hAnsiTheme="minorHAnsi"/>
          <w:sz w:val="14"/>
          <w:szCs w:val="14"/>
        </w:rPr>
        <w:t xml:space="preserve"> (Index: EUR 23/4112/2016), 9 June 2016, </w:t>
      </w:r>
      <w:hyperlink r:id="rId80" w:tooltip="https://www.amnesty.org/en/documents/EUR23/4112/2016/en" w:history="1">
        <w:r w:rsidRPr="00823A57">
          <w:rPr>
            <w:rStyle w:val="Hyperlink"/>
            <w:rFonts w:asciiTheme="minorHAnsi" w:eastAsia="Amnesty Trade Gothic" w:hAnsiTheme="minorHAnsi" w:cs="Amnesty Trade Gothic"/>
            <w:color w:val="0563C1"/>
            <w:sz w:val="14"/>
            <w:szCs w:val="14"/>
          </w:rPr>
          <w:t>https://www.amnesty.org/en/documents/EUR23/4112/2016/en</w:t>
        </w:r>
      </w:hyperlink>
      <w:r w:rsidRPr="00823A57">
        <w:rPr>
          <w:rStyle w:val="Hyperlink"/>
          <w:rFonts w:asciiTheme="minorHAnsi" w:eastAsia="Amnesty Trade Gothic" w:hAnsiTheme="minorHAnsi" w:cs="Amnesty Trade Gothic"/>
          <w:color w:val="auto"/>
          <w:sz w:val="14"/>
          <w:szCs w:val="14"/>
        </w:rPr>
        <w:t>.</w:t>
      </w:r>
    </w:p>
  </w:footnote>
  <w:footnote w:id="105">
    <w:p w14:paraId="1D5D3A94"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vertAlign w:val="superscript"/>
        </w:rPr>
        <w:t xml:space="preserve"> </w:t>
      </w:r>
      <w:r w:rsidRPr="00823A57">
        <w:rPr>
          <w:rFonts w:asciiTheme="minorHAnsi" w:hAnsiTheme="minorHAnsi"/>
          <w:sz w:val="14"/>
          <w:szCs w:val="14"/>
        </w:rPr>
        <w:t>The German Federal Government, “</w:t>
      </w:r>
      <w:proofErr w:type="spellStart"/>
      <w:r w:rsidRPr="00823A57">
        <w:rPr>
          <w:rFonts w:asciiTheme="minorHAnsi" w:hAnsiTheme="minorHAnsi"/>
          <w:sz w:val="14"/>
          <w:szCs w:val="14"/>
        </w:rPr>
        <w:t>Antwort</w:t>
      </w:r>
      <w:proofErr w:type="spellEnd"/>
      <w:r w:rsidRPr="00823A57">
        <w:rPr>
          <w:rFonts w:asciiTheme="minorHAnsi" w:hAnsiTheme="minorHAnsi"/>
          <w:sz w:val="14"/>
          <w:szCs w:val="14"/>
        </w:rPr>
        <w:t xml:space="preserve"> der </w:t>
      </w:r>
      <w:proofErr w:type="spellStart"/>
      <w:r w:rsidRPr="00823A57">
        <w:rPr>
          <w:rFonts w:asciiTheme="minorHAnsi" w:hAnsiTheme="minorHAnsi"/>
          <w:sz w:val="14"/>
          <w:szCs w:val="14"/>
        </w:rPr>
        <w:t>Bundesregierung</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Proteste</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gegen</w:t>
      </w:r>
      <w:proofErr w:type="spellEnd"/>
      <w:r w:rsidRPr="00823A57">
        <w:rPr>
          <w:rFonts w:asciiTheme="minorHAnsi" w:hAnsiTheme="minorHAnsi"/>
          <w:sz w:val="14"/>
          <w:szCs w:val="14"/>
        </w:rPr>
        <w:t xml:space="preserve"> und </w:t>
      </w:r>
      <w:proofErr w:type="spellStart"/>
      <w:r w:rsidRPr="00823A57">
        <w:rPr>
          <w:rFonts w:asciiTheme="minorHAnsi" w:hAnsiTheme="minorHAnsi"/>
          <w:sz w:val="14"/>
          <w:szCs w:val="14"/>
        </w:rPr>
        <w:t>Übergriffe</w:t>
      </w:r>
      <w:proofErr w:type="spellEnd"/>
      <w:r w:rsidRPr="00823A57">
        <w:rPr>
          <w:rFonts w:asciiTheme="minorHAnsi" w:hAnsiTheme="minorHAnsi"/>
          <w:sz w:val="14"/>
          <w:szCs w:val="14"/>
        </w:rPr>
        <w:t xml:space="preserve"> auf </w:t>
      </w:r>
      <w:proofErr w:type="spellStart"/>
      <w:r w:rsidRPr="00823A57">
        <w:rPr>
          <w:rFonts w:asciiTheme="minorHAnsi" w:hAnsiTheme="minorHAnsi"/>
          <w:sz w:val="14"/>
          <w:szCs w:val="14"/>
        </w:rPr>
        <w:t>Flüchtlingsunterkünfte</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im</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vierten</w:t>
      </w:r>
      <w:proofErr w:type="spellEnd"/>
      <w:r w:rsidRPr="00823A57">
        <w:rPr>
          <w:rFonts w:asciiTheme="minorHAnsi" w:hAnsiTheme="minorHAnsi"/>
          <w:sz w:val="14"/>
          <w:szCs w:val="14"/>
        </w:rPr>
        <w:t xml:space="preserve"> Quartal 2022” [“Answer of the Federal Government: Protests against and attacks on refugee shelters in the fourth quarter of 2022”], 22 February 2023, </w:t>
      </w:r>
      <w:proofErr w:type="spellStart"/>
      <w:r w:rsidRPr="00823A57">
        <w:rPr>
          <w:rFonts w:asciiTheme="minorHAnsi" w:hAnsiTheme="minorHAnsi"/>
          <w:sz w:val="14"/>
          <w:szCs w:val="14"/>
        </w:rPr>
        <w:t>Drs.</w:t>
      </w:r>
      <w:proofErr w:type="spellEnd"/>
      <w:r w:rsidRPr="00823A57">
        <w:rPr>
          <w:rFonts w:asciiTheme="minorHAnsi" w:hAnsiTheme="minorHAnsi"/>
          <w:sz w:val="14"/>
          <w:szCs w:val="14"/>
        </w:rPr>
        <w:t xml:space="preserve"> 20/5773, </w:t>
      </w:r>
      <w:hyperlink r:id="rId81" w:tooltip="https://dserver.bundestag.de/btd/20/057/2005773.pdf" w:history="1">
        <w:r w:rsidRPr="00823A57">
          <w:rPr>
            <w:rStyle w:val="Hyperlink"/>
            <w:rFonts w:asciiTheme="minorHAnsi" w:eastAsia="Amnesty Trade Gothic" w:hAnsiTheme="minorHAnsi" w:cs="Amnesty Trade Gothic"/>
            <w:sz w:val="14"/>
            <w:szCs w:val="14"/>
          </w:rPr>
          <w:t>https://dserver.bundestag.de/btd/20/057/2005773.pdf</w:t>
        </w:r>
      </w:hyperlink>
      <w:r w:rsidRPr="00823A57">
        <w:rPr>
          <w:rFonts w:asciiTheme="minorHAnsi" w:hAnsiTheme="minorHAnsi"/>
          <w:sz w:val="14"/>
          <w:szCs w:val="14"/>
        </w:rPr>
        <w:t xml:space="preserve"> (in German).</w:t>
      </w:r>
    </w:p>
  </w:footnote>
  <w:footnote w:id="106">
    <w:p w14:paraId="1C9D0B72" w14:textId="77777777" w:rsidR="00070213" w:rsidRPr="00823A57" w:rsidRDefault="00070213" w:rsidP="00CD0A25">
      <w:pPr>
        <w:pStyle w:val="FootnoteText"/>
        <w:shd w:val="clear" w:color="auto" w:fill="FFFFFF"/>
        <w:spacing w:after="0"/>
        <w:rPr>
          <w:rFonts w:asciiTheme="minorHAnsi" w:hAnsiTheme="minorHAnsi"/>
          <w:sz w:val="14"/>
          <w:szCs w:val="14"/>
          <w:lang w:val="de-DE"/>
        </w:rPr>
      </w:pPr>
      <w:r w:rsidRPr="00823A57">
        <w:rPr>
          <w:rFonts w:asciiTheme="minorHAnsi" w:hAnsiTheme="minorHAnsi"/>
          <w:color w:val="auto"/>
          <w:sz w:val="14"/>
          <w:szCs w:val="14"/>
          <w:vertAlign w:val="superscript"/>
        </w:rPr>
        <w:footnoteRef/>
      </w:r>
      <w:r w:rsidRPr="00823A57">
        <w:rPr>
          <w:rFonts w:asciiTheme="minorHAnsi" w:hAnsiTheme="minorHAnsi"/>
          <w:sz w:val="14"/>
          <w:szCs w:val="14"/>
          <w:vertAlign w:val="superscript"/>
          <w:lang w:val="de-DE"/>
        </w:rPr>
        <w:t xml:space="preserve"> </w:t>
      </w:r>
      <w:r w:rsidRPr="00823A57">
        <w:rPr>
          <w:rFonts w:asciiTheme="minorHAnsi" w:hAnsiTheme="minorHAnsi"/>
          <w:sz w:val="14"/>
          <w:szCs w:val="14"/>
          <w:lang w:val="de-DE"/>
        </w:rPr>
        <w:t>Tagesschau, “Deutlich mehr Angriffe auf Flüchtlingsunterkünfte” [“</w:t>
      </w:r>
      <w:proofErr w:type="spellStart"/>
      <w:r w:rsidRPr="00823A57">
        <w:rPr>
          <w:rFonts w:asciiTheme="minorHAnsi" w:hAnsiTheme="minorHAnsi"/>
          <w:sz w:val="14"/>
          <w:szCs w:val="14"/>
          <w:lang w:val="de-DE"/>
        </w:rPr>
        <w:t>Significantly</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more</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attacks</w:t>
      </w:r>
      <w:proofErr w:type="spellEnd"/>
      <w:r w:rsidRPr="00823A57">
        <w:rPr>
          <w:rFonts w:asciiTheme="minorHAnsi" w:hAnsiTheme="minorHAnsi"/>
          <w:sz w:val="14"/>
          <w:szCs w:val="14"/>
          <w:lang w:val="de-DE"/>
        </w:rPr>
        <w:t xml:space="preserve"> on </w:t>
      </w:r>
      <w:proofErr w:type="spellStart"/>
      <w:r w:rsidRPr="00823A57">
        <w:rPr>
          <w:rFonts w:asciiTheme="minorHAnsi" w:hAnsiTheme="minorHAnsi"/>
          <w:sz w:val="14"/>
          <w:szCs w:val="14"/>
          <w:lang w:val="de-DE"/>
        </w:rPr>
        <w:t>refugee</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shelters</w:t>
      </w:r>
      <w:proofErr w:type="spellEnd"/>
      <w:r w:rsidRPr="00823A57">
        <w:rPr>
          <w:rFonts w:asciiTheme="minorHAnsi" w:hAnsiTheme="minorHAnsi"/>
          <w:sz w:val="14"/>
          <w:szCs w:val="14"/>
          <w:lang w:val="de-DE"/>
        </w:rPr>
        <w:t xml:space="preserve">”], 15 June 2023, </w:t>
      </w:r>
      <w:hyperlink r:id="rId82" w:tooltip="https://www.tagesschau.de/inland/angriffe-fluechtlingsheime-100.html" w:history="1">
        <w:r w:rsidRPr="00823A57">
          <w:rPr>
            <w:rStyle w:val="Hyperlink"/>
            <w:rFonts w:asciiTheme="minorHAnsi" w:eastAsia="Amnesty Trade Gothic" w:hAnsiTheme="minorHAnsi" w:cs="Amnesty Trade Gothic"/>
            <w:sz w:val="14"/>
            <w:szCs w:val="14"/>
            <w:lang w:val="de-DE"/>
          </w:rPr>
          <w:t>https://www.tagesschau.de/inland/angriffe-fluechtlingsheime-100.html</w:t>
        </w:r>
      </w:hyperlink>
      <w:r w:rsidRPr="00823A57">
        <w:rPr>
          <w:rFonts w:asciiTheme="minorHAnsi" w:hAnsiTheme="minorHAnsi"/>
          <w:sz w:val="14"/>
          <w:szCs w:val="14"/>
          <w:lang w:val="de-DE"/>
        </w:rPr>
        <w:t xml:space="preserve"> (in German). </w:t>
      </w:r>
    </w:p>
  </w:footnote>
  <w:footnote w:id="107">
    <w:p w14:paraId="4FCCD96C" w14:textId="77777777" w:rsidR="00070213" w:rsidRPr="00823A57" w:rsidRDefault="00070213" w:rsidP="00CD0A25">
      <w:pPr>
        <w:pStyle w:val="FootnoteText"/>
        <w:shd w:val="clear" w:color="auto" w:fill="FFFFFF"/>
        <w:spacing w:after="0"/>
        <w:rPr>
          <w:rFonts w:asciiTheme="minorHAnsi" w:hAnsiTheme="minorHAnsi"/>
          <w:sz w:val="14"/>
          <w:szCs w:val="14"/>
          <w:lang w:val="de-DE"/>
        </w:rPr>
      </w:pPr>
      <w:r w:rsidRPr="00823A57">
        <w:rPr>
          <w:rFonts w:asciiTheme="minorHAnsi" w:hAnsiTheme="minorHAnsi"/>
          <w:color w:val="auto"/>
          <w:sz w:val="14"/>
          <w:szCs w:val="14"/>
          <w:vertAlign w:val="superscript"/>
        </w:rPr>
        <w:footnoteRef/>
      </w:r>
      <w:r w:rsidRPr="00823A57">
        <w:rPr>
          <w:rFonts w:asciiTheme="minorHAnsi" w:hAnsiTheme="minorHAnsi"/>
          <w:sz w:val="14"/>
          <w:szCs w:val="14"/>
          <w:vertAlign w:val="superscript"/>
          <w:lang w:val="de-DE"/>
        </w:rPr>
        <w:t xml:space="preserve"> </w:t>
      </w:r>
      <w:r w:rsidRPr="00823A57">
        <w:rPr>
          <w:rFonts w:asciiTheme="minorHAnsi" w:hAnsiTheme="minorHAnsi"/>
          <w:sz w:val="14"/>
          <w:szCs w:val="14"/>
          <w:lang w:val="de-DE"/>
        </w:rPr>
        <w:t>ZDF heute, “Angriff auf Flüchtlingsunterkunft in Sachsen” [“</w:t>
      </w:r>
      <w:proofErr w:type="spellStart"/>
      <w:r w:rsidRPr="00823A57">
        <w:rPr>
          <w:rFonts w:asciiTheme="minorHAnsi" w:hAnsiTheme="minorHAnsi"/>
          <w:sz w:val="14"/>
          <w:szCs w:val="14"/>
          <w:lang w:val="de-DE"/>
        </w:rPr>
        <w:t>Attack</w:t>
      </w:r>
      <w:proofErr w:type="spellEnd"/>
      <w:r w:rsidRPr="00823A57">
        <w:rPr>
          <w:rFonts w:asciiTheme="minorHAnsi" w:hAnsiTheme="minorHAnsi"/>
          <w:sz w:val="14"/>
          <w:szCs w:val="14"/>
          <w:lang w:val="de-DE"/>
        </w:rPr>
        <w:t xml:space="preserve"> on </w:t>
      </w:r>
      <w:proofErr w:type="spellStart"/>
      <w:r w:rsidRPr="00823A57">
        <w:rPr>
          <w:rFonts w:asciiTheme="minorHAnsi" w:hAnsiTheme="minorHAnsi"/>
          <w:sz w:val="14"/>
          <w:szCs w:val="14"/>
          <w:lang w:val="de-DE"/>
        </w:rPr>
        <w:t>refugee</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accommodation</w:t>
      </w:r>
      <w:proofErr w:type="spellEnd"/>
      <w:r w:rsidRPr="00823A57">
        <w:rPr>
          <w:rFonts w:asciiTheme="minorHAnsi" w:hAnsiTheme="minorHAnsi"/>
          <w:sz w:val="14"/>
          <w:szCs w:val="14"/>
          <w:lang w:val="de-DE"/>
        </w:rPr>
        <w:t xml:space="preserve"> in </w:t>
      </w:r>
      <w:proofErr w:type="spellStart"/>
      <w:r w:rsidRPr="00823A57">
        <w:rPr>
          <w:rFonts w:asciiTheme="minorHAnsi" w:hAnsiTheme="minorHAnsi"/>
          <w:sz w:val="14"/>
          <w:szCs w:val="14"/>
          <w:lang w:val="de-DE"/>
        </w:rPr>
        <w:t>Saxony</w:t>
      </w:r>
      <w:proofErr w:type="spellEnd"/>
      <w:r w:rsidRPr="00823A57">
        <w:rPr>
          <w:rFonts w:asciiTheme="minorHAnsi" w:hAnsiTheme="minorHAnsi"/>
          <w:sz w:val="14"/>
          <w:szCs w:val="14"/>
          <w:lang w:val="de-DE"/>
        </w:rPr>
        <w:t xml:space="preserve">”], 23 </w:t>
      </w:r>
      <w:proofErr w:type="spellStart"/>
      <w:r w:rsidRPr="00823A57">
        <w:rPr>
          <w:rFonts w:asciiTheme="minorHAnsi" w:hAnsiTheme="minorHAnsi"/>
          <w:sz w:val="14"/>
          <w:szCs w:val="14"/>
          <w:lang w:val="de-DE"/>
        </w:rPr>
        <w:t>July</w:t>
      </w:r>
      <w:proofErr w:type="spellEnd"/>
      <w:r w:rsidRPr="00823A57">
        <w:rPr>
          <w:rFonts w:asciiTheme="minorHAnsi" w:hAnsiTheme="minorHAnsi"/>
          <w:sz w:val="14"/>
          <w:szCs w:val="14"/>
          <w:lang w:val="de-DE"/>
        </w:rPr>
        <w:t xml:space="preserve"> 2023, </w:t>
      </w:r>
      <w:hyperlink r:id="rId83" w:history="1">
        <w:r w:rsidRPr="00823A57">
          <w:rPr>
            <w:rStyle w:val="Hyperlink"/>
            <w:rFonts w:asciiTheme="minorHAnsi" w:eastAsia="Amnesty Trade Gothic" w:hAnsiTheme="minorHAnsi" w:cs="Amnesty Trade Gothic"/>
            <w:sz w:val="14"/>
            <w:szCs w:val="14"/>
            <w:lang w:val="de-DE"/>
          </w:rPr>
          <w:t>https://www.zdf.de/nachrichten/panorama/angriff-fluechtlinge-sachsen-sebnitz-100.html</w:t>
        </w:r>
      </w:hyperlink>
      <w:r w:rsidRPr="00823A57">
        <w:rPr>
          <w:rFonts w:asciiTheme="minorHAnsi" w:hAnsiTheme="minorHAnsi"/>
          <w:sz w:val="14"/>
          <w:szCs w:val="14"/>
          <w:lang w:val="de-DE"/>
        </w:rPr>
        <w:t xml:space="preserve"> (in German).</w:t>
      </w:r>
    </w:p>
  </w:footnote>
  <w:footnote w:id="108">
    <w:p w14:paraId="00BDE93E"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vertAlign w:val="superscript"/>
        </w:rPr>
        <w:t xml:space="preserve"> </w:t>
      </w:r>
      <w:r w:rsidRPr="00823A57">
        <w:rPr>
          <w:rFonts w:asciiTheme="minorHAnsi" w:hAnsiTheme="minorHAnsi"/>
          <w:sz w:val="14"/>
          <w:szCs w:val="14"/>
        </w:rPr>
        <w:t>See Concluding Observations on 19th-22nd reports on Germany, para 10. (a) (</w:t>
      </w:r>
      <w:proofErr w:type="spellStart"/>
      <w:r w:rsidRPr="00823A57">
        <w:rPr>
          <w:rFonts w:asciiTheme="minorHAnsi" w:hAnsiTheme="minorHAnsi"/>
          <w:sz w:val="14"/>
          <w:szCs w:val="14"/>
        </w:rPr>
        <w:t>i</w:t>
      </w:r>
      <w:proofErr w:type="spellEnd"/>
      <w:r w:rsidRPr="00823A57">
        <w:rPr>
          <w:rFonts w:asciiTheme="minorHAnsi" w:hAnsiTheme="minorHAnsi"/>
          <w:sz w:val="14"/>
          <w:szCs w:val="14"/>
        </w:rPr>
        <w:t xml:space="preserve">). </w:t>
      </w:r>
    </w:p>
  </w:footnote>
  <w:footnote w:id="109">
    <w:p w14:paraId="10A99D4F"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See Organization of Independent </w:t>
      </w:r>
      <w:proofErr w:type="spellStart"/>
      <w:r w:rsidRPr="00823A57">
        <w:rPr>
          <w:rFonts w:asciiTheme="minorHAnsi" w:hAnsiTheme="minorHAnsi"/>
          <w:sz w:val="14"/>
          <w:szCs w:val="14"/>
        </w:rPr>
        <w:t>Counseling</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Centers</w:t>
      </w:r>
      <w:proofErr w:type="spellEnd"/>
      <w:r w:rsidRPr="00823A57">
        <w:rPr>
          <w:rFonts w:asciiTheme="minorHAnsi" w:hAnsiTheme="minorHAnsi"/>
          <w:sz w:val="14"/>
          <w:szCs w:val="14"/>
        </w:rPr>
        <w:t xml:space="preserve"> for Victims of Right-wing, Racist, and Antisemitic Violence (VBRG), “</w:t>
      </w:r>
      <w:proofErr w:type="spellStart"/>
      <w:r w:rsidRPr="00823A57">
        <w:rPr>
          <w:rFonts w:asciiTheme="minorHAnsi" w:hAnsiTheme="minorHAnsi"/>
          <w:sz w:val="14"/>
          <w:szCs w:val="14"/>
        </w:rPr>
        <w:t>Rechte</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rassistische</w:t>
      </w:r>
      <w:proofErr w:type="spellEnd"/>
      <w:r w:rsidRPr="00823A57">
        <w:rPr>
          <w:rFonts w:asciiTheme="minorHAnsi" w:hAnsiTheme="minorHAnsi"/>
          <w:sz w:val="14"/>
          <w:szCs w:val="14"/>
        </w:rPr>
        <w:t xml:space="preserve"> und </w:t>
      </w:r>
      <w:proofErr w:type="spellStart"/>
      <w:r w:rsidRPr="00823A57">
        <w:rPr>
          <w:rFonts w:asciiTheme="minorHAnsi" w:hAnsiTheme="minorHAnsi"/>
          <w:sz w:val="14"/>
          <w:szCs w:val="14"/>
        </w:rPr>
        <w:t>antisemitische</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Gewalt</w:t>
      </w:r>
      <w:proofErr w:type="spellEnd"/>
      <w:r w:rsidRPr="00823A57">
        <w:rPr>
          <w:rFonts w:asciiTheme="minorHAnsi" w:hAnsiTheme="minorHAnsi"/>
          <w:sz w:val="14"/>
          <w:szCs w:val="14"/>
        </w:rPr>
        <w:t xml:space="preserve"> in Deutschland 2022 – </w:t>
      </w:r>
      <w:proofErr w:type="spellStart"/>
      <w:r w:rsidRPr="00823A57">
        <w:rPr>
          <w:rFonts w:asciiTheme="minorHAnsi" w:hAnsiTheme="minorHAnsi"/>
          <w:sz w:val="14"/>
          <w:szCs w:val="14"/>
        </w:rPr>
        <w:t>Jahresbilanzen</w:t>
      </w:r>
      <w:proofErr w:type="spellEnd"/>
      <w:r w:rsidRPr="00823A57">
        <w:rPr>
          <w:rFonts w:asciiTheme="minorHAnsi" w:hAnsiTheme="minorHAnsi"/>
          <w:sz w:val="14"/>
          <w:szCs w:val="14"/>
        </w:rPr>
        <w:t xml:space="preserve"> der </w:t>
      </w:r>
      <w:proofErr w:type="spellStart"/>
      <w:r w:rsidRPr="00823A57">
        <w:rPr>
          <w:rFonts w:asciiTheme="minorHAnsi" w:hAnsiTheme="minorHAnsi"/>
          <w:sz w:val="14"/>
          <w:szCs w:val="14"/>
        </w:rPr>
        <w:t>Opferberatungsstellen</w:t>
      </w:r>
      <w:proofErr w:type="spellEnd"/>
      <w:r w:rsidRPr="00823A57">
        <w:rPr>
          <w:rFonts w:asciiTheme="minorHAnsi" w:hAnsiTheme="minorHAnsi"/>
          <w:sz w:val="14"/>
          <w:szCs w:val="14"/>
        </w:rPr>
        <w:t xml:space="preserve">” [“Right-wing, racist and antisemitic violence in Germany 2022 - Annual reports of victim counselling centres”], 09 May 2023, </w:t>
      </w:r>
      <w:hyperlink r:id="rId84" w:tooltip="https://verband-brg.de/rechte-rassistische-und-antisemitische-gewalt-in-deutschland-2022-jahresbilanzen-der-opferberatungsstellen/" w:history="1">
        <w:r w:rsidRPr="00823A57">
          <w:rPr>
            <w:rStyle w:val="Hyperlink"/>
            <w:rFonts w:asciiTheme="minorHAnsi" w:eastAsia="Amnesty Trade Gothic" w:hAnsiTheme="minorHAnsi" w:cs="Amnesty Trade Gothic"/>
            <w:sz w:val="14"/>
            <w:szCs w:val="14"/>
          </w:rPr>
          <w:t>https://verband-brg.de/rechte-rassistische-und-antisemitische-gewalt-in-deutschland-2022-jahresbilanzen-der-opferberatungsstellen/</w:t>
        </w:r>
      </w:hyperlink>
      <w:r w:rsidRPr="00823A57">
        <w:rPr>
          <w:rFonts w:asciiTheme="minorHAnsi" w:hAnsiTheme="minorHAnsi"/>
          <w:color w:val="000000"/>
          <w:sz w:val="14"/>
          <w:szCs w:val="14"/>
        </w:rPr>
        <w:t xml:space="preserve"> (in German).</w:t>
      </w:r>
    </w:p>
  </w:footnote>
  <w:footnote w:id="110">
    <w:p w14:paraId="56049280"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w:t>
      </w:r>
      <w:r w:rsidRPr="00823A57">
        <w:rPr>
          <w:rFonts w:asciiTheme="minorHAnsi" w:hAnsiTheme="minorHAnsi"/>
          <w:color w:val="000000"/>
          <w:sz w:val="14"/>
          <w:szCs w:val="14"/>
        </w:rPr>
        <w:t xml:space="preserve">European Commission against Racism and Intolerance, General Policy Recommendation No. 11, 29 June 2007, </w:t>
      </w:r>
      <w:hyperlink r:id="rId85" w:history="1">
        <w:r w:rsidRPr="00823A57">
          <w:rPr>
            <w:rStyle w:val="Hyperlink"/>
            <w:rFonts w:asciiTheme="minorHAnsi" w:eastAsia="Amnesty Trade Gothic" w:hAnsiTheme="minorHAnsi" w:cs="Amnesty Trade Gothic"/>
            <w:sz w:val="14"/>
            <w:szCs w:val="14"/>
          </w:rPr>
          <w:t>https://rm.coe.int/ecri-general-policy-recommendation-no-11-on-combating-racism-and-racia/16808b5adf</w:t>
        </w:r>
      </w:hyperlink>
      <w:r w:rsidRPr="00823A57">
        <w:rPr>
          <w:rFonts w:asciiTheme="minorHAnsi" w:hAnsiTheme="minorHAnsi"/>
          <w:sz w:val="14"/>
          <w:szCs w:val="14"/>
        </w:rPr>
        <w:t>, p. 4.</w:t>
      </w:r>
    </w:p>
  </w:footnote>
  <w:footnote w:id="111">
    <w:p w14:paraId="087523B0"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ECRI on Germany 2020, para. 61. </w:t>
      </w:r>
    </w:p>
  </w:footnote>
  <w:footnote w:id="112">
    <w:p w14:paraId="10E6D761"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w:t>
      </w:r>
      <w:r w:rsidRPr="00823A57">
        <w:rPr>
          <w:rFonts w:asciiTheme="minorHAnsi" w:hAnsiTheme="minorHAnsi"/>
          <w:color w:val="000000"/>
          <w:sz w:val="14"/>
          <w:szCs w:val="14"/>
        </w:rPr>
        <w:t>See</w:t>
      </w:r>
      <w:r w:rsidRPr="00823A57">
        <w:rPr>
          <w:rFonts w:asciiTheme="minorHAnsi" w:hAnsiTheme="minorHAnsi"/>
          <w:sz w:val="14"/>
          <w:szCs w:val="14"/>
        </w:rPr>
        <w:t xml:space="preserve"> The Commissioner of the Federal Government for Migration, Refugees, and Integration/ The Commissioner of the Federal Government for Anti-Racism, “</w:t>
      </w:r>
      <w:proofErr w:type="spellStart"/>
      <w:r w:rsidRPr="00823A57">
        <w:rPr>
          <w:rFonts w:asciiTheme="minorHAnsi" w:hAnsiTheme="minorHAnsi"/>
          <w:sz w:val="14"/>
          <w:szCs w:val="14"/>
        </w:rPr>
        <w:t>Lagebericht</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Rassismus</w:t>
      </w:r>
      <w:proofErr w:type="spellEnd"/>
      <w:r w:rsidRPr="00823A57">
        <w:rPr>
          <w:rFonts w:asciiTheme="minorHAnsi" w:hAnsiTheme="minorHAnsi"/>
          <w:sz w:val="14"/>
          <w:szCs w:val="14"/>
        </w:rPr>
        <w:t xml:space="preserve"> in Deutschland” [“Situation Report on Racism in Germany”],</w:t>
      </w:r>
      <w:r w:rsidRPr="00823A57">
        <w:rPr>
          <w:rFonts w:asciiTheme="minorHAnsi" w:hAnsiTheme="minorHAnsi"/>
          <w:color w:val="000000"/>
          <w:sz w:val="14"/>
          <w:szCs w:val="14"/>
        </w:rPr>
        <w:t xml:space="preserve"> January 2023, </w:t>
      </w:r>
      <w:hyperlink r:id="rId86" w:tooltip="https://www.integrationsbeauftragte.de/resource/blob/1864320/2157012/77c8d1dddeea760bc13dbd87ee9a415f/lagebericht-rassismus-komplett-data.pdf?download=1," w:history="1">
        <w:r w:rsidRPr="00823A57">
          <w:rPr>
            <w:rStyle w:val="Hyperlink"/>
            <w:rFonts w:asciiTheme="minorHAnsi" w:eastAsia="Amnesty Trade Gothic" w:hAnsiTheme="minorHAnsi" w:cs="Amnesty Trade Gothic"/>
            <w:sz w:val="14"/>
            <w:szCs w:val="14"/>
          </w:rPr>
          <w:t>https://www.integrationsbeauftragte.de/resource/blob/1864320/2157012/77c8d1dddeea760bc13dbd87ee9a415f/lagebericht-rassismus-komplett-data.pdf?download=1,</w:t>
        </w:r>
      </w:hyperlink>
      <w:r w:rsidRPr="00823A57">
        <w:rPr>
          <w:rFonts w:asciiTheme="minorHAnsi" w:hAnsiTheme="minorHAnsi"/>
          <w:color w:val="000000"/>
          <w:sz w:val="14"/>
          <w:szCs w:val="14"/>
        </w:rPr>
        <w:t xml:space="preserve"> </w:t>
      </w:r>
      <w:r w:rsidRPr="00823A57">
        <w:rPr>
          <w:rFonts w:asciiTheme="minorHAnsi" w:hAnsiTheme="minorHAnsi"/>
          <w:sz w:val="14"/>
          <w:szCs w:val="14"/>
        </w:rPr>
        <w:t>p. 26 (in German).</w:t>
      </w:r>
    </w:p>
  </w:footnote>
  <w:footnote w:id="113">
    <w:p w14:paraId="02E15FCF"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w:t>
      </w:r>
      <w:r w:rsidRPr="00823A57">
        <w:rPr>
          <w:rFonts w:asciiTheme="minorHAnsi" w:hAnsiTheme="minorHAnsi"/>
          <w:color w:val="000000"/>
          <w:sz w:val="14"/>
          <w:szCs w:val="14"/>
        </w:rPr>
        <w:t xml:space="preserve">Ibid., </w:t>
      </w:r>
      <w:r w:rsidRPr="00823A57">
        <w:rPr>
          <w:rFonts w:asciiTheme="minorHAnsi" w:hAnsiTheme="minorHAnsi"/>
          <w:sz w:val="14"/>
          <w:szCs w:val="14"/>
        </w:rPr>
        <w:t xml:space="preserve">p. 27. </w:t>
      </w:r>
    </w:p>
  </w:footnote>
  <w:footnote w:id="114">
    <w:p w14:paraId="1B254B30"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eastAsia="Amnesty Trade Gothic" w:hAnsiTheme="minorHAnsi" w:cs="Amnesty Trade Gothic"/>
          <w:color w:val="auto"/>
          <w:sz w:val="14"/>
          <w:szCs w:val="14"/>
          <w:vertAlign w:val="superscript"/>
        </w:rPr>
        <w:footnoteRef/>
      </w:r>
      <w:r w:rsidRPr="00823A57">
        <w:rPr>
          <w:rFonts w:asciiTheme="minorHAnsi" w:eastAsia="Amnesty Trade Gothic" w:hAnsiTheme="minorHAnsi" w:cs="Amnesty Trade Gothic"/>
          <w:sz w:val="14"/>
          <w:szCs w:val="14"/>
        </w:rPr>
        <w:t xml:space="preserve"> See </w:t>
      </w:r>
      <w:r w:rsidRPr="00823A57">
        <w:rPr>
          <w:rFonts w:asciiTheme="minorHAnsi" w:eastAsia="Amnesty Trade Gothic" w:hAnsiTheme="minorHAnsi" w:cs="Amnesty Trade Gothic"/>
          <w:color w:val="000000"/>
          <w:sz w:val="14"/>
          <w:szCs w:val="14"/>
        </w:rPr>
        <w:t xml:space="preserve">Federal Ministry of the Interior and Community, </w:t>
      </w:r>
      <w:hyperlink r:id="rId87" w:tooltip="https://www.bmfsfj.de/bmfsfj/meta/en/the-ministry/the-ministry-112048" w:history="1">
        <w:r w:rsidRPr="00823A57">
          <w:rPr>
            <w:rStyle w:val="Hyperlink"/>
            <w:rFonts w:asciiTheme="minorHAnsi" w:eastAsia="Amnesty Trade Gothic" w:hAnsiTheme="minorHAnsi" w:cs="Amnesty Trade Gothic"/>
            <w:color w:val="000000"/>
            <w:sz w:val="14"/>
            <w:szCs w:val="14"/>
          </w:rPr>
          <w:t>Federal Ministry for Family Affairs, Senior Citizens, Women and Youth</w:t>
        </w:r>
      </w:hyperlink>
      <w:r w:rsidRPr="00823A57">
        <w:rPr>
          <w:rFonts w:asciiTheme="minorHAnsi" w:eastAsia="Amnesty Trade Gothic" w:hAnsiTheme="minorHAnsi" w:cs="Amnesty Trade Gothic"/>
          <w:color w:val="000000"/>
          <w:sz w:val="14"/>
          <w:szCs w:val="14"/>
        </w:rPr>
        <w:t>, “</w:t>
      </w:r>
      <w:proofErr w:type="spellStart"/>
      <w:r w:rsidRPr="00823A57">
        <w:rPr>
          <w:rFonts w:asciiTheme="minorHAnsi" w:eastAsia="Amnesty Trade Gothic" w:hAnsiTheme="minorHAnsi" w:cs="Amnesty Trade Gothic"/>
          <w:color w:val="000000"/>
          <w:sz w:val="14"/>
          <w:szCs w:val="14"/>
        </w:rPr>
        <w:t>Nationaler</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Aktionsplan</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gegen</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Rassismus</w:t>
      </w:r>
      <w:proofErr w:type="spellEnd"/>
      <w:r w:rsidRPr="00823A57">
        <w:rPr>
          <w:rFonts w:asciiTheme="minorHAnsi" w:eastAsia="Amnesty Trade Gothic" w:hAnsiTheme="minorHAnsi" w:cs="Amnesty Trade Gothic"/>
          <w:color w:val="000000"/>
          <w:sz w:val="14"/>
          <w:szCs w:val="14"/>
        </w:rPr>
        <w:t>“ [“National Action Plan Against Racism“], 14 June 2017, </w:t>
      </w:r>
      <w:hyperlink r:id="rId88" w:tooltip="https://www.bmfsfj.de/resource/blob/116798/5fc38044a1dd8edec34de568ad59e2b9/nationaler-aktionsplan-rassismus-data.pdf" w:history="1">
        <w:r w:rsidRPr="00823A57">
          <w:rPr>
            <w:rStyle w:val="Hyperlink"/>
            <w:rFonts w:asciiTheme="minorHAnsi" w:eastAsia="Amnesty Trade Gothic" w:hAnsiTheme="minorHAnsi" w:cs="Amnesty Trade Gothic"/>
            <w:color w:val="0563C1"/>
            <w:sz w:val="14"/>
            <w:szCs w:val="14"/>
          </w:rPr>
          <w:t>https://www.bmfsfj.de/resource/blob/116798/5fc38044a1dd8edec34de568ad59e2b9/nationaler-aktionsplan-rassismus-data.pdf</w:t>
        </w:r>
      </w:hyperlink>
      <w:r w:rsidRPr="00823A57">
        <w:rPr>
          <w:rFonts w:asciiTheme="minorHAnsi" w:eastAsia="Amnesty Trade Gothic" w:hAnsiTheme="minorHAnsi" w:cs="Amnesty Trade Gothic"/>
          <w:color w:val="000000"/>
          <w:sz w:val="14"/>
          <w:szCs w:val="14"/>
        </w:rPr>
        <w:t xml:space="preserve"> (in German), p.18. However, the provisions also include the problematic wording “hostile towards stranger”. </w:t>
      </w:r>
    </w:p>
  </w:footnote>
  <w:footnote w:id="115">
    <w:p w14:paraId="00C232C1"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See German Institute for Human Rights, “</w:t>
      </w:r>
      <w:proofErr w:type="spellStart"/>
      <w:r w:rsidRPr="00823A57">
        <w:rPr>
          <w:rFonts w:asciiTheme="minorHAnsi" w:hAnsiTheme="minorHAnsi"/>
          <w:sz w:val="14"/>
          <w:szCs w:val="14"/>
        </w:rPr>
        <w:t>Rassismus</w:t>
      </w:r>
      <w:proofErr w:type="spellEnd"/>
      <w:r w:rsidRPr="00823A57">
        <w:rPr>
          <w:rFonts w:asciiTheme="minorHAnsi" w:hAnsiTheme="minorHAnsi"/>
          <w:sz w:val="14"/>
          <w:szCs w:val="14"/>
        </w:rPr>
        <w:t xml:space="preserve"> in der </w:t>
      </w:r>
      <w:proofErr w:type="spellStart"/>
      <w:r w:rsidRPr="00823A57">
        <w:rPr>
          <w:rFonts w:asciiTheme="minorHAnsi" w:hAnsiTheme="minorHAnsi"/>
          <w:sz w:val="14"/>
          <w:szCs w:val="14"/>
        </w:rPr>
        <w:t>Strafverfolgung</w:t>
      </w:r>
      <w:proofErr w:type="spellEnd"/>
      <w:r w:rsidRPr="00823A57">
        <w:rPr>
          <w:rFonts w:asciiTheme="minorHAnsi" w:hAnsiTheme="minorHAnsi"/>
          <w:sz w:val="14"/>
          <w:szCs w:val="14"/>
        </w:rPr>
        <w:t xml:space="preserve"> - Von der </w:t>
      </w:r>
      <w:proofErr w:type="spellStart"/>
      <w:r w:rsidRPr="00823A57">
        <w:rPr>
          <w:rFonts w:asciiTheme="minorHAnsi" w:hAnsiTheme="minorHAnsi"/>
          <w:sz w:val="14"/>
          <w:szCs w:val="14"/>
        </w:rPr>
        <w:t>Notwendigkeit</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struktureller</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Veränderungen</w:t>
      </w:r>
      <w:proofErr w:type="spellEnd"/>
      <w:r w:rsidRPr="00823A57">
        <w:rPr>
          <w:rFonts w:asciiTheme="minorHAnsi" w:hAnsiTheme="minorHAnsi"/>
          <w:sz w:val="14"/>
          <w:szCs w:val="14"/>
        </w:rPr>
        <w:t xml:space="preserve">“ [“Racism in Law Enforcement - On the Necessity of Structural Changes”], 2022, </w:t>
      </w:r>
      <w:hyperlink r:id="rId89" w:tooltip="https://www.institut-fuer-menschenrechte.de/publikationen/detail/rassismus-in-der-strafverfolgung-von-der-notwendigkeit-struktureller-veraenderungen" w:history="1">
        <w:r w:rsidRPr="00823A57">
          <w:rPr>
            <w:rFonts w:asciiTheme="minorHAnsi" w:hAnsiTheme="minorHAnsi"/>
            <w:sz w:val="14"/>
            <w:szCs w:val="14"/>
          </w:rPr>
          <w:t>https://www.institut-fuer-menschenrechte.de/fileadmin/Redaktion/Publikationen/Praxis_Rassismus_in_der_Strafverfolgung.pdf</w:t>
        </w:r>
      </w:hyperlink>
      <w:r w:rsidRPr="00823A57">
        <w:rPr>
          <w:rFonts w:asciiTheme="minorHAnsi" w:hAnsiTheme="minorHAnsi"/>
          <w:sz w:val="14"/>
          <w:szCs w:val="14"/>
        </w:rPr>
        <w:t xml:space="preserve"> (in German). </w:t>
      </w:r>
    </w:p>
  </w:footnote>
  <w:footnote w:id="116">
    <w:p w14:paraId="3521D714"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See </w:t>
      </w:r>
      <w:proofErr w:type="spellStart"/>
      <w:r w:rsidRPr="00823A57">
        <w:rPr>
          <w:rFonts w:asciiTheme="minorHAnsi" w:hAnsiTheme="minorHAnsi"/>
          <w:sz w:val="14"/>
          <w:szCs w:val="14"/>
        </w:rPr>
        <w:t>Diakonie</w:t>
      </w:r>
      <w:proofErr w:type="spellEnd"/>
      <w:r w:rsidRPr="00823A57">
        <w:rPr>
          <w:rFonts w:asciiTheme="minorHAnsi" w:hAnsiTheme="minorHAnsi"/>
          <w:sz w:val="14"/>
          <w:szCs w:val="14"/>
        </w:rPr>
        <w:t xml:space="preserve"> Deutschland – </w:t>
      </w:r>
      <w:proofErr w:type="spellStart"/>
      <w:r w:rsidRPr="00823A57">
        <w:rPr>
          <w:rFonts w:asciiTheme="minorHAnsi" w:hAnsiTheme="minorHAnsi"/>
          <w:sz w:val="14"/>
          <w:szCs w:val="14"/>
        </w:rPr>
        <w:t>Evangelischer</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Bundesverband</w:t>
      </w:r>
      <w:proofErr w:type="spellEnd"/>
      <w:r w:rsidRPr="00823A57">
        <w:rPr>
          <w:rFonts w:asciiTheme="minorHAnsi" w:hAnsiTheme="minorHAnsi"/>
          <w:sz w:val="14"/>
          <w:szCs w:val="14"/>
        </w:rPr>
        <w:t xml:space="preserve">, Racial Discrimination in Germany, Manifestations and Human Rights, Obligations to Protect Individuals and Groups Against Racial Discrimination, 2015, </w:t>
      </w:r>
      <w:hyperlink r:id="rId90" w:history="1">
        <w:r w:rsidRPr="00823A57">
          <w:rPr>
            <w:rStyle w:val="Hyperlink"/>
            <w:rFonts w:asciiTheme="minorHAnsi" w:eastAsia="Amnesty Trade Gothic" w:hAnsiTheme="minorHAnsi" w:cs="Amnesty Trade Gothic"/>
            <w:sz w:val="14"/>
            <w:szCs w:val="14"/>
          </w:rPr>
          <w:t>https://tbinternet.ohchr.org/_layouts/15/treatybodyexternal/Download.aspx?symbolno=INT%2FCERD%2FNGO%2FDEU%2F19968&amp;Lang=en</w:t>
        </w:r>
      </w:hyperlink>
      <w:r w:rsidRPr="00823A57">
        <w:rPr>
          <w:rFonts w:asciiTheme="minorHAnsi" w:hAnsiTheme="minorHAnsi"/>
          <w:sz w:val="14"/>
          <w:szCs w:val="14"/>
        </w:rPr>
        <w:t xml:space="preserve">, p. 31. </w:t>
      </w:r>
    </w:p>
  </w:footnote>
  <w:footnote w:id="117">
    <w:p w14:paraId="6E44E03F"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ECRI on Germany 2020, para. 70. </w:t>
      </w:r>
    </w:p>
  </w:footnote>
  <w:footnote w:id="118">
    <w:p w14:paraId="635BCF40"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See ECRI on Germany 2020, para 71. </w:t>
      </w:r>
    </w:p>
  </w:footnote>
  <w:footnote w:id="119">
    <w:p w14:paraId="542AC44F"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hAnsiTheme="minorHAnsi"/>
          <w:sz w:val="14"/>
          <w:szCs w:val="14"/>
        </w:rPr>
        <w:footnoteRef/>
      </w:r>
      <w:r w:rsidRPr="00823A57">
        <w:rPr>
          <w:rFonts w:asciiTheme="minorHAnsi" w:hAnsiTheme="minorHAnsi"/>
          <w:sz w:val="14"/>
          <w:szCs w:val="14"/>
        </w:rPr>
        <w:t xml:space="preserve"> </w:t>
      </w:r>
      <w:r w:rsidRPr="00823A57">
        <w:rPr>
          <w:rFonts w:asciiTheme="minorHAnsi" w:eastAsia="Amnesty Trade Gothic" w:hAnsiTheme="minorHAnsi" w:cs="Amnesty Trade Gothic"/>
          <w:sz w:val="14"/>
          <w:szCs w:val="14"/>
        </w:rPr>
        <w:t xml:space="preserve">See Amnesty International, Regional Overview of Islamophobia (Index: EUR 01/5659/2022), 1 June 2022, </w:t>
      </w:r>
      <w:hyperlink r:id="rId91" w:tooltip="https://www.amnesty.eu/wp-content/uploads/2022/09/PACE-submission-Islamophobia-1-June-2022.pdf" w:history="1">
        <w:r w:rsidRPr="00823A57">
          <w:rPr>
            <w:rStyle w:val="Hyperlink"/>
            <w:rFonts w:asciiTheme="minorHAnsi" w:eastAsia="Amnesty Trade Gothic" w:hAnsiTheme="minorHAnsi" w:cs="Amnesty Trade Gothic"/>
            <w:sz w:val="14"/>
            <w:szCs w:val="14"/>
          </w:rPr>
          <w:t>https://www.amnesty.eu/wp-content/uploads/2022/09/PACE-submission-Islamophobia-1-June-2022.pdf</w:t>
        </w:r>
      </w:hyperlink>
      <w:r w:rsidRPr="00823A57">
        <w:rPr>
          <w:rFonts w:asciiTheme="minorHAnsi" w:eastAsia="Amnesty Trade Gothic" w:hAnsiTheme="minorHAnsi" w:cs="Amnesty Trade Gothic"/>
          <w:sz w:val="14"/>
          <w:szCs w:val="14"/>
        </w:rPr>
        <w:t>.</w:t>
      </w:r>
    </w:p>
  </w:footnote>
  <w:footnote w:id="120">
    <w:p w14:paraId="07B9E06C"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Transposed in Germany as § 24 Residence Act.</w:t>
      </w:r>
    </w:p>
  </w:footnote>
  <w:footnote w:id="121">
    <w:p w14:paraId="00E33AEC" w14:textId="77777777" w:rsidR="00070213" w:rsidRPr="00823A57" w:rsidRDefault="00070213" w:rsidP="00CD0A25">
      <w:pPr>
        <w:pStyle w:val="FootnoteText"/>
        <w:shd w:val="clear" w:color="auto" w:fill="FFFFFF"/>
        <w:spacing w:after="0"/>
        <w:rPr>
          <w:rFonts w:asciiTheme="minorHAnsi" w:hAnsiTheme="minorHAnsi" w:cs="Amnesty Trade Gothic"/>
          <w:sz w:val="14"/>
          <w:szCs w:val="14"/>
          <w:lang w:val="en-US"/>
        </w:rPr>
      </w:pPr>
      <w:r w:rsidRPr="00823A57">
        <w:rPr>
          <w:rFonts w:asciiTheme="minorHAnsi" w:eastAsia="Amnesty Trade Gothic" w:hAnsiTheme="minorHAnsi" w:cs="Amnesty Trade Gothic"/>
          <w:color w:val="auto"/>
          <w:sz w:val="14"/>
          <w:szCs w:val="14"/>
          <w:vertAlign w:val="superscript"/>
        </w:rPr>
        <w:footnoteRef/>
      </w:r>
      <w:r w:rsidRPr="00823A57">
        <w:rPr>
          <w:rFonts w:asciiTheme="minorHAnsi" w:eastAsia="Amnesty Trade Gothic" w:hAnsiTheme="minorHAnsi" w:cs="Amnesty Trade Gothic"/>
          <w:sz w:val="14"/>
          <w:szCs w:val="14"/>
        </w:rPr>
        <w:t xml:space="preserve"> </w:t>
      </w:r>
      <w:r w:rsidRPr="00823A57">
        <w:rPr>
          <w:rFonts w:asciiTheme="minorHAnsi" w:eastAsia="Amnesty Trade Gothic" w:hAnsiTheme="minorHAnsi" w:cs="Amnesty Trade Gothic"/>
          <w:color w:val="000000"/>
          <w:sz w:val="14"/>
          <w:szCs w:val="14"/>
        </w:rPr>
        <w:t xml:space="preserve">See </w:t>
      </w:r>
      <w:proofErr w:type="spellStart"/>
      <w:r w:rsidRPr="00823A57">
        <w:rPr>
          <w:rFonts w:asciiTheme="minorHAnsi" w:eastAsia="Amnesty Trade Gothic" w:hAnsiTheme="minorHAnsi" w:cs="Amnesty Trade Gothic"/>
          <w:color w:val="000000"/>
          <w:sz w:val="14"/>
          <w:szCs w:val="14"/>
        </w:rPr>
        <w:t>Fokus</w:t>
      </w:r>
      <w:proofErr w:type="spellEnd"/>
      <w:r w:rsidRPr="00823A57">
        <w:rPr>
          <w:rFonts w:asciiTheme="minorHAnsi" w:eastAsia="Amnesty Trade Gothic" w:hAnsiTheme="minorHAnsi" w:cs="Amnesty Trade Gothic"/>
          <w:color w:val="000000"/>
          <w:sz w:val="14"/>
          <w:szCs w:val="14"/>
        </w:rPr>
        <w:t xml:space="preserve">, “Deutsche </w:t>
      </w:r>
      <w:proofErr w:type="spellStart"/>
      <w:r w:rsidRPr="00823A57">
        <w:rPr>
          <w:rFonts w:asciiTheme="minorHAnsi" w:eastAsia="Amnesty Trade Gothic" w:hAnsiTheme="minorHAnsi" w:cs="Amnesty Trade Gothic"/>
          <w:color w:val="000000"/>
          <w:sz w:val="14"/>
          <w:szCs w:val="14"/>
        </w:rPr>
        <w:t>stehen</w:t>
      </w:r>
      <w:proofErr w:type="spellEnd"/>
      <w:r w:rsidRPr="00823A57">
        <w:rPr>
          <w:rFonts w:asciiTheme="minorHAnsi" w:eastAsia="Amnesty Trade Gothic" w:hAnsiTheme="minorHAnsi" w:cs="Amnesty Trade Gothic"/>
          <w:color w:val="000000"/>
          <w:sz w:val="14"/>
          <w:szCs w:val="14"/>
        </w:rPr>
        <w:t xml:space="preserve"> Ukraine-</w:t>
      </w:r>
      <w:proofErr w:type="spellStart"/>
      <w:r w:rsidRPr="00823A57">
        <w:rPr>
          <w:rFonts w:asciiTheme="minorHAnsi" w:eastAsia="Amnesty Trade Gothic" w:hAnsiTheme="minorHAnsi" w:cs="Amnesty Trade Gothic"/>
          <w:color w:val="000000"/>
          <w:sz w:val="14"/>
          <w:szCs w:val="14"/>
        </w:rPr>
        <w:t>Geflüchteten</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positiver</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gegenüber</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als</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anderen</w:t>
      </w:r>
      <w:proofErr w:type="spellEnd"/>
      <w:r w:rsidRPr="00823A57">
        <w:rPr>
          <w:rFonts w:asciiTheme="minorHAnsi" w:eastAsia="Amnesty Trade Gothic" w:hAnsiTheme="minorHAnsi" w:cs="Amnesty Trade Gothic"/>
          <w:color w:val="000000"/>
          <w:sz w:val="14"/>
          <w:szCs w:val="14"/>
        </w:rPr>
        <w:t xml:space="preserve"> </w:t>
      </w:r>
      <w:proofErr w:type="spellStart"/>
      <w:r w:rsidRPr="00823A57">
        <w:rPr>
          <w:rFonts w:asciiTheme="minorHAnsi" w:eastAsia="Amnesty Trade Gothic" w:hAnsiTheme="minorHAnsi" w:cs="Amnesty Trade Gothic"/>
          <w:color w:val="000000"/>
          <w:sz w:val="14"/>
          <w:szCs w:val="14"/>
        </w:rPr>
        <w:t>Migranten</w:t>
      </w:r>
      <w:proofErr w:type="spellEnd"/>
      <w:r w:rsidRPr="00823A57">
        <w:rPr>
          <w:rFonts w:asciiTheme="minorHAnsi" w:eastAsia="Amnesty Trade Gothic" w:hAnsiTheme="minorHAnsi" w:cs="Amnesty Trade Gothic"/>
          <w:color w:val="000000"/>
          <w:sz w:val="14"/>
          <w:szCs w:val="14"/>
        </w:rPr>
        <w:t xml:space="preserve">” [“Germans have a more positive attitude towards Ukrainian refugees than other migrants”], 02 April 2022, </w:t>
      </w:r>
      <w:hyperlink r:id="rId92" w:history="1">
        <w:r w:rsidRPr="00823A57">
          <w:rPr>
            <w:rStyle w:val="Hyperlink"/>
            <w:rFonts w:asciiTheme="minorHAnsi" w:eastAsia="Amnesty Trade Gothic" w:hAnsiTheme="minorHAnsi" w:cs="Amnesty Trade Gothic"/>
            <w:sz w:val="14"/>
            <w:szCs w:val="14"/>
          </w:rPr>
          <w:t>https://www.focus.de/politik/deutschland/ergebnis-einer-umfrage-deutsche-stehen-ukraine-gefluechteten-positiver-gegenueber-als-anderen-migranten_id_77665450.html</w:t>
        </w:r>
      </w:hyperlink>
      <w:r w:rsidRPr="00823A57">
        <w:rPr>
          <w:rFonts w:asciiTheme="minorHAnsi" w:eastAsia="Amnesty Trade Gothic" w:hAnsiTheme="minorHAnsi" w:cs="Amnesty Trade Gothic"/>
          <w:color w:val="000000"/>
          <w:sz w:val="14"/>
          <w:szCs w:val="14"/>
        </w:rPr>
        <w:t xml:space="preserve"> (in German): The reason most often given by respondents for their preference for Ukrainians was the cause of flight (53 per cent), followed by the "cultural proximity" of the refugees (52 per cent), the geographical proximity of the countries of origin (49 per cent) and the clearer prospect of return (40 per cent). This was followed by the religious affiliation of the refugees (33 </w:t>
      </w:r>
      <w:proofErr w:type="spellStart"/>
      <w:r w:rsidRPr="00823A57">
        <w:rPr>
          <w:rFonts w:asciiTheme="minorHAnsi" w:eastAsia="Amnesty Trade Gothic" w:hAnsiTheme="minorHAnsi" w:cs="Amnesty Trade Gothic"/>
          <w:color w:val="000000"/>
          <w:sz w:val="14"/>
          <w:szCs w:val="14"/>
        </w:rPr>
        <w:t>percent</w:t>
      </w:r>
      <w:proofErr w:type="spellEnd"/>
      <w:r w:rsidRPr="00823A57">
        <w:rPr>
          <w:rFonts w:asciiTheme="minorHAnsi" w:eastAsia="Amnesty Trade Gothic" w:hAnsiTheme="minorHAnsi" w:cs="Amnesty Trade Gothic"/>
          <w:color w:val="000000"/>
          <w:sz w:val="14"/>
          <w:szCs w:val="14"/>
        </w:rPr>
        <w:t xml:space="preserve">) and the gender of the refugees (30 </w:t>
      </w:r>
      <w:proofErr w:type="spellStart"/>
      <w:r w:rsidRPr="00823A57">
        <w:rPr>
          <w:rFonts w:asciiTheme="minorHAnsi" w:eastAsia="Amnesty Trade Gothic" w:hAnsiTheme="minorHAnsi" w:cs="Amnesty Trade Gothic"/>
          <w:color w:val="000000"/>
          <w:sz w:val="14"/>
          <w:szCs w:val="14"/>
        </w:rPr>
        <w:t>percent</w:t>
      </w:r>
      <w:proofErr w:type="spellEnd"/>
      <w:r w:rsidRPr="00823A57">
        <w:rPr>
          <w:rFonts w:asciiTheme="minorHAnsi" w:eastAsia="Amnesty Trade Gothic" w:hAnsiTheme="minorHAnsi" w:cs="Amnesty Trade Gothic"/>
          <w:color w:val="000000"/>
          <w:sz w:val="14"/>
          <w:szCs w:val="14"/>
        </w:rPr>
        <w:t xml:space="preserve">). </w:t>
      </w:r>
    </w:p>
  </w:footnote>
  <w:footnote w:id="122">
    <w:p w14:paraId="28581F3E" w14:textId="77777777" w:rsidR="00070213" w:rsidRPr="00823A57" w:rsidRDefault="00070213" w:rsidP="00CD0A25">
      <w:pPr>
        <w:pStyle w:val="FootnoteText"/>
        <w:shd w:val="clear" w:color="auto" w:fill="FFFFFF"/>
        <w:spacing w:after="0"/>
        <w:rPr>
          <w:rFonts w:asciiTheme="minorHAnsi" w:hAnsiTheme="minorHAnsi"/>
          <w:sz w:val="14"/>
          <w:szCs w:val="14"/>
          <w:lang w:val="en-US"/>
        </w:rPr>
      </w:pPr>
      <w:r w:rsidRPr="00823A57">
        <w:rPr>
          <w:rStyle w:val="FootnoteReference"/>
          <w:rFonts w:asciiTheme="minorHAnsi" w:eastAsia="Amnesty Trade Gothic" w:hAnsiTheme="minorHAnsi" w:cs="Amnesty Trade Gothic"/>
          <w:sz w:val="14"/>
          <w:szCs w:val="14"/>
        </w:rPr>
        <w:footnoteRef/>
      </w:r>
      <w:r w:rsidRPr="00823A57">
        <w:rPr>
          <w:rFonts w:asciiTheme="minorHAnsi" w:hAnsiTheme="minorHAnsi"/>
          <w:sz w:val="14"/>
          <w:szCs w:val="14"/>
          <w:lang w:val="en-US"/>
        </w:rPr>
        <w:t xml:space="preserve"> see e.g. Independent Expert Group on </w:t>
      </w:r>
      <w:proofErr w:type="spellStart"/>
      <w:r w:rsidRPr="00823A57">
        <w:rPr>
          <w:rFonts w:asciiTheme="minorHAnsi" w:hAnsiTheme="minorHAnsi"/>
          <w:sz w:val="14"/>
          <w:szCs w:val="14"/>
          <w:lang w:val="en-US"/>
        </w:rPr>
        <w:t>Muslimophobia</w:t>
      </w:r>
      <w:proofErr w:type="spellEnd"/>
      <w:r w:rsidRPr="00823A57">
        <w:rPr>
          <w:rFonts w:asciiTheme="minorHAnsi" w:hAnsiTheme="minorHAnsi"/>
          <w:sz w:val="14"/>
          <w:szCs w:val="14"/>
          <w:lang w:val="en-US"/>
        </w:rPr>
        <w:t>, ”</w:t>
      </w:r>
      <w:proofErr w:type="spellStart"/>
      <w:r w:rsidRPr="00823A57">
        <w:rPr>
          <w:rFonts w:asciiTheme="minorHAnsi" w:hAnsiTheme="minorHAnsi"/>
          <w:sz w:val="14"/>
          <w:szCs w:val="14"/>
          <w:lang w:val="en-US"/>
        </w:rPr>
        <w:t>Muslimfeindlichkeit</w:t>
      </w:r>
      <w:proofErr w:type="spellEnd"/>
      <w:r w:rsidRPr="00823A57">
        <w:rPr>
          <w:rFonts w:asciiTheme="minorHAnsi" w:hAnsiTheme="minorHAnsi"/>
          <w:sz w:val="14"/>
          <w:szCs w:val="14"/>
          <w:lang w:val="en-US"/>
        </w:rPr>
        <w:t xml:space="preserve"> – Eine deutsche </w:t>
      </w:r>
      <w:proofErr w:type="spellStart"/>
      <w:r w:rsidRPr="00823A57">
        <w:rPr>
          <w:rFonts w:asciiTheme="minorHAnsi" w:hAnsiTheme="minorHAnsi"/>
          <w:sz w:val="14"/>
          <w:szCs w:val="14"/>
          <w:lang w:val="en-US"/>
        </w:rPr>
        <w:t>Bilanz</w:t>
      </w:r>
      <w:proofErr w:type="spellEnd"/>
      <w:r w:rsidRPr="00823A57">
        <w:rPr>
          <w:rFonts w:asciiTheme="minorHAnsi" w:hAnsiTheme="minorHAnsi"/>
          <w:sz w:val="14"/>
          <w:szCs w:val="14"/>
          <w:lang w:val="en-US"/>
        </w:rPr>
        <w:t>“ [”</w:t>
      </w:r>
      <w:proofErr w:type="spellStart"/>
      <w:r w:rsidRPr="00823A57">
        <w:rPr>
          <w:rFonts w:asciiTheme="minorHAnsi" w:hAnsiTheme="minorHAnsi"/>
          <w:sz w:val="14"/>
          <w:szCs w:val="14"/>
          <w:lang w:val="en-US"/>
        </w:rPr>
        <w:t>Muslimophobia</w:t>
      </w:r>
      <w:proofErr w:type="spellEnd"/>
      <w:r w:rsidRPr="00823A57">
        <w:rPr>
          <w:rFonts w:asciiTheme="minorHAnsi" w:hAnsiTheme="minorHAnsi"/>
          <w:sz w:val="14"/>
          <w:szCs w:val="14"/>
          <w:lang w:val="en-US"/>
        </w:rPr>
        <w:t xml:space="preserve"> - A German Balance Sheet“], 2023, pp. 240-243, </w:t>
      </w:r>
      <w:hyperlink r:id="rId93" w:tooltip="https://www.bmi.bund.de/SharedDocs/pressemitteilungen/DE/2023/06/uem-abschlussbericht.html" w:history="1">
        <w:hyperlink r:id="rId94" w:tooltip="https://www.bmi.bund.de/SharedDocs/pressemitteilungen/DE/2023/06/uem-abschlussbericht.html" w:history="1">
          <w:r w:rsidRPr="00823A57">
            <w:rPr>
              <w:rFonts w:asciiTheme="minorHAnsi" w:hAnsiTheme="minorHAnsi"/>
              <w:color w:val="0563C1"/>
              <w:sz w:val="14"/>
              <w:szCs w:val="14"/>
              <w:lang w:val="en-US"/>
            </w:rPr>
            <w:t xml:space="preserve">https://www.bmi.bund.de/SharedDocs/pressemitteilungen/DE/2023/06/uem-abschlussbericht.html </w:t>
          </w:r>
        </w:hyperlink>
      </w:hyperlink>
      <w:r w:rsidRPr="00823A57">
        <w:rPr>
          <w:rFonts w:asciiTheme="minorHAnsi" w:hAnsiTheme="minorHAnsi"/>
          <w:sz w:val="14"/>
          <w:szCs w:val="14"/>
          <w:lang w:val="en-US"/>
        </w:rPr>
        <w:t>(in German).</w:t>
      </w:r>
    </w:p>
  </w:footnote>
  <w:footnote w:id="123">
    <w:p w14:paraId="57B34725" w14:textId="77777777" w:rsidR="00070213" w:rsidRPr="00823A57" w:rsidRDefault="00070213" w:rsidP="00CD0A25">
      <w:pPr>
        <w:pStyle w:val="FootnoteText"/>
        <w:shd w:val="clear" w:color="auto" w:fill="FFFFFF"/>
        <w:spacing w:after="0"/>
        <w:rPr>
          <w:rFonts w:asciiTheme="minorHAnsi" w:hAnsiTheme="minorHAnsi"/>
          <w:sz w:val="14"/>
          <w:szCs w:val="14"/>
          <w:lang w:val="en-US"/>
        </w:rPr>
      </w:pPr>
      <w:r w:rsidRPr="00823A57">
        <w:rPr>
          <w:rFonts w:asciiTheme="minorHAnsi" w:hAnsiTheme="minorHAnsi"/>
          <w:color w:val="auto"/>
          <w:sz w:val="14"/>
          <w:szCs w:val="14"/>
          <w:vertAlign w:val="superscript"/>
        </w:rPr>
        <w:footnoteRef/>
      </w:r>
      <w:r w:rsidRPr="00823A57">
        <w:rPr>
          <w:rFonts w:asciiTheme="minorHAnsi" w:hAnsiTheme="minorHAnsi"/>
          <w:sz w:val="14"/>
          <w:szCs w:val="14"/>
          <w:lang w:val="de-DE"/>
        </w:rPr>
        <w:t xml:space="preserve"> Pross, Jennifer, “Expertise: Wie häufig nennen Medien die Herkunft von Tatverdächtigen?“ </w:t>
      </w:r>
      <w:r w:rsidRPr="00823A57">
        <w:rPr>
          <w:rFonts w:asciiTheme="minorHAnsi" w:hAnsiTheme="minorHAnsi"/>
          <w:sz w:val="14"/>
          <w:szCs w:val="14"/>
          <w:lang w:val="en-US"/>
        </w:rPr>
        <w:t xml:space="preserve">[”How often do media mention the origin of crime suspects?“], 10 December 2019, </w:t>
      </w:r>
      <w:hyperlink r:id="rId95" w:tooltip="https://mediendienst-integration.de/artikel/wie-oft-nennen-medien-die-herkunft-von-tatverdaechtigen.html" w:history="1">
        <w:r w:rsidRPr="00823A57">
          <w:rPr>
            <w:rStyle w:val="Hyperlink"/>
            <w:rFonts w:asciiTheme="minorHAnsi" w:eastAsia="Amnesty Trade Gothic" w:hAnsiTheme="minorHAnsi" w:cs="Amnesty Trade Gothic"/>
            <w:color w:val="0563C1"/>
            <w:sz w:val="14"/>
            <w:szCs w:val="14"/>
            <w:lang w:val="en-US"/>
          </w:rPr>
          <w:t>https://mediendienst-integration.de/artikel/wie-oft-nennen-medien-die-herkunft-von-tatverdaechtigen.html</w:t>
        </w:r>
      </w:hyperlink>
      <w:r w:rsidRPr="00823A57">
        <w:rPr>
          <w:rStyle w:val="Hyperlink"/>
          <w:rFonts w:asciiTheme="minorHAnsi" w:eastAsia="Amnesty Trade Gothic" w:hAnsiTheme="minorHAnsi" w:cs="Amnesty Trade Gothic"/>
          <w:color w:val="0563C1"/>
          <w:sz w:val="14"/>
          <w:szCs w:val="14"/>
          <w:lang w:val="en-US"/>
        </w:rPr>
        <w:t>.</w:t>
      </w:r>
      <w:r w:rsidRPr="00823A57">
        <w:rPr>
          <w:rFonts w:asciiTheme="minorHAnsi" w:hAnsiTheme="minorHAnsi"/>
          <w:sz w:val="14"/>
          <w:szCs w:val="14"/>
          <w:lang w:val="en-US"/>
        </w:rPr>
        <w:t xml:space="preserve"> </w:t>
      </w:r>
    </w:p>
  </w:footnote>
  <w:footnote w:id="124">
    <w:p w14:paraId="13BD2F92"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eastAsia="Amnesty Trade Gothic" w:hAnsiTheme="minorHAnsi" w:cs="Amnesty Trade Gothic"/>
          <w:sz w:val="14"/>
          <w:szCs w:val="14"/>
        </w:rPr>
        <w:footnoteRef/>
      </w:r>
      <w:r w:rsidRPr="00823A57">
        <w:rPr>
          <w:rFonts w:asciiTheme="minorHAnsi" w:hAnsiTheme="minorHAnsi"/>
          <w:sz w:val="14"/>
          <w:szCs w:val="14"/>
        </w:rPr>
        <w:t xml:space="preserve"> e.g. Alice </w:t>
      </w:r>
      <w:proofErr w:type="spellStart"/>
      <w:r w:rsidRPr="00823A57">
        <w:rPr>
          <w:rFonts w:asciiTheme="minorHAnsi" w:hAnsiTheme="minorHAnsi"/>
          <w:sz w:val="14"/>
          <w:szCs w:val="14"/>
        </w:rPr>
        <w:t>Weidel</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AfD</w:t>
      </w:r>
      <w:proofErr w:type="spellEnd"/>
      <w:r w:rsidRPr="00823A57">
        <w:rPr>
          <w:rFonts w:asciiTheme="minorHAnsi" w:hAnsiTheme="minorHAnsi"/>
          <w:sz w:val="14"/>
          <w:szCs w:val="14"/>
        </w:rPr>
        <w:t xml:space="preserve">, said in the Federal Parliament that ”Burqas, headscarf girls, and alimented knife men, and other good-for-nothings will not secure our prosperity, economic growth and above all the welfare state.“ </w:t>
      </w:r>
      <w:proofErr w:type="spellStart"/>
      <w:r w:rsidRPr="00823A57">
        <w:rPr>
          <w:rFonts w:asciiTheme="minorHAnsi" w:hAnsiTheme="minorHAnsi"/>
          <w:sz w:val="14"/>
          <w:szCs w:val="14"/>
        </w:rPr>
        <w:t>Zdf</w:t>
      </w:r>
      <w:proofErr w:type="spellEnd"/>
      <w:r w:rsidRPr="00823A57">
        <w:rPr>
          <w:rFonts w:asciiTheme="minorHAnsi" w:hAnsiTheme="minorHAnsi"/>
          <w:sz w:val="14"/>
          <w:szCs w:val="14"/>
        </w:rPr>
        <w:t>, “"</w:t>
      </w:r>
      <w:proofErr w:type="spellStart"/>
      <w:r w:rsidRPr="00823A57">
        <w:rPr>
          <w:rFonts w:asciiTheme="minorHAnsi" w:hAnsiTheme="minorHAnsi"/>
          <w:sz w:val="14"/>
          <w:szCs w:val="14"/>
        </w:rPr>
        <w:t>Kopftuchmädchen</w:t>
      </w:r>
      <w:proofErr w:type="spellEnd"/>
      <w:r w:rsidRPr="00823A57">
        <w:rPr>
          <w:rFonts w:asciiTheme="minorHAnsi" w:hAnsiTheme="minorHAnsi"/>
          <w:sz w:val="14"/>
          <w:szCs w:val="14"/>
        </w:rPr>
        <w:t xml:space="preserve"> und </w:t>
      </w:r>
      <w:proofErr w:type="spellStart"/>
      <w:r w:rsidRPr="00823A57">
        <w:rPr>
          <w:rFonts w:asciiTheme="minorHAnsi" w:hAnsiTheme="minorHAnsi"/>
          <w:sz w:val="14"/>
          <w:szCs w:val="14"/>
        </w:rPr>
        <w:t>Taugenichtse</w:t>
      </w:r>
      <w:proofErr w:type="spellEnd"/>
      <w:r w:rsidRPr="00823A57">
        <w:rPr>
          <w:rFonts w:asciiTheme="minorHAnsi" w:hAnsiTheme="minorHAnsi"/>
          <w:sz w:val="14"/>
          <w:szCs w:val="14"/>
        </w:rPr>
        <w:t xml:space="preserve">"” [“"Headscarf girls and good-for-nothings"”], 16 May 2018, </w:t>
      </w:r>
      <w:hyperlink r:id="rId96" w:tooltip="https://www.zdf.de/nachrichten/heute-sendungen/videos/alice-weidel-ordnungsruf-100.html" w:history="1">
        <w:r w:rsidRPr="00823A57">
          <w:rPr>
            <w:rStyle w:val="Hyperlink"/>
            <w:rFonts w:asciiTheme="minorHAnsi" w:eastAsia="Amnesty Trade Gothic" w:hAnsiTheme="minorHAnsi" w:cs="Amnesty Trade Gothic"/>
            <w:sz w:val="14"/>
            <w:szCs w:val="14"/>
          </w:rPr>
          <w:t>https://www.zdf.de/nachrichten/heute-sendungen/videos/alice-weidel-ordnungsruf-100.html</w:t>
        </w:r>
      </w:hyperlink>
      <w:r w:rsidRPr="00823A57">
        <w:rPr>
          <w:rFonts w:asciiTheme="minorHAnsi" w:hAnsiTheme="minorHAnsi"/>
          <w:sz w:val="14"/>
          <w:szCs w:val="14"/>
        </w:rPr>
        <w:t xml:space="preserve"> (in German). </w:t>
      </w:r>
    </w:p>
  </w:footnote>
  <w:footnote w:id="125">
    <w:p w14:paraId="5BD6BD05" w14:textId="6E546650" w:rsidR="00070213" w:rsidRPr="00823A57" w:rsidRDefault="00070213" w:rsidP="00CD0A25">
      <w:pPr>
        <w:pStyle w:val="FootnoteText"/>
        <w:shd w:val="clear" w:color="auto" w:fill="FFFFFF"/>
        <w:spacing w:after="0"/>
        <w:rPr>
          <w:rFonts w:asciiTheme="minorHAnsi" w:hAnsiTheme="minorHAnsi"/>
          <w:sz w:val="14"/>
          <w:szCs w:val="14"/>
          <w:lang w:val="de-DE"/>
        </w:rPr>
      </w:pPr>
      <w:r w:rsidRPr="00823A57">
        <w:rPr>
          <w:rStyle w:val="FootnoteReference"/>
          <w:rFonts w:asciiTheme="minorHAnsi" w:eastAsia="Amnesty Trade Gothic" w:hAnsiTheme="minorHAnsi" w:cs="Amnesty Trade Gothic"/>
          <w:sz w:val="14"/>
          <w:szCs w:val="14"/>
        </w:rPr>
        <w:footnoteRef/>
      </w:r>
      <w:r w:rsidRPr="00823A57">
        <w:rPr>
          <w:rFonts w:asciiTheme="minorHAnsi" w:hAnsiTheme="minorHAnsi"/>
          <w:sz w:val="14"/>
          <w:szCs w:val="14"/>
        </w:rPr>
        <w:t xml:space="preserve"> </w:t>
      </w:r>
      <w:proofErr w:type="gramStart"/>
      <w:r w:rsidR="003D7719" w:rsidRPr="00823A57">
        <w:rPr>
          <w:rFonts w:asciiTheme="minorHAnsi" w:hAnsiTheme="minorHAnsi"/>
          <w:sz w:val="14"/>
          <w:szCs w:val="14"/>
        </w:rPr>
        <w:t>E</w:t>
      </w:r>
      <w:r w:rsidRPr="00823A57">
        <w:rPr>
          <w:rFonts w:asciiTheme="minorHAnsi" w:hAnsiTheme="minorHAnsi"/>
          <w:sz w:val="14"/>
          <w:szCs w:val="14"/>
        </w:rPr>
        <w:t>.g.</w:t>
      </w:r>
      <w:proofErr w:type="gramEnd"/>
      <w:r w:rsidRPr="00823A57">
        <w:rPr>
          <w:rFonts w:asciiTheme="minorHAnsi" w:hAnsiTheme="minorHAnsi"/>
          <w:sz w:val="14"/>
          <w:szCs w:val="14"/>
        </w:rPr>
        <w:t xml:space="preserve"> in January 2023, Friedrich Merz, CDU, opposition leader, used the expression "little pashas" to refer to pupils of Arab origin. </w:t>
      </w:r>
      <w:r w:rsidRPr="00823A57">
        <w:rPr>
          <w:rFonts w:asciiTheme="minorHAnsi" w:hAnsiTheme="minorHAnsi"/>
          <w:sz w:val="14"/>
          <w:szCs w:val="14"/>
          <w:lang w:val="de-DE"/>
        </w:rPr>
        <w:t xml:space="preserve">Winkler, Pierre, “Merz spricht von "kleinen Paschas"“ [“Merz </w:t>
      </w:r>
      <w:proofErr w:type="spellStart"/>
      <w:r w:rsidRPr="00823A57">
        <w:rPr>
          <w:rFonts w:asciiTheme="minorHAnsi" w:hAnsiTheme="minorHAnsi"/>
          <w:sz w:val="14"/>
          <w:szCs w:val="14"/>
          <w:lang w:val="de-DE"/>
        </w:rPr>
        <w:t>talks</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about</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little</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pashas</w:t>
      </w:r>
      <w:proofErr w:type="spellEnd"/>
      <w:r w:rsidRPr="00823A57">
        <w:rPr>
          <w:rFonts w:asciiTheme="minorHAnsi" w:hAnsiTheme="minorHAnsi"/>
          <w:sz w:val="14"/>
          <w:szCs w:val="14"/>
          <w:lang w:val="de-DE"/>
        </w:rPr>
        <w:t xml:space="preserve">"“], 11 Januar 2023, </w:t>
      </w:r>
      <w:hyperlink r:id="rId97" w:tooltip="https://www.zdf.de/nachrichten/politik/lanz-merz-silvesternacht-integration-100.html" w:history="1">
        <w:r w:rsidRPr="00823A57">
          <w:rPr>
            <w:rStyle w:val="Hyperlink"/>
            <w:rFonts w:asciiTheme="minorHAnsi" w:eastAsia="Amnesty Trade Gothic" w:hAnsiTheme="minorHAnsi" w:cs="Amnesty Trade Gothic"/>
            <w:sz w:val="14"/>
            <w:szCs w:val="14"/>
            <w:lang w:val="de-DE"/>
          </w:rPr>
          <w:t>https://www.zdf.de/nachrichten/politik/lanz-merz-silvesternacht-integration-100.html</w:t>
        </w:r>
      </w:hyperlink>
      <w:r w:rsidRPr="00823A57">
        <w:rPr>
          <w:rFonts w:asciiTheme="minorHAnsi" w:hAnsiTheme="minorHAnsi"/>
          <w:sz w:val="14"/>
          <w:szCs w:val="14"/>
          <w:lang w:val="de-DE"/>
        </w:rPr>
        <w:t xml:space="preserve"> (in German). </w:t>
      </w:r>
    </w:p>
  </w:footnote>
  <w:footnote w:id="126">
    <w:p w14:paraId="581E3F82" w14:textId="34272BE6" w:rsidR="00070213" w:rsidRPr="00823A57" w:rsidRDefault="00070213" w:rsidP="00CD0A25">
      <w:pPr>
        <w:pStyle w:val="FootnoteText"/>
        <w:shd w:val="clear" w:color="auto" w:fill="FFFFFF"/>
        <w:spacing w:after="0"/>
        <w:rPr>
          <w:rFonts w:asciiTheme="minorHAnsi" w:hAnsiTheme="minorHAnsi"/>
          <w:sz w:val="14"/>
          <w:szCs w:val="14"/>
          <w:lang w:val="de-DE"/>
        </w:rPr>
      </w:pPr>
      <w:r w:rsidRPr="00823A57">
        <w:rPr>
          <w:rStyle w:val="FootnoteReference"/>
          <w:rFonts w:asciiTheme="minorHAnsi" w:eastAsia="Amnesty Trade Gothic" w:hAnsiTheme="minorHAnsi" w:cs="Amnesty Trade Gothic"/>
          <w:sz w:val="14"/>
          <w:szCs w:val="14"/>
        </w:rPr>
        <w:footnoteRef/>
      </w:r>
      <w:r w:rsidRPr="00823A57">
        <w:rPr>
          <w:rFonts w:asciiTheme="minorHAnsi" w:eastAsia="Amnesty Trade Gothic" w:hAnsiTheme="minorHAnsi" w:cs="Amnesty Trade Gothic"/>
          <w:sz w:val="14"/>
          <w:szCs w:val="14"/>
          <w:lang w:val="de-DE"/>
        </w:rPr>
        <w:t xml:space="preserve"> Amnesty International, </w:t>
      </w:r>
      <w:r w:rsidRPr="00823A57">
        <w:rPr>
          <w:rFonts w:asciiTheme="minorHAnsi" w:eastAsia="Amnesty Trade Gothic" w:hAnsiTheme="minorHAnsi" w:cs="Amnesty Trade Gothic"/>
          <w:color w:val="000000"/>
          <w:sz w:val="14"/>
          <w:szCs w:val="14"/>
          <w:lang w:val="de-DE"/>
        </w:rPr>
        <w:t xml:space="preserve">“Amnesty verurteilt sexualisierte Gewalt gegen Frauen in Köln und warnt vor rassistischer Hetze und Vorverurteilungen - Menschenrechtsorganisation verurteilt die Ereignisse der Silvesternacht in Köln“ [“Amnesty </w:t>
      </w:r>
      <w:proofErr w:type="spellStart"/>
      <w:r w:rsidRPr="00823A57">
        <w:rPr>
          <w:rFonts w:asciiTheme="minorHAnsi" w:eastAsia="Amnesty Trade Gothic" w:hAnsiTheme="minorHAnsi" w:cs="Amnesty Trade Gothic"/>
          <w:color w:val="000000"/>
          <w:sz w:val="14"/>
          <w:szCs w:val="14"/>
          <w:lang w:val="de-DE"/>
        </w:rPr>
        <w:t>condemns</w:t>
      </w:r>
      <w:proofErr w:type="spellEnd"/>
      <w:r w:rsidRPr="00823A57">
        <w:rPr>
          <w:rFonts w:asciiTheme="minorHAnsi" w:eastAsia="Amnesty Trade Gothic" w:hAnsiTheme="minorHAnsi" w:cs="Amnesty Trade Gothic"/>
          <w:color w:val="000000"/>
          <w:sz w:val="14"/>
          <w:szCs w:val="14"/>
          <w:lang w:val="de-DE"/>
        </w:rPr>
        <w:t xml:space="preserve"> </w:t>
      </w:r>
      <w:proofErr w:type="spellStart"/>
      <w:r w:rsidRPr="00823A57">
        <w:rPr>
          <w:rFonts w:asciiTheme="minorHAnsi" w:eastAsia="Amnesty Trade Gothic" w:hAnsiTheme="minorHAnsi" w:cs="Amnesty Trade Gothic"/>
          <w:color w:val="000000"/>
          <w:sz w:val="14"/>
          <w:szCs w:val="14"/>
          <w:lang w:val="de-DE"/>
        </w:rPr>
        <w:t>sexualised</w:t>
      </w:r>
      <w:proofErr w:type="spellEnd"/>
      <w:r w:rsidRPr="00823A57">
        <w:rPr>
          <w:rFonts w:asciiTheme="minorHAnsi" w:eastAsia="Amnesty Trade Gothic" w:hAnsiTheme="minorHAnsi" w:cs="Amnesty Trade Gothic"/>
          <w:color w:val="000000"/>
          <w:sz w:val="14"/>
          <w:szCs w:val="14"/>
          <w:lang w:val="de-DE"/>
        </w:rPr>
        <w:t xml:space="preserve"> </w:t>
      </w:r>
      <w:proofErr w:type="spellStart"/>
      <w:r w:rsidRPr="00823A57">
        <w:rPr>
          <w:rFonts w:asciiTheme="minorHAnsi" w:eastAsia="Amnesty Trade Gothic" w:hAnsiTheme="minorHAnsi" w:cs="Amnesty Trade Gothic"/>
          <w:color w:val="000000"/>
          <w:sz w:val="14"/>
          <w:szCs w:val="14"/>
          <w:lang w:val="de-DE"/>
        </w:rPr>
        <w:t>violence</w:t>
      </w:r>
      <w:proofErr w:type="spellEnd"/>
      <w:r w:rsidRPr="00823A57">
        <w:rPr>
          <w:rFonts w:asciiTheme="minorHAnsi" w:eastAsia="Amnesty Trade Gothic" w:hAnsiTheme="minorHAnsi" w:cs="Amnesty Trade Gothic"/>
          <w:color w:val="000000"/>
          <w:sz w:val="14"/>
          <w:szCs w:val="14"/>
          <w:lang w:val="de-DE"/>
        </w:rPr>
        <w:t xml:space="preserve"> </w:t>
      </w:r>
      <w:proofErr w:type="spellStart"/>
      <w:r w:rsidRPr="00823A57">
        <w:rPr>
          <w:rFonts w:asciiTheme="minorHAnsi" w:eastAsia="Amnesty Trade Gothic" w:hAnsiTheme="minorHAnsi" w:cs="Amnesty Trade Gothic"/>
          <w:color w:val="000000"/>
          <w:sz w:val="14"/>
          <w:szCs w:val="14"/>
          <w:lang w:val="de-DE"/>
        </w:rPr>
        <w:t>against</w:t>
      </w:r>
      <w:proofErr w:type="spellEnd"/>
      <w:r w:rsidRPr="00823A57">
        <w:rPr>
          <w:rFonts w:asciiTheme="minorHAnsi" w:eastAsia="Amnesty Trade Gothic" w:hAnsiTheme="minorHAnsi" w:cs="Amnesty Trade Gothic"/>
          <w:color w:val="000000"/>
          <w:sz w:val="14"/>
          <w:szCs w:val="14"/>
          <w:lang w:val="de-DE"/>
        </w:rPr>
        <w:t xml:space="preserve"> </w:t>
      </w:r>
      <w:proofErr w:type="spellStart"/>
      <w:r w:rsidRPr="00823A57">
        <w:rPr>
          <w:rFonts w:asciiTheme="minorHAnsi" w:eastAsia="Amnesty Trade Gothic" w:hAnsiTheme="minorHAnsi" w:cs="Amnesty Trade Gothic"/>
          <w:color w:val="000000"/>
          <w:sz w:val="14"/>
          <w:szCs w:val="14"/>
          <w:lang w:val="de-DE"/>
        </w:rPr>
        <w:t>women</w:t>
      </w:r>
      <w:proofErr w:type="spellEnd"/>
      <w:r w:rsidRPr="00823A57">
        <w:rPr>
          <w:rFonts w:asciiTheme="minorHAnsi" w:eastAsia="Amnesty Trade Gothic" w:hAnsiTheme="minorHAnsi" w:cs="Amnesty Trade Gothic"/>
          <w:color w:val="000000"/>
          <w:sz w:val="14"/>
          <w:szCs w:val="14"/>
          <w:lang w:val="de-DE"/>
        </w:rPr>
        <w:t xml:space="preserve"> in Cologne and </w:t>
      </w:r>
      <w:proofErr w:type="spellStart"/>
      <w:r w:rsidRPr="00823A57">
        <w:rPr>
          <w:rFonts w:asciiTheme="minorHAnsi" w:eastAsia="Amnesty Trade Gothic" w:hAnsiTheme="minorHAnsi" w:cs="Amnesty Trade Gothic"/>
          <w:color w:val="000000"/>
          <w:sz w:val="14"/>
          <w:szCs w:val="14"/>
          <w:lang w:val="de-DE"/>
        </w:rPr>
        <w:t>warns</w:t>
      </w:r>
      <w:proofErr w:type="spellEnd"/>
      <w:r w:rsidRPr="00823A57">
        <w:rPr>
          <w:rFonts w:asciiTheme="minorHAnsi" w:eastAsia="Amnesty Trade Gothic" w:hAnsiTheme="minorHAnsi" w:cs="Amnesty Trade Gothic"/>
          <w:color w:val="000000"/>
          <w:sz w:val="14"/>
          <w:szCs w:val="14"/>
          <w:lang w:val="de-DE"/>
        </w:rPr>
        <w:t xml:space="preserve"> </w:t>
      </w:r>
      <w:proofErr w:type="spellStart"/>
      <w:r w:rsidRPr="00823A57">
        <w:rPr>
          <w:rFonts w:asciiTheme="minorHAnsi" w:eastAsia="Amnesty Trade Gothic" w:hAnsiTheme="minorHAnsi" w:cs="Amnesty Trade Gothic"/>
          <w:color w:val="000000"/>
          <w:sz w:val="14"/>
          <w:szCs w:val="14"/>
          <w:lang w:val="de-DE"/>
        </w:rPr>
        <w:t>against</w:t>
      </w:r>
      <w:proofErr w:type="spellEnd"/>
      <w:r w:rsidRPr="00823A57">
        <w:rPr>
          <w:rFonts w:asciiTheme="minorHAnsi" w:eastAsia="Amnesty Trade Gothic" w:hAnsiTheme="minorHAnsi" w:cs="Amnesty Trade Gothic"/>
          <w:color w:val="000000"/>
          <w:sz w:val="14"/>
          <w:szCs w:val="14"/>
          <w:lang w:val="de-DE"/>
        </w:rPr>
        <w:t xml:space="preserve"> </w:t>
      </w:r>
      <w:proofErr w:type="spellStart"/>
      <w:r w:rsidRPr="00823A57">
        <w:rPr>
          <w:rFonts w:asciiTheme="minorHAnsi" w:eastAsia="Amnesty Trade Gothic" w:hAnsiTheme="minorHAnsi" w:cs="Amnesty Trade Gothic"/>
          <w:color w:val="000000"/>
          <w:sz w:val="14"/>
          <w:szCs w:val="14"/>
          <w:lang w:val="de-DE"/>
        </w:rPr>
        <w:t>racist</w:t>
      </w:r>
      <w:proofErr w:type="spellEnd"/>
      <w:r w:rsidRPr="00823A57">
        <w:rPr>
          <w:rFonts w:asciiTheme="minorHAnsi" w:eastAsia="Amnesty Trade Gothic" w:hAnsiTheme="minorHAnsi" w:cs="Amnesty Trade Gothic"/>
          <w:color w:val="000000"/>
          <w:sz w:val="14"/>
          <w:szCs w:val="14"/>
          <w:lang w:val="de-DE"/>
        </w:rPr>
        <w:t xml:space="preserve"> </w:t>
      </w:r>
      <w:proofErr w:type="spellStart"/>
      <w:r w:rsidRPr="00823A57">
        <w:rPr>
          <w:rFonts w:asciiTheme="minorHAnsi" w:eastAsia="Amnesty Trade Gothic" w:hAnsiTheme="minorHAnsi" w:cs="Amnesty Trade Gothic"/>
          <w:color w:val="000000"/>
          <w:sz w:val="14"/>
          <w:szCs w:val="14"/>
          <w:lang w:val="de-DE"/>
        </w:rPr>
        <w:t>agitation</w:t>
      </w:r>
      <w:proofErr w:type="spellEnd"/>
      <w:r w:rsidRPr="00823A57">
        <w:rPr>
          <w:rFonts w:asciiTheme="minorHAnsi" w:eastAsia="Amnesty Trade Gothic" w:hAnsiTheme="minorHAnsi" w:cs="Amnesty Trade Gothic"/>
          <w:color w:val="000000"/>
          <w:sz w:val="14"/>
          <w:szCs w:val="14"/>
          <w:lang w:val="de-DE"/>
        </w:rPr>
        <w:t xml:space="preserve"> and </w:t>
      </w:r>
      <w:proofErr w:type="spellStart"/>
      <w:r w:rsidRPr="00823A57">
        <w:rPr>
          <w:rFonts w:asciiTheme="minorHAnsi" w:eastAsia="Amnesty Trade Gothic" w:hAnsiTheme="minorHAnsi" w:cs="Amnesty Trade Gothic"/>
          <w:color w:val="000000"/>
          <w:sz w:val="14"/>
          <w:szCs w:val="14"/>
          <w:lang w:val="de-DE"/>
        </w:rPr>
        <w:t>prejudgements</w:t>
      </w:r>
      <w:proofErr w:type="spellEnd"/>
      <w:r w:rsidRPr="00823A57">
        <w:rPr>
          <w:rFonts w:asciiTheme="minorHAnsi" w:eastAsia="Amnesty Trade Gothic" w:hAnsiTheme="minorHAnsi" w:cs="Amnesty Trade Gothic"/>
          <w:color w:val="000000"/>
          <w:sz w:val="14"/>
          <w:szCs w:val="14"/>
          <w:lang w:val="de-DE"/>
        </w:rPr>
        <w:t xml:space="preserve"> - Human </w:t>
      </w:r>
      <w:proofErr w:type="spellStart"/>
      <w:r w:rsidRPr="00823A57">
        <w:rPr>
          <w:rFonts w:asciiTheme="minorHAnsi" w:eastAsia="Amnesty Trade Gothic" w:hAnsiTheme="minorHAnsi" w:cs="Amnesty Trade Gothic"/>
          <w:color w:val="000000"/>
          <w:sz w:val="14"/>
          <w:szCs w:val="14"/>
          <w:lang w:val="de-DE"/>
        </w:rPr>
        <w:t>rights</w:t>
      </w:r>
      <w:proofErr w:type="spellEnd"/>
      <w:r w:rsidRPr="00823A57">
        <w:rPr>
          <w:rFonts w:asciiTheme="minorHAnsi" w:eastAsia="Amnesty Trade Gothic" w:hAnsiTheme="minorHAnsi" w:cs="Amnesty Trade Gothic"/>
          <w:color w:val="000000"/>
          <w:sz w:val="14"/>
          <w:szCs w:val="14"/>
          <w:lang w:val="de-DE"/>
        </w:rPr>
        <w:t xml:space="preserve"> </w:t>
      </w:r>
      <w:proofErr w:type="spellStart"/>
      <w:r w:rsidRPr="00823A57">
        <w:rPr>
          <w:rFonts w:asciiTheme="minorHAnsi" w:eastAsia="Amnesty Trade Gothic" w:hAnsiTheme="minorHAnsi" w:cs="Amnesty Trade Gothic"/>
          <w:color w:val="000000"/>
          <w:sz w:val="14"/>
          <w:szCs w:val="14"/>
          <w:lang w:val="de-DE"/>
        </w:rPr>
        <w:t>organisation</w:t>
      </w:r>
      <w:proofErr w:type="spellEnd"/>
      <w:r w:rsidRPr="00823A57">
        <w:rPr>
          <w:rFonts w:asciiTheme="minorHAnsi" w:eastAsia="Amnesty Trade Gothic" w:hAnsiTheme="minorHAnsi" w:cs="Amnesty Trade Gothic"/>
          <w:color w:val="000000"/>
          <w:sz w:val="14"/>
          <w:szCs w:val="14"/>
          <w:lang w:val="de-DE"/>
        </w:rPr>
        <w:t xml:space="preserve"> </w:t>
      </w:r>
      <w:proofErr w:type="spellStart"/>
      <w:r w:rsidRPr="00823A57">
        <w:rPr>
          <w:rFonts w:asciiTheme="minorHAnsi" w:eastAsia="Amnesty Trade Gothic" w:hAnsiTheme="minorHAnsi" w:cs="Amnesty Trade Gothic"/>
          <w:color w:val="000000"/>
          <w:sz w:val="14"/>
          <w:szCs w:val="14"/>
          <w:lang w:val="de-DE"/>
        </w:rPr>
        <w:t>condemns</w:t>
      </w:r>
      <w:proofErr w:type="spellEnd"/>
      <w:r w:rsidRPr="00823A57">
        <w:rPr>
          <w:rFonts w:asciiTheme="minorHAnsi" w:eastAsia="Amnesty Trade Gothic" w:hAnsiTheme="minorHAnsi" w:cs="Amnesty Trade Gothic"/>
          <w:color w:val="000000"/>
          <w:sz w:val="14"/>
          <w:szCs w:val="14"/>
          <w:lang w:val="de-DE"/>
        </w:rPr>
        <w:t xml:space="preserve"> the </w:t>
      </w:r>
      <w:proofErr w:type="spellStart"/>
      <w:r w:rsidRPr="00823A57">
        <w:rPr>
          <w:rFonts w:asciiTheme="minorHAnsi" w:eastAsia="Amnesty Trade Gothic" w:hAnsiTheme="minorHAnsi" w:cs="Amnesty Trade Gothic"/>
          <w:color w:val="000000"/>
          <w:sz w:val="14"/>
          <w:szCs w:val="14"/>
          <w:lang w:val="de-DE"/>
        </w:rPr>
        <w:t>events</w:t>
      </w:r>
      <w:proofErr w:type="spellEnd"/>
      <w:r w:rsidRPr="00823A57">
        <w:rPr>
          <w:rFonts w:asciiTheme="minorHAnsi" w:eastAsia="Amnesty Trade Gothic" w:hAnsiTheme="minorHAnsi" w:cs="Amnesty Trade Gothic"/>
          <w:color w:val="000000"/>
          <w:sz w:val="14"/>
          <w:szCs w:val="14"/>
          <w:lang w:val="de-DE"/>
        </w:rPr>
        <w:t xml:space="preserve"> of New </w:t>
      </w:r>
      <w:proofErr w:type="spellStart"/>
      <w:r w:rsidRPr="00823A57">
        <w:rPr>
          <w:rFonts w:asciiTheme="minorHAnsi" w:eastAsia="Amnesty Trade Gothic" w:hAnsiTheme="minorHAnsi" w:cs="Amnesty Trade Gothic"/>
          <w:color w:val="000000"/>
          <w:sz w:val="14"/>
          <w:szCs w:val="14"/>
          <w:lang w:val="de-DE"/>
        </w:rPr>
        <w:t>Year's</w:t>
      </w:r>
      <w:proofErr w:type="spellEnd"/>
      <w:r w:rsidRPr="00823A57">
        <w:rPr>
          <w:rFonts w:asciiTheme="minorHAnsi" w:eastAsia="Amnesty Trade Gothic" w:hAnsiTheme="minorHAnsi" w:cs="Amnesty Trade Gothic"/>
          <w:color w:val="000000"/>
          <w:sz w:val="14"/>
          <w:szCs w:val="14"/>
          <w:lang w:val="de-DE"/>
        </w:rPr>
        <w:t xml:space="preserve"> Eve in Cologne“], 12 </w:t>
      </w:r>
      <w:proofErr w:type="spellStart"/>
      <w:r w:rsidRPr="00823A57">
        <w:rPr>
          <w:rFonts w:asciiTheme="minorHAnsi" w:eastAsia="Amnesty Trade Gothic" w:hAnsiTheme="minorHAnsi" w:cs="Amnesty Trade Gothic"/>
          <w:color w:val="000000"/>
          <w:sz w:val="14"/>
          <w:szCs w:val="14"/>
          <w:lang w:val="de-DE"/>
        </w:rPr>
        <w:t>January</w:t>
      </w:r>
      <w:proofErr w:type="spellEnd"/>
      <w:r w:rsidRPr="00823A57">
        <w:rPr>
          <w:rFonts w:asciiTheme="minorHAnsi" w:eastAsia="Amnesty Trade Gothic" w:hAnsiTheme="minorHAnsi" w:cs="Amnesty Trade Gothic"/>
          <w:color w:val="000000"/>
          <w:sz w:val="14"/>
          <w:szCs w:val="14"/>
          <w:lang w:val="de-DE"/>
        </w:rPr>
        <w:t xml:space="preserve"> 2016, </w:t>
      </w:r>
      <w:r w:rsidRPr="00823A57">
        <w:rPr>
          <w:rFonts w:asciiTheme="minorHAnsi" w:eastAsia="Amnesty Trade Gothic" w:hAnsiTheme="minorHAnsi" w:cs="Amnesty Trade Gothic"/>
          <w:sz w:val="14"/>
          <w:szCs w:val="14"/>
          <w:lang w:val="de-DE"/>
        </w:rPr>
        <w:t xml:space="preserve">(in German). </w:t>
      </w:r>
    </w:p>
  </w:footnote>
  <w:footnote w:id="127">
    <w:p w14:paraId="1B773E23" w14:textId="77777777" w:rsidR="00070213" w:rsidRPr="00823A57" w:rsidRDefault="00070213" w:rsidP="00CD0A25">
      <w:pPr>
        <w:pStyle w:val="FootnoteText"/>
        <w:shd w:val="clear" w:color="auto" w:fill="FFFFFF"/>
        <w:spacing w:after="0"/>
        <w:rPr>
          <w:rFonts w:asciiTheme="minorHAnsi" w:hAnsiTheme="minorHAnsi" w:cs="Amnesty Trade Gothic"/>
          <w:sz w:val="14"/>
          <w:szCs w:val="14"/>
          <w:lang w:val="de-DE"/>
        </w:rPr>
      </w:pPr>
      <w:r w:rsidRPr="00823A57">
        <w:rPr>
          <w:rFonts w:asciiTheme="minorHAnsi" w:eastAsia="Amnesty Trade Gothic" w:hAnsiTheme="minorHAnsi" w:cs="Amnesty Trade Gothic"/>
          <w:color w:val="auto"/>
          <w:sz w:val="14"/>
          <w:szCs w:val="14"/>
          <w:vertAlign w:val="superscript"/>
        </w:rPr>
        <w:footnoteRef/>
      </w:r>
      <w:r w:rsidRPr="00823A57">
        <w:rPr>
          <w:rFonts w:asciiTheme="minorHAnsi" w:eastAsia="Amnesty Trade Gothic" w:hAnsiTheme="minorHAnsi" w:cs="Amnesty Trade Gothic"/>
          <w:sz w:val="14"/>
          <w:szCs w:val="14"/>
          <w:lang w:val="de-DE"/>
        </w:rPr>
        <w:t xml:space="preserve"> See Klemm, Sarah (2017) ”Der deutsche Asyldiskurs vor und nach der Silvesternacht 2015, Eine Diskursanalyse parlamentarischer Debatten des Deutschen Bundestags“ [“The German </w:t>
      </w:r>
      <w:proofErr w:type="spellStart"/>
      <w:r w:rsidRPr="00823A57">
        <w:rPr>
          <w:rFonts w:asciiTheme="minorHAnsi" w:eastAsia="Amnesty Trade Gothic" w:hAnsiTheme="minorHAnsi" w:cs="Amnesty Trade Gothic"/>
          <w:sz w:val="14"/>
          <w:szCs w:val="14"/>
          <w:lang w:val="de-DE"/>
        </w:rPr>
        <w:t>asylum</w:t>
      </w:r>
      <w:proofErr w:type="spellEnd"/>
      <w:r w:rsidRPr="00823A57">
        <w:rPr>
          <w:rFonts w:asciiTheme="minorHAnsi" w:eastAsia="Amnesty Trade Gothic" w:hAnsiTheme="minorHAnsi" w:cs="Amnesty Trade Gothic"/>
          <w:sz w:val="14"/>
          <w:szCs w:val="14"/>
          <w:lang w:val="de-DE"/>
        </w:rPr>
        <w:t xml:space="preserve"> </w:t>
      </w:r>
      <w:proofErr w:type="spellStart"/>
      <w:r w:rsidRPr="00823A57">
        <w:rPr>
          <w:rFonts w:asciiTheme="minorHAnsi" w:eastAsia="Amnesty Trade Gothic" w:hAnsiTheme="minorHAnsi" w:cs="Amnesty Trade Gothic"/>
          <w:sz w:val="14"/>
          <w:szCs w:val="14"/>
          <w:lang w:val="de-DE"/>
        </w:rPr>
        <w:t>discourse</w:t>
      </w:r>
      <w:proofErr w:type="spellEnd"/>
      <w:r w:rsidRPr="00823A57">
        <w:rPr>
          <w:rFonts w:asciiTheme="minorHAnsi" w:eastAsia="Amnesty Trade Gothic" w:hAnsiTheme="minorHAnsi" w:cs="Amnesty Trade Gothic"/>
          <w:sz w:val="14"/>
          <w:szCs w:val="14"/>
          <w:lang w:val="de-DE"/>
        </w:rPr>
        <w:t xml:space="preserve"> </w:t>
      </w:r>
      <w:proofErr w:type="spellStart"/>
      <w:r w:rsidRPr="00823A57">
        <w:rPr>
          <w:rFonts w:asciiTheme="minorHAnsi" w:eastAsia="Amnesty Trade Gothic" w:hAnsiTheme="minorHAnsi" w:cs="Amnesty Trade Gothic"/>
          <w:sz w:val="14"/>
          <w:szCs w:val="14"/>
          <w:lang w:val="de-DE"/>
        </w:rPr>
        <w:t>before</w:t>
      </w:r>
      <w:proofErr w:type="spellEnd"/>
      <w:r w:rsidRPr="00823A57">
        <w:rPr>
          <w:rFonts w:asciiTheme="minorHAnsi" w:eastAsia="Amnesty Trade Gothic" w:hAnsiTheme="minorHAnsi" w:cs="Amnesty Trade Gothic"/>
          <w:sz w:val="14"/>
          <w:szCs w:val="14"/>
          <w:lang w:val="de-DE"/>
        </w:rPr>
        <w:t xml:space="preserve"> and after New </w:t>
      </w:r>
      <w:proofErr w:type="spellStart"/>
      <w:r w:rsidRPr="00823A57">
        <w:rPr>
          <w:rFonts w:asciiTheme="minorHAnsi" w:eastAsia="Amnesty Trade Gothic" w:hAnsiTheme="minorHAnsi" w:cs="Amnesty Trade Gothic"/>
          <w:sz w:val="14"/>
          <w:szCs w:val="14"/>
          <w:lang w:val="de-DE"/>
        </w:rPr>
        <w:t>Year's</w:t>
      </w:r>
      <w:proofErr w:type="spellEnd"/>
      <w:r w:rsidRPr="00823A57">
        <w:rPr>
          <w:rFonts w:asciiTheme="minorHAnsi" w:eastAsia="Amnesty Trade Gothic" w:hAnsiTheme="minorHAnsi" w:cs="Amnesty Trade Gothic"/>
          <w:sz w:val="14"/>
          <w:szCs w:val="14"/>
          <w:lang w:val="de-DE"/>
        </w:rPr>
        <w:t xml:space="preserve"> Eve 2015, A </w:t>
      </w:r>
      <w:proofErr w:type="spellStart"/>
      <w:r w:rsidRPr="00823A57">
        <w:rPr>
          <w:rFonts w:asciiTheme="minorHAnsi" w:eastAsia="Amnesty Trade Gothic" w:hAnsiTheme="minorHAnsi" w:cs="Amnesty Trade Gothic"/>
          <w:sz w:val="14"/>
          <w:szCs w:val="14"/>
          <w:lang w:val="de-DE"/>
        </w:rPr>
        <w:t>Discourse</w:t>
      </w:r>
      <w:proofErr w:type="spellEnd"/>
      <w:r w:rsidRPr="00823A57">
        <w:rPr>
          <w:rFonts w:asciiTheme="minorHAnsi" w:eastAsia="Amnesty Trade Gothic" w:hAnsiTheme="minorHAnsi" w:cs="Amnesty Trade Gothic"/>
          <w:sz w:val="14"/>
          <w:szCs w:val="14"/>
          <w:lang w:val="de-DE"/>
        </w:rPr>
        <w:t xml:space="preserve"> Analysis of </w:t>
      </w:r>
      <w:proofErr w:type="spellStart"/>
      <w:r w:rsidRPr="00823A57">
        <w:rPr>
          <w:rFonts w:asciiTheme="minorHAnsi" w:eastAsia="Amnesty Trade Gothic" w:hAnsiTheme="minorHAnsi" w:cs="Amnesty Trade Gothic"/>
          <w:sz w:val="14"/>
          <w:szCs w:val="14"/>
          <w:lang w:val="de-DE"/>
        </w:rPr>
        <w:t>Parliamentary</w:t>
      </w:r>
      <w:proofErr w:type="spellEnd"/>
      <w:r w:rsidRPr="00823A57">
        <w:rPr>
          <w:rFonts w:asciiTheme="minorHAnsi" w:eastAsia="Amnesty Trade Gothic" w:hAnsiTheme="minorHAnsi" w:cs="Amnesty Trade Gothic"/>
          <w:sz w:val="14"/>
          <w:szCs w:val="14"/>
          <w:lang w:val="de-DE"/>
        </w:rPr>
        <w:t xml:space="preserve"> </w:t>
      </w:r>
      <w:proofErr w:type="spellStart"/>
      <w:r w:rsidRPr="00823A57">
        <w:rPr>
          <w:rFonts w:asciiTheme="minorHAnsi" w:eastAsia="Amnesty Trade Gothic" w:hAnsiTheme="minorHAnsi" w:cs="Amnesty Trade Gothic"/>
          <w:sz w:val="14"/>
          <w:szCs w:val="14"/>
          <w:lang w:val="de-DE"/>
        </w:rPr>
        <w:t>Debates</w:t>
      </w:r>
      <w:proofErr w:type="spellEnd"/>
      <w:r w:rsidRPr="00823A57">
        <w:rPr>
          <w:rFonts w:asciiTheme="minorHAnsi" w:eastAsia="Amnesty Trade Gothic" w:hAnsiTheme="minorHAnsi" w:cs="Amnesty Trade Gothic"/>
          <w:sz w:val="14"/>
          <w:szCs w:val="14"/>
          <w:lang w:val="de-DE"/>
        </w:rPr>
        <w:t xml:space="preserve"> of the German Bundestag”], Center for North African and Middle Eastern Politics, Freie Universität Berlin, September 2017</w:t>
      </w:r>
      <w:r w:rsidRPr="00823A57">
        <w:rPr>
          <w:rFonts w:asciiTheme="minorHAnsi" w:eastAsia="Amnesty Trade Gothic" w:hAnsiTheme="minorHAnsi" w:cs="Amnesty Trade Gothic"/>
          <w:color w:val="000000"/>
          <w:sz w:val="14"/>
          <w:szCs w:val="14"/>
          <w:lang w:val="de-DE"/>
        </w:rPr>
        <w:t xml:space="preserve"> </w:t>
      </w:r>
      <w:hyperlink r:id="rId98" w:tooltip="https://www.polsoz.fu-berlin.de/polwiss/forschung/international/vorderer-orient/publikation/working_papers/wp_16/WP16_Sarah-Klemm.pdf" w:history="1">
        <w:r w:rsidRPr="00823A57">
          <w:rPr>
            <w:rStyle w:val="Hyperlink"/>
            <w:rFonts w:asciiTheme="minorHAnsi" w:eastAsia="Amnesty Trade Gothic" w:hAnsiTheme="minorHAnsi" w:cs="Amnesty Trade Gothic"/>
            <w:color w:val="0563C1"/>
            <w:sz w:val="14"/>
            <w:szCs w:val="14"/>
            <w:lang w:val="de-DE"/>
          </w:rPr>
          <w:t>https://www.polsoz.fu-berlin.de/polwiss/forschung/international/vorderer-orient/publikation/working_papers/wp_16/WP16_Sarah-Klemm.pdf</w:t>
        </w:r>
      </w:hyperlink>
      <w:r w:rsidRPr="00823A57">
        <w:rPr>
          <w:rFonts w:asciiTheme="minorHAnsi" w:eastAsia="Amnesty Trade Gothic" w:hAnsiTheme="minorHAnsi" w:cs="Amnesty Trade Gothic"/>
          <w:color w:val="000000"/>
          <w:sz w:val="14"/>
          <w:szCs w:val="14"/>
          <w:lang w:val="de-DE"/>
        </w:rPr>
        <w:t xml:space="preserve"> </w:t>
      </w:r>
      <w:r w:rsidRPr="00823A57">
        <w:rPr>
          <w:rFonts w:asciiTheme="minorHAnsi" w:hAnsiTheme="minorHAnsi"/>
          <w:sz w:val="14"/>
          <w:szCs w:val="14"/>
          <w:lang w:val="de-DE"/>
        </w:rPr>
        <w:t>(in German)</w:t>
      </w:r>
    </w:p>
  </w:footnote>
  <w:footnote w:id="128">
    <w:p w14:paraId="48978B5F"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In February 2016, shortly after the New Year's Eve in Cologne, the Asylum Package II was passed. It included the suspension of family reunification (especially for Syrians) and classified Morocco, </w:t>
      </w:r>
      <w:proofErr w:type="gramStart"/>
      <w:r w:rsidRPr="00823A57">
        <w:rPr>
          <w:rFonts w:asciiTheme="minorHAnsi" w:hAnsiTheme="minorHAnsi"/>
          <w:sz w:val="14"/>
          <w:szCs w:val="14"/>
        </w:rPr>
        <w:t>Algeria</w:t>
      </w:r>
      <w:proofErr w:type="gramEnd"/>
      <w:r w:rsidRPr="00823A57">
        <w:rPr>
          <w:rFonts w:asciiTheme="minorHAnsi" w:hAnsiTheme="minorHAnsi"/>
          <w:sz w:val="14"/>
          <w:szCs w:val="14"/>
        </w:rPr>
        <w:t xml:space="preserve"> and Tunisia as “safe countries of origin”. In July 2016, a reform of the Sexual Offences Act was passed. See </w:t>
      </w:r>
      <w:proofErr w:type="spellStart"/>
      <w:r w:rsidRPr="00823A57">
        <w:rPr>
          <w:rFonts w:asciiTheme="minorHAnsi" w:hAnsiTheme="minorHAnsi"/>
          <w:sz w:val="14"/>
          <w:szCs w:val="14"/>
        </w:rPr>
        <w:t>Muslimophobia</w:t>
      </w:r>
      <w:proofErr w:type="spellEnd"/>
      <w:r w:rsidRPr="00823A57">
        <w:rPr>
          <w:rFonts w:asciiTheme="minorHAnsi" w:hAnsiTheme="minorHAnsi"/>
          <w:sz w:val="14"/>
          <w:szCs w:val="14"/>
        </w:rPr>
        <w:t xml:space="preserve"> - A German Balance Sheet</w:t>
      </w:r>
      <w:r w:rsidRPr="00823A57">
        <w:rPr>
          <w:rFonts w:asciiTheme="minorHAnsi" w:hAnsiTheme="minorHAnsi"/>
          <w:sz w:val="14"/>
          <w:szCs w:val="14"/>
          <w:lang w:val="en-US"/>
        </w:rPr>
        <w:t xml:space="preserve">, </w:t>
      </w:r>
      <w:r w:rsidRPr="00823A57">
        <w:rPr>
          <w:rFonts w:asciiTheme="minorHAnsi" w:hAnsiTheme="minorHAnsi"/>
          <w:sz w:val="14"/>
          <w:szCs w:val="14"/>
        </w:rPr>
        <w:t>p. 95-97.</w:t>
      </w:r>
    </w:p>
  </w:footnote>
  <w:footnote w:id="129">
    <w:p w14:paraId="78CAA05D"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In view of violence at Berlin's outdoor swimming pools, the Secretary General of the Berlin CDU parliament party, </w:t>
      </w:r>
      <w:proofErr w:type="spellStart"/>
      <w:r w:rsidRPr="00823A57">
        <w:rPr>
          <w:rFonts w:asciiTheme="minorHAnsi" w:hAnsiTheme="minorHAnsi"/>
          <w:sz w:val="14"/>
          <w:szCs w:val="14"/>
        </w:rPr>
        <w:t>Linnemann</w:t>
      </w:r>
      <w:proofErr w:type="spellEnd"/>
      <w:r w:rsidRPr="00823A57">
        <w:rPr>
          <w:rFonts w:asciiTheme="minorHAnsi" w:hAnsiTheme="minorHAnsi"/>
          <w:sz w:val="14"/>
          <w:szCs w:val="14"/>
        </w:rPr>
        <w:t xml:space="preserve"> called for criminal summary proceedings with </w:t>
      </w:r>
      <w:proofErr w:type="gramStart"/>
      <w:r w:rsidRPr="00823A57">
        <w:rPr>
          <w:rFonts w:asciiTheme="minorHAnsi" w:hAnsiTheme="minorHAnsi"/>
          <w:sz w:val="14"/>
          <w:szCs w:val="14"/>
        </w:rPr>
        <w:t>same-day</w:t>
      </w:r>
      <w:proofErr w:type="gramEnd"/>
      <w:r w:rsidRPr="00823A57">
        <w:rPr>
          <w:rFonts w:asciiTheme="minorHAnsi" w:hAnsiTheme="minorHAnsi"/>
          <w:sz w:val="14"/>
          <w:szCs w:val="14"/>
        </w:rPr>
        <w:t xml:space="preserve"> sentencing and prison sentences for “young men, often with a migrant background” that become violent. Zeit Online, “</w:t>
      </w:r>
      <w:proofErr w:type="spellStart"/>
      <w:r w:rsidRPr="00823A57">
        <w:rPr>
          <w:rFonts w:asciiTheme="minorHAnsi" w:hAnsiTheme="minorHAnsi"/>
          <w:sz w:val="14"/>
          <w:szCs w:val="14"/>
        </w:rPr>
        <w:t>Linnemann</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fordert</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Bestrafung</w:t>
      </w:r>
      <w:proofErr w:type="spellEnd"/>
      <w:r w:rsidRPr="00823A57">
        <w:rPr>
          <w:rFonts w:asciiTheme="minorHAnsi" w:hAnsiTheme="minorHAnsi"/>
          <w:sz w:val="14"/>
          <w:szCs w:val="14"/>
        </w:rPr>
        <w:t xml:space="preserve"> von </w:t>
      </w:r>
      <w:proofErr w:type="spellStart"/>
      <w:r w:rsidRPr="00823A57">
        <w:rPr>
          <w:rFonts w:asciiTheme="minorHAnsi" w:hAnsiTheme="minorHAnsi"/>
          <w:sz w:val="14"/>
          <w:szCs w:val="14"/>
        </w:rPr>
        <w:t>Gewalttätern</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noch</w:t>
      </w:r>
      <w:proofErr w:type="spellEnd"/>
      <w:r w:rsidRPr="00823A57">
        <w:rPr>
          <w:rFonts w:asciiTheme="minorHAnsi" w:hAnsiTheme="minorHAnsi"/>
          <w:sz w:val="14"/>
          <w:szCs w:val="14"/>
        </w:rPr>
        <w:t xml:space="preserve"> am Tag der Tat” [“</w:t>
      </w:r>
      <w:proofErr w:type="spellStart"/>
      <w:r w:rsidRPr="00823A57">
        <w:rPr>
          <w:rFonts w:asciiTheme="minorHAnsi" w:hAnsiTheme="minorHAnsi"/>
          <w:sz w:val="14"/>
          <w:szCs w:val="14"/>
        </w:rPr>
        <w:t>Linnemann</w:t>
      </w:r>
      <w:proofErr w:type="spellEnd"/>
      <w:r w:rsidRPr="00823A57">
        <w:rPr>
          <w:rFonts w:asciiTheme="minorHAnsi" w:hAnsiTheme="minorHAnsi"/>
          <w:sz w:val="14"/>
          <w:szCs w:val="14"/>
        </w:rPr>
        <w:t xml:space="preserve"> calls for violent criminals to be punished on the day of the crime”], 16 July 2023, </w:t>
      </w:r>
      <w:hyperlink r:id="rId99" w:tooltip="https://www.zeit.de/politik/deutschland/2023-07/carsten-linnemann-gewalt-freibad-berlin-schnellverfahren" w:history="1">
        <w:r w:rsidRPr="00823A57">
          <w:rPr>
            <w:rStyle w:val="Hyperlink"/>
            <w:rFonts w:asciiTheme="minorHAnsi" w:eastAsia="Amnesty Trade Gothic" w:hAnsiTheme="minorHAnsi" w:cs="Amnesty Trade Gothic"/>
            <w:color w:val="0563C1"/>
            <w:sz w:val="14"/>
            <w:szCs w:val="14"/>
          </w:rPr>
          <w:t>https://www.zeit.de/politik/deutschland/2023-07/carsten-linnemann-gewalt-freibad-berlin-schnellverfahren</w:t>
        </w:r>
      </w:hyperlink>
      <w:r w:rsidRPr="00823A57">
        <w:rPr>
          <w:rFonts w:asciiTheme="minorHAnsi" w:hAnsiTheme="minorHAnsi"/>
          <w:sz w:val="14"/>
          <w:szCs w:val="14"/>
        </w:rPr>
        <w:t xml:space="preserve"> (in German).</w:t>
      </w:r>
    </w:p>
  </w:footnote>
  <w:footnote w:id="130">
    <w:p w14:paraId="1076FC5C"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hAnsiTheme="minorHAnsi"/>
          <w:sz w:val="14"/>
          <w:szCs w:val="14"/>
        </w:rPr>
        <w:footnoteRef/>
      </w:r>
      <w:r w:rsidRPr="00823A57">
        <w:rPr>
          <w:rFonts w:asciiTheme="minorHAnsi" w:hAnsiTheme="minorHAnsi"/>
          <w:sz w:val="14"/>
          <w:szCs w:val="14"/>
        </w:rPr>
        <w:t xml:space="preserve"> See Section: Racially discriminatory policing practices and lack of prevention and persecution thereof. </w:t>
      </w:r>
    </w:p>
  </w:footnote>
  <w:footnote w:id="131">
    <w:p w14:paraId="3FBC108A" w14:textId="77777777" w:rsidR="00070213" w:rsidRPr="00823A57" w:rsidRDefault="00070213" w:rsidP="00CD0A25">
      <w:pPr>
        <w:pStyle w:val="FootnoteText"/>
        <w:shd w:val="clear" w:color="auto" w:fill="FFFFFF"/>
        <w:spacing w:after="0"/>
        <w:rPr>
          <w:rFonts w:asciiTheme="minorHAnsi" w:hAnsiTheme="minorHAnsi"/>
          <w:sz w:val="14"/>
          <w:szCs w:val="14"/>
          <w:lang w:val="de-DE"/>
        </w:rPr>
      </w:pPr>
      <w:r w:rsidRPr="00823A57">
        <w:rPr>
          <w:rFonts w:asciiTheme="minorHAnsi" w:hAnsiTheme="minorHAnsi"/>
          <w:color w:val="auto"/>
          <w:sz w:val="14"/>
          <w:szCs w:val="14"/>
          <w:vertAlign w:val="superscript"/>
        </w:rPr>
        <w:footnoteRef/>
      </w:r>
      <w:r w:rsidRPr="00823A57">
        <w:rPr>
          <w:rFonts w:asciiTheme="minorHAnsi" w:hAnsiTheme="minorHAnsi"/>
          <w:sz w:val="14"/>
          <w:szCs w:val="14"/>
          <w:lang w:val="de-DE"/>
        </w:rPr>
        <w:t xml:space="preserve"> See Winkler, Michèle/Sauer, Levi, “Clankriminalität“ in Lagebildern – Unklare Definitionen, eindeutiger Rassismus“ [“Clan Crimes“ in </w:t>
      </w:r>
      <w:proofErr w:type="spellStart"/>
      <w:r w:rsidRPr="00823A57">
        <w:rPr>
          <w:rFonts w:asciiTheme="minorHAnsi" w:hAnsiTheme="minorHAnsi"/>
          <w:sz w:val="14"/>
          <w:szCs w:val="14"/>
          <w:lang w:val="de-DE"/>
        </w:rPr>
        <w:t>situation</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reports</w:t>
      </w:r>
      <w:proofErr w:type="spellEnd"/>
      <w:r w:rsidRPr="00823A57">
        <w:rPr>
          <w:rFonts w:asciiTheme="minorHAnsi" w:hAnsiTheme="minorHAnsi"/>
          <w:sz w:val="14"/>
          <w:szCs w:val="14"/>
          <w:lang w:val="de-DE"/>
        </w:rPr>
        <w:t xml:space="preserve"> - </w:t>
      </w:r>
      <w:proofErr w:type="spellStart"/>
      <w:r w:rsidRPr="00823A57">
        <w:rPr>
          <w:rFonts w:asciiTheme="minorHAnsi" w:hAnsiTheme="minorHAnsi"/>
          <w:sz w:val="14"/>
          <w:szCs w:val="14"/>
          <w:lang w:val="de-DE"/>
        </w:rPr>
        <w:t>unclear</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definitions</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clear</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racism</w:t>
      </w:r>
      <w:proofErr w:type="spellEnd"/>
      <w:r w:rsidRPr="00823A57">
        <w:rPr>
          <w:rFonts w:asciiTheme="minorHAnsi" w:hAnsiTheme="minorHAnsi"/>
          <w:sz w:val="14"/>
          <w:szCs w:val="14"/>
          <w:lang w:val="de-DE"/>
        </w:rPr>
        <w:t xml:space="preserve">”], 12 August 2022, </w:t>
      </w:r>
      <w:hyperlink r:id="rId100" w:history="1">
        <w:r w:rsidRPr="00823A57">
          <w:rPr>
            <w:rStyle w:val="Hyperlink"/>
            <w:rFonts w:asciiTheme="minorHAnsi" w:eastAsia="Amnesty Trade Gothic" w:hAnsiTheme="minorHAnsi" w:cs="Amnesty Trade Gothic"/>
            <w:sz w:val="14"/>
            <w:szCs w:val="14"/>
            <w:lang w:val="de-DE"/>
          </w:rPr>
          <w:t>https://www.cilip.de/2022/08/12/clankriminalitaet-in-lagebildern-unklare-definitionen-eindeutiger-rassismus/</w:t>
        </w:r>
      </w:hyperlink>
      <w:r w:rsidRPr="00823A57">
        <w:rPr>
          <w:rFonts w:asciiTheme="minorHAnsi" w:hAnsiTheme="minorHAnsi"/>
          <w:sz w:val="14"/>
          <w:szCs w:val="14"/>
          <w:lang w:val="de-DE"/>
        </w:rPr>
        <w:t xml:space="preserve"> (in German)</w:t>
      </w:r>
      <w:r w:rsidRPr="00823A57">
        <w:rPr>
          <w:rFonts w:asciiTheme="minorHAnsi" w:hAnsiTheme="minorHAnsi"/>
          <w:color w:val="000000"/>
          <w:sz w:val="14"/>
          <w:szCs w:val="14"/>
          <w:lang w:val="de-DE"/>
        </w:rPr>
        <w:t>.</w:t>
      </w:r>
    </w:p>
  </w:footnote>
  <w:footnote w:id="132">
    <w:p w14:paraId="2CD36409" w14:textId="77777777" w:rsidR="00070213" w:rsidRPr="00823A57" w:rsidRDefault="00070213" w:rsidP="00CD0A25">
      <w:pPr>
        <w:pStyle w:val="FootnoteText"/>
        <w:shd w:val="clear" w:color="auto" w:fill="FFFFFF"/>
        <w:spacing w:after="0"/>
        <w:rPr>
          <w:rFonts w:asciiTheme="minorHAnsi" w:hAnsiTheme="minorHAnsi"/>
          <w:sz w:val="14"/>
          <w:szCs w:val="14"/>
          <w:lang w:val="de-DE"/>
        </w:rPr>
      </w:pPr>
      <w:r w:rsidRPr="00823A57">
        <w:rPr>
          <w:rFonts w:asciiTheme="minorHAnsi" w:hAnsiTheme="minorHAnsi"/>
          <w:color w:val="auto"/>
          <w:sz w:val="14"/>
          <w:szCs w:val="14"/>
          <w:vertAlign w:val="superscript"/>
        </w:rPr>
        <w:footnoteRef/>
      </w:r>
      <w:r w:rsidRPr="00823A57">
        <w:rPr>
          <w:rFonts w:asciiTheme="minorHAnsi" w:hAnsiTheme="minorHAnsi"/>
          <w:sz w:val="14"/>
          <w:szCs w:val="14"/>
          <w:lang w:val="de-DE"/>
        </w:rPr>
        <w:t xml:space="preserve"> Federal Ministry of the Interior and Community, “Diskussionsentwürfe für ein Gesetz zur Verbesserung der Rückführung und zu Datenübermittlungsvorschriften im Ausländer- und Sozialrecht vorgelegt“ [“Discussion </w:t>
      </w:r>
      <w:proofErr w:type="spellStart"/>
      <w:r w:rsidRPr="00823A57">
        <w:rPr>
          <w:rFonts w:asciiTheme="minorHAnsi" w:hAnsiTheme="minorHAnsi"/>
          <w:sz w:val="14"/>
          <w:szCs w:val="14"/>
          <w:lang w:val="de-DE"/>
        </w:rPr>
        <w:t>drafts</w:t>
      </w:r>
      <w:proofErr w:type="spellEnd"/>
      <w:r w:rsidRPr="00823A57">
        <w:rPr>
          <w:rFonts w:asciiTheme="minorHAnsi" w:hAnsiTheme="minorHAnsi"/>
          <w:sz w:val="14"/>
          <w:szCs w:val="14"/>
          <w:lang w:val="de-DE"/>
        </w:rPr>
        <w:t xml:space="preserve"> for a </w:t>
      </w:r>
      <w:proofErr w:type="spellStart"/>
      <w:r w:rsidRPr="00823A57">
        <w:rPr>
          <w:rFonts w:asciiTheme="minorHAnsi" w:hAnsiTheme="minorHAnsi"/>
          <w:sz w:val="14"/>
          <w:szCs w:val="14"/>
          <w:lang w:val="de-DE"/>
        </w:rPr>
        <w:t>law</w:t>
      </w:r>
      <w:proofErr w:type="spellEnd"/>
      <w:r w:rsidRPr="00823A57">
        <w:rPr>
          <w:rFonts w:asciiTheme="minorHAnsi" w:hAnsiTheme="minorHAnsi"/>
          <w:sz w:val="14"/>
          <w:szCs w:val="14"/>
          <w:lang w:val="de-DE"/>
        </w:rPr>
        <w:t xml:space="preserve"> on </w:t>
      </w:r>
      <w:proofErr w:type="spellStart"/>
      <w:r w:rsidRPr="00823A57">
        <w:rPr>
          <w:rFonts w:asciiTheme="minorHAnsi" w:hAnsiTheme="minorHAnsi"/>
          <w:sz w:val="14"/>
          <w:szCs w:val="14"/>
          <w:lang w:val="de-DE"/>
        </w:rPr>
        <w:t>improving</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repatriation</w:t>
      </w:r>
      <w:proofErr w:type="spellEnd"/>
      <w:r w:rsidRPr="00823A57">
        <w:rPr>
          <w:rFonts w:asciiTheme="minorHAnsi" w:hAnsiTheme="minorHAnsi"/>
          <w:sz w:val="14"/>
          <w:szCs w:val="14"/>
          <w:lang w:val="de-DE"/>
        </w:rPr>
        <w:t xml:space="preserve"> and </w:t>
      </w:r>
      <w:proofErr w:type="spellStart"/>
      <w:r w:rsidRPr="00823A57">
        <w:rPr>
          <w:rFonts w:asciiTheme="minorHAnsi" w:hAnsiTheme="minorHAnsi"/>
          <w:sz w:val="14"/>
          <w:szCs w:val="14"/>
          <w:lang w:val="de-DE"/>
        </w:rPr>
        <w:t>data</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transfer</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regulations</w:t>
      </w:r>
      <w:proofErr w:type="spellEnd"/>
      <w:r w:rsidRPr="00823A57">
        <w:rPr>
          <w:rFonts w:asciiTheme="minorHAnsi" w:hAnsiTheme="minorHAnsi"/>
          <w:sz w:val="14"/>
          <w:szCs w:val="14"/>
          <w:lang w:val="de-DE"/>
        </w:rPr>
        <w:t xml:space="preserve"> in </w:t>
      </w:r>
      <w:proofErr w:type="spellStart"/>
      <w:r w:rsidRPr="00823A57">
        <w:rPr>
          <w:rFonts w:asciiTheme="minorHAnsi" w:hAnsiTheme="minorHAnsi"/>
          <w:sz w:val="14"/>
          <w:szCs w:val="14"/>
          <w:lang w:val="de-DE"/>
        </w:rPr>
        <w:t>migration</w:t>
      </w:r>
      <w:proofErr w:type="spellEnd"/>
      <w:r w:rsidRPr="00823A57">
        <w:rPr>
          <w:rFonts w:asciiTheme="minorHAnsi" w:hAnsiTheme="minorHAnsi"/>
          <w:sz w:val="14"/>
          <w:szCs w:val="14"/>
          <w:lang w:val="de-DE"/>
        </w:rPr>
        <w:t xml:space="preserve"> and social </w:t>
      </w:r>
      <w:proofErr w:type="spellStart"/>
      <w:r w:rsidRPr="00823A57">
        <w:rPr>
          <w:rFonts w:asciiTheme="minorHAnsi" w:hAnsiTheme="minorHAnsi"/>
          <w:sz w:val="14"/>
          <w:szCs w:val="14"/>
          <w:lang w:val="de-DE"/>
        </w:rPr>
        <w:t>law</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presented</w:t>
      </w:r>
      <w:proofErr w:type="spellEnd"/>
      <w:r w:rsidRPr="00823A57">
        <w:rPr>
          <w:rFonts w:asciiTheme="minorHAnsi" w:hAnsiTheme="minorHAnsi"/>
          <w:sz w:val="14"/>
          <w:szCs w:val="14"/>
          <w:lang w:val="de-DE"/>
        </w:rPr>
        <w:t xml:space="preserve">“], 02 August 2023, </w:t>
      </w:r>
      <w:hyperlink r:id="rId101" w:history="1">
        <w:r w:rsidRPr="00823A57">
          <w:rPr>
            <w:rStyle w:val="Hyperlink"/>
            <w:rFonts w:asciiTheme="minorHAnsi" w:eastAsia="Amnesty Trade Gothic" w:hAnsiTheme="minorHAnsi" w:cs="Amnesty Trade Gothic"/>
            <w:sz w:val="14"/>
            <w:szCs w:val="14"/>
            <w:lang w:val="de-DE"/>
          </w:rPr>
          <w:t>https://www.bmi.bund.de/SharedDocs/pressemitteilungen/DE/2023/08/diskussionsentwuerfe.html</w:t>
        </w:r>
      </w:hyperlink>
      <w:r w:rsidRPr="00823A57">
        <w:rPr>
          <w:rFonts w:asciiTheme="minorHAnsi" w:hAnsiTheme="minorHAnsi"/>
          <w:sz w:val="14"/>
          <w:szCs w:val="14"/>
          <w:lang w:val="de-DE"/>
        </w:rPr>
        <w:t xml:space="preserve"> (in German).</w:t>
      </w:r>
    </w:p>
  </w:footnote>
  <w:footnote w:id="133">
    <w:p w14:paraId="44B1884F"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hAnsiTheme="minorHAnsi"/>
          <w:sz w:val="14"/>
          <w:szCs w:val="14"/>
        </w:rPr>
        <w:footnoteRef/>
      </w:r>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Decision</w:t>
      </w:r>
      <w:proofErr w:type="spellEnd"/>
      <w:r w:rsidRPr="00823A57">
        <w:rPr>
          <w:rFonts w:asciiTheme="minorHAnsi" w:hAnsiTheme="minorHAnsi"/>
          <w:sz w:val="14"/>
          <w:szCs w:val="14"/>
          <w:lang w:val="de-DE"/>
        </w:rPr>
        <w:t xml:space="preserve"> of the Berlin State Police </w:t>
      </w:r>
      <w:proofErr w:type="spellStart"/>
      <w:r w:rsidRPr="00823A57">
        <w:rPr>
          <w:rFonts w:asciiTheme="minorHAnsi" w:hAnsiTheme="minorHAnsi"/>
          <w:sz w:val="14"/>
          <w:szCs w:val="14"/>
          <w:lang w:val="de-DE"/>
        </w:rPr>
        <w:t>Directorate</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regarding</w:t>
      </w:r>
      <w:proofErr w:type="spellEnd"/>
      <w:r w:rsidRPr="00823A57">
        <w:rPr>
          <w:rFonts w:asciiTheme="minorHAnsi" w:hAnsiTheme="minorHAnsi"/>
          <w:sz w:val="14"/>
          <w:szCs w:val="14"/>
          <w:lang w:val="de-DE"/>
        </w:rPr>
        <w:t xml:space="preserve"> the </w:t>
      </w:r>
      <w:proofErr w:type="spellStart"/>
      <w:r w:rsidRPr="00823A57">
        <w:rPr>
          <w:rFonts w:asciiTheme="minorHAnsi" w:hAnsiTheme="minorHAnsi"/>
          <w:sz w:val="14"/>
          <w:szCs w:val="14"/>
          <w:lang w:val="de-DE"/>
        </w:rPr>
        <w:t>assembly</w:t>
      </w:r>
      <w:proofErr w:type="spellEnd"/>
      <w:r w:rsidRPr="00823A57">
        <w:rPr>
          <w:rFonts w:asciiTheme="minorHAnsi" w:hAnsiTheme="minorHAnsi"/>
          <w:sz w:val="14"/>
          <w:szCs w:val="14"/>
          <w:lang w:val="de-DE"/>
        </w:rPr>
        <w:t xml:space="preserve"> on 20 May 2023 on the </w:t>
      </w:r>
      <w:proofErr w:type="spellStart"/>
      <w:r w:rsidRPr="00823A57">
        <w:rPr>
          <w:rFonts w:asciiTheme="minorHAnsi" w:hAnsiTheme="minorHAnsi"/>
          <w:sz w:val="14"/>
          <w:szCs w:val="14"/>
          <w:lang w:val="de-DE"/>
        </w:rPr>
        <w:t>theme</w:t>
      </w:r>
      <w:proofErr w:type="spellEnd"/>
      <w:r w:rsidRPr="00823A57">
        <w:rPr>
          <w:rFonts w:asciiTheme="minorHAnsi" w:hAnsiTheme="minorHAnsi"/>
          <w:sz w:val="14"/>
          <w:szCs w:val="14"/>
          <w:lang w:val="de-DE"/>
        </w:rPr>
        <w:t xml:space="preserve"> “Demonstration für das Grundrecht auf Versammlungs- und Meinungsfreiheit zum 75. </w:t>
      </w:r>
      <w:proofErr w:type="spellStart"/>
      <w:r w:rsidRPr="00823A57">
        <w:rPr>
          <w:rFonts w:asciiTheme="minorHAnsi" w:hAnsiTheme="minorHAnsi"/>
          <w:sz w:val="14"/>
          <w:szCs w:val="14"/>
        </w:rPr>
        <w:t>Jahrestag</w:t>
      </w:r>
      <w:proofErr w:type="spellEnd"/>
      <w:r w:rsidRPr="00823A57">
        <w:rPr>
          <w:rFonts w:asciiTheme="minorHAnsi" w:hAnsiTheme="minorHAnsi"/>
          <w:sz w:val="14"/>
          <w:szCs w:val="14"/>
        </w:rPr>
        <w:t xml:space="preserve"> der Nakba”, 17 May 2023, page 11. Amnesty International has access to the decision. The decision was upheld in summary proceedings by both the Berlin Administrative Court and the Higher Administrative Court of Berlin-Brandenburg (VG Berlin – 1 L 217/23; OVG Berlin-Brandenburg – 1 S 45/23).</w:t>
      </w:r>
    </w:p>
  </w:footnote>
  <w:footnote w:id="134">
    <w:p w14:paraId="69C70CC6"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eastAsia="Amnesty Trade Gothic" w:hAnsiTheme="minorHAnsi" w:cs="Amnesty Trade Gothic"/>
          <w:sz w:val="14"/>
          <w:szCs w:val="14"/>
        </w:rPr>
        <w:footnoteRef/>
      </w:r>
      <w:r w:rsidRPr="00823A57">
        <w:rPr>
          <w:rFonts w:asciiTheme="minorHAnsi" w:hAnsiTheme="minorHAnsi"/>
          <w:sz w:val="14"/>
          <w:szCs w:val="14"/>
        </w:rPr>
        <w:t xml:space="preserve">  ibid.</w:t>
      </w:r>
    </w:p>
  </w:footnote>
  <w:footnote w:id="135">
    <w:p w14:paraId="1441EC1D"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See Amnesty International, Germany: Protect the Protest: Against blanket bans of demonstrations for the rights of Palestinians (Index: EUR 23/7180/2023), 12 September 2023, </w:t>
      </w:r>
      <w:hyperlink r:id="rId102" w:tooltip="https://www.amnesty.org/en/documents/eur23/7180/2023/en/" w:history="1">
        <w:r w:rsidRPr="00823A57">
          <w:rPr>
            <w:rStyle w:val="Hyperlink"/>
            <w:rFonts w:asciiTheme="minorHAnsi" w:eastAsia="Amnesty Trade Gothic" w:hAnsiTheme="minorHAnsi" w:cs="Amnesty Trade Gothic"/>
            <w:sz w:val="14"/>
            <w:szCs w:val="14"/>
          </w:rPr>
          <w:t>https://www.amnesty.org/en/documents/eur23/7180/2023/en/</w:t>
        </w:r>
      </w:hyperlink>
      <w:r w:rsidRPr="00823A57">
        <w:rPr>
          <w:rStyle w:val="Hyperlink"/>
          <w:rFonts w:asciiTheme="minorHAnsi" w:eastAsia="Amnesty Trade Gothic" w:hAnsiTheme="minorHAnsi" w:cs="Amnesty Trade Gothic"/>
          <w:sz w:val="14"/>
          <w:szCs w:val="14"/>
        </w:rPr>
        <w:t>.</w:t>
      </w:r>
      <w:r w:rsidRPr="00823A57">
        <w:rPr>
          <w:rFonts w:asciiTheme="minorHAnsi" w:hAnsiTheme="minorHAnsi"/>
          <w:sz w:val="14"/>
          <w:szCs w:val="14"/>
        </w:rPr>
        <w:t xml:space="preserve"> </w:t>
      </w:r>
    </w:p>
  </w:footnote>
  <w:footnote w:id="136">
    <w:p w14:paraId="400BC264" w14:textId="77777777" w:rsidR="00070213" w:rsidRPr="00823A57" w:rsidRDefault="00070213" w:rsidP="00CD0A25">
      <w:pPr>
        <w:pStyle w:val="FootnoteText"/>
        <w:shd w:val="clear" w:color="auto" w:fill="FFFFFF"/>
        <w:spacing w:after="0"/>
        <w:rPr>
          <w:rFonts w:asciiTheme="minorHAnsi" w:hAnsiTheme="minorHAnsi"/>
          <w:sz w:val="14"/>
          <w:szCs w:val="14"/>
          <w:lang w:val="en-US"/>
        </w:rPr>
      </w:pPr>
      <w:r w:rsidRPr="00823A57">
        <w:rPr>
          <w:rStyle w:val="FootnoteReference"/>
          <w:rFonts w:asciiTheme="minorHAnsi" w:eastAsia="Amnesty Trade Gothic" w:hAnsiTheme="minorHAnsi" w:cs="Amnesty Trade Gothic"/>
          <w:sz w:val="14"/>
          <w:szCs w:val="14"/>
        </w:rPr>
        <w:footnoteRef/>
      </w:r>
      <w:r w:rsidRPr="00823A57">
        <w:rPr>
          <w:rFonts w:asciiTheme="minorHAnsi" w:hAnsiTheme="minorHAnsi"/>
          <w:sz w:val="14"/>
          <w:szCs w:val="14"/>
          <w:lang w:val="de-DE"/>
        </w:rPr>
        <w:t xml:space="preserve"> Sponholz, </w:t>
      </w:r>
      <w:proofErr w:type="spellStart"/>
      <w:r w:rsidRPr="00823A57">
        <w:rPr>
          <w:rFonts w:asciiTheme="minorHAnsi" w:hAnsiTheme="minorHAnsi"/>
          <w:sz w:val="14"/>
          <w:szCs w:val="14"/>
          <w:lang w:val="de-DE"/>
        </w:rPr>
        <w:t>Liriam</w:t>
      </w:r>
      <w:proofErr w:type="spellEnd"/>
      <w:r w:rsidRPr="00823A57">
        <w:rPr>
          <w:rFonts w:asciiTheme="minorHAnsi" w:hAnsiTheme="minorHAnsi"/>
          <w:sz w:val="14"/>
          <w:szCs w:val="14"/>
          <w:lang w:val="de-DE"/>
        </w:rPr>
        <w:t>/ Meuth, Anna-Maria/ Weiberg-Salzmann, Mirjam, “</w:t>
      </w:r>
      <w:proofErr w:type="spellStart"/>
      <w:r w:rsidRPr="00823A57">
        <w:rPr>
          <w:rFonts w:asciiTheme="minorHAnsi" w:hAnsiTheme="minorHAnsi"/>
          <w:sz w:val="14"/>
          <w:szCs w:val="14"/>
          <w:lang w:val="de-DE"/>
        </w:rPr>
        <w:t>Hate</w:t>
      </w:r>
      <w:proofErr w:type="spellEnd"/>
      <w:r w:rsidRPr="00823A57">
        <w:rPr>
          <w:rFonts w:asciiTheme="minorHAnsi" w:hAnsiTheme="minorHAnsi"/>
          <w:sz w:val="14"/>
          <w:szCs w:val="14"/>
          <w:lang w:val="de-DE"/>
        </w:rPr>
        <w:t xml:space="preserve"> Speech, aber normal“? </w:t>
      </w:r>
      <w:r w:rsidRPr="00823A57">
        <w:rPr>
          <w:rFonts w:asciiTheme="minorHAnsi" w:hAnsiTheme="minorHAnsi"/>
          <w:sz w:val="14"/>
          <w:szCs w:val="14"/>
          <w:lang w:val="en-US"/>
        </w:rPr>
        <w:t xml:space="preserve">[“Hate Speech, but normal?”], 2023, </w:t>
      </w:r>
      <w:hyperlink r:id="rId103" w:history="1">
        <w:r w:rsidRPr="00823A57">
          <w:rPr>
            <w:rStyle w:val="Hyperlink"/>
            <w:rFonts w:asciiTheme="minorHAnsi" w:eastAsia="Amnesty Trade Gothic" w:hAnsiTheme="minorHAnsi" w:cs="Amnesty Trade Gothic"/>
            <w:sz w:val="14"/>
            <w:szCs w:val="14"/>
            <w:lang w:val="en-US"/>
          </w:rPr>
          <w:t>https://www.dezim-institut.de/publikationen/publikation-detail/hate-speech-aber-normal/</w:t>
        </w:r>
      </w:hyperlink>
      <w:r w:rsidRPr="00823A57">
        <w:rPr>
          <w:rFonts w:asciiTheme="minorHAnsi" w:hAnsiTheme="minorHAnsi"/>
          <w:sz w:val="14"/>
          <w:szCs w:val="14"/>
          <w:lang w:val="en-US"/>
        </w:rPr>
        <w:t xml:space="preserve"> (in German).</w:t>
      </w:r>
    </w:p>
  </w:footnote>
  <w:footnote w:id="137">
    <w:p w14:paraId="1E2D5677"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They said they “observe with great concern that in election campaigns and media debates, resentment is once again increasingly stirred up and group-related misanthropy is blatantly expressed in social media. Often, this is directed against refugees, Jews and Muslims, Sinti and Roma, women, people with disabilities, queer people and others“, see Federal Anti-Discrimination Agency, “</w:t>
      </w:r>
      <w:proofErr w:type="spellStart"/>
      <w:r w:rsidRPr="00823A57">
        <w:rPr>
          <w:rFonts w:asciiTheme="minorHAnsi" w:hAnsiTheme="minorHAnsi"/>
          <w:sz w:val="14"/>
          <w:szCs w:val="14"/>
        </w:rPr>
        <w:t>Gemeinsame</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Erklärung</w:t>
      </w:r>
      <w:proofErr w:type="spellEnd"/>
      <w:r w:rsidRPr="00823A57">
        <w:rPr>
          <w:rFonts w:asciiTheme="minorHAnsi" w:hAnsiTheme="minorHAnsi"/>
          <w:sz w:val="14"/>
          <w:szCs w:val="14"/>
        </w:rPr>
        <w:t xml:space="preserve"> der </w:t>
      </w:r>
      <w:proofErr w:type="spellStart"/>
      <w:r w:rsidRPr="00823A57">
        <w:rPr>
          <w:rFonts w:asciiTheme="minorHAnsi" w:hAnsiTheme="minorHAnsi"/>
          <w:sz w:val="14"/>
          <w:szCs w:val="14"/>
        </w:rPr>
        <w:t>Beauftragten</w:t>
      </w:r>
      <w:proofErr w:type="spellEnd"/>
      <w:r w:rsidRPr="00823A57">
        <w:rPr>
          <w:rFonts w:asciiTheme="minorHAnsi" w:hAnsiTheme="minorHAnsi"/>
          <w:sz w:val="14"/>
          <w:szCs w:val="14"/>
        </w:rPr>
        <w:t xml:space="preserve"> des </w:t>
      </w:r>
      <w:proofErr w:type="spellStart"/>
      <w:r w:rsidRPr="00823A57">
        <w:rPr>
          <w:rFonts w:asciiTheme="minorHAnsi" w:hAnsiTheme="minorHAnsi"/>
          <w:sz w:val="14"/>
          <w:szCs w:val="14"/>
        </w:rPr>
        <w:t>Bundes</w:t>
      </w:r>
      <w:proofErr w:type="spellEnd"/>
      <w:r w:rsidRPr="00823A57">
        <w:rPr>
          <w:rFonts w:asciiTheme="minorHAnsi" w:hAnsiTheme="minorHAnsi"/>
          <w:sz w:val="14"/>
          <w:szCs w:val="14"/>
        </w:rPr>
        <w:t xml:space="preserve">” [“Common Declaration of the Federal Commissioners”], 11 September 2023, </w:t>
      </w:r>
      <w:hyperlink r:id="rId104" w:history="1">
        <w:r w:rsidRPr="00823A57">
          <w:rPr>
            <w:rStyle w:val="Hyperlink"/>
            <w:rFonts w:asciiTheme="minorHAnsi" w:eastAsia="Amnesty Trade Gothic" w:hAnsiTheme="minorHAnsi" w:cs="Amnesty Trade Gothic"/>
            <w:sz w:val="14"/>
            <w:szCs w:val="14"/>
          </w:rPr>
          <w:t>https://www.antidiskriminierungsstelle.de/SharedDocs/pressemitteilungen/DE/2023/20230911_Erklaerung_Beauftragte.html</w:t>
        </w:r>
      </w:hyperlink>
      <w:r w:rsidRPr="00823A57">
        <w:rPr>
          <w:rFonts w:asciiTheme="minorHAnsi" w:hAnsiTheme="minorHAnsi"/>
          <w:sz w:val="14"/>
          <w:szCs w:val="14"/>
        </w:rPr>
        <w:t xml:space="preserve"> (in German). </w:t>
      </w:r>
    </w:p>
    <w:p w14:paraId="1DE73DEE" w14:textId="77777777" w:rsidR="00384208" w:rsidRPr="00823A57" w:rsidRDefault="00384208" w:rsidP="00CD0A25">
      <w:pPr>
        <w:pStyle w:val="FootnoteText"/>
        <w:shd w:val="clear" w:color="auto" w:fill="FFFFFF"/>
        <w:spacing w:after="0"/>
        <w:rPr>
          <w:rFonts w:asciiTheme="minorHAnsi" w:hAnsiTheme="minorHAnsi"/>
          <w:sz w:val="14"/>
          <w:szCs w:val="14"/>
        </w:rPr>
      </w:pPr>
    </w:p>
  </w:footnote>
  <w:footnote w:id="138">
    <w:p w14:paraId="4C5AC86E"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Special Rapporteur on Contemporary Forms of Racism, Racial discrimination, Xenophobia and Racial intolerance, Report, (Report of the Special Rapporteur), 21 August 2019, UN Doc. A/74/321.</w:t>
      </w:r>
    </w:p>
  </w:footnote>
  <w:footnote w:id="139">
    <w:p w14:paraId="51C7FC73"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eastAsia="Amnesty Trade Gothic" w:hAnsiTheme="minorHAnsi" w:cs="Amnesty Trade Gothic"/>
          <w:sz w:val="14"/>
          <w:szCs w:val="14"/>
        </w:rPr>
        <w:footnoteRef/>
      </w:r>
      <w:r w:rsidRPr="00823A57">
        <w:rPr>
          <w:rFonts w:asciiTheme="minorHAnsi" w:hAnsiTheme="minorHAnsi"/>
          <w:sz w:val="14"/>
          <w:szCs w:val="14"/>
        </w:rPr>
        <w:t xml:space="preserve"> UN Secretary General, Report: Implementation of the International Decade for People </w:t>
      </w:r>
      <w:proofErr w:type="spellStart"/>
      <w:r w:rsidRPr="00823A57">
        <w:rPr>
          <w:rFonts w:asciiTheme="minorHAnsi" w:hAnsiTheme="minorHAnsi"/>
          <w:sz w:val="14"/>
          <w:szCs w:val="14"/>
        </w:rPr>
        <w:t>ofAfrican</w:t>
      </w:r>
      <w:proofErr w:type="spellEnd"/>
      <w:r w:rsidRPr="00823A57">
        <w:rPr>
          <w:rFonts w:asciiTheme="minorHAnsi" w:hAnsiTheme="minorHAnsi"/>
          <w:sz w:val="14"/>
          <w:szCs w:val="14"/>
        </w:rPr>
        <w:t xml:space="preserve"> Descent, 18 August 2023, UN Doc. A/78/317, para. 58. </w:t>
      </w:r>
    </w:p>
  </w:footnote>
  <w:footnote w:id="140">
    <w:p w14:paraId="002CB57A"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UN Human Rights Council, Report of the Working Group of Experts on People of African Descent on its mission to Germany, UN Doc. A/HRC/36/60/Add.2, para. 7.</w:t>
      </w:r>
    </w:p>
  </w:footnote>
  <w:footnote w:id="141">
    <w:p w14:paraId="4E3AB9CC"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Ibid.</w:t>
      </w:r>
    </w:p>
  </w:footnote>
  <w:footnote w:id="142">
    <w:p w14:paraId="3DF6B4F5" w14:textId="77777777" w:rsidR="00070213" w:rsidRPr="00823A57" w:rsidRDefault="00070213" w:rsidP="00CD0A25">
      <w:pPr>
        <w:pStyle w:val="FootnoteText"/>
        <w:shd w:val="clear" w:color="auto" w:fill="FFFFFF"/>
        <w:spacing w:after="0"/>
        <w:rPr>
          <w:rFonts w:asciiTheme="minorHAnsi" w:hAnsiTheme="minorHAnsi" w:cs="Amnesty Trade Gothic"/>
          <w:sz w:val="14"/>
          <w:szCs w:val="14"/>
          <w:lang w:val="en-US"/>
        </w:rPr>
      </w:pPr>
      <w:r w:rsidRPr="00823A57">
        <w:rPr>
          <w:rFonts w:asciiTheme="minorHAnsi" w:eastAsia="Amnesty Trade Gothic" w:hAnsiTheme="minorHAnsi" w:cs="Amnesty Trade Gothic"/>
          <w:color w:val="auto"/>
          <w:sz w:val="14"/>
          <w:szCs w:val="14"/>
          <w:vertAlign w:val="superscript"/>
        </w:rPr>
        <w:footnoteRef/>
      </w:r>
      <w:r w:rsidRPr="00823A57">
        <w:rPr>
          <w:rFonts w:asciiTheme="minorHAnsi" w:eastAsia="Amnesty Trade Gothic" w:hAnsiTheme="minorHAnsi" w:cs="Amnesty Trade Gothic"/>
          <w:sz w:val="14"/>
          <w:szCs w:val="14"/>
        </w:rPr>
        <w:t xml:space="preserve"> </w:t>
      </w:r>
      <w:r w:rsidRPr="00823A57">
        <w:rPr>
          <w:rFonts w:asciiTheme="minorHAnsi" w:eastAsia="Amnesty Trade Gothic" w:hAnsiTheme="minorHAnsi" w:cs="Amnesty Trade Gothic"/>
          <w:color w:val="000000"/>
          <w:sz w:val="14"/>
          <w:szCs w:val="14"/>
        </w:rPr>
        <w:t xml:space="preserve">Report of the Special Rapporteur, UN Doc. A/74/321. Also Letter by Seven Special Rapporteurs to Germany, 23 February 2023, </w:t>
      </w:r>
      <w:hyperlink r:id="rId105" w:tooltip="https://spcommreports.ohchr.org/TMResultsBase/DownLoadPublicCommunicationFile?gId=27875" w:history="1">
        <w:r w:rsidRPr="00823A57">
          <w:rPr>
            <w:rStyle w:val="Hyperlink"/>
            <w:rFonts w:asciiTheme="minorHAnsi" w:eastAsia="Amnesty Trade Gothic" w:hAnsiTheme="minorHAnsi" w:cs="Amnesty Trade Gothic"/>
            <w:color w:val="0563C1"/>
            <w:sz w:val="14"/>
            <w:szCs w:val="14"/>
          </w:rPr>
          <w:t>https://spcommreports.ohchr.org/TMResultsBase/DownLoadPublicCommunicationFile?gId=27875</w:t>
        </w:r>
      </w:hyperlink>
    </w:p>
  </w:footnote>
  <w:footnote w:id="143">
    <w:p w14:paraId="3C88E7CE"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Federal Republic of Germany and the Republic of Namibia, “United in Remembrance of our Colonial Past, United in Our Will to Reconcile, United in Our Vision of the Future”, 2021, </w:t>
      </w:r>
      <w:hyperlink r:id="rId106" w:history="1">
        <w:r w:rsidRPr="00823A57">
          <w:rPr>
            <w:rStyle w:val="Hyperlink"/>
            <w:rFonts w:asciiTheme="minorHAnsi" w:eastAsia="Amnesty Trade Gothic" w:hAnsiTheme="minorHAnsi" w:cs="Amnesty Trade Gothic"/>
            <w:sz w:val="14"/>
            <w:szCs w:val="14"/>
          </w:rPr>
          <w:t>https://www.parliament.na/wp-content/uploads/2021/09/Joint-Declaration-Document-Genocide-rt.pdf</w:t>
        </w:r>
      </w:hyperlink>
      <w:r w:rsidRPr="00823A57">
        <w:rPr>
          <w:rFonts w:asciiTheme="minorHAnsi" w:hAnsiTheme="minorHAnsi"/>
          <w:sz w:val="14"/>
          <w:szCs w:val="14"/>
        </w:rPr>
        <w:t>.</w:t>
      </w:r>
    </w:p>
  </w:footnote>
  <w:footnote w:id="144">
    <w:p w14:paraId="6B31AAA4" w14:textId="77777777" w:rsidR="00070213" w:rsidRPr="00823A57" w:rsidRDefault="00070213" w:rsidP="00CD0A25">
      <w:pPr>
        <w:pStyle w:val="FootnoteText"/>
        <w:shd w:val="clear" w:color="auto" w:fill="FFFFFF"/>
        <w:spacing w:after="0"/>
        <w:rPr>
          <w:rFonts w:asciiTheme="minorHAnsi" w:hAnsiTheme="minorHAnsi" w:cs="Amnesty Trade Gothic"/>
          <w:sz w:val="14"/>
          <w:szCs w:val="14"/>
        </w:rPr>
      </w:pPr>
      <w:r w:rsidRPr="00823A57">
        <w:rPr>
          <w:rFonts w:asciiTheme="minorHAnsi" w:eastAsia="Amnesty Trade Gothic" w:hAnsiTheme="minorHAnsi" w:cs="Amnesty Trade Gothic"/>
          <w:color w:val="auto"/>
          <w:sz w:val="14"/>
          <w:szCs w:val="14"/>
          <w:vertAlign w:val="superscript"/>
        </w:rPr>
        <w:footnoteRef/>
      </w:r>
      <w:r w:rsidRPr="00823A57">
        <w:rPr>
          <w:rFonts w:asciiTheme="minorHAnsi" w:eastAsia="Amnesty Trade Gothic" w:hAnsiTheme="minorHAnsi" w:cs="Amnesty Trade Gothic"/>
          <w:sz w:val="14"/>
          <w:szCs w:val="14"/>
        </w:rPr>
        <w:t xml:space="preserve"> See Federal Foreign Office, “Foreign Minister Maas on the conclusion of negotiations with Namibia”, 28 May 2021,  </w:t>
      </w:r>
      <w:hyperlink r:id="rId107" w:history="1">
        <w:r w:rsidRPr="00823A57">
          <w:rPr>
            <w:rStyle w:val="Hyperlink"/>
            <w:rFonts w:asciiTheme="minorHAnsi" w:eastAsia="Amnesty Trade Gothic" w:hAnsiTheme="minorHAnsi" w:cs="Amnesty Trade Gothic"/>
            <w:sz w:val="14"/>
            <w:szCs w:val="14"/>
          </w:rPr>
          <w:t>https://www.auswaertiges-amt.de/en/newsroom/news/-/2463598</w:t>
        </w:r>
      </w:hyperlink>
      <w:r w:rsidRPr="00823A57">
        <w:rPr>
          <w:rFonts w:asciiTheme="minorHAnsi" w:eastAsia="Amnesty Trade Gothic" w:hAnsiTheme="minorHAnsi" w:cs="Amnesty Trade Gothic"/>
          <w:sz w:val="14"/>
          <w:szCs w:val="14"/>
        </w:rPr>
        <w:t>. “We will now officially call these events what they are from today’s perspective: a genocide. … Legal claims for compensation cannot be derived from it.”</w:t>
      </w:r>
    </w:p>
  </w:footnote>
  <w:footnote w:id="145">
    <w:p w14:paraId="6B6C497D" w14:textId="77777777" w:rsidR="00070213" w:rsidRPr="00823A57" w:rsidRDefault="00070213" w:rsidP="00CD0A25">
      <w:pPr>
        <w:pStyle w:val="FootnoteText"/>
        <w:shd w:val="clear" w:color="auto" w:fill="FFFFFF"/>
        <w:spacing w:after="0"/>
        <w:rPr>
          <w:rStyle w:val="Hyperlink"/>
          <w:rFonts w:asciiTheme="minorHAnsi" w:eastAsia="Amnesty Trade Gothic" w:hAnsiTheme="minorHAnsi" w:cs="Amnesty Trade Gothic"/>
          <w:sz w:val="14"/>
          <w:szCs w:val="14"/>
        </w:rPr>
      </w:pPr>
      <w:r w:rsidRPr="00823A57">
        <w:rPr>
          <w:rStyle w:val="FootnoteReference"/>
          <w:rFonts w:asciiTheme="minorHAnsi" w:eastAsia="Amnesty Trade Gothic" w:hAnsiTheme="minorHAnsi" w:cs="Amnesty Trade Gothic"/>
          <w:sz w:val="14"/>
          <w:szCs w:val="14"/>
        </w:rPr>
        <w:footnoteRef/>
      </w:r>
      <w:r w:rsidRPr="00823A57">
        <w:rPr>
          <w:rFonts w:asciiTheme="minorHAnsi" w:eastAsia="Amnesty Trade Gothic" w:hAnsiTheme="minorHAnsi" w:cs="Amnesty Trade Gothic"/>
          <w:sz w:val="14"/>
          <w:szCs w:val="14"/>
        </w:rPr>
        <w:t xml:space="preserve"> Seven Special Rapporteurs. Letter to </w:t>
      </w:r>
      <w:proofErr w:type="spellStart"/>
      <w:r w:rsidRPr="00823A57">
        <w:rPr>
          <w:rFonts w:asciiTheme="minorHAnsi" w:eastAsia="Amnesty Trade Gothic" w:hAnsiTheme="minorHAnsi" w:cs="Amnesty Trade Gothic"/>
          <w:sz w:val="14"/>
          <w:szCs w:val="14"/>
        </w:rPr>
        <w:t>to</w:t>
      </w:r>
      <w:proofErr w:type="spellEnd"/>
      <w:r w:rsidRPr="00823A57">
        <w:rPr>
          <w:rFonts w:asciiTheme="minorHAnsi" w:eastAsia="Amnesty Trade Gothic" w:hAnsiTheme="minorHAnsi" w:cs="Amnesty Trade Gothic"/>
          <w:sz w:val="14"/>
          <w:szCs w:val="14"/>
        </w:rPr>
        <w:t xml:space="preserve"> Germany, 23 February 2023, p. 10 </w:t>
      </w:r>
      <w:hyperlink r:id="rId108" w:history="1">
        <w:r w:rsidRPr="00823A57">
          <w:rPr>
            <w:rStyle w:val="Hyperlink"/>
            <w:rFonts w:asciiTheme="minorHAnsi" w:eastAsia="Amnesty Trade Gothic" w:hAnsiTheme="minorHAnsi" w:cs="Amnesty Trade Gothic"/>
            <w:sz w:val="14"/>
            <w:szCs w:val="14"/>
          </w:rPr>
          <w:t xml:space="preserve">https://spcommreports.ohchr.org/TMResultsBase/DownLoadPublicCommunicationFile?gId=27875 </w:t>
        </w:r>
      </w:hyperlink>
    </w:p>
  </w:footnote>
  <w:footnote w:id="146">
    <w:p w14:paraId="344C409D"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The Special Rapporteur on the promotion of truth, justice, reparation and guarantees of non-recurrence; the Special Rapporteur in the field of cultural rights; the Special Rapporteur on extrajudicial, summary or arbitrary executions; the Special Rapporteur on adequate housing as a component of the right to an adequate standard of living, and on the right to non-discrimination in this context; the Special Rapporteur on the rights of indigenous peoples; the Special Rapporteur on contemporary forms of racism, racial discrimination, xenophobia and related intolerance and the Special Rapporteur on violence against women and girls, its causes and consequences, </w:t>
      </w:r>
      <w:r w:rsidRPr="00823A57">
        <w:rPr>
          <w:rFonts w:asciiTheme="minorHAnsi" w:hAnsiTheme="minorHAnsi"/>
          <w:sz w:val="14"/>
          <w:szCs w:val="14"/>
          <w:lang w:val="en-US"/>
        </w:rPr>
        <w:t xml:space="preserve">23 February 2023, </w:t>
      </w:r>
      <w:r w:rsidRPr="00823A57">
        <w:rPr>
          <w:rFonts w:asciiTheme="minorHAnsi" w:hAnsiTheme="minorHAnsi"/>
          <w:sz w:val="14"/>
          <w:szCs w:val="14"/>
        </w:rPr>
        <w:t xml:space="preserve">Ref. </w:t>
      </w:r>
      <w:r w:rsidRPr="00823A57">
        <w:rPr>
          <w:rFonts w:asciiTheme="minorHAnsi" w:hAnsiTheme="minorHAnsi"/>
          <w:sz w:val="14"/>
          <w:szCs w:val="14"/>
          <w:lang w:val="en-US"/>
        </w:rPr>
        <w:t xml:space="preserve">AL DEU 1/2023, </w:t>
      </w:r>
      <w:hyperlink r:id="rId109" w:history="1">
        <w:r w:rsidRPr="00823A57">
          <w:rPr>
            <w:rStyle w:val="Hyperlink"/>
            <w:rFonts w:asciiTheme="minorHAnsi" w:eastAsia="Amnesty Trade Gothic" w:hAnsiTheme="minorHAnsi" w:cs="Amnesty Trade Gothic"/>
            <w:sz w:val="14"/>
            <w:szCs w:val="14"/>
            <w:lang w:val="en-US"/>
          </w:rPr>
          <w:t>https://spcommreports.ohchr.org/TMResultsBase/DownLoadPublicCommunicationFile?gId=27875</w:t>
        </w:r>
      </w:hyperlink>
      <w:r w:rsidRPr="00823A57">
        <w:rPr>
          <w:rFonts w:asciiTheme="minorHAnsi" w:hAnsiTheme="minorHAnsi"/>
          <w:color w:val="0563C1"/>
          <w:sz w:val="14"/>
          <w:szCs w:val="14"/>
          <w:lang w:val="en-US"/>
        </w:rPr>
        <w:t xml:space="preserve">. </w:t>
      </w:r>
    </w:p>
  </w:footnote>
  <w:footnote w:id="147">
    <w:p w14:paraId="6C5798C8"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This is of particular concern as the Africa conference in November 1884 to February 1885 took place in Berlin where major European powers negotiated and formalized claims to territory in Africa, which had a devastating and lasting impact on the continent of Africa.</w:t>
      </w:r>
    </w:p>
  </w:footnote>
  <w:footnote w:id="148">
    <w:p w14:paraId="778D1103"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Federal Foreign Office, “Speech by Minister of State Katja </w:t>
      </w:r>
      <w:proofErr w:type="spellStart"/>
      <w:r w:rsidRPr="00823A57">
        <w:rPr>
          <w:rFonts w:asciiTheme="minorHAnsi" w:hAnsiTheme="minorHAnsi"/>
          <w:sz w:val="14"/>
          <w:szCs w:val="14"/>
        </w:rPr>
        <w:t>Keul</w:t>
      </w:r>
      <w:proofErr w:type="spellEnd"/>
      <w:r w:rsidRPr="00823A57">
        <w:rPr>
          <w:rFonts w:asciiTheme="minorHAnsi" w:hAnsiTheme="minorHAnsi"/>
          <w:sz w:val="14"/>
          <w:szCs w:val="14"/>
        </w:rPr>
        <w:t xml:space="preserve"> on the occasion of a wreath-laying ceremony at the site of the execution of Rudolf Manga Bell in Cameroon”, 02 November 2022, </w:t>
      </w:r>
      <w:hyperlink r:id="rId110" w:tooltip="https://www.auswaertiges-amt.de/en/newsroom/news/-/2561510" w:history="1">
        <w:r w:rsidRPr="00823A57">
          <w:rPr>
            <w:rStyle w:val="Hyperlink"/>
            <w:rFonts w:asciiTheme="minorHAnsi" w:eastAsia="Amnesty Trade Gothic" w:hAnsiTheme="minorHAnsi" w:cs="Amnesty Trade Gothic"/>
            <w:color w:val="0563C1"/>
            <w:sz w:val="14"/>
            <w:szCs w:val="14"/>
          </w:rPr>
          <w:t>https://www.auswaertiges-amt.de/en/newsroom/news/-/2561510</w:t>
        </w:r>
      </w:hyperlink>
      <w:r w:rsidRPr="00823A57">
        <w:rPr>
          <w:rStyle w:val="Hyperlink"/>
          <w:rFonts w:asciiTheme="minorHAnsi" w:eastAsia="Amnesty Trade Gothic" w:hAnsiTheme="minorHAnsi" w:cs="Amnesty Trade Gothic"/>
          <w:color w:val="0563C1"/>
          <w:sz w:val="14"/>
          <w:szCs w:val="14"/>
        </w:rPr>
        <w:t>.</w:t>
      </w:r>
      <w:r w:rsidRPr="00823A57">
        <w:rPr>
          <w:rFonts w:asciiTheme="minorHAnsi" w:hAnsiTheme="minorHAnsi"/>
          <w:sz w:val="14"/>
          <w:szCs w:val="14"/>
        </w:rPr>
        <w:t xml:space="preserve"> </w:t>
      </w:r>
    </w:p>
  </w:footnote>
  <w:footnote w:id="149">
    <w:p w14:paraId="79D290B4" w14:textId="77777777" w:rsidR="00070213" w:rsidRPr="00823A57" w:rsidRDefault="00070213" w:rsidP="00CD0A25">
      <w:pPr>
        <w:pStyle w:val="FootnoteText"/>
        <w:shd w:val="clear" w:color="auto" w:fill="FFFFFF"/>
        <w:spacing w:after="0"/>
        <w:rPr>
          <w:rFonts w:asciiTheme="minorHAnsi" w:hAnsiTheme="minorHAnsi"/>
          <w:sz w:val="14"/>
          <w:szCs w:val="14"/>
          <w:lang w:val="de-DE"/>
        </w:rPr>
      </w:pPr>
      <w:r w:rsidRPr="00823A57">
        <w:rPr>
          <w:rFonts w:asciiTheme="minorHAnsi" w:hAnsiTheme="minorHAnsi"/>
          <w:color w:val="auto"/>
          <w:sz w:val="14"/>
          <w:szCs w:val="14"/>
          <w:vertAlign w:val="superscript"/>
        </w:rPr>
        <w:footnoteRef/>
      </w:r>
      <w:r w:rsidRPr="00823A57">
        <w:rPr>
          <w:rFonts w:asciiTheme="minorHAnsi" w:hAnsiTheme="minorHAnsi"/>
          <w:sz w:val="14"/>
          <w:szCs w:val="14"/>
          <w:lang w:val="de-DE"/>
        </w:rPr>
        <w:t xml:space="preserve"> German Bundestag, “Entschädigung von DDR-Vertragsarbeitern aus Mosambik“ [“</w:t>
      </w:r>
      <w:proofErr w:type="spellStart"/>
      <w:r w:rsidRPr="00823A57">
        <w:rPr>
          <w:rFonts w:asciiTheme="minorHAnsi" w:hAnsiTheme="minorHAnsi"/>
          <w:sz w:val="14"/>
          <w:szCs w:val="14"/>
          <w:lang w:val="de-DE"/>
        </w:rPr>
        <w:t>Compensation</w:t>
      </w:r>
      <w:proofErr w:type="spellEnd"/>
      <w:r w:rsidRPr="00823A57">
        <w:rPr>
          <w:rFonts w:asciiTheme="minorHAnsi" w:hAnsiTheme="minorHAnsi"/>
          <w:sz w:val="14"/>
          <w:szCs w:val="14"/>
          <w:lang w:val="de-DE"/>
        </w:rPr>
        <w:t xml:space="preserve"> of GDR </w:t>
      </w:r>
      <w:proofErr w:type="spellStart"/>
      <w:r w:rsidRPr="00823A57">
        <w:rPr>
          <w:rFonts w:asciiTheme="minorHAnsi" w:hAnsiTheme="minorHAnsi"/>
          <w:sz w:val="14"/>
          <w:szCs w:val="14"/>
          <w:lang w:val="de-DE"/>
        </w:rPr>
        <w:t>contract</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workers</w:t>
      </w:r>
      <w:proofErr w:type="spellEnd"/>
      <w:r w:rsidRPr="00823A57">
        <w:rPr>
          <w:rFonts w:asciiTheme="minorHAnsi" w:hAnsiTheme="minorHAnsi"/>
          <w:sz w:val="14"/>
          <w:szCs w:val="14"/>
          <w:lang w:val="de-DE"/>
        </w:rPr>
        <w:t xml:space="preserve"> </w:t>
      </w:r>
      <w:proofErr w:type="spellStart"/>
      <w:r w:rsidRPr="00823A57">
        <w:rPr>
          <w:rFonts w:asciiTheme="minorHAnsi" w:hAnsiTheme="minorHAnsi"/>
          <w:sz w:val="14"/>
          <w:szCs w:val="14"/>
          <w:lang w:val="de-DE"/>
        </w:rPr>
        <w:t>from</w:t>
      </w:r>
      <w:proofErr w:type="spellEnd"/>
      <w:r w:rsidRPr="00823A57">
        <w:rPr>
          <w:rFonts w:asciiTheme="minorHAnsi" w:hAnsiTheme="minorHAnsi"/>
          <w:sz w:val="14"/>
          <w:szCs w:val="14"/>
          <w:lang w:val="de-DE"/>
        </w:rPr>
        <w:t xml:space="preserve"> Mozambique“], 26 April 2023, </w:t>
      </w:r>
      <w:hyperlink r:id="rId111" w:tooltip="https://www.bundestag.de/presse/hib/kurzmeldungen-945228" w:history="1">
        <w:r w:rsidRPr="00823A57">
          <w:rPr>
            <w:rStyle w:val="Hyperlink"/>
            <w:rFonts w:asciiTheme="minorHAnsi" w:eastAsia="Amnesty Trade Gothic" w:hAnsiTheme="minorHAnsi" w:cs="Amnesty Trade Gothic"/>
            <w:color w:val="0563C1"/>
            <w:sz w:val="14"/>
            <w:szCs w:val="14"/>
            <w:lang w:val="de-DE"/>
          </w:rPr>
          <w:t>https://www.bundestag.de/presse/hib/kurzmeldungen-945228</w:t>
        </w:r>
      </w:hyperlink>
      <w:r w:rsidRPr="00823A57">
        <w:rPr>
          <w:rFonts w:asciiTheme="minorHAnsi" w:hAnsiTheme="minorHAnsi"/>
          <w:color w:val="000000"/>
          <w:sz w:val="14"/>
          <w:szCs w:val="14"/>
          <w:lang w:val="de-DE"/>
        </w:rPr>
        <w:t xml:space="preserve"> (in German).</w:t>
      </w:r>
    </w:p>
  </w:footnote>
  <w:footnote w:id="150">
    <w:p w14:paraId="1E0649E5"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Ibid.</w:t>
      </w:r>
    </w:p>
  </w:footnote>
  <w:footnote w:id="151">
    <w:p w14:paraId="054F0810" w14:textId="02A1A10E" w:rsidR="0034709B" w:rsidRPr="00823A57" w:rsidRDefault="0034709B" w:rsidP="00CD0A25">
      <w:pPr>
        <w:pStyle w:val="FootnoteText"/>
        <w:shd w:val="clear" w:color="auto" w:fill="FFFFFF"/>
        <w:spacing w:after="0"/>
        <w:rPr>
          <w:rFonts w:asciiTheme="minorHAnsi" w:hAnsiTheme="minorHAnsi"/>
          <w:sz w:val="14"/>
          <w:szCs w:val="14"/>
        </w:rPr>
      </w:pPr>
      <w:r w:rsidRPr="00823A57">
        <w:rPr>
          <w:rStyle w:val="FootnoteReference"/>
          <w:rFonts w:asciiTheme="minorHAnsi" w:hAnsiTheme="minorHAnsi"/>
          <w:sz w:val="14"/>
          <w:szCs w:val="14"/>
        </w:rPr>
        <w:footnoteRef/>
      </w:r>
      <w:r w:rsidRPr="00823A57">
        <w:rPr>
          <w:rFonts w:asciiTheme="minorHAnsi" w:hAnsiTheme="minorHAnsi"/>
          <w:sz w:val="14"/>
          <w:szCs w:val="14"/>
        </w:rPr>
        <w:t xml:space="preserve"> Ibid.</w:t>
      </w:r>
    </w:p>
  </w:footnote>
  <w:footnote w:id="152">
    <w:p w14:paraId="254FADD5" w14:textId="710E0F38" w:rsidR="0034709B" w:rsidRPr="00823A57" w:rsidRDefault="0034709B" w:rsidP="00CD0A25">
      <w:pPr>
        <w:pStyle w:val="FootnoteText"/>
        <w:shd w:val="clear" w:color="auto" w:fill="FFFFFF"/>
        <w:spacing w:after="0"/>
        <w:rPr>
          <w:rFonts w:asciiTheme="minorHAnsi" w:hAnsiTheme="minorHAnsi"/>
          <w:sz w:val="14"/>
          <w:szCs w:val="14"/>
        </w:rPr>
      </w:pPr>
      <w:r w:rsidRPr="00823A57">
        <w:rPr>
          <w:rStyle w:val="FootnoteReference"/>
          <w:rFonts w:asciiTheme="minorHAnsi" w:hAnsiTheme="minorHAnsi"/>
          <w:sz w:val="14"/>
          <w:szCs w:val="14"/>
        </w:rPr>
        <w:footnoteRef/>
      </w:r>
      <w:r w:rsidRPr="00823A57">
        <w:rPr>
          <w:rFonts w:asciiTheme="minorHAnsi" w:hAnsiTheme="minorHAnsi"/>
          <w:sz w:val="14"/>
          <w:szCs w:val="14"/>
        </w:rPr>
        <w:t xml:space="preserve"> Ibid.</w:t>
      </w:r>
    </w:p>
  </w:footnote>
  <w:footnote w:id="153">
    <w:p w14:paraId="724D9D72"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Ibid. </w:t>
      </w:r>
    </w:p>
  </w:footnote>
  <w:footnote w:id="154">
    <w:p w14:paraId="269E14A7"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Report of the Special Rapporteur, UN Doc. A/74/321.</w:t>
      </w:r>
    </w:p>
  </w:footnote>
  <w:footnote w:id="155">
    <w:p w14:paraId="198B166C"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eastAsia="Amnesty Trade Gothic" w:hAnsiTheme="minorHAnsi" w:cs="Amnesty Trade Gothic"/>
          <w:sz w:val="14"/>
          <w:szCs w:val="14"/>
        </w:rPr>
        <w:footnoteRef/>
      </w:r>
      <w:r w:rsidRPr="00823A57">
        <w:rPr>
          <w:rFonts w:asciiTheme="minorHAnsi" w:hAnsiTheme="minorHAnsi"/>
          <w:sz w:val="14"/>
          <w:szCs w:val="14"/>
        </w:rPr>
        <w:t xml:space="preserve"> Germany, Asylum Act, 2022, § 47 and § 30a, </w:t>
      </w:r>
      <w:hyperlink r:id="rId112" w:anchor="BJNR111260992BJNG000104311" w:history="1">
        <w:r w:rsidRPr="00823A57">
          <w:rPr>
            <w:rStyle w:val="Hyperlink"/>
            <w:rFonts w:asciiTheme="minorHAnsi" w:eastAsia="Amnesty Trade Gothic" w:hAnsiTheme="minorHAnsi" w:cs="Amnesty Trade Gothic"/>
            <w:sz w:val="14"/>
            <w:szCs w:val="14"/>
          </w:rPr>
          <w:t>https://www.gesetze-im-internet.de/asylvfg_1992/BJNR111260992.html#BJNR111260992BJNG000104311</w:t>
        </w:r>
      </w:hyperlink>
      <w:r w:rsidRPr="00823A57">
        <w:rPr>
          <w:rFonts w:asciiTheme="minorHAnsi" w:hAnsiTheme="minorHAnsi"/>
          <w:sz w:val="14"/>
          <w:szCs w:val="14"/>
        </w:rPr>
        <w:t>.</w:t>
      </w:r>
    </w:p>
  </w:footnote>
  <w:footnote w:id="156">
    <w:p w14:paraId="07E7F937"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Germany, Asylum Act, 2022, § 56 Asylum Act. The residence obligation applies </w:t>
      </w:r>
      <w:proofErr w:type="gramStart"/>
      <w:r w:rsidRPr="00823A57">
        <w:rPr>
          <w:rFonts w:asciiTheme="minorHAnsi" w:hAnsiTheme="minorHAnsi"/>
          <w:sz w:val="14"/>
          <w:szCs w:val="14"/>
        </w:rPr>
        <w:t>as long as</w:t>
      </w:r>
      <w:proofErr w:type="gramEnd"/>
      <w:r w:rsidRPr="00823A57">
        <w:rPr>
          <w:rFonts w:asciiTheme="minorHAnsi" w:hAnsiTheme="minorHAnsi"/>
          <w:sz w:val="14"/>
          <w:szCs w:val="14"/>
        </w:rPr>
        <w:t xml:space="preserve"> asylum seekers are subject to the obligation to stay in initial reception facilities. As a result, it can also apply again for the entire duration of the asylum procedure and beyond.</w:t>
      </w:r>
    </w:p>
  </w:footnote>
  <w:footnote w:id="157">
    <w:p w14:paraId="69506D7F"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hAnsiTheme="minorHAnsi"/>
          <w:sz w:val="14"/>
          <w:szCs w:val="14"/>
        </w:rPr>
        <w:footnoteRef/>
      </w:r>
      <w:r w:rsidRPr="00823A57">
        <w:rPr>
          <w:rFonts w:asciiTheme="minorHAnsi" w:hAnsiTheme="minorHAnsi"/>
          <w:sz w:val="14"/>
          <w:szCs w:val="14"/>
        </w:rPr>
        <w:t xml:space="preserve"> Germany, Asylum Act, 2022, § 33. </w:t>
      </w:r>
    </w:p>
  </w:footnote>
  <w:footnote w:id="158">
    <w:p w14:paraId="4D859C05"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shd w:val="clear" w:color="auto" w:fill="FFFFFF" w:themeFill="background1"/>
          <w:vertAlign w:val="superscript"/>
        </w:rPr>
        <w:footnoteRef/>
      </w:r>
      <w:r w:rsidRPr="00823A57">
        <w:rPr>
          <w:rFonts w:asciiTheme="minorHAnsi" w:hAnsiTheme="minorHAnsi"/>
          <w:sz w:val="14"/>
          <w:szCs w:val="14"/>
          <w:shd w:val="clear" w:color="auto" w:fill="FFFFFF" w:themeFill="background1"/>
        </w:rPr>
        <w:t xml:space="preserve"> Amnesty International Germany, “Das </w:t>
      </w:r>
      <w:proofErr w:type="spellStart"/>
      <w:r w:rsidRPr="00823A57">
        <w:rPr>
          <w:rFonts w:asciiTheme="minorHAnsi" w:hAnsiTheme="minorHAnsi"/>
          <w:sz w:val="14"/>
          <w:szCs w:val="14"/>
          <w:shd w:val="clear" w:color="auto" w:fill="FFFFFF" w:themeFill="background1"/>
        </w:rPr>
        <w:t>Asylpaket</w:t>
      </w:r>
      <w:proofErr w:type="spellEnd"/>
      <w:r w:rsidRPr="00823A57">
        <w:rPr>
          <w:rFonts w:asciiTheme="minorHAnsi" w:hAnsiTheme="minorHAnsi"/>
          <w:sz w:val="14"/>
          <w:szCs w:val="14"/>
          <w:shd w:val="clear" w:color="auto" w:fill="FFFFFF" w:themeFill="background1"/>
        </w:rPr>
        <w:t xml:space="preserve"> II: </w:t>
      </w:r>
      <w:proofErr w:type="spellStart"/>
      <w:r w:rsidRPr="00823A57">
        <w:rPr>
          <w:rFonts w:asciiTheme="minorHAnsi" w:hAnsiTheme="minorHAnsi"/>
          <w:sz w:val="14"/>
          <w:szCs w:val="14"/>
          <w:shd w:val="clear" w:color="auto" w:fill="FFFFFF" w:themeFill="background1"/>
        </w:rPr>
        <w:t>Menschenrechte</w:t>
      </w:r>
      <w:proofErr w:type="spellEnd"/>
      <w:r w:rsidRPr="00823A57">
        <w:rPr>
          <w:rFonts w:asciiTheme="minorHAnsi" w:hAnsiTheme="minorHAnsi"/>
          <w:sz w:val="14"/>
          <w:szCs w:val="14"/>
          <w:shd w:val="clear" w:color="auto" w:fill="FFFFFF" w:themeFill="background1"/>
        </w:rPr>
        <w:t xml:space="preserve"> in </w:t>
      </w:r>
      <w:proofErr w:type="spellStart"/>
      <w:r w:rsidRPr="00823A57">
        <w:rPr>
          <w:rFonts w:asciiTheme="minorHAnsi" w:hAnsiTheme="minorHAnsi"/>
          <w:sz w:val="14"/>
          <w:szCs w:val="14"/>
          <w:shd w:val="clear" w:color="auto" w:fill="FFFFFF" w:themeFill="background1"/>
        </w:rPr>
        <w:t>Gefahr</w:t>
      </w:r>
      <w:proofErr w:type="spellEnd"/>
      <w:r w:rsidRPr="00823A57">
        <w:rPr>
          <w:rFonts w:asciiTheme="minorHAnsi" w:hAnsiTheme="minorHAnsi"/>
          <w:sz w:val="14"/>
          <w:szCs w:val="14"/>
          <w:shd w:val="clear" w:color="auto" w:fill="FFFFFF" w:themeFill="background1"/>
        </w:rPr>
        <w:t>“ [</w:t>
      </w:r>
      <w:r w:rsidRPr="00823A57">
        <w:rPr>
          <w:rFonts w:asciiTheme="minorHAnsi" w:hAnsiTheme="minorHAnsi"/>
          <w:sz w:val="14"/>
          <w:szCs w:val="14"/>
          <w:shd w:val="clear" w:color="auto" w:fill="FFFFFF" w:themeFill="background1"/>
          <w:lang w:val="en-US"/>
        </w:rPr>
        <w:t>“</w:t>
      </w:r>
      <w:r w:rsidRPr="00823A57">
        <w:rPr>
          <w:rFonts w:asciiTheme="minorHAnsi" w:hAnsiTheme="minorHAnsi"/>
          <w:sz w:val="14"/>
          <w:szCs w:val="14"/>
          <w:shd w:val="clear" w:color="auto" w:fill="FFFFFF" w:themeFill="background1"/>
        </w:rPr>
        <w:t xml:space="preserve">The asylum package II: Human rights in danger“], 09 December 2015, </w:t>
      </w:r>
      <w:hyperlink r:id="rId113" w:tooltip="https://www.amnesty.de/2015/12/9/das-asylpaket-ii-menschenrechte-gefahr" w:history="1">
        <w:r w:rsidRPr="00823A57">
          <w:rPr>
            <w:rFonts w:asciiTheme="minorHAnsi" w:hAnsiTheme="minorHAnsi"/>
            <w:sz w:val="14"/>
            <w:szCs w:val="14"/>
            <w:shd w:val="clear" w:color="auto" w:fill="FFFFFF" w:themeFill="background1"/>
          </w:rPr>
          <w:t>https://www.amnesty.de/2015/12/9/das-asylpaket-ii-menschenrechte-gefahr</w:t>
        </w:r>
      </w:hyperlink>
      <w:r w:rsidRPr="00823A57">
        <w:rPr>
          <w:rFonts w:asciiTheme="minorHAnsi" w:hAnsiTheme="minorHAnsi"/>
          <w:sz w:val="14"/>
          <w:szCs w:val="14"/>
          <w:shd w:val="clear" w:color="auto" w:fill="FFFFFF" w:themeFill="background1"/>
        </w:rPr>
        <w:t xml:space="preserve"> (in German).</w:t>
      </w:r>
    </w:p>
  </w:footnote>
  <w:footnote w:id="159">
    <w:p w14:paraId="19BF4176" w14:textId="77777777" w:rsidR="00070213" w:rsidRPr="00823A57" w:rsidRDefault="00070213" w:rsidP="00CD0A25">
      <w:pPr>
        <w:pStyle w:val="FootnoteText"/>
        <w:shd w:val="clear" w:color="auto" w:fill="FFFFFF"/>
        <w:spacing w:after="0"/>
        <w:rPr>
          <w:rFonts w:asciiTheme="minorHAnsi" w:eastAsia="Calibri" w:hAnsiTheme="minorHAnsi" w:cs="Calibri"/>
          <w:sz w:val="14"/>
          <w:szCs w:val="14"/>
          <w:lang w:val="de-DE"/>
        </w:rPr>
      </w:pPr>
      <w:r w:rsidRPr="00823A57">
        <w:rPr>
          <w:rStyle w:val="FootnoteReference"/>
          <w:rFonts w:asciiTheme="minorHAnsi" w:hAnsiTheme="minorHAnsi"/>
          <w:sz w:val="14"/>
          <w:szCs w:val="14"/>
        </w:rPr>
        <w:footnoteRef/>
      </w:r>
      <w:r w:rsidRPr="00823A57">
        <w:rPr>
          <w:rFonts w:asciiTheme="minorHAnsi" w:hAnsiTheme="minorHAnsi"/>
          <w:sz w:val="14"/>
          <w:szCs w:val="14"/>
          <w:lang w:val="de-DE"/>
        </w:rPr>
        <w:t xml:space="preserve"> </w:t>
      </w:r>
      <w:r w:rsidRPr="00823A57">
        <w:rPr>
          <w:rFonts w:asciiTheme="minorHAnsi" w:eastAsia="Calibri" w:hAnsiTheme="minorHAnsi" w:cs="Calibri"/>
          <w:sz w:val="14"/>
          <w:szCs w:val="14"/>
          <w:lang w:val="de-DE"/>
        </w:rPr>
        <w:t xml:space="preserve">Robert Koch-Institut, Monitoring der Gesundheit und Gesundheitsversorgung geflüchteter Menschen in Sammelunterkünften [Monitoring Health and Access </w:t>
      </w:r>
      <w:proofErr w:type="spellStart"/>
      <w:r w:rsidRPr="00823A57">
        <w:rPr>
          <w:rFonts w:asciiTheme="minorHAnsi" w:eastAsia="Calibri" w:hAnsiTheme="minorHAnsi" w:cs="Calibri"/>
          <w:sz w:val="14"/>
          <w:szCs w:val="14"/>
          <w:lang w:val="de-DE"/>
        </w:rPr>
        <w:t>to</w:t>
      </w:r>
      <w:proofErr w:type="spellEnd"/>
      <w:r w:rsidRPr="00823A57">
        <w:rPr>
          <w:rFonts w:asciiTheme="minorHAnsi" w:eastAsia="Calibri" w:hAnsiTheme="minorHAnsi" w:cs="Calibri"/>
          <w:sz w:val="14"/>
          <w:szCs w:val="14"/>
          <w:lang w:val="de-DE"/>
        </w:rPr>
        <w:t xml:space="preserve"> Health Care of </w:t>
      </w:r>
      <w:proofErr w:type="spellStart"/>
      <w:r w:rsidRPr="00823A57">
        <w:rPr>
          <w:rFonts w:asciiTheme="minorHAnsi" w:eastAsia="Calibri" w:hAnsiTheme="minorHAnsi" w:cs="Calibri"/>
          <w:sz w:val="14"/>
          <w:szCs w:val="14"/>
          <w:lang w:val="de-DE"/>
        </w:rPr>
        <w:t>Refugees</w:t>
      </w:r>
      <w:proofErr w:type="spellEnd"/>
      <w:r w:rsidRPr="00823A57">
        <w:rPr>
          <w:rFonts w:asciiTheme="minorHAnsi" w:eastAsia="Calibri" w:hAnsiTheme="minorHAnsi" w:cs="Calibri"/>
          <w:sz w:val="14"/>
          <w:szCs w:val="14"/>
          <w:lang w:val="de-DE"/>
        </w:rPr>
        <w:t xml:space="preserve"> in Reception Centers], 2021, </w:t>
      </w:r>
      <w:hyperlink r:id="rId114" w:history="1">
        <w:r w:rsidRPr="00823A57">
          <w:rPr>
            <w:rStyle w:val="Hyperlink"/>
            <w:rFonts w:asciiTheme="minorHAnsi" w:eastAsia="Calibri" w:hAnsiTheme="minorHAnsi" w:cs="Calibri"/>
            <w:sz w:val="14"/>
            <w:szCs w:val="14"/>
            <w:lang w:val="de-DE"/>
          </w:rPr>
          <w:t>https://www.rki.de/DE/Content/Gesundheitsmonitoring/Gesundheitsberichterstattung/GBEDownloadsJ/Focus/JoHM_01_2021_Gesundheit_Gefluechteter_RESPOND.pdf?__blob=publicationFile</w:t>
        </w:r>
      </w:hyperlink>
      <w:r w:rsidRPr="00823A57">
        <w:rPr>
          <w:rFonts w:asciiTheme="minorHAnsi" w:eastAsia="Calibri" w:hAnsiTheme="minorHAnsi" w:cs="Calibri"/>
          <w:sz w:val="14"/>
          <w:szCs w:val="14"/>
          <w:lang w:val="de-DE"/>
        </w:rPr>
        <w:t xml:space="preserve">. </w:t>
      </w:r>
    </w:p>
  </w:footnote>
  <w:footnote w:id="160">
    <w:p w14:paraId="593F16F2" w14:textId="7467F8DF" w:rsidR="00070213" w:rsidRPr="00823A57" w:rsidRDefault="00070213" w:rsidP="00CD0A25">
      <w:pPr>
        <w:pStyle w:val="FootnoteText"/>
        <w:shd w:val="clear" w:color="auto" w:fill="FFFFFF"/>
        <w:spacing w:after="0"/>
        <w:rPr>
          <w:rFonts w:asciiTheme="minorHAnsi" w:hAnsiTheme="minorHAnsi"/>
          <w:sz w:val="14"/>
          <w:szCs w:val="14"/>
          <w:lang w:val="en-US"/>
        </w:rPr>
      </w:pPr>
      <w:r w:rsidRPr="00823A57">
        <w:rPr>
          <w:rStyle w:val="FootnoteReference"/>
          <w:rFonts w:asciiTheme="minorHAnsi" w:hAnsiTheme="minorHAnsi"/>
          <w:sz w:val="14"/>
          <w:szCs w:val="14"/>
        </w:rPr>
        <w:footnoteRef/>
      </w:r>
      <w:r w:rsidRPr="00823A57">
        <w:rPr>
          <w:rFonts w:asciiTheme="minorHAnsi" w:hAnsiTheme="minorHAnsi"/>
          <w:sz w:val="14"/>
          <w:szCs w:val="14"/>
        </w:rPr>
        <w:t xml:space="preserve"> </w:t>
      </w:r>
      <w:r w:rsidRPr="00823A57">
        <w:rPr>
          <w:rFonts w:asciiTheme="minorHAnsi" w:hAnsiTheme="minorHAnsi"/>
          <w:sz w:val="14"/>
          <w:szCs w:val="14"/>
          <w:lang w:val="en-US"/>
        </w:rPr>
        <w:t xml:space="preserve">Pro </w:t>
      </w:r>
      <w:proofErr w:type="spellStart"/>
      <w:r w:rsidRPr="00823A57">
        <w:rPr>
          <w:rFonts w:asciiTheme="minorHAnsi" w:hAnsiTheme="minorHAnsi"/>
          <w:sz w:val="14"/>
          <w:szCs w:val="14"/>
          <w:lang w:val="en-US"/>
        </w:rPr>
        <w:t>Asyl</w:t>
      </w:r>
      <w:proofErr w:type="spellEnd"/>
      <w:r w:rsidRPr="00823A57">
        <w:rPr>
          <w:rFonts w:asciiTheme="minorHAnsi" w:hAnsiTheme="minorHAnsi"/>
          <w:sz w:val="14"/>
          <w:szCs w:val="14"/>
          <w:lang w:val="en-US"/>
        </w:rPr>
        <w:t xml:space="preserve">, “Das </w:t>
      </w:r>
      <w:proofErr w:type="spellStart"/>
      <w:r w:rsidRPr="00823A57">
        <w:rPr>
          <w:rFonts w:asciiTheme="minorHAnsi" w:hAnsiTheme="minorHAnsi"/>
          <w:sz w:val="14"/>
          <w:szCs w:val="14"/>
          <w:lang w:val="en-US"/>
        </w:rPr>
        <w:t>Asylbewerberleistungsgesetz</w:t>
      </w:r>
      <w:proofErr w:type="spellEnd"/>
      <w:r w:rsidRPr="00823A57">
        <w:rPr>
          <w:rFonts w:asciiTheme="minorHAnsi" w:hAnsiTheme="minorHAnsi"/>
          <w:sz w:val="14"/>
          <w:szCs w:val="14"/>
          <w:lang w:val="en-US"/>
        </w:rPr>
        <w:t xml:space="preserve"> – </w:t>
      </w:r>
      <w:proofErr w:type="spellStart"/>
      <w:r w:rsidRPr="00823A57">
        <w:rPr>
          <w:rFonts w:asciiTheme="minorHAnsi" w:hAnsiTheme="minorHAnsi"/>
          <w:sz w:val="14"/>
          <w:szCs w:val="14"/>
          <w:lang w:val="en-US"/>
        </w:rPr>
        <w:t>Einschränkungen</w:t>
      </w:r>
      <w:proofErr w:type="spellEnd"/>
      <w:r w:rsidRPr="00823A57">
        <w:rPr>
          <w:rFonts w:asciiTheme="minorHAnsi" w:hAnsiTheme="minorHAnsi"/>
          <w:sz w:val="14"/>
          <w:szCs w:val="14"/>
          <w:lang w:val="en-US"/>
        </w:rPr>
        <w:t xml:space="preserve"> des </w:t>
      </w:r>
      <w:proofErr w:type="spellStart"/>
      <w:r w:rsidRPr="00823A57">
        <w:rPr>
          <w:rFonts w:asciiTheme="minorHAnsi" w:hAnsiTheme="minorHAnsi"/>
          <w:sz w:val="14"/>
          <w:szCs w:val="14"/>
          <w:lang w:val="en-US"/>
        </w:rPr>
        <w:t>Grundrechts</w:t>
      </w:r>
      <w:proofErr w:type="spellEnd"/>
      <w:r w:rsidRPr="00823A57">
        <w:rPr>
          <w:rFonts w:asciiTheme="minorHAnsi" w:hAnsiTheme="minorHAnsi"/>
          <w:sz w:val="14"/>
          <w:szCs w:val="14"/>
          <w:lang w:val="en-US"/>
        </w:rPr>
        <w:t xml:space="preserve"> auf </w:t>
      </w:r>
      <w:proofErr w:type="spellStart"/>
      <w:r w:rsidRPr="00823A57">
        <w:rPr>
          <w:rFonts w:asciiTheme="minorHAnsi" w:hAnsiTheme="minorHAnsi"/>
          <w:sz w:val="14"/>
          <w:szCs w:val="14"/>
          <w:lang w:val="en-US"/>
        </w:rPr>
        <w:t>ein</w:t>
      </w:r>
      <w:proofErr w:type="spellEnd"/>
      <w:r w:rsidRPr="00823A57">
        <w:rPr>
          <w:rFonts w:asciiTheme="minorHAnsi" w:hAnsiTheme="minorHAnsi"/>
          <w:sz w:val="14"/>
          <w:szCs w:val="14"/>
          <w:lang w:val="en-US"/>
        </w:rPr>
        <w:t xml:space="preserve"> </w:t>
      </w:r>
      <w:proofErr w:type="spellStart"/>
      <w:r w:rsidRPr="00823A57">
        <w:rPr>
          <w:rFonts w:asciiTheme="minorHAnsi" w:hAnsiTheme="minorHAnsi"/>
          <w:sz w:val="14"/>
          <w:szCs w:val="14"/>
          <w:lang w:val="en-US"/>
        </w:rPr>
        <w:t>menschenwürdiges</w:t>
      </w:r>
      <w:proofErr w:type="spellEnd"/>
      <w:r w:rsidRPr="00823A57">
        <w:rPr>
          <w:rFonts w:asciiTheme="minorHAnsi" w:hAnsiTheme="minorHAnsi"/>
          <w:sz w:val="14"/>
          <w:szCs w:val="14"/>
          <w:lang w:val="en-US"/>
        </w:rPr>
        <w:t xml:space="preserve"> </w:t>
      </w:r>
      <w:proofErr w:type="spellStart"/>
      <w:r w:rsidRPr="00823A57">
        <w:rPr>
          <w:rFonts w:asciiTheme="minorHAnsi" w:hAnsiTheme="minorHAnsi"/>
          <w:sz w:val="14"/>
          <w:szCs w:val="14"/>
          <w:lang w:val="en-US"/>
        </w:rPr>
        <w:t>Existenzminimum</w:t>
      </w:r>
      <w:proofErr w:type="spellEnd"/>
      <w:r w:rsidRPr="00823A57">
        <w:rPr>
          <w:rFonts w:asciiTheme="minorHAnsi" w:hAnsiTheme="minorHAnsi"/>
          <w:sz w:val="14"/>
          <w:szCs w:val="14"/>
          <w:lang w:val="en-US"/>
        </w:rPr>
        <w:t xml:space="preserve"> für </w:t>
      </w:r>
      <w:proofErr w:type="spellStart"/>
      <w:r w:rsidRPr="00823A57">
        <w:rPr>
          <w:rFonts w:asciiTheme="minorHAnsi" w:hAnsiTheme="minorHAnsi"/>
          <w:sz w:val="14"/>
          <w:szCs w:val="14"/>
          <w:lang w:val="en-US"/>
        </w:rPr>
        <w:t>Geflüchtete</w:t>
      </w:r>
      <w:proofErr w:type="spellEnd"/>
      <w:r w:rsidRPr="00823A57">
        <w:rPr>
          <w:rFonts w:asciiTheme="minorHAnsi" w:hAnsiTheme="minorHAnsi"/>
          <w:sz w:val="14"/>
          <w:szCs w:val="14"/>
          <w:lang w:val="en-US"/>
        </w:rPr>
        <w:t xml:space="preserve">” [“The asylum seekers benefit act – Restrictions of the fundamental right to a dignified subsistence level for refugees”], November 2022, </w:t>
      </w:r>
      <w:hyperlink r:id="rId115" w:history="1">
        <w:r w:rsidRPr="00823A57">
          <w:rPr>
            <w:rStyle w:val="Hyperlink"/>
            <w:rFonts w:asciiTheme="minorHAnsi" w:eastAsia="Amnesty Trade Gothic" w:hAnsiTheme="minorHAnsi" w:cs="Amnesty Trade Gothic"/>
            <w:sz w:val="14"/>
            <w:szCs w:val="14"/>
            <w:lang w:val="en-US"/>
          </w:rPr>
          <w:t>https://www.proasyl.de/wp-content/uploads/221108_PA_Stellungnahme_alles_1_236_last.pdf</w:t>
        </w:r>
      </w:hyperlink>
      <w:r w:rsidRPr="00823A57">
        <w:rPr>
          <w:rFonts w:asciiTheme="minorHAnsi" w:hAnsiTheme="minorHAnsi"/>
          <w:sz w:val="14"/>
          <w:szCs w:val="14"/>
          <w:lang w:val="en-US"/>
        </w:rPr>
        <w:t xml:space="preserve"> (in German); Amnesty International Germany, “Submission to the UN Universal Periodic Review, 16</w:t>
      </w:r>
      <w:r w:rsidRPr="00823A57">
        <w:rPr>
          <w:rFonts w:asciiTheme="minorHAnsi" w:hAnsiTheme="minorHAnsi"/>
          <w:sz w:val="14"/>
          <w:szCs w:val="14"/>
          <w:vertAlign w:val="superscript"/>
          <w:lang w:val="en-US"/>
        </w:rPr>
        <w:t>th</w:t>
      </w:r>
      <w:r w:rsidRPr="00823A57">
        <w:rPr>
          <w:rFonts w:asciiTheme="minorHAnsi" w:hAnsiTheme="minorHAnsi"/>
          <w:sz w:val="14"/>
          <w:szCs w:val="14"/>
          <w:lang w:val="en-US"/>
        </w:rPr>
        <w:t xml:space="preserve"> session of the UPR working group, May-June 2013”, August 2013, https://www.upr-info.org/sites/default/files/documents/2013-08/aiuprdeus162013amnestyinternationale.pdf.</w:t>
      </w:r>
    </w:p>
  </w:footnote>
  <w:footnote w:id="161">
    <w:p w14:paraId="64601BE7" w14:textId="77777777" w:rsidR="00070213" w:rsidRPr="00823A57" w:rsidRDefault="00070213" w:rsidP="00CD0A25">
      <w:pPr>
        <w:pStyle w:val="FootnoteText"/>
        <w:shd w:val="clear" w:color="auto" w:fill="FFFFFF"/>
        <w:spacing w:after="0"/>
        <w:rPr>
          <w:rFonts w:asciiTheme="minorHAnsi" w:hAnsiTheme="minorHAnsi" w:cs="Amnesty Trade Gothic"/>
          <w:sz w:val="14"/>
          <w:szCs w:val="14"/>
        </w:rPr>
      </w:pPr>
      <w:r w:rsidRPr="00823A57">
        <w:rPr>
          <w:rStyle w:val="FootnoteReference"/>
          <w:rFonts w:asciiTheme="minorHAnsi" w:eastAsia="Amnesty Trade Gothic" w:hAnsiTheme="minorHAnsi" w:cs="Amnesty Trade Gothic"/>
          <w:color w:val="auto"/>
          <w:sz w:val="14"/>
          <w:szCs w:val="14"/>
        </w:rPr>
        <w:footnoteRef/>
      </w:r>
      <w:r w:rsidRPr="00823A57">
        <w:rPr>
          <w:rFonts w:asciiTheme="minorHAnsi" w:eastAsia="Amnesty Trade Gothic" w:hAnsiTheme="minorHAnsi" w:cs="Amnesty Trade Gothic"/>
          <w:color w:val="5862F5"/>
          <w:sz w:val="14"/>
          <w:szCs w:val="14"/>
          <w:vertAlign w:val="superscript"/>
        </w:rPr>
        <w:t xml:space="preserve"> </w:t>
      </w:r>
      <w:r w:rsidRPr="00823A57">
        <w:rPr>
          <w:rFonts w:asciiTheme="minorHAnsi" w:eastAsia="Amnesty Trade Gothic" w:hAnsiTheme="minorHAnsi" w:cs="Amnesty Trade Gothic"/>
          <w:sz w:val="14"/>
          <w:szCs w:val="14"/>
        </w:rPr>
        <w:t xml:space="preserve">German Constitutional Court, Judgment of 18 July 2012, 1 </w:t>
      </w:r>
      <w:proofErr w:type="spellStart"/>
      <w:r w:rsidRPr="00823A57">
        <w:rPr>
          <w:rFonts w:asciiTheme="minorHAnsi" w:eastAsia="Amnesty Trade Gothic" w:hAnsiTheme="minorHAnsi" w:cs="Amnesty Trade Gothic"/>
          <w:sz w:val="14"/>
          <w:szCs w:val="14"/>
        </w:rPr>
        <w:t>BvL</w:t>
      </w:r>
      <w:proofErr w:type="spellEnd"/>
      <w:r w:rsidRPr="00823A57">
        <w:rPr>
          <w:rFonts w:asciiTheme="minorHAnsi" w:eastAsia="Amnesty Trade Gothic" w:hAnsiTheme="minorHAnsi" w:cs="Amnesty Trade Gothic"/>
          <w:sz w:val="14"/>
          <w:szCs w:val="14"/>
        </w:rPr>
        <w:t xml:space="preserve"> 10/10 and 1 </w:t>
      </w:r>
      <w:proofErr w:type="spellStart"/>
      <w:r w:rsidRPr="00823A57">
        <w:rPr>
          <w:rFonts w:asciiTheme="minorHAnsi" w:eastAsia="Amnesty Trade Gothic" w:hAnsiTheme="minorHAnsi" w:cs="Amnesty Trade Gothic"/>
          <w:sz w:val="14"/>
          <w:szCs w:val="14"/>
        </w:rPr>
        <w:t>BvL</w:t>
      </w:r>
      <w:proofErr w:type="spellEnd"/>
      <w:r w:rsidRPr="00823A57">
        <w:rPr>
          <w:rFonts w:asciiTheme="minorHAnsi" w:eastAsia="Amnesty Trade Gothic" w:hAnsiTheme="minorHAnsi" w:cs="Amnesty Trade Gothic"/>
          <w:sz w:val="14"/>
          <w:szCs w:val="14"/>
        </w:rPr>
        <w:t xml:space="preserve"> 2/11, </w:t>
      </w:r>
      <w:hyperlink r:id="rId116" w:tooltip="https://www.bundesverfassungsgericht.de/SharedDocs/Entscheidungen/DE/2012/07/ls20120718_1bvl001010.html." w:history="1">
        <w:r w:rsidRPr="00823A57">
          <w:rPr>
            <w:rStyle w:val="Hyperlink"/>
            <w:rFonts w:asciiTheme="minorHAnsi" w:eastAsia="Amnesty Trade Gothic" w:hAnsiTheme="minorHAnsi" w:cs="Amnesty Trade Gothic"/>
            <w:sz w:val="14"/>
            <w:szCs w:val="14"/>
          </w:rPr>
          <w:t>https://www.bundesverfassungsgericht.de/SharedDocs/Entscheidungen/DE/2012/07/ls20120718_1bvl001010.html.</w:t>
        </w:r>
      </w:hyperlink>
      <w:r w:rsidRPr="00823A57">
        <w:rPr>
          <w:rFonts w:asciiTheme="minorHAnsi" w:eastAsia="Amnesty Trade Gothic" w:hAnsiTheme="minorHAnsi" w:cs="Amnesty Trade Gothic"/>
          <w:sz w:val="14"/>
          <w:szCs w:val="14"/>
        </w:rPr>
        <w:t xml:space="preserve"> </w:t>
      </w:r>
    </w:p>
  </w:footnote>
  <w:footnote w:id="162">
    <w:p w14:paraId="561B4C87"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lang w:val="de-DE"/>
        </w:rPr>
        <w:t xml:space="preserve"> Amnesty International Germany, “Das Asylbewerberleistungsgesetz muss abgeschafft werden!“ </w:t>
      </w:r>
      <w:r w:rsidRPr="00823A57">
        <w:rPr>
          <w:rFonts w:asciiTheme="minorHAnsi" w:hAnsiTheme="minorHAnsi"/>
          <w:sz w:val="14"/>
          <w:szCs w:val="14"/>
        </w:rPr>
        <w:t>[</w:t>
      </w:r>
      <w:r w:rsidRPr="00823A57">
        <w:rPr>
          <w:rFonts w:asciiTheme="minorHAnsi" w:hAnsiTheme="minorHAnsi"/>
          <w:sz w:val="14"/>
          <w:szCs w:val="14"/>
          <w:lang w:val="en-US"/>
        </w:rPr>
        <w:t>“</w:t>
      </w:r>
      <w:r w:rsidRPr="00823A57">
        <w:rPr>
          <w:rFonts w:asciiTheme="minorHAnsi" w:hAnsiTheme="minorHAnsi"/>
          <w:sz w:val="14"/>
          <w:szCs w:val="14"/>
        </w:rPr>
        <w:t xml:space="preserve">The asylum seeker benefit act has to be abolished!”], 03 January 2023, </w:t>
      </w:r>
      <w:hyperlink r:id="rId117" w:tooltip="https://www.amnesty.de/informieren/aktuell/deutschland-asylbewerberleistungsgesetz-abschaffen" w:history="1">
        <w:r w:rsidRPr="00823A57">
          <w:rPr>
            <w:rStyle w:val="Hyperlink"/>
            <w:rFonts w:asciiTheme="minorHAnsi" w:eastAsia="Amnesty Trade Gothic" w:hAnsiTheme="minorHAnsi" w:cs="Amnesty Trade Gothic"/>
            <w:sz w:val="14"/>
            <w:szCs w:val="14"/>
          </w:rPr>
          <w:t>https://www.amnesty.de/informieren/aktuell/deutschland-asylbewerberleistungsgesetz-abschaffen</w:t>
        </w:r>
      </w:hyperlink>
      <w:r w:rsidRPr="00823A57">
        <w:rPr>
          <w:rFonts w:asciiTheme="minorHAnsi" w:hAnsiTheme="minorHAnsi"/>
          <w:sz w:val="14"/>
          <w:szCs w:val="14"/>
        </w:rPr>
        <w:t xml:space="preserve"> (in German).</w:t>
      </w:r>
    </w:p>
  </w:footnote>
  <w:footnote w:id="163">
    <w:p w14:paraId="7053A830"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eastAsia="Amnesty Trade Gothic" w:hAnsiTheme="minorHAnsi" w:cs="Amnesty Trade Gothic"/>
          <w:sz w:val="14"/>
          <w:szCs w:val="14"/>
        </w:rPr>
        <w:footnoteRef/>
      </w:r>
      <w:r w:rsidRPr="00823A57">
        <w:rPr>
          <w:rStyle w:val="FootnoteReference"/>
          <w:rFonts w:asciiTheme="minorHAnsi" w:eastAsia="Amnesty Trade Gothic" w:hAnsiTheme="minorHAnsi" w:cs="Amnesty Trade Gothic"/>
          <w:sz w:val="14"/>
          <w:szCs w:val="14"/>
        </w:rPr>
        <w:t xml:space="preserve"> </w:t>
      </w:r>
      <w:r w:rsidRPr="00823A57">
        <w:rPr>
          <w:rFonts w:asciiTheme="minorHAnsi" w:hAnsiTheme="minorHAnsi"/>
          <w:sz w:val="14"/>
          <w:szCs w:val="14"/>
        </w:rPr>
        <w:t xml:space="preserve">German Constitutional Court, </w:t>
      </w:r>
      <w:r w:rsidRPr="00823A57">
        <w:rPr>
          <w:rFonts w:asciiTheme="minorHAnsi" w:hAnsiTheme="minorHAnsi"/>
          <w:color w:val="000000"/>
          <w:sz w:val="14"/>
          <w:szCs w:val="14"/>
        </w:rPr>
        <w:t xml:space="preserve">Judgment of 19 October 2022, 1 </w:t>
      </w:r>
      <w:proofErr w:type="spellStart"/>
      <w:r w:rsidRPr="00823A57">
        <w:rPr>
          <w:rFonts w:asciiTheme="minorHAnsi" w:hAnsiTheme="minorHAnsi"/>
          <w:color w:val="000000"/>
          <w:sz w:val="14"/>
          <w:szCs w:val="14"/>
        </w:rPr>
        <w:t>BvL</w:t>
      </w:r>
      <w:proofErr w:type="spellEnd"/>
      <w:r w:rsidRPr="00823A57">
        <w:rPr>
          <w:rFonts w:asciiTheme="minorHAnsi" w:hAnsiTheme="minorHAnsi"/>
          <w:color w:val="000000"/>
          <w:sz w:val="14"/>
          <w:szCs w:val="14"/>
        </w:rPr>
        <w:t xml:space="preserve"> 3/21, </w:t>
      </w:r>
      <w:hyperlink r:id="rId118" w:tooltip="https://www.bverfg.de/e/ls20221019_1bvl000321.html" w:history="1">
        <w:r w:rsidRPr="00823A57">
          <w:rPr>
            <w:rStyle w:val="Hyperlink"/>
            <w:rFonts w:asciiTheme="minorHAnsi" w:eastAsia="Amnesty Trade Gothic" w:hAnsiTheme="minorHAnsi" w:cs="Amnesty Trade Gothic"/>
            <w:color w:val="0066CC"/>
            <w:sz w:val="14"/>
            <w:szCs w:val="14"/>
          </w:rPr>
          <w:t>https://www.bverfg.de/e/ls20221019_1bvl000321.html</w:t>
        </w:r>
      </w:hyperlink>
    </w:p>
  </w:footnote>
  <w:footnote w:id="164">
    <w:p w14:paraId="3BD74D27"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Fonts w:asciiTheme="minorHAnsi" w:hAnsiTheme="minorHAnsi"/>
          <w:color w:val="auto"/>
          <w:sz w:val="14"/>
          <w:szCs w:val="14"/>
          <w:vertAlign w:val="superscript"/>
        </w:rPr>
        <w:footnoteRef/>
      </w:r>
      <w:r w:rsidRPr="00823A57">
        <w:rPr>
          <w:rFonts w:asciiTheme="minorHAnsi" w:hAnsiTheme="minorHAnsi"/>
          <w:sz w:val="14"/>
          <w:szCs w:val="14"/>
          <w:lang w:val="en-US"/>
        </w:rPr>
        <w:t xml:space="preserve"> Germany, Federal Constitutional Court, “A general ban on headscarves for teachers at state schools is not compatible with the Constitution“, Press Release No. 14/2015 of13 March 2015, </w:t>
      </w:r>
      <w:hyperlink r:id="rId119" w:tooltip="https://www.bundesverfassungsgericht.de/SharedDocs/Pressemitteilungen/DE/2015/bvg15-014.html" w:history="1">
        <w:r w:rsidRPr="00823A57">
          <w:rPr>
            <w:rStyle w:val="Hyperlink"/>
            <w:rFonts w:asciiTheme="minorHAnsi" w:eastAsia="Amnesty Trade Gothic" w:hAnsiTheme="minorHAnsi" w:cs="Amnesty Trade Gothic"/>
            <w:color w:val="0563C1"/>
            <w:sz w:val="14"/>
            <w:szCs w:val="14"/>
            <w:lang w:val="en-US"/>
          </w:rPr>
          <w:t>https://www.bundesverfassungsgericht.de/SharedDocs/Pressemitteilungen/DE/2015/bvg15-014.html</w:t>
        </w:r>
      </w:hyperlink>
      <w:r w:rsidRPr="00823A57">
        <w:rPr>
          <w:rFonts w:asciiTheme="minorHAnsi" w:hAnsiTheme="minorHAnsi"/>
          <w:sz w:val="14"/>
          <w:szCs w:val="14"/>
          <w:lang w:val="en-US"/>
        </w:rPr>
        <w:t xml:space="preserve">. </w:t>
      </w:r>
      <w:r w:rsidRPr="00823A57">
        <w:rPr>
          <w:rFonts w:asciiTheme="minorHAnsi" w:hAnsiTheme="minorHAnsi"/>
          <w:sz w:val="14"/>
          <w:szCs w:val="14"/>
        </w:rPr>
        <w:t>The Court, deciding on a case in North Rhine Westphalia held that only in case of a “concrete danger” (“concrete disturbance of school peace”), a prohibition of religious clothing during office hours was justified but not already when there was an assumption of an “abstract danger” (due to a general assessment of the situation in schools).</w:t>
      </w:r>
    </w:p>
  </w:footnote>
  <w:footnote w:id="165">
    <w:p w14:paraId="4DB7A83C" w14:textId="77777777" w:rsidR="00070213" w:rsidRPr="00823A57" w:rsidRDefault="00070213" w:rsidP="00CD0A25">
      <w:pPr>
        <w:pStyle w:val="FootnoteText"/>
        <w:shd w:val="clear" w:color="auto" w:fill="FFFFFF"/>
        <w:spacing w:after="0"/>
        <w:rPr>
          <w:rFonts w:asciiTheme="minorHAnsi" w:hAnsiTheme="minorHAnsi" w:cs="Amnesty Trade Gothic"/>
          <w:sz w:val="14"/>
          <w:szCs w:val="14"/>
        </w:rPr>
      </w:pPr>
      <w:r w:rsidRPr="00823A57">
        <w:rPr>
          <w:rStyle w:val="FootnoteReference"/>
          <w:rFonts w:asciiTheme="minorHAnsi" w:eastAsia="Amnesty Trade Gothic" w:hAnsiTheme="minorHAnsi" w:cs="Amnesty Trade Gothic"/>
          <w:sz w:val="14"/>
          <w:szCs w:val="14"/>
        </w:rPr>
        <w:footnoteRef/>
      </w:r>
      <w:r w:rsidRPr="00823A57">
        <w:rPr>
          <w:rFonts w:asciiTheme="minorHAnsi" w:eastAsia="Amnesty Trade Gothic" w:hAnsiTheme="minorHAnsi" w:cs="Amnesty Trade Gothic"/>
          <w:sz w:val="14"/>
          <w:szCs w:val="14"/>
        </w:rPr>
        <w:t xml:space="preserve"> See Amnesty International, Regional Overview of Islamophobia (Index: EUR 01/5659/2022), 1 June 2022, </w:t>
      </w:r>
      <w:hyperlink r:id="rId120" w:tooltip="https://www.amnesty.eu/wp-content/uploads/2022/09/PACE-submission-Islamophobia-1-June-2022.pdf" w:history="1">
        <w:r w:rsidRPr="00823A57">
          <w:rPr>
            <w:rStyle w:val="Hyperlink"/>
            <w:rFonts w:asciiTheme="minorHAnsi" w:eastAsia="Amnesty Trade Gothic" w:hAnsiTheme="minorHAnsi" w:cs="Amnesty Trade Gothic"/>
            <w:sz w:val="14"/>
            <w:szCs w:val="14"/>
          </w:rPr>
          <w:t>https://www.amnesty.eu/wp-content/uploads/2022/09/PACE-submission-Islamophobia-1-June-2022.pdf</w:t>
        </w:r>
      </w:hyperlink>
      <w:r w:rsidRPr="00823A57">
        <w:rPr>
          <w:rFonts w:asciiTheme="minorHAnsi" w:eastAsia="Amnesty Trade Gothic" w:hAnsiTheme="minorHAnsi" w:cs="Amnesty Trade Gothic"/>
          <w:sz w:val="14"/>
          <w:szCs w:val="14"/>
        </w:rPr>
        <w:t>, p. 23-24.</w:t>
      </w:r>
    </w:p>
  </w:footnote>
  <w:footnote w:id="166">
    <w:p w14:paraId="44A49E71" w14:textId="49BD815D" w:rsidR="00BE4363" w:rsidRPr="00823A57" w:rsidRDefault="00BE4363" w:rsidP="00CD0A25">
      <w:pPr>
        <w:pStyle w:val="FootnoteText"/>
        <w:shd w:val="clear" w:color="auto" w:fill="FFFFFF"/>
        <w:spacing w:after="0"/>
        <w:rPr>
          <w:rFonts w:asciiTheme="minorHAnsi" w:hAnsiTheme="minorHAnsi"/>
          <w:sz w:val="14"/>
          <w:szCs w:val="14"/>
        </w:rPr>
      </w:pPr>
      <w:r w:rsidRPr="00823A57">
        <w:rPr>
          <w:rStyle w:val="FootnoteReference"/>
          <w:rFonts w:asciiTheme="minorHAnsi" w:hAnsiTheme="minorHAnsi"/>
          <w:sz w:val="14"/>
          <w:szCs w:val="14"/>
        </w:rPr>
        <w:footnoteRef/>
      </w:r>
      <w:r w:rsidRPr="00823A57">
        <w:rPr>
          <w:rFonts w:asciiTheme="minorHAnsi" w:hAnsiTheme="minorHAnsi"/>
          <w:sz w:val="14"/>
          <w:szCs w:val="14"/>
        </w:rPr>
        <w:t xml:space="preserve"> Ibid.</w:t>
      </w:r>
    </w:p>
  </w:footnote>
  <w:footnote w:id="167">
    <w:p w14:paraId="19BDE230" w14:textId="77777777" w:rsidR="00070213" w:rsidRPr="00823A57" w:rsidRDefault="00070213" w:rsidP="00CD0A25">
      <w:pPr>
        <w:pStyle w:val="FootnoteText"/>
        <w:shd w:val="clear" w:color="auto" w:fill="FFFFFF"/>
        <w:spacing w:after="0"/>
        <w:rPr>
          <w:rFonts w:asciiTheme="minorHAnsi" w:hAnsiTheme="minorHAnsi" w:cs="Amnesty Trade Gothic"/>
          <w:sz w:val="14"/>
          <w:szCs w:val="14"/>
        </w:rPr>
      </w:pPr>
      <w:r w:rsidRPr="00823A57">
        <w:rPr>
          <w:rFonts w:asciiTheme="minorHAnsi" w:eastAsia="Amnesty Trade Gothic" w:hAnsiTheme="minorHAnsi" w:cs="Amnesty Trade Gothic"/>
          <w:color w:val="auto"/>
          <w:sz w:val="14"/>
          <w:szCs w:val="14"/>
          <w:vertAlign w:val="superscript"/>
        </w:rPr>
        <w:footnoteRef/>
      </w:r>
      <w:r w:rsidRPr="00823A57">
        <w:rPr>
          <w:rFonts w:asciiTheme="minorHAnsi" w:eastAsia="Amnesty Trade Gothic" w:hAnsiTheme="minorHAnsi" w:cs="Amnesty Trade Gothic"/>
          <w:sz w:val="14"/>
          <w:szCs w:val="14"/>
        </w:rPr>
        <w:t xml:space="preserve"> </w:t>
      </w:r>
      <w:r w:rsidRPr="00823A57">
        <w:rPr>
          <w:rFonts w:asciiTheme="minorHAnsi" w:eastAsia="Amnesty Trade Gothic" w:hAnsiTheme="minorHAnsi" w:cs="Amnesty Trade Gothic"/>
          <w:color w:val="000000"/>
          <w:sz w:val="14"/>
          <w:szCs w:val="14"/>
        </w:rPr>
        <w:t>Federal Anti-Discrimination Agency, “</w:t>
      </w:r>
      <w:proofErr w:type="spellStart"/>
      <w:r w:rsidRPr="00823A57">
        <w:rPr>
          <w:rFonts w:asciiTheme="minorHAnsi" w:eastAsia="Amnesty Trade Gothic" w:hAnsiTheme="minorHAnsi" w:cs="Amnesty Trade Gothic"/>
          <w:color w:val="000000"/>
          <w:sz w:val="14"/>
          <w:szCs w:val="14"/>
        </w:rPr>
        <w:t>Kopftuch</w:t>
      </w:r>
      <w:proofErr w:type="spellEnd"/>
      <w:r w:rsidRPr="00823A57">
        <w:rPr>
          <w:rFonts w:asciiTheme="minorHAnsi" w:eastAsia="Amnesty Trade Gothic" w:hAnsiTheme="minorHAnsi" w:cs="Amnesty Trade Gothic"/>
          <w:color w:val="000000"/>
          <w:sz w:val="14"/>
          <w:szCs w:val="14"/>
        </w:rPr>
        <w:t xml:space="preserve"> am </w:t>
      </w:r>
      <w:proofErr w:type="spellStart"/>
      <w:r w:rsidRPr="00823A57">
        <w:rPr>
          <w:rFonts w:asciiTheme="minorHAnsi" w:eastAsia="Amnesty Trade Gothic" w:hAnsiTheme="minorHAnsi" w:cs="Amnesty Trade Gothic"/>
          <w:color w:val="000000"/>
          <w:sz w:val="14"/>
          <w:szCs w:val="14"/>
        </w:rPr>
        <w:t>Arbeitsplatz</w:t>
      </w:r>
      <w:proofErr w:type="spellEnd"/>
      <w:r w:rsidRPr="00823A57">
        <w:rPr>
          <w:rFonts w:asciiTheme="minorHAnsi" w:eastAsia="Amnesty Trade Gothic" w:hAnsiTheme="minorHAnsi" w:cs="Amnesty Trade Gothic"/>
          <w:color w:val="000000"/>
          <w:sz w:val="14"/>
          <w:szCs w:val="14"/>
        </w:rPr>
        <w:t xml:space="preserve">” [“Headscarf in the workplace“], 2021, </w:t>
      </w:r>
      <w:hyperlink r:id="rId121" w:tooltip="https://www.antidiskriminierungsstelle.de/DE/ueber-diskriminierung/lebensbereiche/arbeitsleben/kopftuch-am-arbeitsplatz/kopftuch-am-arbeitsplatz-node.html" w:history="1">
        <w:r w:rsidRPr="00823A57">
          <w:rPr>
            <w:rStyle w:val="Hyperlink"/>
            <w:rFonts w:asciiTheme="minorHAnsi" w:eastAsia="Amnesty Trade Gothic" w:hAnsiTheme="minorHAnsi" w:cs="Amnesty Trade Gothic"/>
            <w:color w:val="0563C1"/>
            <w:sz w:val="14"/>
            <w:szCs w:val="14"/>
          </w:rPr>
          <w:t>https://www.antidiskriminierungsstelle.de/DE/ueber-diskriminierung/lebensbereiche/arbeitsleben/kopftuch-am-arbeitsplatz/kopftuch-am-arbeitsplatz-node.html</w:t>
        </w:r>
      </w:hyperlink>
      <w:r w:rsidRPr="00823A57">
        <w:rPr>
          <w:rFonts w:asciiTheme="minorHAnsi" w:eastAsia="Amnesty Trade Gothic" w:hAnsiTheme="minorHAnsi" w:cs="Amnesty Trade Gothic"/>
          <w:color w:val="000000"/>
          <w:sz w:val="14"/>
          <w:szCs w:val="14"/>
        </w:rPr>
        <w:t xml:space="preserve"> (in German) (accessed on 15 September 2023): In Berlin, Bremen and Hesse the respective neutrality laws continue to apply. Further in Bavaria, Baden-Württemberg, </w:t>
      </w:r>
      <w:proofErr w:type="gramStart"/>
      <w:r w:rsidRPr="00823A57">
        <w:rPr>
          <w:rFonts w:asciiTheme="minorHAnsi" w:eastAsia="Amnesty Trade Gothic" w:hAnsiTheme="minorHAnsi" w:cs="Amnesty Trade Gothic"/>
          <w:color w:val="000000"/>
          <w:sz w:val="14"/>
          <w:szCs w:val="14"/>
        </w:rPr>
        <w:t>Hesse</w:t>
      </w:r>
      <w:proofErr w:type="gramEnd"/>
      <w:r w:rsidRPr="00823A57">
        <w:rPr>
          <w:rFonts w:asciiTheme="minorHAnsi" w:eastAsia="Amnesty Trade Gothic" w:hAnsiTheme="minorHAnsi" w:cs="Amnesty Trade Gothic"/>
          <w:color w:val="000000"/>
          <w:sz w:val="14"/>
          <w:szCs w:val="14"/>
        </w:rPr>
        <w:t xml:space="preserve"> and Saarland the privilege for Christian Western values continues as well.</w:t>
      </w:r>
    </w:p>
  </w:footnote>
  <w:footnote w:id="168">
    <w:p w14:paraId="249AFD7E" w14:textId="77777777" w:rsidR="00070213" w:rsidRPr="00823A57" w:rsidRDefault="00070213" w:rsidP="00CD0A25">
      <w:pPr>
        <w:pStyle w:val="FootnoteText"/>
        <w:shd w:val="clear" w:color="auto" w:fill="FFFFFF"/>
        <w:spacing w:after="0"/>
        <w:rPr>
          <w:rFonts w:asciiTheme="minorHAnsi" w:eastAsia="Amnesty Trade Gothic" w:hAnsiTheme="minorHAnsi" w:cs="Amnesty Trade Gothic"/>
          <w:sz w:val="14"/>
          <w:szCs w:val="14"/>
        </w:rPr>
      </w:pPr>
      <w:r w:rsidRPr="00823A57">
        <w:rPr>
          <w:rStyle w:val="FootnoteReference"/>
          <w:rFonts w:asciiTheme="minorHAnsi" w:eastAsia="Amnesty Trade Gothic" w:hAnsiTheme="minorHAnsi" w:cs="Amnesty Trade Gothic"/>
          <w:sz w:val="14"/>
          <w:szCs w:val="14"/>
        </w:rPr>
        <w:footnoteRef/>
      </w:r>
      <w:r w:rsidRPr="00823A57">
        <w:rPr>
          <w:rFonts w:asciiTheme="minorHAnsi" w:eastAsia="Amnesty Trade Gothic" w:hAnsiTheme="minorHAnsi" w:cs="Amnesty Trade Gothic"/>
          <w:color w:val="2B579A"/>
          <w:sz w:val="14"/>
          <w:szCs w:val="14"/>
          <w:shd w:val="clear" w:color="auto" w:fill="FFFFFF" w:themeFill="background1"/>
        </w:rPr>
        <w:t xml:space="preserve"> </w:t>
      </w:r>
      <w:r w:rsidRPr="00823A57">
        <w:rPr>
          <w:rFonts w:asciiTheme="minorHAnsi" w:eastAsia="Amnesty Trade Gothic" w:hAnsiTheme="minorHAnsi" w:cs="Amnesty Trade Gothic"/>
          <w:sz w:val="14"/>
          <w:szCs w:val="14"/>
          <w:shd w:val="clear" w:color="auto" w:fill="FFFFFF" w:themeFill="background1"/>
        </w:rPr>
        <w:t>S</w:t>
      </w:r>
      <w:r w:rsidRPr="00823A57">
        <w:rPr>
          <w:rFonts w:asciiTheme="minorHAnsi" w:eastAsia="Amnesty Trade Gothic" w:hAnsiTheme="minorHAnsi" w:cs="Amnesty Trade Gothic"/>
          <w:sz w:val="14"/>
          <w:szCs w:val="14"/>
        </w:rPr>
        <w:t xml:space="preserve">ee e.g. comments by members of the Bavarian Parliament at the session of Wednesday, Plenary Minutes of the Bavarian Parliament, 17 March 2004, </w:t>
      </w:r>
      <w:hyperlink r:id="rId122" w:history="1">
        <w:r w:rsidRPr="00823A57">
          <w:rPr>
            <w:rStyle w:val="Hyperlink"/>
            <w:rFonts w:asciiTheme="minorHAnsi" w:eastAsia="Amnesty Trade Gothic" w:hAnsiTheme="minorHAnsi" w:cs="Amnesty Trade Gothic"/>
            <w:sz w:val="14"/>
            <w:szCs w:val="14"/>
          </w:rPr>
          <w:t>https://www.bayern.landtag.de/www/ElanTextAblage_WP15/Protokolle/15%20Wahlperiode%20Kopie/15%20WP%20Plenum%20Kopie/013%20PL%20170304%20ges%20endg%20Kopie.pdf</w:t>
        </w:r>
      </w:hyperlink>
      <w:r w:rsidRPr="00823A57">
        <w:rPr>
          <w:rFonts w:asciiTheme="minorHAnsi" w:eastAsia="Amnesty Trade Gothic" w:hAnsiTheme="minorHAnsi" w:cs="Amnesty Trade Gothic"/>
          <w:sz w:val="14"/>
          <w:szCs w:val="14"/>
        </w:rPr>
        <w:t xml:space="preserve"> (in German).</w:t>
      </w:r>
    </w:p>
  </w:footnote>
  <w:footnote w:id="169">
    <w:p w14:paraId="68FB8B22" w14:textId="77777777" w:rsidR="00070213" w:rsidRPr="00823A57" w:rsidRDefault="00070213" w:rsidP="00CD0A25">
      <w:pPr>
        <w:pStyle w:val="FootnoteText"/>
        <w:shd w:val="clear" w:color="auto" w:fill="FFFFFF"/>
        <w:spacing w:after="0"/>
        <w:rPr>
          <w:rFonts w:asciiTheme="minorHAnsi" w:hAnsiTheme="minorHAnsi"/>
          <w:sz w:val="14"/>
          <w:szCs w:val="14"/>
          <w:lang w:val="de-DE"/>
        </w:rPr>
      </w:pPr>
      <w:r w:rsidRPr="00823A57">
        <w:rPr>
          <w:rFonts w:asciiTheme="minorHAnsi" w:hAnsiTheme="minorHAnsi"/>
          <w:color w:val="auto"/>
          <w:sz w:val="14"/>
          <w:szCs w:val="14"/>
          <w:vertAlign w:val="superscript"/>
        </w:rPr>
        <w:footnoteRef/>
      </w:r>
      <w:r w:rsidRPr="00823A57">
        <w:rPr>
          <w:rFonts w:asciiTheme="minorHAnsi" w:hAnsiTheme="minorHAnsi"/>
          <w:sz w:val="14"/>
          <w:szCs w:val="14"/>
          <w:lang w:val="de-DE"/>
        </w:rPr>
        <w:t xml:space="preserve"> Ibid.</w:t>
      </w:r>
    </w:p>
  </w:footnote>
  <w:footnote w:id="170">
    <w:p w14:paraId="151598AE" w14:textId="77777777" w:rsidR="00070213" w:rsidRPr="00823A57" w:rsidRDefault="00070213" w:rsidP="00CD0A25">
      <w:pPr>
        <w:pStyle w:val="FootnoteText"/>
        <w:shd w:val="clear" w:color="auto" w:fill="FFFFFF"/>
        <w:spacing w:after="0"/>
        <w:rPr>
          <w:rFonts w:asciiTheme="minorHAnsi" w:hAnsiTheme="minorHAnsi" w:cs="Amnesty Trade Gothic"/>
          <w:sz w:val="14"/>
          <w:szCs w:val="14"/>
        </w:rPr>
      </w:pPr>
      <w:r w:rsidRPr="00823A57">
        <w:rPr>
          <w:rFonts w:asciiTheme="minorHAnsi" w:eastAsia="Amnesty Trade Gothic" w:hAnsiTheme="minorHAnsi" w:cs="Amnesty Trade Gothic"/>
          <w:color w:val="auto"/>
          <w:sz w:val="14"/>
          <w:szCs w:val="14"/>
          <w:vertAlign w:val="superscript"/>
        </w:rPr>
        <w:footnoteRef/>
      </w:r>
      <w:r w:rsidRPr="00823A57">
        <w:rPr>
          <w:rFonts w:asciiTheme="minorHAnsi" w:eastAsia="Amnesty Trade Gothic" w:hAnsiTheme="minorHAnsi" w:cs="Amnesty Trade Gothic"/>
          <w:sz w:val="14"/>
          <w:szCs w:val="14"/>
          <w:lang w:val="de-DE"/>
        </w:rPr>
        <w:t xml:space="preserve"> Germany,</w:t>
      </w:r>
      <w:r w:rsidRPr="00823A57">
        <w:rPr>
          <w:rFonts w:asciiTheme="minorHAnsi" w:eastAsia="Amnesty Trade Gothic" w:hAnsiTheme="minorHAnsi" w:cs="Amnesty Trade Gothic"/>
          <w:color w:val="000000"/>
          <w:sz w:val="14"/>
          <w:szCs w:val="14"/>
          <w:lang w:val="de-DE"/>
        </w:rPr>
        <w:t xml:space="preserve"> Hessen Civil </w:t>
      </w:r>
      <w:proofErr w:type="spellStart"/>
      <w:r w:rsidRPr="00823A57">
        <w:rPr>
          <w:rFonts w:asciiTheme="minorHAnsi" w:eastAsia="Amnesty Trade Gothic" w:hAnsiTheme="minorHAnsi" w:cs="Amnesty Trade Gothic"/>
          <w:color w:val="000000"/>
          <w:sz w:val="14"/>
          <w:szCs w:val="14"/>
          <w:lang w:val="de-DE"/>
        </w:rPr>
        <w:t>Servants</w:t>
      </w:r>
      <w:proofErr w:type="spellEnd"/>
      <w:r w:rsidRPr="00823A57">
        <w:rPr>
          <w:rFonts w:asciiTheme="minorHAnsi" w:eastAsia="Amnesty Trade Gothic" w:hAnsiTheme="minorHAnsi" w:cs="Amnesty Trade Gothic"/>
          <w:color w:val="000000"/>
          <w:sz w:val="14"/>
          <w:szCs w:val="14"/>
          <w:lang w:val="de-DE"/>
        </w:rPr>
        <w:t xml:space="preserve"> Law, Hessisches Beamtengesetz (HBG), </w:t>
      </w:r>
      <w:r w:rsidRPr="00823A57">
        <w:rPr>
          <w:rFonts w:asciiTheme="minorHAnsi" w:eastAsia="Amnesty Trade Gothic" w:hAnsiTheme="minorHAnsi" w:cs="Amnesty Trade Gothic"/>
          <w:sz w:val="14"/>
          <w:szCs w:val="14"/>
          <w:lang w:val="de-DE"/>
        </w:rPr>
        <w:t xml:space="preserve">2014 - 2021, </w:t>
      </w:r>
      <w:hyperlink r:id="rId123" w:tooltip="https://www.rv.hessenrecht.hessen.de/bshe/document/jlr-BGHE2013pP45" w:history="1">
        <w:r w:rsidRPr="00823A57">
          <w:rPr>
            <w:rStyle w:val="Hyperlink"/>
            <w:rFonts w:asciiTheme="minorHAnsi" w:eastAsia="Amnesty Trade Gothic" w:hAnsiTheme="minorHAnsi" w:cs="Amnesty Trade Gothic"/>
            <w:sz w:val="14"/>
            <w:szCs w:val="14"/>
            <w:lang w:val="de-DE"/>
          </w:rPr>
          <w:t>https://www.rv.hessenrecht.hessen.de/bshe/document/jlr-BGHE2013pP45</w:t>
        </w:r>
      </w:hyperlink>
      <w:r w:rsidRPr="00823A57">
        <w:rPr>
          <w:rFonts w:asciiTheme="minorHAnsi" w:eastAsia="Amnesty Trade Gothic" w:hAnsiTheme="minorHAnsi" w:cs="Amnesty Trade Gothic"/>
          <w:sz w:val="14"/>
          <w:szCs w:val="14"/>
          <w:lang w:val="de-DE"/>
        </w:rPr>
        <w:t xml:space="preserve"> (in German), </w:t>
      </w:r>
      <w:proofErr w:type="spellStart"/>
      <w:r w:rsidRPr="00823A57">
        <w:rPr>
          <w:rFonts w:asciiTheme="minorHAnsi" w:eastAsia="Amnesty Trade Gothic" w:hAnsiTheme="minorHAnsi" w:cs="Amnesty Trade Gothic"/>
          <w:color w:val="000000"/>
          <w:sz w:val="14"/>
          <w:szCs w:val="14"/>
          <w:lang w:val="de-DE"/>
        </w:rPr>
        <w:t>para</w:t>
      </w:r>
      <w:proofErr w:type="spellEnd"/>
      <w:r w:rsidRPr="00823A57">
        <w:rPr>
          <w:rFonts w:asciiTheme="minorHAnsi" w:eastAsia="Amnesty Trade Gothic" w:hAnsiTheme="minorHAnsi" w:cs="Amnesty Trade Gothic"/>
          <w:color w:val="000000"/>
          <w:sz w:val="14"/>
          <w:szCs w:val="14"/>
          <w:lang w:val="de-DE"/>
        </w:rPr>
        <w:t xml:space="preserve"> 45. </w:t>
      </w:r>
      <w:r w:rsidRPr="00823A57">
        <w:rPr>
          <w:rFonts w:asciiTheme="minorHAnsi" w:eastAsia="Amnesty Trade Gothic" w:hAnsiTheme="minorHAnsi" w:cs="Amnesty Trade Gothic"/>
          <w:color w:val="000000"/>
          <w:sz w:val="14"/>
          <w:szCs w:val="14"/>
        </w:rPr>
        <w:t xml:space="preserve">In a case in Hessen, the Administrative Court of Kassel rejected the complaint of a Muslim trainee after she was forbidden from wearing a headscarf in certain activities during the traineeship (decision of May 23, 2017, reference number: 1 B 1056/17). </w:t>
      </w:r>
    </w:p>
  </w:footnote>
  <w:footnote w:id="171">
    <w:p w14:paraId="788F1251" w14:textId="77777777" w:rsidR="00070213" w:rsidRPr="00823A57" w:rsidRDefault="00070213" w:rsidP="00CD0A25">
      <w:pPr>
        <w:pStyle w:val="FootnoteText"/>
        <w:shd w:val="clear" w:color="auto" w:fill="FFFFFF"/>
        <w:spacing w:after="0"/>
        <w:rPr>
          <w:rFonts w:asciiTheme="minorHAnsi" w:hAnsiTheme="minorHAnsi" w:cs="Amnesty Trade Gothic"/>
          <w:sz w:val="14"/>
          <w:szCs w:val="14"/>
        </w:rPr>
      </w:pPr>
      <w:r w:rsidRPr="00823A57">
        <w:rPr>
          <w:rFonts w:asciiTheme="minorHAnsi" w:eastAsia="Amnesty Trade Gothic" w:hAnsiTheme="minorHAnsi" w:cs="Amnesty Trade Gothic"/>
          <w:color w:val="auto"/>
          <w:sz w:val="14"/>
          <w:szCs w:val="14"/>
          <w:vertAlign w:val="superscript"/>
        </w:rPr>
        <w:footnoteRef/>
      </w:r>
      <w:r w:rsidRPr="00823A57">
        <w:rPr>
          <w:rFonts w:asciiTheme="minorHAnsi" w:eastAsia="Amnesty Trade Gothic" w:hAnsiTheme="minorHAnsi" w:cs="Amnesty Trade Gothic"/>
          <w:sz w:val="14"/>
          <w:szCs w:val="14"/>
        </w:rPr>
        <w:t xml:space="preserve"> </w:t>
      </w:r>
      <w:r w:rsidRPr="00823A57">
        <w:rPr>
          <w:rFonts w:asciiTheme="minorHAnsi" w:eastAsia="Amnesty Trade Gothic" w:hAnsiTheme="minorHAnsi" w:cs="Amnesty Trade Gothic"/>
          <w:color w:val="000000"/>
          <w:sz w:val="14"/>
          <w:szCs w:val="14"/>
        </w:rPr>
        <w:t xml:space="preserve">Germany, </w:t>
      </w:r>
      <w:r w:rsidRPr="00823A57">
        <w:rPr>
          <w:rFonts w:asciiTheme="minorHAnsi" w:eastAsia="Amnesty Trade Gothic" w:hAnsiTheme="minorHAnsi" w:cs="Amnesty Trade Gothic"/>
          <w:sz w:val="14"/>
          <w:szCs w:val="14"/>
        </w:rPr>
        <w:t>“</w:t>
      </w:r>
      <w:proofErr w:type="spellStart"/>
      <w:r w:rsidRPr="00823A57">
        <w:rPr>
          <w:rFonts w:asciiTheme="minorHAnsi" w:eastAsia="Amnesty Trade Gothic" w:hAnsiTheme="minorHAnsi" w:cs="Amnesty Trade Gothic"/>
          <w:sz w:val="14"/>
          <w:szCs w:val="14"/>
        </w:rPr>
        <w:t>Gesetz</w:t>
      </w:r>
      <w:proofErr w:type="spellEnd"/>
      <w:r w:rsidRPr="00823A57">
        <w:rPr>
          <w:rFonts w:asciiTheme="minorHAnsi" w:eastAsia="Amnesty Trade Gothic" w:hAnsiTheme="minorHAnsi" w:cs="Amnesty Trade Gothic"/>
          <w:sz w:val="14"/>
          <w:szCs w:val="14"/>
        </w:rPr>
        <w:t xml:space="preserve"> </w:t>
      </w:r>
      <w:proofErr w:type="spellStart"/>
      <w:r w:rsidRPr="00823A57">
        <w:rPr>
          <w:rFonts w:asciiTheme="minorHAnsi" w:eastAsia="Amnesty Trade Gothic" w:hAnsiTheme="minorHAnsi" w:cs="Amnesty Trade Gothic"/>
          <w:sz w:val="14"/>
          <w:szCs w:val="14"/>
        </w:rPr>
        <w:t>zu</w:t>
      </w:r>
      <w:proofErr w:type="spellEnd"/>
      <w:r w:rsidRPr="00823A57">
        <w:rPr>
          <w:rFonts w:asciiTheme="minorHAnsi" w:eastAsia="Amnesty Trade Gothic" w:hAnsiTheme="minorHAnsi" w:cs="Amnesty Trade Gothic"/>
          <w:sz w:val="14"/>
          <w:szCs w:val="14"/>
        </w:rPr>
        <w:t xml:space="preserve"> Artikel 29 der </w:t>
      </w:r>
      <w:proofErr w:type="spellStart"/>
      <w:r w:rsidRPr="00823A57">
        <w:rPr>
          <w:rFonts w:asciiTheme="minorHAnsi" w:eastAsia="Amnesty Trade Gothic" w:hAnsiTheme="minorHAnsi" w:cs="Amnesty Trade Gothic"/>
          <w:sz w:val="14"/>
          <w:szCs w:val="14"/>
        </w:rPr>
        <w:t>Verfassung</w:t>
      </w:r>
      <w:proofErr w:type="spellEnd"/>
      <w:r w:rsidRPr="00823A57">
        <w:rPr>
          <w:rFonts w:asciiTheme="minorHAnsi" w:eastAsia="Amnesty Trade Gothic" w:hAnsiTheme="minorHAnsi" w:cs="Amnesty Trade Gothic"/>
          <w:sz w:val="14"/>
          <w:szCs w:val="14"/>
        </w:rPr>
        <w:t xml:space="preserve"> von Berlin“ [“</w:t>
      </w:r>
      <w:r w:rsidRPr="00823A57">
        <w:rPr>
          <w:rFonts w:asciiTheme="minorHAnsi" w:eastAsia="Amnesty Trade Gothic" w:hAnsiTheme="minorHAnsi" w:cs="Amnesty Trade Gothic"/>
          <w:color w:val="000000"/>
          <w:sz w:val="14"/>
          <w:szCs w:val="14"/>
        </w:rPr>
        <w:t xml:space="preserve">Law on Article 29 of the Constitution of Berlin”], 2005, </w:t>
      </w:r>
      <w:hyperlink r:id="rId124" w:tooltip="https://gesetze.berlin.de/bsbe/document/jlr-VerfArt29GBE2005pP2" w:history="1">
        <w:r w:rsidRPr="00823A57">
          <w:rPr>
            <w:rStyle w:val="Hyperlink"/>
            <w:rFonts w:asciiTheme="minorHAnsi" w:eastAsia="Amnesty Trade Gothic" w:hAnsiTheme="minorHAnsi" w:cs="Amnesty Trade Gothic"/>
            <w:color w:val="0563C1"/>
            <w:sz w:val="14"/>
            <w:szCs w:val="14"/>
          </w:rPr>
          <w:t>https://gesetze.berlin.de/bsbe/document/jlr-VerfArt29GBE2005pP2</w:t>
        </w:r>
      </w:hyperlink>
      <w:r w:rsidRPr="00823A57">
        <w:rPr>
          <w:rFonts w:asciiTheme="minorHAnsi" w:eastAsia="Amnesty Trade Gothic" w:hAnsiTheme="minorHAnsi" w:cs="Amnesty Trade Gothic"/>
          <w:color w:val="000000"/>
          <w:sz w:val="14"/>
          <w:szCs w:val="14"/>
        </w:rPr>
        <w:t xml:space="preserve"> (in German).</w:t>
      </w:r>
    </w:p>
  </w:footnote>
  <w:footnote w:id="172">
    <w:p w14:paraId="23BE95BA" w14:textId="77777777" w:rsidR="00070213" w:rsidRPr="00823A57" w:rsidRDefault="00070213" w:rsidP="00CD0A25">
      <w:pPr>
        <w:pStyle w:val="FootnoteText"/>
        <w:shd w:val="clear" w:color="auto" w:fill="FFFFFF"/>
        <w:spacing w:after="0"/>
        <w:rPr>
          <w:rFonts w:asciiTheme="minorHAnsi" w:hAnsiTheme="minorHAnsi"/>
          <w:sz w:val="14"/>
          <w:szCs w:val="14"/>
          <w:lang w:val="en-US"/>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Germany, Federal </w:t>
      </w:r>
      <w:proofErr w:type="spellStart"/>
      <w:r w:rsidRPr="00823A57">
        <w:rPr>
          <w:rFonts w:asciiTheme="minorHAnsi" w:hAnsiTheme="minorHAnsi"/>
          <w:sz w:val="14"/>
          <w:szCs w:val="14"/>
        </w:rPr>
        <w:t>Labor</w:t>
      </w:r>
      <w:proofErr w:type="spellEnd"/>
      <w:r w:rsidRPr="00823A57">
        <w:rPr>
          <w:rFonts w:asciiTheme="minorHAnsi" w:hAnsiTheme="minorHAnsi"/>
          <w:sz w:val="14"/>
          <w:szCs w:val="14"/>
        </w:rPr>
        <w:t xml:space="preserve"> Court, “</w:t>
      </w:r>
      <w:proofErr w:type="spellStart"/>
      <w:r w:rsidRPr="00823A57">
        <w:rPr>
          <w:rFonts w:asciiTheme="minorHAnsi" w:hAnsiTheme="minorHAnsi"/>
          <w:sz w:val="14"/>
          <w:szCs w:val="14"/>
        </w:rPr>
        <w:t>Benachteiligung</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wegen</w:t>
      </w:r>
      <w:proofErr w:type="spellEnd"/>
      <w:r w:rsidRPr="00823A57">
        <w:rPr>
          <w:rFonts w:asciiTheme="minorHAnsi" w:hAnsiTheme="minorHAnsi"/>
          <w:sz w:val="14"/>
          <w:szCs w:val="14"/>
        </w:rPr>
        <w:t xml:space="preserve"> der Religion – </w:t>
      </w:r>
      <w:proofErr w:type="spellStart"/>
      <w:r w:rsidRPr="00823A57">
        <w:rPr>
          <w:rFonts w:asciiTheme="minorHAnsi" w:hAnsiTheme="minorHAnsi"/>
          <w:sz w:val="14"/>
          <w:szCs w:val="14"/>
        </w:rPr>
        <w:t>Kopftuchverbot</w:t>
      </w:r>
      <w:proofErr w:type="spellEnd"/>
      <w:r w:rsidRPr="00823A57">
        <w:rPr>
          <w:rFonts w:asciiTheme="minorHAnsi" w:hAnsiTheme="minorHAnsi"/>
          <w:sz w:val="14"/>
          <w:szCs w:val="14"/>
        </w:rPr>
        <w:t xml:space="preserve">“ [“Discrimination on the grounds of religion - headscarf ban”], 8 AZR 62/19, Judgment, 27 August 2020, </w:t>
      </w:r>
      <w:hyperlink r:id="rId125" w:tooltip="https://www.bundesarbeitsgericht.de/entscheidung/8-azr-62-19" w:history="1">
        <w:r w:rsidRPr="00823A57">
          <w:rPr>
            <w:rStyle w:val="Hyperlink"/>
            <w:rFonts w:asciiTheme="minorHAnsi" w:eastAsia="Amnesty Trade Gothic" w:hAnsiTheme="minorHAnsi" w:cs="Amnesty Trade Gothic"/>
            <w:color w:val="0563C1"/>
            <w:sz w:val="14"/>
            <w:szCs w:val="14"/>
          </w:rPr>
          <w:t>https://www.bundesarbeitsgericht.de/entscheidung/8-azr-62-19</w:t>
        </w:r>
      </w:hyperlink>
      <w:r w:rsidRPr="00823A57">
        <w:rPr>
          <w:rStyle w:val="Hyperlink"/>
          <w:rFonts w:asciiTheme="minorHAnsi" w:eastAsia="Amnesty Trade Gothic" w:hAnsiTheme="minorHAnsi" w:cs="Amnesty Trade Gothic"/>
          <w:color w:val="0563C1"/>
          <w:sz w:val="14"/>
          <w:szCs w:val="14"/>
        </w:rPr>
        <w:t xml:space="preserve"> </w:t>
      </w:r>
      <w:r w:rsidRPr="00823A57">
        <w:rPr>
          <w:rFonts w:asciiTheme="minorHAnsi" w:hAnsiTheme="minorHAnsi"/>
          <w:sz w:val="14"/>
          <w:szCs w:val="14"/>
          <w:lang w:val="en-US"/>
        </w:rPr>
        <w:t>(in German).</w:t>
      </w:r>
    </w:p>
  </w:footnote>
  <w:footnote w:id="173">
    <w:p w14:paraId="6182D46A" w14:textId="77777777" w:rsidR="00070213" w:rsidRPr="00823A57" w:rsidRDefault="00070213" w:rsidP="00CD0A25">
      <w:pPr>
        <w:pStyle w:val="FootnoteText"/>
        <w:shd w:val="clear" w:color="auto" w:fill="FFFFFF"/>
        <w:spacing w:after="0"/>
        <w:rPr>
          <w:rFonts w:asciiTheme="minorHAnsi" w:hAnsiTheme="minorHAnsi"/>
          <w:sz w:val="14"/>
          <w:szCs w:val="14"/>
          <w:lang w:val="en-US"/>
        </w:rPr>
      </w:pPr>
      <w:r w:rsidRPr="00823A57">
        <w:rPr>
          <w:rFonts w:asciiTheme="minorHAnsi" w:hAnsiTheme="minorHAnsi"/>
          <w:color w:val="auto"/>
          <w:sz w:val="14"/>
          <w:szCs w:val="14"/>
          <w:vertAlign w:val="superscript"/>
        </w:rPr>
        <w:footnoteRef/>
      </w:r>
      <w:r w:rsidRPr="00823A57">
        <w:rPr>
          <w:rFonts w:asciiTheme="minorHAnsi" w:hAnsiTheme="minorHAnsi"/>
          <w:sz w:val="14"/>
          <w:szCs w:val="14"/>
        </w:rPr>
        <w:t xml:space="preserve"> </w:t>
      </w:r>
      <w:r w:rsidRPr="00823A57">
        <w:rPr>
          <w:rFonts w:asciiTheme="minorHAnsi" w:hAnsiTheme="minorHAnsi"/>
          <w:color w:val="000000"/>
          <w:sz w:val="14"/>
          <w:szCs w:val="14"/>
        </w:rPr>
        <w:t xml:space="preserve">Germany, Federal Constitutional Court, </w:t>
      </w:r>
      <w:r w:rsidRPr="00823A57">
        <w:rPr>
          <w:rFonts w:asciiTheme="minorHAnsi" w:hAnsiTheme="minorHAnsi"/>
          <w:sz w:val="14"/>
          <w:szCs w:val="14"/>
          <w:lang w:val="en-US"/>
        </w:rPr>
        <w:t>“</w:t>
      </w:r>
      <w:proofErr w:type="spellStart"/>
      <w:r w:rsidRPr="00823A57">
        <w:rPr>
          <w:rFonts w:asciiTheme="minorHAnsi" w:hAnsiTheme="minorHAnsi"/>
          <w:sz w:val="14"/>
          <w:szCs w:val="14"/>
        </w:rPr>
        <w:t>Nichtannahmebeschluss</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ohne</w:t>
      </w:r>
      <w:proofErr w:type="spellEnd"/>
      <w:r w:rsidRPr="00823A57">
        <w:rPr>
          <w:rFonts w:asciiTheme="minorHAnsi" w:hAnsiTheme="minorHAnsi"/>
          <w:sz w:val="14"/>
          <w:szCs w:val="14"/>
        </w:rPr>
        <w:t xml:space="preserve"> </w:t>
      </w:r>
      <w:proofErr w:type="spellStart"/>
      <w:r w:rsidRPr="00823A57">
        <w:rPr>
          <w:rFonts w:asciiTheme="minorHAnsi" w:hAnsiTheme="minorHAnsi"/>
          <w:sz w:val="14"/>
          <w:szCs w:val="14"/>
        </w:rPr>
        <w:t>Begründung</w:t>
      </w:r>
      <w:proofErr w:type="spellEnd"/>
      <w:r w:rsidRPr="00823A57">
        <w:rPr>
          <w:rFonts w:asciiTheme="minorHAnsi" w:hAnsiTheme="minorHAnsi"/>
          <w:sz w:val="14"/>
          <w:szCs w:val="14"/>
        </w:rPr>
        <w:t xml:space="preserve"> (Berliner </w:t>
      </w:r>
      <w:proofErr w:type="spellStart"/>
      <w:r w:rsidRPr="00823A57">
        <w:rPr>
          <w:rFonts w:asciiTheme="minorHAnsi" w:hAnsiTheme="minorHAnsi"/>
          <w:sz w:val="14"/>
          <w:szCs w:val="14"/>
        </w:rPr>
        <w:t>Neutralitätsgesetz</w:t>
      </w:r>
      <w:proofErr w:type="spellEnd"/>
      <w:r w:rsidRPr="00823A57">
        <w:rPr>
          <w:rFonts w:asciiTheme="minorHAnsi" w:hAnsiTheme="minorHAnsi"/>
          <w:sz w:val="14"/>
          <w:szCs w:val="14"/>
        </w:rPr>
        <w:t xml:space="preserve"> - </w:t>
      </w:r>
      <w:proofErr w:type="spellStart"/>
      <w:r w:rsidRPr="00823A57">
        <w:rPr>
          <w:rFonts w:asciiTheme="minorHAnsi" w:hAnsiTheme="minorHAnsi"/>
          <w:sz w:val="14"/>
          <w:szCs w:val="14"/>
        </w:rPr>
        <w:t>Kopftuchverbot</w:t>
      </w:r>
      <w:proofErr w:type="spellEnd"/>
      <w:r w:rsidRPr="00823A57">
        <w:rPr>
          <w:rFonts w:asciiTheme="minorHAnsi" w:hAnsiTheme="minorHAnsi"/>
          <w:sz w:val="14"/>
          <w:szCs w:val="14"/>
        </w:rPr>
        <w:t xml:space="preserve"> für </w:t>
      </w:r>
      <w:proofErr w:type="spellStart"/>
      <w:r w:rsidRPr="00823A57">
        <w:rPr>
          <w:rFonts w:asciiTheme="minorHAnsi" w:hAnsiTheme="minorHAnsi"/>
          <w:sz w:val="14"/>
          <w:szCs w:val="14"/>
        </w:rPr>
        <w:t>Lehrkräfte</w:t>
      </w:r>
      <w:proofErr w:type="spellEnd"/>
      <w:r w:rsidRPr="00823A57">
        <w:rPr>
          <w:rFonts w:asciiTheme="minorHAnsi" w:hAnsiTheme="minorHAnsi"/>
          <w:sz w:val="14"/>
          <w:szCs w:val="14"/>
        </w:rPr>
        <w:t xml:space="preserve">)“ [“Non-adoption decision without justification (Berlin Neutrality Act - headscarf ban for teachers)“], 1 </w:t>
      </w:r>
      <w:proofErr w:type="spellStart"/>
      <w:r w:rsidRPr="00823A57">
        <w:rPr>
          <w:rFonts w:asciiTheme="minorHAnsi" w:hAnsiTheme="minorHAnsi"/>
          <w:sz w:val="14"/>
          <w:szCs w:val="14"/>
        </w:rPr>
        <w:t>BvR</w:t>
      </w:r>
      <w:proofErr w:type="spellEnd"/>
      <w:r w:rsidRPr="00823A57">
        <w:rPr>
          <w:rFonts w:asciiTheme="minorHAnsi" w:hAnsiTheme="minorHAnsi"/>
          <w:sz w:val="14"/>
          <w:szCs w:val="14"/>
        </w:rPr>
        <w:t xml:space="preserve"> 1661/21</w:t>
      </w:r>
      <w:r w:rsidRPr="00823A57">
        <w:rPr>
          <w:rFonts w:asciiTheme="minorHAnsi" w:hAnsiTheme="minorHAnsi"/>
          <w:color w:val="000000"/>
          <w:sz w:val="14"/>
          <w:szCs w:val="14"/>
        </w:rPr>
        <w:t xml:space="preserve">, Court Order, 17 January 2023, </w:t>
      </w:r>
      <w:hyperlink r:id="rId126" w:anchor="focuspoint" w:tooltip="http://www.rechtsprechung-im-internet.de/jportal/portal/t/19ke/page/bsjrsprod.psml?pid=Dokumentanzeige&amp;showdoccase=1&amp;js_peid=Trefferliste&amp;documentnumber=1&amp;numberofresults=10908&amp;fromdoctodoc=yes&amp;doc.id=jb-KVRE451092301&amp;doc.part=L&amp;doc.price=0.0&amp;doc.hl=1#foc" w:history="1">
        <w:r w:rsidRPr="00823A57">
          <w:rPr>
            <w:rStyle w:val="Hyperlink"/>
            <w:rFonts w:asciiTheme="minorHAnsi" w:eastAsia="Amnesty Trade Gothic" w:hAnsiTheme="minorHAnsi" w:cs="Amnesty Trade Gothic"/>
            <w:color w:val="0563C1"/>
            <w:sz w:val="14"/>
            <w:szCs w:val="14"/>
          </w:rPr>
          <w:t>http://www.rechtsprechung-im-internet.de/jportal/portal/t/19ke/page/bsjrsprod.psml?pid=Dokumentanzeige&amp;showdoccase=1&amp;js_peid=Trefferliste&amp;documentnumber=1&amp;numberofresults=10908&amp;fromdoctodoc=yes&amp;doc.id=jb-KVRE451092301&amp;doc.part=L&amp;doc.price=0.0&amp;doc.hl=1#focuspoint</w:t>
        </w:r>
      </w:hyperlink>
      <w:r w:rsidRPr="00823A57">
        <w:rPr>
          <w:rFonts w:asciiTheme="minorHAnsi" w:hAnsiTheme="minorHAnsi"/>
          <w:color w:val="000000"/>
          <w:sz w:val="14"/>
          <w:szCs w:val="14"/>
        </w:rPr>
        <w:t xml:space="preserve"> </w:t>
      </w:r>
      <w:r w:rsidRPr="00823A57">
        <w:rPr>
          <w:rFonts w:asciiTheme="minorHAnsi" w:hAnsiTheme="minorHAnsi"/>
          <w:color w:val="000000"/>
          <w:sz w:val="14"/>
          <w:szCs w:val="14"/>
          <w:lang w:val="en-US"/>
        </w:rPr>
        <w:t>(in German).</w:t>
      </w:r>
    </w:p>
  </w:footnote>
  <w:footnote w:id="174">
    <w:p w14:paraId="731BCA29" w14:textId="77777777" w:rsidR="00070213" w:rsidRPr="00823A57" w:rsidRDefault="00070213" w:rsidP="00CD0A25">
      <w:pPr>
        <w:pStyle w:val="FootnoteText"/>
        <w:shd w:val="clear" w:color="auto" w:fill="FFFFFF"/>
        <w:spacing w:after="0"/>
        <w:rPr>
          <w:rFonts w:asciiTheme="minorHAnsi" w:hAnsiTheme="minorHAnsi"/>
          <w:sz w:val="14"/>
          <w:szCs w:val="14"/>
          <w:lang w:val="de-DE"/>
        </w:rPr>
      </w:pPr>
      <w:r w:rsidRPr="00823A57">
        <w:rPr>
          <w:rFonts w:asciiTheme="minorHAnsi" w:hAnsiTheme="minorHAnsi"/>
          <w:color w:val="auto"/>
          <w:sz w:val="14"/>
          <w:szCs w:val="14"/>
          <w:vertAlign w:val="superscript"/>
        </w:rPr>
        <w:footnoteRef/>
      </w:r>
      <w:r w:rsidRPr="00823A57">
        <w:rPr>
          <w:rFonts w:asciiTheme="minorHAnsi" w:hAnsiTheme="minorHAnsi"/>
          <w:sz w:val="14"/>
          <w:szCs w:val="14"/>
          <w:lang w:val="de-DE"/>
        </w:rPr>
        <w:t xml:space="preserve"> Germany, “Gesetz zur Regelung des Erscheinungsbilds von Beamtinnen und Beamten sowie zur Änderung weiterer dienstrechtlicher Vorschriften“ [“Act on the Regulation of the </w:t>
      </w:r>
      <w:proofErr w:type="spellStart"/>
      <w:r w:rsidRPr="00823A57">
        <w:rPr>
          <w:rFonts w:asciiTheme="minorHAnsi" w:hAnsiTheme="minorHAnsi"/>
          <w:sz w:val="14"/>
          <w:szCs w:val="14"/>
          <w:lang w:val="de-DE"/>
        </w:rPr>
        <w:t>Appearance</w:t>
      </w:r>
      <w:proofErr w:type="spellEnd"/>
      <w:r w:rsidRPr="00823A57">
        <w:rPr>
          <w:rFonts w:asciiTheme="minorHAnsi" w:hAnsiTheme="minorHAnsi"/>
          <w:sz w:val="14"/>
          <w:szCs w:val="14"/>
          <w:lang w:val="de-DE"/>
        </w:rPr>
        <w:t xml:space="preserve"> of Civil </w:t>
      </w:r>
      <w:proofErr w:type="spellStart"/>
      <w:r w:rsidRPr="00823A57">
        <w:rPr>
          <w:rFonts w:asciiTheme="minorHAnsi" w:hAnsiTheme="minorHAnsi"/>
          <w:sz w:val="14"/>
          <w:szCs w:val="14"/>
          <w:lang w:val="de-DE"/>
        </w:rPr>
        <w:t>Servants</w:t>
      </w:r>
      <w:proofErr w:type="spellEnd"/>
      <w:r w:rsidRPr="00823A57">
        <w:rPr>
          <w:rFonts w:asciiTheme="minorHAnsi" w:hAnsiTheme="minorHAnsi"/>
          <w:sz w:val="14"/>
          <w:szCs w:val="14"/>
          <w:lang w:val="de-DE"/>
        </w:rPr>
        <w:t xml:space="preserve"> and on the Amendment of Further Service Law </w:t>
      </w:r>
      <w:proofErr w:type="spellStart"/>
      <w:r w:rsidRPr="00823A57">
        <w:rPr>
          <w:rFonts w:asciiTheme="minorHAnsi" w:hAnsiTheme="minorHAnsi"/>
          <w:sz w:val="14"/>
          <w:szCs w:val="14"/>
          <w:lang w:val="de-DE"/>
        </w:rPr>
        <w:t>Provisions</w:t>
      </w:r>
      <w:proofErr w:type="spellEnd"/>
      <w:r w:rsidRPr="00823A57">
        <w:rPr>
          <w:rFonts w:asciiTheme="minorHAnsi" w:hAnsiTheme="minorHAnsi"/>
          <w:sz w:val="14"/>
          <w:szCs w:val="14"/>
          <w:lang w:val="de-DE"/>
        </w:rPr>
        <w:t xml:space="preserve">”], 2021, </w:t>
      </w:r>
      <w:hyperlink r:id="rId127" w:tooltip="https://dip.bundestag.de/vorgang/.../272243" w:history="1">
        <w:r w:rsidRPr="00823A57">
          <w:rPr>
            <w:rStyle w:val="Hyperlink"/>
            <w:rFonts w:asciiTheme="minorHAnsi" w:eastAsia="Amnesty Trade Gothic" w:hAnsiTheme="minorHAnsi" w:cs="Amnesty Trade Gothic"/>
            <w:sz w:val="14"/>
            <w:szCs w:val="14"/>
            <w:lang w:val="de-DE"/>
          </w:rPr>
          <w:t>https://dip.bundestag.de/vorgang/.../272243</w:t>
        </w:r>
      </w:hyperlink>
      <w:r w:rsidRPr="00823A57">
        <w:rPr>
          <w:rFonts w:asciiTheme="minorHAnsi" w:hAnsiTheme="minorHAnsi"/>
          <w:sz w:val="14"/>
          <w:szCs w:val="14"/>
          <w:lang w:val="de-DE"/>
        </w:rPr>
        <w:t xml:space="preserve"> (in German).</w:t>
      </w:r>
    </w:p>
  </w:footnote>
  <w:footnote w:id="175">
    <w:p w14:paraId="0C277711"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hAnsiTheme="minorHAnsi"/>
          <w:sz w:val="14"/>
          <w:szCs w:val="14"/>
        </w:rPr>
        <w:footnoteRef/>
      </w:r>
      <w:r w:rsidRPr="00823A57">
        <w:rPr>
          <w:rFonts w:asciiTheme="minorHAnsi" w:hAnsiTheme="minorHAnsi"/>
          <w:sz w:val="14"/>
          <w:szCs w:val="14"/>
          <w:lang w:val="de-DE"/>
        </w:rPr>
        <w:t xml:space="preserve"> Welt, </w:t>
      </w:r>
      <w:r w:rsidRPr="00823A57">
        <w:rPr>
          <w:rFonts w:asciiTheme="minorHAnsi" w:eastAsia="Amnesty Trade Gothic" w:hAnsiTheme="minorHAnsi" w:cs="Amnesty Trade Gothic"/>
          <w:sz w:val="14"/>
          <w:szCs w:val="14"/>
          <w:lang w:val="de-DE"/>
        </w:rPr>
        <w:t>“</w:t>
      </w:r>
      <w:r w:rsidRPr="00823A57">
        <w:rPr>
          <w:rFonts w:asciiTheme="minorHAnsi" w:hAnsiTheme="minorHAnsi"/>
          <w:sz w:val="14"/>
          <w:szCs w:val="14"/>
          <w:lang w:val="de-DE"/>
        </w:rPr>
        <w:t xml:space="preserve">Kopftuchverbot durch die Hintertür?“ </w:t>
      </w:r>
      <w:r w:rsidRPr="00823A57">
        <w:rPr>
          <w:rFonts w:asciiTheme="minorHAnsi" w:hAnsiTheme="minorHAnsi"/>
          <w:sz w:val="14"/>
          <w:szCs w:val="14"/>
        </w:rPr>
        <w:t xml:space="preserve">[“Headscarf ban through the back </w:t>
      </w:r>
      <w:proofErr w:type="gramStart"/>
      <w:r w:rsidRPr="00823A57">
        <w:rPr>
          <w:rFonts w:asciiTheme="minorHAnsi" w:hAnsiTheme="minorHAnsi"/>
          <w:sz w:val="14"/>
          <w:szCs w:val="14"/>
        </w:rPr>
        <w:t>door“</w:t>
      </w:r>
      <w:proofErr w:type="gramEnd"/>
      <w:r w:rsidRPr="00823A57">
        <w:rPr>
          <w:rFonts w:asciiTheme="minorHAnsi" w:hAnsiTheme="minorHAnsi"/>
          <w:sz w:val="14"/>
          <w:szCs w:val="14"/>
        </w:rPr>
        <w:t>], 7 May 2021,</w:t>
      </w:r>
    </w:p>
    <w:p w14:paraId="610F7781" w14:textId="77777777" w:rsidR="00070213" w:rsidRPr="00823A57" w:rsidRDefault="00000000" w:rsidP="00CD0A25">
      <w:pPr>
        <w:pStyle w:val="FootnoteText"/>
        <w:shd w:val="clear" w:color="auto" w:fill="FFFFFF"/>
        <w:spacing w:after="0"/>
        <w:rPr>
          <w:rFonts w:asciiTheme="minorHAnsi" w:hAnsiTheme="minorHAnsi"/>
          <w:sz w:val="14"/>
          <w:szCs w:val="14"/>
          <w:lang w:val="de-DE"/>
        </w:rPr>
      </w:pPr>
      <w:hyperlink r:id="rId128">
        <w:r w:rsidR="00070213" w:rsidRPr="00823A57">
          <w:rPr>
            <w:rStyle w:val="Hyperlink"/>
            <w:rFonts w:asciiTheme="minorHAnsi" w:hAnsiTheme="minorHAnsi"/>
            <w:sz w:val="14"/>
            <w:szCs w:val="14"/>
            <w:lang w:val="de-DE"/>
          </w:rPr>
          <w:t>https://www.welt.de/politik/deutschland/article230971383/Bundesrat-Kopftuchverbot-durch-die-Hintertuer.html</w:t>
        </w:r>
      </w:hyperlink>
      <w:r w:rsidR="00070213" w:rsidRPr="00823A57">
        <w:rPr>
          <w:rFonts w:asciiTheme="minorHAnsi" w:hAnsiTheme="minorHAnsi"/>
          <w:sz w:val="14"/>
          <w:szCs w:val="14"/>
          <w:lang w:val="de-DE"/>
        </w:rPr>
        <w:t xml:space="preserve"> (in German).</w:t>
      </w:r>
    </w:p>
  </w:footnote>
  <w:footnote w:id="176">
    <w:p w14:paraId="29686FC6"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eastAsia="Amnesty Trade Gothic" w:hAnsiTheme="minorHAnsi" w:cs="Amnesty Trade Gothic"/>
          <w:color w:val="auto"/>
          <w:sz w:val="14"/>
          <w:szCs w:val="14"/>
        </w:rPr>
        <w:footnoteRef/>
      </w:r>
      <w:r w:rsidRPr="00823A57">
        <w:rPr>
          <w:rFonts w:asciiTheme="minorHAnsi" w:hAnsiTheme="minorHAnsi"/>
          <w:sz w:val="14"/>
          <w:szCs w:val="14"/>
        </w:rPr>
        <w:t xml:space="preserve"> Committee on the Elimination of All Forms of Discrimination against Women, Concluding observations on the ninth periodic report of Germany, 31 May 2023, UN Doc. CEDAW/C/DEU/CO/9.</w:t>
      </w:r>
    </w:p>
  </w:footnote>
  <w:footnote w:id="177">
    <w:p w14:paraId="2694C597" w14:textId="77777777" w:rsidR="00070213" w:rsidRPr="00823A57" w:rsidRDefault="00070213" w:rsidP="00CD0A25">
      <w:pPr>
        <w:pStyle w:val="FootnoteText"/>
        <w:shd w:val="clear" w:color="auto" w:fill="FFFFFF"/>
        <w:spacing w:after="0"/>
        <w:rPr>
          <w:rFonts w:asciiTheme="minorHAnsi" w:hAnsiTheme="minorHAnsi"/>
          <w:sz w:val="14"/>
          <w:szCs w:val="14"/>
        </w:rPr>
      </w:pPr>
      <w:r w:rsidRPr="00823A57">
        <w:rPr>
          <w:rStyle w:val="FootnoteReference"/>
          <w:rFonts w:asciiTheme="minorHAnsi" w:eastAsia="Amnesty Trade Gothic" w:hAnsiTheme="minorHAnsi" w:cs="Amnesty Trade Gothic"/>
          <w:color w:val="auto"/>
          <w:sz w:val="14"/>
          <w:szCs w:val="14"/>
        </w:rPr>
        <w:footnoteRef/>
      </w:r>
      <w:r w:rsidRPr="00823A57">
        <w:rPr>
          <w:rFonts w:asciiTheme="minorHAnsi" w:hAnsiTheme="minorHAnsi"/>
          <w:sz w:val="14"/>
          <w:szCs w:val="14"/>
        </w:rPr>
        <w:t xml:space="preserve"> Committee on the Elimination of All Forms of Discrimination against Women (CEDAW), Concluding observations on the ninth periodic report of Germany, 31 May 2023, UN Doc. CEDAW/C/DEU/CO/9, recalling </w:t>
      </w:r>
      <w:r w:rsidRPr="00823A57">
        <w:rPr>
          <w:rFonts w:asciiTheme="minorHAnsi" w:hAnsiTheme="minorHAnsi"/>
          <w:color w:val="000000"/>
          <w:sz w:val="14"/>
          <w:szCs w:val="14"/>
        </w:rPr>
        <w:t xml:space="preserve">its previous recommendations: </w:t>
      </w:r>
      <w:r w:rsidRPr="00823A57">
        <w:rPr>
          <w:rFonts w:asciiTheme="minorHAnsi" w:hAnsiTheme="minorHAnsi"/>
          <w:sz w:val="14"/>
          <w:szCs w:val="14"/>
        </w:rPr>
        <w:t>CEDAW,</w:t>
      </w:r>
      <w:r w:rsidRPr="00823A57">
        <w:rPr>
          <w:rFonts w:asciiTheme="minorHAnsi" w:hAnsiTheme="minorHAnsi"/>
          <w:color w:val="000000"/>
          <w:sz w:val="14"/>
          <w:szCs w:val="14"/>
        </w:rPr>
        <w:t xml:space="preserve"> </w:t>
      </w:r>
      <w:proofErr w:type="gramStart"/>
      <w:r w:rsidRPr="00823A57">
        <w:rPr>
          <w:rFonts w:asciiTheme="minorHAnsi" w:hAnsiTheme="minorHAnsi"/>
          <w:color w:val="000000"/>
          <w:sz w:val="14"/>
          <w:szCs w:val="14"/>
        </w:rPr>
        <w:t>Concluding</w:t>
      </w:r>
      <w:proofErr w:type="gramEnd"/>
      <w:r w:rsidRPr="00823A57">
        <w:rPr>
          <w:rFonts w:asciiTheme="minorHAnsi" w:hAnsiTheme="minorHAnsi"/>
          <w:color w:val="000000"/>
          <w:sz w:val="14"/>
          <w:szCs w:val="14"/>
        </w:rPr>
        <w:t xml:space="preserve"> observations on the combined seventh and eighth periodic reports of Germany, 9 March 2017, CEDAW/C/DEU/CO/7-8, para. 36</w:t>
      </w:r>
      <w:r w:rsidRPr="00823A57">
        <w:rPr>
          <w:rFonts w:asciiTheme="minorHAnsi" w:hAnsiTheme="minorHAnsi"/>
          <w:sz w:val="14"/>
          <w:szCs w:val="1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233BBB"/>
    <w:multiLevelType w:val="hybridMultilevel"/>
    <w:tmpl w:val="892615BC"/>
    <w:lvl w:ilvl="0" w:tplc="FFFFFFFF">
      <w:start w:val="1"/>
      <w:numFmt w:val="bullet"/>
      <w:lvlText w:val="·"/>
      <w:lvlJc w:val="left"/>
      <w:pPr>
        <w:ind w:left="709" w:hanging="360"/>
      </w:pPr>
      <w:rPr>
        <w:rFonts w:ascii="Symbol" w:hAnsi="Symbol" w:hint="default"/>
      </w:rPr>
    </w:lvl>
    <w:lvl w:ilvl="1" w:tplc="849E1A62">
      <w:start w:val="1"/>
      <w:numFmt w:val="bullet"/>
      <w:lvlText w:val="o"/>
      <w:lvlJc w:val="left"/>
      <w:pPr>
        <w:ind w:left="1429" w:hanging="360"/>
      </w:pPr>
      <w:rPr>
        <w:rFonts w:ascii="Courier New" w:eastAsia="Courier New" w:hAnsi="Courier New" w:cs="Courier New" w:hint="default"/>
      </w:rPr>
    </w:lvl>
    <w:lvl w:ilvl="2" w:tplc="633EAFCE">
      <w:start w:val="1"/>
      <w:numFmt w:val="bullet"/>
      <w:lvlText w:val="§"/>
      <w:lvlJc w:val="left"/>
      <w:pPr>
        <w:ind w:left="2149" w:hanging="360"/>
      </w:pPr>
      <w:rPr>
        <w:rFonts w:ascii="Wingdings" w:eastAsia="Wingdings" w:hAnsi="Wingdings" w:cs="Wingdings" w:hint="default"/>
      </w:rPr>
    </w:lvl>
    <w:lvl w:ilvl="3" w:tplc="E59C120C">
      <w:start w:val="1"/>
      <w:numFmt w:val="bullet"/>
      <w:lvlText w:val="·"/>
      <w:lvlJc w:val="left"/>
      <w:pPr>
        <w:ind w:left="2869" w:hanging="360"/>
      </w:pPr>
      <w:rPr>
        <w:rFonts w:ascii="Symbol" w:eastAsia="Symbol" w:hAnsi="Symbol" w:cs="Symbol" w:hint="default"/>
      </w:rPr>
    </w:lvl>
    <w:lvl w:ilvl="4" w:tplc="ADD41D06">
      <w:start w:val="1"/>
      <w:numFmt w:val="bullet"/>
      <w:lvlText w:val="o"/>
      <w:lvlJc w:val="left"/>
      <w:pPr>
        <w:ind w:left="3589" w:hanging="360"/>
      </w:pPr>
      <w:rPr>
        <w:rFonts w:ascii="Courier New" w:eastAsia="Courier New" w:hAnsi="Courier New" w:cs="Courier New" w:hint="default"/>
      </w:rPr>
    </w:lvl>
    <w:lvl w:ilvl="5" w:tplc="B83664E8">
      <w:start w:val="1"/>
      <w:numFmt w:val="bullet"/>
      <w:lvlText w:val="§"/>
      <w:lvlJc w:val="left"/>
      <w:pPr>
        <w:ind w:left="4309" w:hanging="360"/>
      </w:pPr>
      <w:rPr>
        <w:rFonts w:ascii="Wingdings" w:eastAsia="Wingdings" w:hAnsi="Wingdings" w:cs="Wingdings" w:hint="default"/>
      </w:rPr>
    </w:lvl>
    <w:lvl w:ilvl="6" w:tplc="8FF4EC92">
      <w:start w:val="1"/>
      <w:numFmt w:val="bullet"/>
      <w:lvlText w:val="·"/>
      <w:lvlJc w:val="left"/>
      <w:pPr>
        <w:ind w:left="5029" w:hanging="360"/>
      </w:pPr>
      <w:rPr>
        <w:rFonts w:ascii="Symbol" w:eastAsia="Symbol" w:hAnsi="Symbol" w:cs="Symbol" w:hint="default"/>
      </w:rPr>
    </w:lvl>
    <w:lvl w:ilvl="7" w:tplc="54D83E82">
      <w:start w:val="1"/>
      <w:numFmt w:val="bullet"/>
      <w:lvlText w:val="o"/>
      <w:lvlJc w:val="left"/>
      <w:pPr>
        <w:ind w:left="5749" w:hanging="360"/>
      </w:pPr>
      <w:rPr>
        <w:rFonts w:ascii="Courier New" w:eastAsia="Courier New" w:hAnsi="Courier New" w:cs="Courier New" w:hint="default"/>
      </w:rPr>
    </w:lvl>
    <w:lvl w:ilvl="8" w:tplc="86C24E3E">
      <w:start w:val="1"/>
      <w:numFmt w:val="bullet"/>
      <w:lvlText w:val="§"/>
      <w:lvlJc w:val="left"/>
      <w:pPr>
        <w:ind w:left="6469" w:hanging="360"/>
      </w:pPr>
      <w:rPr>
        <w:rFonts w:ascii="Wingdings" w:eastAsia="Wingdings" w:hAnsi="Wingdings" w:cs="Wingdings" w:hint="default"/>
      </w:rPr>
    </w:lvl>
  </w:abstractNum>
  <w:abstractNum w:abstractNumId="13" w15:restartNumberingAfterBreak="0">
    <w:nsid w:val="09FC3FC8"/>
    <w:multiLevelType w:val="hybridMultilevel"/>
    <w:tmpl w:val="39AC0EE2"/>
    <w:lvl w:ilvl="0" w:tplc="56381E60">
      <w:start w:val="1"/>
      <w:numFmt w:val="bullet"/>
      <w:lvlText w:val=""/>
      <w:lvlJc w:val="left"/>
      <w:pPr>
        <w:ind w:left="720" w:hanging="360"/>
      </w:pPr>
      <w:rPr>
        <w:rFonts w:ascii="Symbol" w:eastAsia="Symbol" w:hAnsi="Symbol" w:cs="Symbol" w:hint="default"/>
      </w:rPr>
    </w:lvl>
    <w:lvl w:ilvl="1" w:tplc="CE262360">
      <w:start w:val="1"/>
      <w:numFmt w:val="bullet"/>
      <w:lvlText w:val="o"/>
      <w:lvlJc w:val="left"/>
      <w:pPr>
        <w:ind w:left="1440" w:hanging="360"/>
      </w:pPr>
      <w:rPr>
        <w:rFonts w:ascii="Courier New" w:eastAsia="Courier New" w:hAnsi="Courier New" w:cs="Courier New" w:hint="default"/>
      </w:rPr>
    </w:lvl>
    <w:lvl w:ilvl="2" w:tplc="A3E054A6">
      <w:start w:val="1"/>
      <w:numFmt w:val="bullet"/>
      <w:lvlText w:val=""/>
      <w:lvlJc w:val="left"/>
      <w:pPr>
        <w:ind w:left="2160" w:hanging="360"/>
      </w:pPr>
      <w:rPr>
        <w:rFonts w:ascii="Wingdings" w:eastAsia="Wingdings" w:hAnsi="Wingdings" w:cs="Wingdings" w:hint="default"/>
      </w:rPr>
    </w:lvl>
    <w:lvl w:ilvl="3" w:tplc="E4181DB4">
      <w:start w:val="1"/>
      <w:numFmt w:val="bullet"/>
      <w:lvlText w:val=""/>
      <w:lvlJc w:val="left"/>
      <w:pPr>
        <w:ind w:left="2880" w:hanging="360"/>
      </w:pPr>
      <w:rPr>
        <w:rFonts w:ascii="Wingdings" w:eastAsia="Wingdings" w:hAnsi="Wingdings" w:cs="Wingdings" w:hint="default"/>
      </w:rPr>
    </w:lvl>
    <w:lvl w:ilvl="4" w:tplc="F2D8DE1C">
      <w:start w:val="1"/>
      <w:numFmt w:val="bullet"/>
      <w:lvlText w:val=""/>
      <w:lvlJc w:val="left"/>
      <w:pPr>
        <w:ind w:left="3600" w:hanging="360"/>
      </w:pPr>
      <w:rPr>
        <w:rFonts w:ascii="Wingdings" w:eastAsia="Wingdings" w:hAnsi="Wingdings" w:cs="Wingdings" w:hint="default"/>
      </w:rPr>
    </w:lvl>
    <w:lvl w:ilvl="5" w:tplc="5B568CB2">
      <w:start w:val="1"/>
      <w:numFmt w:val="bullet"/>
      <w:lvlText w:val=""/>
      <w:lvlJc w:val="left"/>
      <w:pPr>
        <w:ind w:left="4320" w:hanging="360"/>
      </w:pPr>
      <w:rPr>
        <w:rFonts w:ascii="Wingdings" w:eastAsia="Wingdings" w:hAnsi="Wingdings" w:cs="Wingdings" w:hint="default"/>
      </w:rPr>
    </w:lvl>
    <w:lvl w:ilvl="6" w:tplc="EFB20A54">
      <w:start w:val="1"/>
      <w:numFmt w:val="bullet"/>
      <w:lvlText w:val=""/>
      <w:lvlJc w:val="left"/>
      <w:pPr>
        <w:ind w:left="5040" w:hanging="360"/>
      </w:pPr>
      <w:rPr>
        <w:rFonts w:ascii="Wingdings" w:eastAsia="Wingdings" w:hAnsi="Wingdings" w:cs="Wingdings" w:hint="default"/>
      </w:rPr>
    </w:lvl>
    <w:lvl w:ilvl="7" w:tplc="8F5C6202">
      <w:start w:val="1"/>
      <w:numFmt w:val="bullet"/>
      <w:lvlText w:val=""/>
      <w:lvlJc w:val="left"/>
      <w:pPr>
        <w:ind w:left="5760" w:hanging="360"/>
      </w:pPr>
      <w:rPr>
        <w:rFonts w:ascii="Wingdings" w:eastAsia="Wingdings" w:hAnsi="Wingdings" w:cs="Wingdings" w:hint="default"/>
      </w:rPr>
    </w:lvl>
    <w:lvl w:ilvl="8" w:tplc="532EA674">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0E0D33A3"/>
    <w:multiLevelType w:val="hybridMultilevel"/>
    <w:tmpl w:val="7DBC0B02"/>
    <w:lvl w:ilvl="0" w:tplc="CAEEA57C">
      <w:start w:val="1"/>
      <w:numFmt w:val="bullet"/>
      <w:lvlText w:val=""/>
      <w:lvlJc w:val="left"/>
      <w:pPr>
        <w:ind w:left="720" w:hanging="360"/>
      </w:pPr>
      <w:rPr>
        <w:rFonts w:ascii="Symbol" w:eastAsia="Symbol" w:hAnsi="Symbol" w:cs="Symbol" w:hint="default"/>
      </w:rPr>
    </w:lvl>
    <w:lvl w:ilvl="1" w:tplc="F5A0C260">
      <w:start w:val="1"/>
      <w:numFmt w:val="bullet"/>
      <w:lvlText w:val="o"/>
      <w:lvlJc w:val="left"/>
      <w:pPr>
        <w:ind w:left="1440" w:hanging="360"/>
      </w:pPr>
      <w:rPr>
        <w:rFonts w:ascii="Courier New" w:eastAsia="Courier New" w:hAnsi="Courier New" w:cs="Courier New" w:hint="default"/>
      </w:rPr>
    </w:lvl>
    <w:lvl w:ilvl="2" w:tplc="82380B8E">
      <w:start w:val="1"/>
      <w:numFmt w:val="bullet"/>
      <w:lvlText w:val=""/>
      <w:lvlJc w:val="left"/>
      <w:pPr>
        <w:ind w:left="2160" w:hanging="360"/>
      </w:pPr>
      <w:rPr>
        <w:rFonts w:ascii="Wingdings" w:eastAsia="Wingdings" w:hAnsi="Wingdings" w:cs="Wingdings" w:hint="default"/>
      </w:rPr>
    </w:lvl>
    <w:lvl w:ilvl="3" w:tplc="C3B47736">
      <w:start w:val="1"/>
      <w:numFmt w:val="bullet"/>
      <w:lvlText w:val=""/>
      <w:lvlJc w:val="left"/>
      <w:pPr>
        <w:ind w:left="2880" w:hanging="360"/>
      </w:pPr>
      <w:rPr>
        <w:rFonts w:ascii="Symbol" w:eastAsia="Symbol" w:hAnsi="Symbol" w:cs="Symbol" w:hint="default"/>
      </w:rPr>
    </w:lvl>
    <w:lvl w:ilvl="4" w:tplc="B15A6C38">
      <w:start w:val="1"/>
      <w:numFmt w:val="bullet"/>
      <w:lvlText w:val="o"/>
      <w:lvlJc w:val="left"/>
      <w:pPr>
        <w:ind w:left="3600" w:hanging="360"/>
      </w:pPr>
      <w:rPr>
        <w:rFonts w:ascii="Courier New" w:eastAsia="Courier New" w:hAnsi="Courier New" w:cs="Courier New" w:hint="default"/>
      </w:rPr>
    </w:lvl>
    <w:lvl w:ilvl="5" w:tplc="11AEC644">
      <w:start w:val="1"/>
      <w:numFmt w:val="bullet"/>
      <w:lvlText w:val=""/>
      <w:lvlJc w:val="left"/>
      <w:pPr>
        <w:ind w:left="4320" w:hanging="360"/>
      </w:pPr>
      <w:rPr>
        <w:rFonts w:ascii="Wingdings" w:eastAsia="Wingdings" w:hAnsi="Wingdings" w:cs="Wingdings" w:hint="default"/>
      </w:rPr>
    </w:lvl>
    <w:lvl w:ilvl="6" w:tplc="CD12AA3C">
      <w:start w:val="1"/>
      <w:numFmt w:val="bullet"/>
      <w:lvlText w:val=""/>
      <w:lvlJc w:val="left"/>
      <w:pPr>
        <w:ind w:left="5040" w:hanging="360"/>
      </w:pPr>
      <w:rPr>
        <w:rFonts w:ascii="Symbol" w:eastAsia="Symbol" w:hAnsi="Symbol" w:cs="Symbol" w:hint="default"/>
      </w:rPr>
    </w:lvl>
    <w:lvl w:ilvl="7" w:tplc="43381BA4">
      <w:start w:val="1"/>
      <w:numFmt w:val="bullet"/>
      <w:lvlText w:val="o"/>
      <w:lvlJc w:val="left"/>
      <w:pPr>
        <w:ind w:left="5760" w:hanging="360"/>
      </w:pPr>
      <w:rPr>
        <w:rFonts w:ascii="Courier New" w:eastAsia="Courier New" w:hAnsi="Courier New" w:cs="Courier New" w:hint="default"/>
      </w:rPr>
    </w:lvl>
    <w:lvl w:ilvl="8" w:tplc="AAEE13D6">
      <w:start w:val="1"/>
      <w:numFmt w:val="bullet"/>
      <w:lvlText w:val=""/>
      <w:lvlJc w:val="left"/>
      <w:pPr>
        <w:ind w:left="6480" w:hanging="360"/>
      </w:pPr>
      <w:rPr>
        <w:rFonts w:ascii="Wingdings" w:eastAsia="Wingdings" w:hAnsi="Wingdings" w:cs="Wingdings" w:hint="default"/>
      </w:rPr>
    </w:lvl>
  </w:abstractNum>
  <w:abstractNum w:abstractNumId="15" w15:restartNumberingAfterBreak="0">
    <w:nsid w:val="12157041"/>
    <w:multiLevelType w:val="hybridMultilevel"/>
    <w:tmpl w:val="A14A223C"/>
    <w:lvl w:ilvl="0" w:tplc="D7B6D922">
      <w:start w:val="1"/>
      <w:numFmt w:val="bullet"/>
      <w:lvlText w:val="§"/>
      <w:lvlJc w:val="left"/>
      <w:pPr>
        <w:ind w:left="709" w:hanging="360"/>
      </w:pPr>
      <w:rPr>
        <w:rFonts w:ascii="Wingdings" w:eastAsia="Wingdings" w:hAnsi="Wingdings" w:cs="Wingdings"/>
      </w:rPr>
    </w:lvl>
    <w:lvl w:ilvl="1" w:tplc="87483CBC">
      <w:start w:val="1"/>
      <w:numFmt w:val="bullet"/>
      <w:lvlText w:val="o"/>
      <w:lvlJc w:val="left"/>
      <w:pPr>
        <w:ind w:left="1429" w:hanging="360"/>
      </w:pPr>
      <w:rPr>
        <w:rFonts w:ascii="Courier New" w:eastAsia="Courier New" w:hAnsi="Courier New" w:cs="Courier New" w:hint="default"/>
      </w:rPr>
    </w:lvl>
    <w:lvl w:ilvl="2" w:tplc="668C94FC">
      <w:start w:val="1"/>
      <w:numFmt w:val="bullet"/>
      <w:lvlText w:val="§"/>
      <w:lvlJc w:val="left"/>
      <w:pPr>
        <w:ind w:left="2149" w:hanging="360"/>
      </w:pPr>
      <w:rPr>
        <w:rFonts w:ascii="Wingdings" w:eastAsia="Wingdings" w:hAnsi="Wingdings" w:cs="Wingdings" w:hint="default"/>
      </w:rPr>
    </w:lvl>
    <w:lvl w:ilvl="3" w:tplc="1012BE56">
      <w:start w:val="1"/>
      <w:numFmt w:val="bullet"/>
      <w:lvlText w:val="·"/>
      <w:lvlJc w:val="left"/>
      <w:pPr>
        <w:ind w:left="2869" w:hanging="360"/>
      </w:pPr>
      <w:rPr>
        <w:rFonts w:ascii="Symbol" w:eastAsia="Symbol" w:hAnsi="Symbol" w:cs="Symbol" w:hint="default"/>
      </w:rPr>
    </w:lvl>
    <w:lvl w:ilvl="4" w:tplc="746CF870">
      <w:start w:val="1"/>
      <w:numFmt w:val="bullet"/>
      <w:lvlText w:val="o"/>
      <w:lvlJc w:val="left"/>
      <w:pPr>
        <w:ind w:left="3589" w:hanging="360"/>
      </w:pPr>
      <w:rPr>
        <w:rFonts w:ascii="Courier New" w:eastAsia="Courier New" w:hAnsi="Courier New" w:cs="Courier New" w:hint="default"/>
      </w:rPr>
    </w:lvl>
    <w:lvl w:ilvl="5" w:tplc="955444D4">
      <w:start w:val="1"/>
      <w:numFmt w:val="bullet"/>
      <w:lvlText w:val="§"/>
      <w:lvlJc w:val="left"/>
      <w:pPr>
        <w:ind w:left="4309" w:hanging="360"/>
      </w:pPr>
      <w:rPr>
        <w:rFonts w:ascii="Wingdings" w:eastAsia="Wingdings" w:hAnsi="Wingdings" w:cs="Wingdings" w:hint="default"/>
      </w:rPr>
    </w:lvl>
    <w:lvl w:ilvl="6" w:tplc="01F46DAA">
      <w:start w:val="1"/>
      <w:numFmt w:val="bullet"/>
      <w:lvlText w:val="·"/>
      <w:lvlJc w:val="left"/>
      <w:pPr>
        <w:ind w:left="5029" w:hanging="360"/>
      </w:pPr>
      <w:rPr>
        <w:rFonts w:ascii="Symbol" w:eastAsia="Symbol" w:hAnsi="Symbol" w:cs="Symbol" w:hint="default"/>
      </w:rPr>
    </w:lvl>
    <w:lvl w:ilvl="7" w:tplc="B0287E7E">
      <w:start w:val="1"/>
      <w:numFmt w:val="bullet"/>
      <w:lvlText w:val="o"/>
      <w:lvlJc w:val="left"/>
      <w:pPr>
        <w:ind w:left="5749" w:hanging="360"/>
      </w:pPr>
      <w:rPr>
        <w:rFonts w:ascii="Courier New" w:eastAsia="Courier New" w:hAnsi="Courier New" w:cs="Courier New" w:hint="default"/>
      </w:rPr>
    </w:lvl>
    <w:lvl w:ilvl="8" w:tplc="495CB80E">
      <w:start w:val="1"/>
      <w:numFmt w:val="bullet"/>
      <w:lvlText w:val="§"/>
      <w:lvlJc w:val="left"/>
      <w:pPr>
        <w:ind w:left="6469" w:hanging="360"/>
      </w:pPr>
      <w:rPr>
        <w:rFonts w:ascii="Wingdings" w:eastAsia="Wingdings" w:hAnsi="Wingdings" w:cs="Wingdings" w:hint="default"/>
      </w:rPr>
    </w:lvl>
  </w:abstractNum>
  <w:abstractNum w:abstractNumId="16" w15:restartNumberingAfterBreak="0">
    <w:nsid w:val="14C20C01"/>
    <w:multiLevelType w:val="hybridMultilevel"/>
    <w:tmpl w:val="6CD213EE"/>
    <w:lvl w:ilvl="0" w:tplc="C7443696">
      <w:numFmt w:val="bullet"/>
      <w:lvlText w:val="-"/>
      <w:lvlJc w:val="left"/>
      <w:pPr>
        <w:ind w:left="720" w:hanging="360"/>
      </w:pPr>
      <w:rPr>
        <w:rFonts w:ascii="Amnesty Trade Gothic" w:eastAsia="Amnesty Trade Gothic" w:hAnsi="Amnesty Trade Gothic" w:cs="Amnesty Trade Gothic" w:hint="default"/>
        <w:b/>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8202954"/>
    <w:multiLevelType w:val="hybridMultilevel"/>
    <w:tmpl w:val="7F10ED5C"/>
    <w:lvl w:ilvl="0" w:tplc="A300ACD0">
      <w:start w:val="1"/>
      <w:numFmt w:val="bullet"/>
      <w:lvlText w:val="§"/>
      <w:lvlJc w:val="left"/>
      <w:pPr>
        <w:ind w:left="720" w:hanging="360"/>
      </w:pPr>
      <w:rPr>
        <w:rFonts w:ascii="Wingdings" w:eastAsia="Wingdings" w:hAnsi="Wingdings" w:cs="Wingdings"/>
      </w:rPr>
    </w:lvl>
    <w:lvl w:ilvl="1" w:tplc="4A0E6590">
      <w:start w:val="1"/>
      <w:numFmt w:val="bullet"/>
      <w:lvlText w:val="o"/>
      <w:lvlJc w:val="left"/>
      <w:pPr>
        <w:ind w:left="1440" w:hanging="360"/>
      </w:pPr>
      <w:rPr>
        <w:rFonts w:ascii="Courier New" w:eastAsia="Courier New" w:hAnsi="Courier New" w:cs="Courier New" w:hint="default"/>
      </w:rPr>
    </w:lvl>
    <w:lvl w:ilvl="2" w:tplc="A97C9056">
      <w:start w:val="1"/>
      <w:numFmt w:val="bullet"/>
      <w:lvlText w:val="§"/>
      <w:lvlJc w:val="left"/>
      <w:pPr>
        <w:ind w:left="2160" w:hanging="360"/>
      </w:pPr>
      <w:rPr>
        <w:rFonts w:ascii="Wingdings" w:eastAsia="Wingdings" w:hAnsi="Wingdings" w:cs="Wingdings" w:hint="default"/>
      </w:rPr>
    </w:lvl>
    <w:lvl w:ilvl="3" w:tplc="99A4D746">
      <w:start w:val="1"/>
      <w:numFmt w:val="bullet"/>
      <w:lvlText w:val="·"/>
      <w:lvlJc w:val="left"/>
      <w:pPr>
        <w:ind w:left="2880" w:hanging="360"/>
      </w:pPr>
      <w:rPr>
        <w:rFonts w:ascii="Symbol" w:eastAsia="Symbol" w:hAnsi="Symbol" w:cs="Symbol" w:hint="default"/>
      </w:rPr>
    </w:lvl>
    <w:lvl w:ilvl="4" w:tplc="1542F910">
      <w:start w:val="1"/>
      <w:numFmt w:val="bullet"/>
      <w:lvlText w:val="o"/>
      <w:lvlJc w:val="left"/>
      <w:pPr>
        <w:ind w:left="3600" w:hanging="360"/>
      </w:pPr>
      <w:rPr>
        <w:rFonts w:ascii="Courier New" w:eastAsia="Courier New" w:hAnsi="Courier New" w:cs="Courier New" w:hint="default"/>
      </w:rPr>
    </w:lvl>
    <w:lvl w:ilvl="5" w:tplc="901854E8">
      <w:start w:val="1"/>
      <w:numFmt w:val="bullet"/>
      <w:lvlText w:val="§"/>
      <w:lvlJc w:val="left"/>
      <w:pPr>
        <w:ind w:left="4320" w:hanging="360"/>
      </w:pPr>
      <w:rPr>
        <w:rFonts w:ascii="Wingdings" w:eastAsia="Wingdings" w:hAnsi="Wingdings" w:cs="Wingdings" w:hint="default"/>
      </w:rPr>
    </w:lvl>
    <w:lvl w:ilvl="6" w:tplc="A81CC550">
      <w:start w:val="1"/>
      <w:numFmt w:val="bullet"/>
      <w:lvlText w:val="·"/>
      <w:lvlJc w:val="left"/>
      <w:pPr>
        <w:ind w:left="5040" w:hanging="360"/>
      </w:pPr>
      <w:rPr>
        <w:rFonts w:ascii="Symbol" w:eastAsia="Symbol" w:hAnsi="Symbol" w:cs="Symbol" w:hint="default"/>
      </w:rPr>
    </w:lvl>
    <w:lvl w:ilvl="7" w:tplc="26A83F92">
      <w:start w:val="1"/>
      <w:numFmt w:val="bullet"/>
      <w:lvlText w:val="o"/>
      <w:lvlJc w:val="left"/>
      <w:pPr>
        <w:ind w:left="5760" w:hanging="360"/>
      </w:pPr>
      <w:rPr>
        <w:rFonts w:ascii="Courier New" w:eastAsia="Courier New" w:hAnsi="Courier New" w:cs="Courier New" w:hint="default"/>
      </w:rPr>
    </w:lvl>
    <w:lvl w:ilvl="8" w:tplc="23921E0A">
      <w:start w:val="1"/>
      <w:numFmt w:val="bullet"/>
      <w:lvlText w:val="§"/>
      <w:lvlJc w:val="left"/>
      <w:pPr>
        <w:ind w:left="6480" w:hanging="360"/>
      </w:pPr>
      <w:rPr>
        <w:rFonts w:ascii="Wingdings" w:eastAsia="Wingdings" w:hAnsi="Wingdings" w:cs="Wingdings" w:hint="default"/>
      </w:rPr>
    </w:lvl>
  </w:abstractNum>
  <w:abstractNum w:abstractNumId="18"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D503825"/>
    <w:multiLevelType w:val="hybridMultilevel"/>
    <w:tmpl w:val="55CCDACE"/>
    <w:lvl w:ilvl="0" w:tplc="BA922736">
      <w:start w:val="1"/>
      <w:numFmt w:val="bullet"/>
      <w:lvlText w:val=""/>
      <w:lvlJc w:val="left"/>
      <w:pPr>
        <w:ind w:left="720" w:hanging="360"/>
      </w:pPr>
      <w:rPr>
        <w:rFonts w:ascii="Symbol" w:eastAsia="Symbol" w:hAnsi="Symbol" w:cs="Symbol" w:hint="default"/>
      </w:rPr>
    </w:lvl>
    <w:lvl w:ilvl="1" w:tplc="87B0E548">
      <w:start w:val="1"/>
      <w:numFmt w:val="bullet"/>
      <w:lvlText w:val="o"/>
      <w:lvlJc w:val="left"/>
      <w:pPr>
        <w:ind w:left="1440" w:hanging="360"/>
      </w:pPr>
      <w:rPr>
        <w:rFonts w:ascii="Courier New" w:eastAsia="Courier New" w:hAnsi="Courier New" w:cs="Courier New" w:hint="default"/>
      </w:rPr>
    </w:lvl>
    <w:lvl w:ilvl="2" w:tplc="B35662E6">
      <w:start w:val="1"/>
      <w:numFmt w:val="bullet"/>
      <w:lvlText w:val=""/>
      <w:lvlJc w:val="left"/>
      <w:pPr>
        <w:ind w:left="2160" w:hanging="360"/>
      </w:pPr>
      <w:rPr>
        <w:rFonts w:ascii="Wingdings" w:eastAsia="Wingdings" w:hAnsi="Wingdings" w:cs="Wingdings" w:hint="default"/>
      </w:rPr>
    </w:lvl>
    <w:lvl w:ilvl="3" w:tplc="7AF22874">
      <w:start w:val="1"/>
      <w:numFmt w:val="bullet"/>
      <w:lvlText w:val=""/>
      <w:lvlJc w:val="left"/>
      <w:pPr>
        <w:ind w:left="2880" w:hanging="360"/>
      </w:pPr>
      <w:rPr>
        <w:rFonts w:ascii="Symbol" w:eastAsia="Symbol" w:hAnsi="Symbol" w:cs="Symbol" w:hint="default"/>
      </w:rPr>
    </w:lvl>
    <w:lvl w:ilvl="4" w:tplc="46885422">
      <w:start w:val="1"/>
      <w:numFmt w:val="bullet"/>
      <w:lvlText w:val="o"/>
      <w:lvlJc w:val="left"/>
      <w:pPr>
        <w:ind w:left="3600" w:hanging="360"/>
      </w:pPr>
      <w:rPr>
        <w:rFonts w:ascii="Courier New" w:eastAsia="Courier New" w:hAnsi="Courier New" w:cs="Courier New" w:hint="default"/>
      </w:rPr>
    </w:lvl>
    <w:lvl w:ilvl="5" w:tplc="01B83020">
      <w:start w:val="1"/>
      <w:numFmt w:val="bullet"/>
      <w:lvlText w:val=""/>
      <w:lvlJc w:val="left"/>
      <w:pPr>
        <w:ind w:left="4320" w:hanging="360"/>
      </w:pPr>
      <w:rPr>
        <w:rFonts w:ascii="Wingdings" w:eastAsia="Wingdings" w:hAnsi="Wingdings" w:cs="Wingdings" w:hint="default"/>
      </w:rPr>
    </w:lvl>
    <w:lvl w:ilvl="6" w:tplc="AA46CB5C">
      <w:start w:val="1"/>
      <w:numFmt w:val="bullet"/>
      <w:lvlText w:val=""/>
      <w:lvlJc w:val="left"/>
      <w:pPr>
        <w:ind w:left="5040" w:hanging="360"/>
      </w:pPr>
      <w:rPr>
        <w:rFonts w:ascii="Symbol" w:eastAsia="Symbol" w:hAnsi="Symbol" w:cs="Symbol" w:hint="default"/>
      </w:rPr>
    </w:lvl>
    <w:lvl w:ilvl="7" w:tplc="25EE69B6">
      <w:start w:val="1"/>
      <w:numFmt w:val="bullet"/>
      <w:lvlText w:val="o"/>
      <w:lvlJc w:val="left"/>
      <w:pPr>
        <w:ind w:left="5760" w:hanging="360"/>
      </w:pPr>
      <w:rPr>
        <w:rFonts w:ascii="Courier New" w:eastAsia="Courier New" w:hAnsi="Courier New" w:cs="Courier New" w:hint="default"/>
      </w:rPr>
    </w:lvl>
    <w:lvl w:ilvl="8" w:tplc="C17A1510">
      <w:start w:val="1"/>
      <w:numFmt w:val="bullet"/>
      <w:lvlText w:val=""/>
      <w:lvlJc w:val="left"/>
      <w:pPr>
        <w:ind w:left="6480" w:hanging="360"/>
      </w:pPr>
      <w:rPr>
        <w:rFonts w:ascii="Wingdings" w:eastAsia="Wingdings" w:hAnsi="Wingdings" w:cs="Wingdings" w:hint="default"/>
      </w:rPr>
    </w:lvl>
  </w:abstractNum>
  <w:abstractNum w:abstractNumId="20"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29142C2"/>
    <w:multiLevelType w:val="hybridMultilevel"/>
    <w:tmpl w:val="9280D20C"/>
    <w:lvl w:ilvl="0" w:tplc="D16A7320">
      <w:start w:val="1"/>
      <w:numFmt w:val="bullet"/>
      <w:lvlText w:val="§"/>
      <w:lvlJc w:val="left"/>
      <w:pPr>
        <w:ind w:left="720" w:hanging="360"/>
      </w:pPr>
      <w:rPr>
        <w:rFonts w:ascii="Wingdings" w:eastAsia="Wingdings" w:hAnsi="Wingdings" w:cs="Wingdings"/>
      </w:rPr>
    </w:lvl>
    <w:lvl w:ilvl="1" w:tplc="0504ED96">
      <w:start w:val="1"/>
      <w:numFmt w:val="bullet"/>
      <w:lvlText w:val="o"/>
      <w:lvlJc w:val="left"/>
      <w:pPr>
        <w:ind w:left="1440" w:hanging="360"/>
      </w:pPr>
      <w:rPr>
        <w:rFonts w:ascii="Courier New" w:eastAsia="Courier New" w:hAnsi="Courier New" w:cs="Courier New" w:hint="default"/>
      </w:rPr>
    </w:lvl>
    <w:lvl w:ilvl="2" w:tplc="4FC6D0E8">
      <w:start w:val="1"/>
      <w:numFmt w:val="bullet"/>
      <w:lvlText w:val="§"/>
      <w:lvlJc w:val="left"/>
      <w:pPr>
        <w:ind w:left="2160" w:hanging="360"/>
      </w:pPr>
      <w:rPr>
        <w:rFonts w:ascii="Wingdings" w:eastAsia="Wingdings" w:hAnsi="Wingdings" w:cs="Wingdings" w:hint="default"/>
      </w:rPr>
    </w:lvl>
    <w:lvl w:ilvl="3" w:tplc="FE54970E">
      <w:start w:val="1"/>
      <w:numFmt w:val="bullet"/>
      <w:lvlText w:val="·"/>
      <w:lvlJc w:val="left"/>
      <w:pPr>
        <w:ind w:left="2880" w:hanging="360"/>
      </w:pPr>
      <w:rPr>
        <w:rFonts w:ascii="Symbol" w:eastAsia="Symbol" w:hAnsi="Symbol" w:cs="Symbol" w:hint="default"/>
      </w:rPr>
    </w:lvl>
    <w:lvl w:ilvl="4" w:tplc="9E2EEE9A">
      <w:start w:val="1"/>
      <w:numFmt w:val="bullet"/>
      <w:lvlText w:val="o"/>
      <w:lvlJc w:val="left"/>
      <w:pPr>
        <w:ind w:left="3600" w:hanging="360"/>
      </w:pPr>
      <w:rPr>
        <w:rFonts w:ascii="Courier New" w:eastAsia="Courier New" w:hAnsi="Courier New" w:cs="Courier New" w:hint="default"/>
      </w:rPr>
    </w:lvl>
    <w:lvl w:ilvl="5" w:tplc="230E3418">
      <w:start w:val="1"/>
      <w:numFmt w:val="bullet"/>
      <w:lvlText w:val="§"/>
      <w:lvlJc w:val="left"/>
      <w:pPr>
        <w:ind w:left="4320" w:hanging="360"/>
      </w:pPr>
      <w:rPr>
        <w:rFonts w:ascii="Wingdings" w:eastAsia="Wingdings" w:hAnsi="Wingdings" w:cs="Wingdings" w:hint="default"/>
      </w:rPr>
    </w:lvl>
    <w:lvl w:ilvl="6" w:tplc="EF8EC772">
      <w:start w:val="1"/>
      <w:numFmt w:val="bullet"/>
      <w:lvlText w:val="·"/>
      <w:lvlJc w:val="left"/>
      <w:pPr>
        <w:ind w:left="5040" w:hanging="360"/>
      </w:pPr>
      <w:rPr>
        <w:rFonts w:ascii="Symbol" w:eastAsia="Symbol" w:hAnsi="Symbol" w:cs="Symbol" w:hint="default"/>
      </w:rPr>
    </w:lvl>
    <w:lvl w:ilvl="7" w:tplc="DDC2EA3A">
      <w:start w:val="1"/>
      <w:numFmt w:val="bullet"/>
      <w:lvlText w:val="o"/>
      <w:lvlJc w:val="left"/>
      <w:pPr>
        <w:ind w:left="5760" w:hanging="360"/>
      </w:pPr>
      <w:rPr>
        <w:rFonts w:ascii="Courier New" w:eastAsia="Courier New" w:hAnsi="Courier New" w:cs="Courier New" w:hint="default"/>
      </w:rPr>
    </w:lvl>
    <w:lvl w:ilvl="8" w:tplc="70C0EABA">
      <w:start w:val="1"/>
      <w:numFmt w:val="bullet"/>
      <w:lvlText w:val="§"/>
      <w:lvlJc w:val="left"/>
      <w:pPr>
        <w:ind w:left="6480" w:hanging="360"/>
      </w:pPr>
      <w:rPr>
        <w:rFonts w:ascii="Wingdings" w:eastAsia="Wingdings" w:hAnsi="Wingdings" w:cs="Wingdings" w:hint="default"/>
      </w:rPr>
    </w:lvl>
  </w:abstractNum>
  <w:abstractNum w:abstractNumId="23" w15:restartNumberingAfterBreak="0">
    <w:nsid w:val="26276421"/>
    <w:multiLevelType w:val="hybridMultilevel"/>
    <w:tmpl w:val="39FAAA74"/>
    <w:lvl w:ilvl="0" w:tplc="A76C48CE">
      <w:start w:val="1"/>
      <w:numFmt w:val="bullet"/>
      <w:lvlText w:val="§"/>
      <w:lvlJc w:val="left"/>
      <w:pPr>
        <w:ind w:left="720" w:hanging="360"/>
      </w:pPr>
      <w:rPr>
        <w:rFonts w:ascii="Wingdings" w:eastAsia="Wingdings" w:hAnsi="Wingdings" w:cs="Wingdings"/>
      </w:rPr>
    </w:lvl>
    <w:lvl w:ilvl="1" w:tplc="7EE4912E">
      <w:start w:val="1"/>
      <w:numFmt w:val="bullet"/>
      <w:lvlText w:val="o"/>
      <w:lvlJc w:val="left"/>
      <w:pPr>
        <w:ind w:left="1440" w:hanging="360"/>
      </w:pPr>
      <w:rPr>
        <w:rFonts w:ascii="Courier New" w:eastAsia="Courier New" w:hAnsi="Courier New" w:cs="Courier New" w:hint="default"/>
      </w:rPr>
    </w:lvl>
    <w:lvl w:ilvl="2" w:tplc="00FC0FEE">
      <w:start w:val="1"/>
      <w:numFmt w:val="bullet"/>
      <w:lvlText w:val="§"/>
      <w:lvlJc w:val="left"/>
      <w:pPr>
        <w:ind w:left="2160" w:hanging="360"/>
      </w:pPr>
      <w:rPr>
        <w:rFonts w:ascii="Wingdings" w:eastAsia="Wingdings" w:hAnsi="Wingdings" w:cs="Wingdings" w:hint="default"/>
      </w:rPr>
    </w:lvl>
    <w:lvl w:ilvl="3" w:tplc="7278CBF0">
      <w:start w:val="1"/>
      <w:numFmt w:val="bullet"/>
      <w:lvlText w:val="·"/>
      <w:lvlJc w:val="left"/>
      <w:pPr>
        <w:ind w:left="2880" w:hanging="360"/>
      </w:pPr>
      <w:rPr>
        <w:rFonts w:ascii="Symbol" w:eastAsia="Symbol" w:hAnsi="Symbol" w:cs="Symbol" w:hint="default"/>
      </w:rPr>
    </w:lvl>
    <w:lvl w:ilvl="4" w:tplc="5876011A">
      <w:start w:val="1"/>
      <w:numFmt w:val="bullet"/>
      <w:lvlText w:val="o"/>
      <w:lvlJc w:val="left"/>
      <w:pPr>
        <w:ind w:left="3600" w:hanging="360"/>
      </w:pPr>
      <w:rPr>
        <w:rFonts w:ascii="Courier New" w:eastAsia="Courier New" w:hAnsi="Courier New" w:cs="Courier New" w:hint="default"/>
      </w:rPr>
    </w:lvl>
    <w:lvl w:ilvl="5" w:tplc="B572472A">
      <w:start w:val="1"/>
      <w:numFmt w:val="bullet"/>
      <w:lvlText w:val="§"/>
      <w:lvlJc w:val="left"/>
      <w:pPr>
        <w:ind w:left="4320" w:hanging="360"/>
      </w:pPr>
      <w:rPr>
        <w:rFonts w:ascii="Wingdings" w:eastAsia="Wingdings" w:hAnsi="Wingdings" w:cs="Wingdings" w:hint="default"/>
      </w:rPr>
    </w:lvl>
    <w:lvl w:ilvl="6" w:tplc="9BC2D6D6">
      <w:start w:val="1"/>
      <w:numFmt w:val="bullet"/>
      <w:lvlText w:val="·"/>
      <w:lvlJc w:val="left"/>
      <w:pPr>
        <w:ind w:left="5040" w:hanging="360"/>
      </w:pPr>
      <w:rPr>
        <w:rFonts w:ascii="Symbol" w:eastAsia="Symbol" w:hAnsi="Symbol" w:cs="Symbol" w:hint="default"/>
      </w:rPr>
    </w:lvl>
    <w:lvl w:ilvl="7" w:tplc="7132094A">
      <w:start w:val="1"/>
      <w:numFmt w:val="bullet"/>
      <w:lvlText w:val="o"/>
      <w:lvlJc w:val="left"/>
      <w:pPr>
        <w:ind w:left="5760" w:hanging="360"/>
      </w:pPr>
      <w:rPr>
        <w:rFonts w:ascii="Courier New" w:eastAsia="Courier New" w:hAnsi="Courier New" w:cs="Courier New" w:hint="default"/>
      </w:rPr>
    </w:lvl>
    <w:lvl w:ilvl="8" w:tplc="AC2A3C80">
      <w:start w:val="1"/>
      <w:numFmt w:val="bullet"/>
      <w:lvlText w:val="§"/>
      <w:lvlJc w:val="left"/>
      <w:pPr>
        <w:ind w:left="6480" w:hanging="360"/>
      </w:pPr>
      <w:rPr>
        <w:rFonts w:ascii="Wingdings" w:eastAsia="Wingdings" w:hAnsi="Wingdings" w:cs="Wingdings" w:hint="default"/>
      </w:rPr>
    </w:lvl>
  </w:abstractNum>
  <w:abstractNum w:abstractNumId="24"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EDC785A"/>
    <w:multiLevelType w:val="hybridMultilevel"/>
    <w:tmpl w:val="DF10F6D0"/>
    <w:lvl w:ilvl="0" w:tplc="317A688A">
      <w:start w:val="1"/>
      <w:numFmt w:val="bullet"/>
      <w:lvlText w:val="§"/>
      <w:lvlJc w:val="left"/>
      <w:pPr>
        <w:ind w:left="720" w:hanging="360"/>
      </w:pPr>
      <w:rPr>
        <w:rFonts w:ascii="Wingdings" w:eastAsia="Wingdings" w:hAnsi="Wingdings" w:cs="Wingdings"/>
      </w:rPr>
    </w:lvl>
    <w:lvl w:ilvl="1" w:tplc="DEBC63DC">
      <w:start w:val="1"/>
      <w:numFmt w:val="bullet"/>
      <w:lvlText w:val="o"/>
      <w:lvlJc w:val="left"/>
      <w:pPr>
        <w:ind w:left="1440" w:hanging="360"/>
      </w:pPr>
      <w:rPr>
        <w:rFonts w:ascii="Courier New" w:eastAsia="Courier New" w:hAnsi="Courier New" w:cs="Courier New" w:hint="default"/>
      </w:rPr>
    </w:lvl>
    <w:lvl w:ilvl="2" w:tplc="65F86B54">
      <w:start w:val="1"/>
      <w:numFmt w:val="bullet"/>
      <w:lvlText w:val="§"/>
      <w:lvlJc w:val="left"/>
      <w:pPr>
        <w:ind w:left="2160" w:hanging="360"/>
      </w:pPr>
      <w:rPr>
        <w:rFonts w:ascii="Wingdings" w:eastAsia="Wingdings" w:hAnsi="Wingdings" w:cs="Wingdings" w:hint="default"/>
      </w:rPr>
    </w:lvl>
    <w:lvl w:ilvl="3" w:tplc="02C8F98E">
      <w:start w:val="1"/>
      <w:numFmt w:val="bullet"/>
      <w:lvlText w:val="·"/>
      <w:lvlJc w:val="left"/>
      <w:pPr>
        <w:ind w:left="2880" w:hanging="360"/>
      </w:pPr>
      <w:rPr>
        <w:rFonts w:ascii="Symbol" w:eastAsia="Symbol" w:hAnsi="Symbol" w:cs="Symbol" w:hint="default"/>
      </w:rPr>
    </w:lvl>
    <w:lvl w:ilvl="4" w:tplc="7D2C6F4A">
      <w:start w:val="1"/>
      <w:numFmt w:val="bullet"/>
      <w:lvlText w:val="o"/>
      <w:lvlJc w:val="left"/>
      <w:pPr>
        <w:ind w:left="3600" w:hanging="360"/>
      </w:pPr>
      <w:rPr>
        <w:rFonts w:ascii="Courier New" w:eastAsia="Courier New" w:hAnsi="Courier New" w:cs="Courier New" w:hint="default"/>
      </w:rPr>
    </w:lvl>
    <w:lvl w:ilvl="5" w:tplc="D1EA8E94">
      <w:start w:val="1"/>
      <w:numFmt w:val="bullet"/>
      <w:lvlText w:val="§"/>
      <w:lvlJc w:val="left"/>
      <w:pPr>
        <w:ind w:left="4320" w:hanging="360"/>
      </w:pPr>
      <w:rPr>
        <w:rFonts w:ascii="Wingdings" w:eastAsia="Wingdings" w:hAnsi="Wingdings" w:cs="Wingdings" w:hint="default"/>
      </w:rPr>
    </w:lvl>
    <w:lvl w:ilvl="6" w:tplc="3C5A98FE">
      <w:start w:val="1"/>
      <w:numFmt w:val="bullet"/>
      <w:lvlText w:val="·"/>
      <w:lvlJc w:val="left"/>
      <w:pPr>
        <w:ind w:left="5040" w:hanging="360"/>
      </w:pPr>
      <w:rPr>
        <w:rFonts w:ascii="Symbol" w:eastAsia="Symbol" w:hAnsi="Symbol" w:cs="Symbol" w:hint="default"/>
      </w:rPr>
    </w:lvl>
    <w:lvl w:ilvl="7" w:tplc="B26A1D20">
      <w:start w:val="1"/>
      <w:numFmt w:val="bullet"/>
      <w:lvlText w:val="o"/>
      <w:lvlJc w:val="left"/>
      <w:pPr>
        <w:ind w:left="5760" w:hanging="360"/>
      </w:pPr>
      <w:rPr>
        <w:rFonts w:ascii="Courier New" w:eastAsia="Courier New" w:hAnsi="Courier New" w:cs="Courier New" w:hint="default"/>
      </w:rPr>
    </w:lvl>
    <w:lvl w:ilvl="8" w:tplc="A55427B0">
      <w:start w:val="1"/>
      <w:numFmt w:val="bullet"/>
      <w:lvlText w:val="§"/>
      <w:lvlJc w:val="left"/>
      <w:pPr>
        <w:ind w:left="6480" w:hanging="360"/>
      </w:pPr>
      <w:rPr>
        <w:rFonts w:ascii="Wingdings" w:eastAsia="Wingdings" w:hAnsi="Wingdings" w:cs="Wingdings" w:hint="default"/>
      </w:rPr>
    </w:lvl>
  </w:abstractNum>
  <w:abstractNum w:abstractNumId="26" w15:restartNumberingAfterBreak="0">
    <w:nsid w:val="386F4619"/>
    <w:multiLevelType w:val="hybridMultilevel"/>
    <w:tmpl w:val="E886F592"/>
    <w:lvl w:ilvl="0" w:tplc="871A58E4">
      <w:start w:val="1"/>
      <w:numFmt w:val="bullet"/>
      <w:lvlText w:val="§"/>
      <w:lvlJc w:val="left"/>
      <w:pPr>
        <w:ind w:left="720" w:hanging="360"/>
      </w:pPr>
      <w:rPr>
        <w:rFonts w:ascii="Wingdings" w:eastAsia="Wingdings" w:hAnsi="Wingdings" w:cs="Wingdings"/>
      </w:rPr>
    </w:lvl>
    <w:lvl w:ilvl="1" w:tplc="79149012">
      <w:start w:val="1"/>
      <w:numFmt w:val="bullet"/>
      <w:lvlText w:val="o"/>
      <w:lvlJc w:val="left"/>
      <w:pPr>
        <w:ind w:left="1440" w:hanging="360"/>
      </w:pPr>
      <w:rPr>
        <w:rFonts w:ascii="Courier New" w:eastAsia="Courier New" w:hAnsi="Courier New" w:cs="Courier New" w:hint="default"/>
      </w:rPr>
    </w:lvl>
    <w:lvl w:ilvl="2" w:tplc="96F0F6D0">
      <w:start w:val="1"/>
      <w:numFmt w:val="bullet"/>
      <w:lvlText w:val="§"/>
      <w:lvlJc w:val="left"/>
      <w:pPr>
        <w:ind w:left="2160" w:hanging="360"/>
      </w:pPr>
      <w:rPr>
        <w:rFonts w:ascii="Wingdings" w:eastAsia="Wingdings" w:hAnsi="Wingdings" w:cs="Wingdings" w:hint="default"/>
      </w:rPr>
    </w:lvl>
    <w:lvl w:ilvl="3" w:tplc="2182D200">
      <w:start w:val="1"/>
      <w:numFmt w:val="bullet"/>
      <w:lvlText w:val="·"/>
      <w:lvlJc w:val="left"/>
      <w:pPr>
        <w:ind w:left="2880" w:hanging="360"/>
      </w:pPr>
      <w:rPr>
        <w:rFonts w:ascii="Symbol" w:eastAsia="Symbol" w:hAnsi="Symbol" w:cs="Symbol" w:hint="default"/>
      </w:rPr>
    </w:lvl>
    <w:lvl w:ilvl="4" w:tplc="E55C9F04">
      <w:start w:val="1"/>
      <w:numFmt w:val="bullet"/>
      <w:lvlText w:val="o"/>
      <w:lvlJc w:val="left"/>
      <w:pPr>
        <w:ind w:left="3600" w:hanging="360"/>
      </w:pPr>
      <w:rPr>
        <w:rFonts w:ascii="Courier New" w:eastAsia="Courier New" w:hAnsi="Courier New" w:cs="Courier New" w:hint="default"/>
      </w:rPr>
    </w:lvl>
    <w:lvl w:ilvl="5" w:tplc="E9005AF6">
      <w:start w:val="1"/>
      <w:numFmt w:val="bullet"/>
      <w:lvlText w:val="§"/>
      <w:lvlJc w:val="left"/>
      <w:pPr>
        <w:ind w:left="4320" w:hanging="360"/>
      </w:pPr>
      <w:rPr>
        <w:rFonts w:ascii="Wingdings" w:eastAsia="Wingdings" w:hAnsi="Wingdings" w:cs="Wingdings" w:hint="default"/>
      </w:rPr>
    </w:lvl>
    <w:lvl w:ilvl="6" w:tplc="068EC92A">
      <w:start w:val="1"/>
      <w:numFmt w:val="bullet"/>
      <w:lvlText w:val="·"/>
      <w:lvlJc w:val="left"/>
      <w:pPr>
        <w:ind w:left="5040" w:hanging="360"/>
      </w:pPr>
      <w:rPr>
        <w:rFonts w:ascii="Symbol" w:eastAsia="Symbol" w:hAnsi="Symbol" w:cs="Symbol" w:hint="default"/>
      </w:rPr>
    </w:lvl>
    <w:lvl w:ilvl="7" w:tplc="07742F04">
      <w:start w:val="1"/>
      <w:numFmt w:val="bullet"/>
      <w:lvlText w:val="o"/>
      <w:lvlJc w:val="left"/>
      <w:pPr>
        <w:ind w:left="5760" w:hanging="360"/>
      </w:pPr>
      <w:rPr>
        <w:rFonts w:ascii="Courier New" w:eastAsia="Courier New" w:hAnsi="Courier New" w:cs="Courier New" w:hint="default"/>
      </w:rPr>
    </w:lvl>
    <w:lvl w:ilvl="8" w:tplc="23168C6C">
      <w:start w:val="1"/>
      <w:numFmt w:val="bullet"/>
      <w:lvlText w:val="§"/>
      <w:lvlJc w:val="left"/>
      <w:pPr>
        <w:ind w:left="6480" w:hanging="360"/>
      </w:pPr>
      <w:rPr>
        <w:rFonts w:ascii="Wingdings" w:eastAsia="Wingdings" w:hAnsi="Wingdings" w:cs="Wingdings" w:hint="default"/>
      </w:rPr>
    </w:lvl>
  </w:abstractNum>
  <w:abstractNum w:abstractNumId="27" w15:restartNumberingAfterBreak="0">
    <w:nsid w:val="39F10215"/>
    <w:multiLevelType w:val="hybridMultilevel"/>
    <w:tmpl w:val="06E004DA"/>
    <w:lvl w:ilvl="0" w:tplc="5BDA36FC">
      <w:start w:val="1"/>
      <w:numFmt w:val="bullet"/>
      <w:lvlText w:val="§"/>
      <w:lvlJc w:val="left"/>
      <w:pPr>
        <w:ind w:left="720" w:hanging="360"/>
      </w:pPr>
      <w:rPr>
        <w:rFonts w:ascii="Wingdings" w:eastAsia="Wingdings" w:hAnsi="Wingdings" w:cs="Wingdings"/>
      </w:rPr>
    </w:lvl>
    <w:lvl w:ilvl="1" w:tplc="B8807514">
      <w:start w:val="1"/>
      <w:numFmt w:val="bullet"/>
      <w:lvlText w:val="o"/>
      <w:lvlJc w:val="left"/>
      <w:pPr>
        <w:ind w:left="1440" w:hanging="360"/>
      </w:pPr>
      <w:rPr>
        <w:rFonts w:ascii="Courier New" w:eastAsia="Courier New" w:hAnsi="Courier New" w:cs="Courier New" w:hint="default"/>
      </w:rPr>
    </w:lvl>
    <w:lvl w:ilvl="2" w:tplc="FBF20EDA">
      <w:start w:val="1"/>
      <w:numFmt w:val="bullet"/>
      <w:lvlText w:val="§"/>
      <w:lvlJc w:val="left"/>
      <w:pPr>
        <w:ind w:left="2160" w:hanging="360"/>
      </w:pPr>
      <w:rPr>
        <w:rFonts w:ascii="Wingdings" w:eastAsia="Wingdings" w:hAnsi="Wingdings" w:cs="Wingdings" w:hint="default"/>
      </w:rPr>
    </w:lvl>
    <w:lvl w:ilvl="3" w:tplc="2F82D77A">
      <w:start w:val="1"/>
      <w:numFmt w:val="bullet"/>
      <w:lvlText w:val="·"/>
      <w:lvlJc w:val="left"/>
      <w:pPr>
        <w:ind w:left="2880" w:hanging="360"/>
      </w:pPr>
      <w:rPr>
        <w:rFonts w:ascii="Symbol" w:eastAsia="Symbol" w:hAnsi="Symbol" w:cs="Symbol" w:hint="default"/>
      </w:rPr>
    </w:lvl>
    <w:lvl w:ilvl="4" w:tplc="0480E538">
      <w:start w:val="1"/>
      <w:numFmt w:val="bullet"/>
      <w:lvlText w:val="o"/>
      <w:lvlJc w:val="left"/>
      <w:pPr>
        <w:ind w:left="3600" w:hanging="360"/>
      </w:pPr>
      <w:rPr>
        <w:rFonts w:ascii="Courier New" w:eastAsia="Courier New" w:hAnsi="Courier New" w:cs="Courier New" w:hint="default"/>
      </w:rPr>
    </w:lvl>
    <w:lvl w:ilvl="5" w:tplc="320C6B8A">
      <w:start w:val="1"/>
      <w:numFmt w:val="bullet"/>
      <w:lvlText w:val="§"/>
      <w:lvlJc w:val="left"/>
      <w:pPr>
        <w:ind w:left="4320" w:hanging="360"/>
      </w:pPr>
      <w:rPr>
        <w:rFonts w:ascii="Wingdings" w:eastAsia="Wingdings" w:hAnsi="Wingdings" w:cs="Wingdings" w:hint="default"/>
      </w:rPr>
    </w:lvl>
    <w:lvl w:ilvl="6" w:tplc="2F984904">
      <w:start w:val="1"/>
      <w:numFmt w:val="bullet"/>
      <w:lvlText w:val="·"/>
      <w:lvlJc w:val="left"/>
      <w:pPr>
        <w:ind w:left="5040" w:hanging="360"/>
      </w:pPr>
      <w:rPr>
        <w:rFonts w:ascii="Symbol" w:eastAsia="Symbol" w:hAnsi="Symbol" w:cs="Symbol" w:hint="default"/>
      </w:rPr>
    </w:lvl>
    <w:lvl w:ilvl="7" w:tplc="86FCEF04">
      <w:start w:val="1"/>
      <w:numFmt w:val="bullet"/>
      <w:lvlText w:val="o"/>
      <w:lvlJc w:val="left"/>
      <w:pPr>
        <w:ind w:left="5760" w:hanging="360"/>
      </w:pPr>
      <w:rPr>
        <w:rFonts w:ascii="Courier New" w:eastAsia="Courier New" w:hAnsi="Courier New" w:cs="Courier New" w:hint="default"/>
      </w:rPr>
    </w:lvl>
    <w:lvl w:ilvl="8" w:tplc="08CA6AD6">
      <w:start w:val="1"/>
      <w:numFmt w:val="bullet"/>
      <w:lvlText w:val="§"/>
      <w:lvlJc w:val="left"/>
      <w:pPr>
        <w:ind w:left="6480" w:hanging="360"/>
      </w:pPr>
      <w:rPr>
        <w:rFonts w:ascii="Wingdings" w:eastAsia="Wingdings" w:hAnsi="Wingdings" w:cs="Wingdings" w:hint="default"/>
      </w:rPr>
    </w:lvl>
  </w:abstractNum>
  <w:abstractNum w:abstractNumId="28" w15:restartNumberingAfterBreak="0">
    <w:nsid w:val="3FA72529"/>
    <w:multiLevelType w:val="hybridMultilevel"/>
    <w:tmpl w:val="AD4A6B12"/>
    <w:lvl w:ilvl="0" w:tplc="FFFFFFFF">
      <w:start w:val="1"/>
      <w:numFmt w:val="bullet"/>
      <w:lvlText w:val="§"/>
      <w:lvlJc w:val="left"/>
      <w:pPr>
        <w:ind w:left="720" w:hanging="360"/>
      </w:pPr>
      <w:rPr>
        <w:rFonts w:ascii="Wingdings" w:hAnsi="Wingdings" w:hint="default"/>
      </w:rPr>
    </w:lvl>
    <w:lvl w:ilvl="1" w:tplc="948AD560">
      <w:start w:val="1"/>
      <w:numFmt w:val="bullet"/>
      <w:lvlText w:val="o"/>
      <w:lvlJc w:val="left"/>
      <w:pPr>
        <w:ind w:left="1440" w:hanging="360"/>
      </w:pPr>
      <w:rPr>
        <w:rFonts w:ascii="Courier New" w:eastAsia="Courier New" w:hAnsi="Courier New" w:cs="Courier New" w:hint="default"/>
      </w:rPr>
    </w:lvl>
    <w:lvl w:ilvl="2" w:tplc="46580B3A">
      <w:start w:val="1"/>
      <w:numFmt w:val="bullet"/>
      <w:lvlText w:val="§"/>
      <w:lvlJc w:val="left"/>
      <w:pPr>
        <w:ind w:left="2160" w:hanging="360"/>
      </w:pPr>
      <w:rPr>
        <w:rFonts w:ascii="Wingdings" w:eastAsia="Wingdings" w:hAnsi="Wingdings" w:cs="Wingdings" w:hint="default"/>
      </w:rPr>
    </w:lvl>
    <w:lvl w:ilvl="3" w:tplc="0DE6922A">
      <w:start w:val="1"/>
      <w:numFmt w:val="bullet"/>
      <w:lvlText w:val="·"/>
      <w:lvlJc w:val="left"/>
      <w:pPr>
        <w:ind w:left="2880" w:hanging="360"/>
      </w:pPr>
      <w:rPr>
        <w:rFonts w:ascii="Symbol" w:eastAsia="Symbol" w:hAnsi="Symbol" w:cs="Symbol" w:hint="default"/>
      </w:rPr>
    </w:lvl>
    <w:lvl w:ilvl="4" w:tplc="FA6EDDEA">
      <w:start w:val="1"/>
      <w:numFmt w:val="bullet"/>
      <w:lvlText w:val="o"/>
      <w:lvlJc w:val="left"/>
      <w:pPr>
        <w:ind w:left="3600" w:hanging="360"/>
      </w:pPr>
      <w:rPr>
        <w:rFonts w:ascii="Courier New" w:eastAsia="Courier New" w:hAnsi="Courier New" w:cs="Courier New" w:hint="default"/>
      </w:rPr>
    </w:lvl>
    <w:lvl w:ilvl="5" w:tplc="F8E88240">
      <w:start w:val="1"/>
      <w:numFmt w:val="bullet"/>
      <w:lvlText w:val="§"/>
      <w:lvlJc w:val="left"/>
      <w:pPr>
        <w:ind w:left="4320" w:hanging="360"/>
      </w:pPr>
      <w:rPr>
        <w:rFonts w:ascii="Wingdings" w:eastAsia="Wingdings" w:hAnsi="Wingdings" w:cs="Wingdings" w:hint="default"/>
      </w:rPr>
    </w:lvl>
    <w:lvl w:ilvl="6" w:tplc="3508D4DA">
      <w:start w:val="1"/>
      <w:numFmt w:val="bullet"/>
      <w:lvlText w:val="·"/>
      <w:lvlJc w:val="left"/>
      <w:pPr>
        <w:ind w:left="5040" w:hanging="360"/>
      </w:pPr>
      <w:rPr>
        <w:rFonts w:ascii="Symbol" w:eastAsia="Symbol" w:hAnsi="Symbol" w:cs="Symbol" w:hint="default"/>
      </w:rPr>
    </w:lvl>
    <w:lvl w:ilvl="7" w:tplc="6BE2348E">
      <w:start w:val="1"/>
      <w:numFmt w:val="bullet"/>
      <w:lvlText w:val="o"/>
      <w:lvlJc w:val="left"/>
      <w:pPr>
        <w:ind w:left="5760" w:hanging="360"/>
      </w:pPr>
      <w:rPr>
        <w:rFonts w:ascii="Courier New" w:eastAsia="Courier New" w:hAnsi="Courier New" w:cs="Courier New" w:hint="default"/>
      </w:rPr>
    </w:lvl>
    <w:lvl w:ilvl="8" w:tplc="BB8C6DDE">
      <w:start w:val="1"/>
      <w:numFmt w:val="bullet"/>
      <w:lvlText w:val="§"/>
      <w:lvlJc w:val="left"/>
      <w:pPr>
        <w:ind w:left="6480" w:hanging="360"/>
      </w:pPr>
      <w:rPr>
        <w:rFonts w:ascii="Wingdings" w:eastAsia="Wingdings" w:hAnsi="Wingdings" w:cs="Wingdings" w:hint="default"/>
      </w:rPr>
    </w:lvl>
  </w:abstractNum>
  <w:abstractNum w:abstractNumId="29" w15:restartNumberingAfterBreak="0">
    <w:nsid w:val="3FC63E95"/>
    <w:multiLevelType w:val="hybridMultilevel"/>
    <w:tmpl w:val="2ADCAA84"/>
    <w:lvl w:ilvl="0" w:tplc="3B28CF1A">
      <w:start w:val="1"/>
      <w:numFmt w:val="bullet"/>
      <w:lvlText w:val="§"/>
      <w:lvlJc w:val="left"/>
      <w:pPr>
        <w:ind w:left="720" w:hanging="360"/>
      </w:pPr>
      <w:rPr>
        <w:rFonts w:ascii="Wingdings" w:eastAsia="Wingdings" w:hAnsi="Wingdings" w:cs="Wingdings"/>
      </w:rPr>
    </w:lvl>
    <w:lvl w:ilvl="1" w:tplc="9B64F05E">
      <w:start w:val="1"/>
      <w:numFmt w:val="bullet"/>
      <w:lvlText w:val="o"/>
      <w:lvlJc w:val="left"/>
      <w:pPr>
        <w:ind w:left="1440" w:hanging="360"/>
      </w:pPr>
      <w:rPr>
        <w:rFonts w:ascii="Courier New" w:eastAsia="Courier New" w:hAnsi="Courier New" w:cs="Courier New" w:hint="default"/>
      </w:rPr>
    </w:lvl>
    <w:lvl w:ilvl="2" w:tplc="0A58574E">
      <w:start w:val="1"/>
      <w:numFmt w:val="bullet"/>
      <w:lvlText w:val="§"/>
      <w:lvlJc w:val="left"/>
      <w:pPr>
        <w:ind w:left="2160" w:hanging="360"/>
      </w:pPr>
      <w:rPr>
        <w:rFonts w:ascii="Wingdings" w:eastAsia="Wingdings" w:hAnsi="Wingdings" w:cs="Wingdings" w:hint="default"/>
      </w:rPr>
    </w:lvl>
    <w:lvl w:ilvl="3" w:tplc="BF001A3E">
      <w:start w:val="1"/>
      <w:numFmt w:val="bullet"/>
      <w:lvlText w:val="·"/>
      <w:lvlJc w:val="left"/>
      <w:pPr>
        <w:ind w:left="2880" w:hanging="360"/>
      </w:pPr>
      <w:rPr>
        <w:rFonts w:ascii="Symbol" w:eastAsia="Symbol" w:hAnsi="Symbol" w:cs="Symbol" w:hint="default"/>
      </w:rPr>
    </w:lvl>
    <w:lvl w:ilvl="4" w:tplc="3E8CD9A8">
      <w:start w:val="1"/>
      <w:numFmt w:val="bullet"/>
      <w:lvlText w:val="o"/>
      <w:lvlJc w:val="left"/>
      <w:pPr>
        <w:ind w:left="3600" w:hanging="360"/>
      </w:pPr>
      <w:rPr>
        <w:rFonts w:ascii="Courier New" w:eastAsia="Courier New" w:hAnsi="Courier New" w:cs="Courier New" w:hint="default"/>
      </w:rPr>
    </w:lvl>
    <w:lvl w:ilvl="5" w:tplc="AA0ABD2C">
      <w:start w:val="1"/>
      <w:numFmt w:val="bullet"/>
      <w:lvlText w:val="§"/>
      <w:lvlJc w:val="left"/>
      <w:pPr>
        <w:ind w:left="4320" w:hanging="360"/>
      </w:pPr>
      <w:rPr>
        <w:rFonts w:ascii="Wingdings" w:eastAsia="Wingdings" w:hAnsi="Wingdings" w:cs="Wingdings" w:hint="default"/>
      </w:rPr>
    </w:lvl>
    <w:lvl w:ilvl="6" w:tplc="F6C80708">
      <w:start w:val="1"/>
      <w:numFmt w:val="bullet"/>
      <w:lvlText w:val="·"/>
      <w:lvlJc w:val="left"/>
      <w:pPr>
        <w:ind w:left="5040" w:hanging="360"/>
      </w:pPr>
      <w:rPr>
        <w:rFonts w:ascii="Symbol" w:eastAsia="Symbol" w:hAnsi="Symbol" w:cs="Symbol" w:hint="default"/>
      </w:rPr>
    </w:lvl>
    <w:lvl w:ilvl="7" w:tplc="2190DD52">
      <w:start w:val="1"/>
      <w:numFmt w:val="bullet"/>
      <w:lvlText w:val="o"/>
      <w:lvlJc w:val="left"/>
      <w:pPr>
        <w:ind w:left="5760" w:hanging="360"/>
      </w:pPr>
      <w:rPr>
        <w:rFonts w:ascii="Courier New" w:eastAsia="Courier New" w:hAnsi="Courier New" w:cs="Courier New" w:hint="default"/>
      </w:rPr>
    </w:lvl>
    <w:lvl w:ilvl="8" w:tplc="42F88472">
      <w:start w:val="1"/>
      <w:numFmt w:val="bullet"/>
      <w:lvlText w:val="§"/>
      <w:lvlJc w:val="left"/>
      <w:pPr>
        <w:ind w:left="6480" w:hanging="360"/>
      </w:pPr>
      <w:rPr>
        <w:rFonts w:ascii="Wingdings" w:eastAsia="Wingdings" w:hAnsi="Wingdings" w:cs="Wingdings" w:hint="default"/>
      </w:rPr>
    </w:lvl>
  </w:abstractNum>
  <w:abstractNum w:abstractNumId="30" w15:restartNumberingAfterBreak="0">
    <w:nsid w:val="45EB00C5"/>
    <w:multiLevelType w:val="hybridMultilevel"/>
    <w:tmpl w:val="6D1E7246"/>
    <w:lvl w:ilvl="0" w:tplc="578AA9EA">
      <w:start w:val="1"/>
      <w:numFmt w:val="bullet"/>
      <w:lvlText w:val="§"/>
      <w:lvlJc w:val="left"/>
      <w:pPr>
        <w:ind w:left="709" w:hanging="360"/>
      </w:pPr>
      <w:rPr>
        <w:rFonts w:ascii="Wingdings" w:eastAsia="Wingdings" w:hAnsi="Wingdings" w:cs="Wingdings"/>
        <w:color w:val="000000" w:themeColor="text1"/>
      </w:rPr>
    </w:lvl>
    <w:lvl w:ilvl="1" w:tplc="29BA3802">
      <w:start w:val="1"/>
      <w:numFmt w:val="bullet"/>
      <w:lvlText w:val="o"/>
      <w:lvlJc w:val="left"/>
      <w:pPr>
        <w:ind w:left="1429" w:hanging="360"/>
      </w:pPr>
      <w:rPr>
        <w:rFonts w:ascii="Courier New" w:eastAsia="Courier New" w:hAnsi="Courier New" w:cs="Courier New" w:hint="default"/>
      </w:rPr>
    </w:lvl>
    <w:lvl w:ilvl="2" w:tplc="3738C506">
      <w:start w:val="1"/>
      <w:numFmt w:val="bullet"/>
      <w:lvlText w:val="§"/>
      <w:lvlJc w:val="left"/>
      <w:pPr>
        <w:ind w:left="2149" w:hanging="360"/>
      </w:pPr>
      <w:rPr>
        <w:rFonts w:ascii="Wingdings" w:eastAsia="Wingdings" w:hAnsi="Wingdings" w:cs="Wingdings" w:hint="default"/>
      </w:rPr>
    </w:lvl>
    <w:lvl w:ilvl="3" w:tplc="F400408E">
      <w:start w:val="1"/>
      <w:numFmt w:val="bullet"/>
      <w:lvlText w:val="·"/>
      <w:lvlJc w:val="left"/>
      <w:pPr>
        <w:ind w:left="2869" w:hanging="360"/>
      </w:pPr>
      <w:rPr>
        <w:rFonts w:ascii="Symbol" w:eastAsia="Symbol" w:hAnsi="Symbol" w:cs="Symbol" w:hint="default"/>
      </w:rPr>
    </w:lvl>
    <w:lvl w:ilvl="4" w:tplc="D86A11CC">
      <w:start w:val="1"/>
      <w:numFmt w:val="bullet"/>
      <w:lvlText w:val="o"/>
      <w:lvlJc w:val="left"/>
      <w:pPr>
        <w:ind w:left="3589" w:hanging="360"/>
      </w:pPr>
      <w:rPr>
        <w:rFonts w:ascii="Courier New" w:eastAsia="Courier New" w:hAnsi="Courier New" w:cs="Courier New" w:hint="default"/>
      </w:rPr>
    </w:lvl>
    <w:lvl w:ilvl="5" w:tplc="2174C9C2">
      <w:start w:val="1"/>
      <w:numFmt w:val="bullet"/>
      <w:lvlText w:val="§"/>
      <w:lvlJc w:val="left"/>
      <w:pPr>
        <w:ind w:left="4309" w:hanging="360"/>
      </w:pPr>
      <w:rPr>
        <w:rFonts w:ascii="Wingdings" w:eastAsia="Wingdings" w:hAnsi="Wingdings" w:cs="Wingdings" w:hint="default"/>
      </w:rPr>
    </w:lvl>
    <w:lvl w:ilvl="6" w:tplc="A37EA836">
      <w:start w:val="1"/>
      <w:numFmt w:val="bullet"/>
      <w:lvlText w:val="·"/>
      <w:lvlJc w:val="left"/>
      <w:pPr>
        <w:ind w:left="5029" w:hanging="360"/>
      </w:pPr>
      <w:rPr>
        <w:rFonts w:ascii="Symbol" w:eastAsia="Symbol" w:hAnsi="Symbol" w:cs="Symbol" w:hint="default"/>
      </w:rPr>
    </w:lvl>
    <w:lvl w:ilvl="7" w:tplc="CF20A7D0">
      <w:start w:val="1"/>
      <w:numFmt w:val="bullet"/>
      <w:lvlText w:val="o"/>
      <w:lvlJc w:val="left"/>
      <w:pPr>
        <w:ind w:left="5749" w:hanging="360"/>
      </w:pPr>
      <w:rPr>
        <w:rFonts w:ascii="Courier New" w:eastAsia="Courier New" w:hAnsi="Courier New" w:cs="Courier New" w:hint="default"/>
      </w:rPr>
    </w:lvl>
    <w:lvl w:ilvl="8" w:tplc="841495E0">
      <w:start w:val="1"/>
      <w:numFmt w:val="bullet"/>
      <w:lvlText w:val="§"/>
      <w:lvlJc w:val="left"/>
      <w:pPr>
        <w:ind w:left="6469" w:hanging="360"/>
      </w:pPr>
      <w:rPr>
        <w:rFonts w:ascii="Wingdings" w:eastAsia="Wingdings" w:hAnsi="Wingdings" w:cs="Wingdings" w:hint="default"/>
      </w:rPr>
    </w:lvl>
  </w:abstractNum>
  <w:abstractNum w:abstractNumId="31" w15:restartNumberingAfterBreak="0">
    <w:nsid w:val="4BAC3C2B"/>
    <w:multiLevelType w:val="hybridMultilevel"/>
    <w:tmpl w:val="17BE1336"/>
    <w:lvl w:ilvl="0" w:tplc="7ABE4A64">
      <w:start w:val="1"/>
      <w:numFmt w:val="bullet"/>
      <w:lvlText w:val="§"/>
      <w:lvlJc w:val="left"/>
      <w:pPr>
        <w:ind w:left="720" w:hanging="360"/>
      </w:pPr>
      <w:rPr>
        <w:rFonts w:ascii="Wingdings" w:eastAsia="Wingdings" w:hAnsi="Wingdings" w:cs="Wingdings"/>
      </w:rPr>
    </w:lvl>
    <w:lvl w:ilvl="1" w:tplc="4D7ABFF2">
      <w:start w:val="1"/>
      <w:numFmt w:val="bullet"/>
      <w:lvlText w:val="o"/>
      <w:lvlJc w:val="left"/>
      <w:pPr>
        <w:ind w:left="1440" w:hanging="360"/>
      </w:pPr>
      <w:rPr>
        <w:rFonts w:ascii="Courier New" w:eastAsia="Courier New" w:hAnsi="Courier New" w:cs="Courier New" w:hint="default"/>
      </w:rPr>
    </w:lvl>
    <w:lvl w:ilvl="2" w:tplc="478AD994">
      <w:start w:val="1"/>
      <w:numFmt w:val="bullet"/>
      <w:lvlText w:val="§"/>
      <w:lvlJc w:val="left"/>
      <w:pPr>
        <w:ind w:left="2160" w:hanging="360"/>
      </w:pPr>
      <w:rPr>
        <w:rFonts w:ascii="Wingdings" w:eastAsia="Wingdings" w:hAnsi="Wingdings" w:cs="Wingdings" w:hint="default"/>
      </w:rPr>
    </w:lvl>
    <w:lvl w:ilvl="3" w:tplc="8C6A5B50">
      <w:start w:val="1"/>
      <w:numFmt w:val="bullet"/>
      <w:lvlText w:val="·"/>
      <w:lvlJc w:val="left"/>
      <w:pPr>
        <w:ind w:left="2880" w:hanging="360"/>
      </w:pPr>
      <w:rPr>
        <w:rFonts w:ascii="Symbol" w:eastAsia="Symbol" w:hAnsi="Symbol" w:cs="Symbol" w:hint="default"/>
      </w:rPr>
    </w:lvl>
    <w:lvl w:ilvl="4" w:tplc="72D0F876">
      <w:start w:val="1"/>
      <w:numFmt w:val="bullet"/>
      <w:lvlText w:val="o"/>
      <w:lvlJc w:val="left"/>
      <w:pPr>
        <w:ind w:left="3600" w:hanging="360"/>
      </w:pPr>
      <w:rPr>
        <w:rFonts w:ascii="Courier New" w:eastAsia="Courier New" w:hAnsi="Courier New" w:cs="Courier New" w:hint="default"/>
      </w:rPr>
    </w:lvl>
    <w:lvl w:ilvl="5" w:tplc="6CC2D098">
      <w:start w:val="1"/>
      <w:numFmt w:val="bullet"/>
      <w:lvlText w:val="§"/>
      <w:lvlJc w:val="left"/>
      <w:pPr>
        <w:ind w:left="4320" w:hanging="360"/>
      </w:pPr>
      <w:rPr>
        <w:rFonts w:ascii="Wingdings" w:eastAsia="Wingdings" w:hAnsi="Wingdings" w:cs="Wingdings" w:hint="default"/>
      </w:rPr>
    </w:lvl>
    <w:lvl w:ilvl="6" w:tplc="DADCCE08">
      <w:start w:val="1"/>
      <w:numFmt w:val="bullet"/>
      <w:lvlText w:val="·"/>
      <w:lvlJc w:val="left"/>
      <w:pPr>
        <w:ind w:left="5040" w:hanging="360"/>
      </w:pPr>
      <w:rPr>
        <w:rFonts w:ascii="Symbol" w:eastAsia="Symbol" w:hAnsi="Symbol" w:cs="Symbol" w:hint="default"/>
      </w:rPr>
    </w:lvl>
    <w:lvl w:ilvl="7" w:tplc="C5FE2ABA">
      <w:start w:val="1"/>
      <w:numFmt w:val="bullet"/>
      <w:lvlText w:val="o"/>
      <w:lvlJc w:val="left"/>
      <w:pPr>
        <w:ind w:left="5760" w:hanging="360"/>
      </w:pPr>
      <w:rPr>
        <w:rFonts w:ascii="Courier New" w:eastAsia="Courier New" w:hAnsi="Courier New" w:cs="Courier New" w:hint="default"/>
      </w:rPr>
    </w:lvl>
    <w:lvl w:ilvl="8" w:tplc="907EB99E">
      <w:start w:val="1"/>
      <w:numFmt w:val="bullet"/>
      <w:lvlText w:val="§"/>
      <w:lvlJc w:val="left"/>
      <w:pPr>
        <w:ind w:left="6480" w:hanging="360"/>
      </w:pPr>
      <w:rPr>
        <w:rFonts w:ascii="Wingdings" w:eastAsia="Wingdings" w:hAnsi="Wingdings" w:cs="Wingdings" w:hint="default"/>
      </w:rPr>
    </w:lvl>
  </w:abstractNum>
  <w:abstractNum w:abstractNumId="32" w15:restartNumberingAfterBreak="0">
    <w:nsid w:val="4F6D4526"/>
    <w:multiLevelType w:val="multilevel"/>
    <w:tmpl w:val="712E5DF6"/>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53AC28E0"/>
    <w:multiLevelType w:val="hybridMultilevel"/>
    <w:tmpl w:val="972E505E"/>
    <w:lvl w:ilvl="0" w:tplc="8FEA9EE6">
      <w:start w:val="1"/>
      <w:numFmt w:val="bullet"/>
      <w:lvlText w:val=""/>
      <w:lvlJc w:val="left"/>
      <w:pPr>
        <w:ind w:left="720" w:hanging="360"/>
      </w:pPr>
      <w:rPr>
        <w:rFonts w:ascii="Symbol" w:hAnsi="Symbol" w:hint="default"/>
      </w:rPr>
    </w:lvl>
    <w:lvl w:ilvl="1" w:tplc="7A56AD80">
      <w:start w:val="1"/>
      <w:numFmt w:val="bullet"/>
      <w:lvlText w:val="o"/>
      <w:lvlJc w:val="left"/>
      <w:pPr>
        <w:ind w:left="1440" w:hanging="360"/>
      </w:pPr>
      <w:rPr>
        <w:rFonts w:ascii="Courier New" w:hAnsi="Courier New" w:cs="Courier New" w:hint="default"/>
      </w:rPr>
    </w:lvl>
    <w:lvl w:ilvl="2" w:tplc="93606600">
      <w:start w:val="1"/>
      <w:numFmt w:val="bullet"/>
      <w:lvlText w:val=""/>
      <w:lvlJc w:val="left"/>
      <w:pPr>
        <w:ind w:left="2160" w:hanging="360"/>
      </w:pPr>
      <w:rPr>
        <w:rFonts w:ascii="Wingdings" w:hAnsi="Wingdings" w:hint="default"/>
      </w:rPr>
    </w:lvl>
    <w:lvl w:ilvl="3" w:tplc="99A6FB3A">
      <w:start w:val="1"/>
      <w:numFmt w:val="bullet"/>
      <w:lvlText w:val=""/>
      <w:lvlJc w:val="left"/>
      <w:pPr>
        <w:ind w:left="2880" w:hanging="360"/>
      </w:pPr>
      <w:rPr>
        <w:rFonts w:ascii="Symbol" w:hAnsi="Symbol" w:hint="default"/>
      </w:rPr>
    </w:lvl>
    <w:lvl w:ilvl="4" w:tplc="82FEAA3C">
      <w:start w:val="1"/>
      <w:numFmt w:val="bullet"/>
      <w:lvlText w:val="o"/>
      <w:lvlJc w:val="left"/>
      <w:pPr>
        <w:ind w:left="3600" w:hanging="360"/>
      </w:pPr>
      <w:rPr>
        <w:rFonts w:ascii="Courier New" w:hAnsi="Courier New" w:cs="Courier New" w:hint="default"/>
      </w:rPr>
    </w:lvl>
    <w:lvl w:ilvl="5" w:tplc="584CDFAE">
      <w:start w:val="1"/>
      <w:numFmt w:val="bullet"/>
      <w:lvlText w:val=""/>
      <w:lvlJc w:val="left"/>
      <w:pPr>
        <w:ind w:left="4320" w:hanging="360"/>
      </w:pPr>
      <w:rPr>
        <w:rFonts w:ascii="Wingdings" w:hAnsi="Wingdings" w:hint="default"/>
      </w:rPr>
    </w:lvl>
    <w:lvl w:ilvl="6" w:tplc="9E9C75D8">
      <w:start w:val="1"/>
      <w:numFmt w:val="bullet"/>
      <w:lvlText w:val=""/>
      <w:lvlJc w:val="left"/>
      <w:pPr>
        <w:ind w:left="5040" w:hanging="360"/>
      </w:pPr>
      <w:rPr>
        <w:rFonts w:ascii="Symbol" w:hAnsi="Symbol" w:hint="default"/>
      </w:rPr>
    </w:lvl>
    <w:lvl w:ilvl="7" w:tplc="6C3A694A">
      <w:start w:val="1"/>
      <w:numFmt w:val="bullet"/>
      <w:lvlText w:val="o"/>
      <w:lvlJc w:val="left"/>
      <w:pPr>
        <w:ind w:left="5760" w:hanging="360"/>
      </w:pPr>
      <w:rPr>
        <w:rFonts w:ascii="Courier New" w:hAnsi="Courier New" w:cs="Courier New" w:hint="default"/>
      </w:rPr>
    </w:lvl>
    <w:lvl w:ilvl="8" w:tplc="B8981F76">
      <w:start w:val="1"/>
      <w:numFmt w:val="bullet"/>
      <w:lvlText w:val=""/>
      <w:lvlJc w:val="left"/>
      <w:pPr>
        <w:ind w:left="6480" w:hanging="360"/>
      </w:pPr>
      <w:rPr>
        <w:rFonts w:ascii="Wingdings" w:hAnsi="Wingdings" w:hint="default"/>
      </w:rPr>
    </w:lvl>
  </w:abstractNum>
  <w:abstractNum w:abstractNumId="34"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2A4A7B"/>
    <w:multiLevelType w:val="hybridMultilevel"/>
    <w:tmpl w:val="4E94EB52"/>
    <w:lvl w:ilvl="0" w:tplc="6CDEF962">
      <w:start w:val="1"/>
      <w:numFmt w:val="bullet"/>
      <w:lvlText w:val="§"/>
      <w:lvlJc w:val="left"/>
      <w:pPr>
        <w:ind w:left="720" w:hanging="360"/>
      </w:pPr>
      <w:rPr>
        <w:rFonts w:ascii="Wingdings" w:eastAsia="Wingdings" w:hAnsi="Wingdings" w:cs="Wingdings"/>
      </w:rPr>
    </w:lvl>
    <w:lvl w:ilvl="1" w:tplc="B8CCEB8C">
      <w:start w:val="1"/>
      <w:numFmt w:val="bullet"/>
      <w:lvlText w:val="o"/>
      <w:lvlJc w:val="left"/>
      <w:pPr>
        <w:ind w:left="1440" w:hanging="360"/>
      </w:pPr>
      <w:rPr>
        <w:rFonts w:ascii="Courier New" w:eastAsia="Courier New" w:hAnsi="Courier New" w:cs="Courier New" w:hint="default"/>
      </w:rPr>
    </w:lvl>
    <w:lvl w:ilvl="2" w:tplc="E8A49F38">
      <w:start w:val="1"/>
      <w:numFmt w:val="bullet"/>
      <w:lvlText w:val="§"/>
      <w:lvlJc w:val="left"/>
      <w:pPr>
        <w:ind w:left="2160" w:hanging="360"/>
      </w:pPr>
      <w:rPr>
        <w:rFonts w:ascii="Wingdings" w:eastAsia="Wingdings" w:hAnsi="Wingdings" w:cs="Wingdings" w:hint="default"/>
      </w:rPr>
    </w:lvl>
    <w:lvl w:ilvl="3" w:tplc="BFC2FBB0">
      <w:start w:val="1"/>
      <w:numFmt w:val="bullet"/>
      <w:lvlText w:val="·"/>
      <w:lvlJc w:val="left"/>
      <w:pPr>
        <w:ind w:left="2880" w:hanging="360"/>
      </w:pPr>
      <w:rPr>
        <w:rFonts w:ascii="Symbol" w:eastAsia="Symbol" w:hAnsi="Symbol" w:cs="Symbol" w:hint="default"/>
      </w:rPr>
    </w:lvl>
    <w:lvl w:ilvl="4" w:tplc="55B2F3EA">
      <w:start w:val="1"/>
      <w:numFmt w:val="bullet"/>
      <w:lvlText w:val="o"/>
      <w:lvlJc w:val="left"/>
      <w:pPr>
        <w:ind w:left="3600" w:hanging="360"/>
      </w:pPr>
      <w:rPr>
        <w:rFonts w:ascii="Courier New" w:eastAsia="Courier New" w:hAnsi="Courier New" w:cs="Courier New" w:hint="default"/>
      </w:rPr>
    </w:lvl>
    <w:lvl w:ilvl="5" w:tplc="146A8574">
      <w:start w:val="1"/>
      <w:numFmt w:val="bullet"/>
      <w:lvlText w:val="§"/>
      <w:lvlJc w:val="left"/>
      <w:pPr>
        <w:ind w:left="4320" w:hanging="360"/>
      </w:pPr>
      <w:rPr>
        <w:rFonts w:ascii="Wingdings" w:eastAsia="Wingdings" w:hAnsi="Wingdings" w:cs="Wingdings" w:hint="default"/>
      </w:rPr>
    </w:lvl>
    <w:lvl w:ilvl="6" w:tplc="34B2E65C">
      <w:start w:val="1"/>
      <w:numFmt w:val="bullet"/>
      <w:lvlText w:val="·"/>
      <w:lvlJc w:val="left"/>
      <w:pPr>
        <w:ind w:left="5040" w:hanging="360"/>
      </w:pPr>
      <w:rPr>
        <w:rFonts w:ascii="Symbol" w:eastAsia="Symbol" w:hAnsi="Symbol" w:cs="Symbol" w:hint="default"/>
      </w:rPr>
    </w:lvl>
    <w:lvl w:ilvl="7" w:tplc="1C8C6DDE">
      <w:start w:val="1"/>
      <w:numFmt w:val="bullet"/>
      <w:lvlText w:val="o"/>
      <w:lvlJc w:val="left"/>
      <w:pPr>
        <w:ind w:left="5760" w:hanging="360"/>
      </w:pPr>
      <w:rPr>
        <w:rFonts w:ascii="Courier New" w:eastAsia="Courier New" w:hAnsi="Courier New" w:cs="Courier New" w:hint="default"/>
      </w:rPr>
    </w:lvl>
    <w:lvl w:ilvl="8" w:tplc="51FC9932">
      <w:start w:val="1"/>
      <w:numFmt w:val="bullet"/>
      <w:lvlText w:val="§"/>
      <w:lvlJc w:val="left"/>
      <w:pPr>
        <w:ind w:left="6480" w:hanging="360"/>
      </w:pPr>
      <w:rPr>
        <w:rFonts w:ascii="Wingdings" w:eastAsia="Wingdings" w:hAnsi="Wingdings" w:cs="Wingdings" w:hint="default"/>
      </w:rPr>
    </w:lvl>
  </w:abstractNum>
  <w:abstractNum w:abstractNumId="36"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8" w15:restartNumberingAfterBreak="0">
    <w:nsid w:val="6D7E3856"/>
    <w:multiLevelType w:val="hybridMultilevel"/>
    <w:tmpl w:val="F3F49AD2"/>
    <w:lvl w:ilvl="0" w:tplc="EAF41858">
      <w:start w:val="1"/>
      <w:numFmt w:val="bullet"/>
      <w:lvlText w:val="§"/>
      <w:lvlJc w:val="left"/>
      <w:pPr>
        <w:ind w:left="709" w:hanging="360"/>
      </w:pPr>
      <w:rPr>
        <w:rFonts w:ascii="Wingdings" w:eastAsia="Wingdings" w:hAnsi="Wingdings" w:cs="Wingdings"/>
      </w:rPr>
    </w:lvl>
    <w:lvl w:ilvl="1" w:tplc="64DEF388">
      <w:start w:val="1"/>
      <w:numFmt w:val="bullet"/>
      <w:lvlText w:val="o"/>
      <w:lvlJc w:val="left"/>
      <w:pPr>
        <w:ind w:left="1429" w:hanging="360"/>
      </w:pPr>
      <w:rPr>
        <w:rFonts w:ascii="Courier New" w:eastAsia="Courier New" w:hAnsi="Courier New" w:cs="Courier New" w:hint="default"/>
      </w:rPr>
    </w:lvl>
    <w:lvl w:ilvl="2" w:tplc="43741426">
      <w:start w:val="1"/>
      <w:numFmt w:val="bullet"/>
      <w:lvlText w:val="§"/>
      <w:lvlJc w:val="left"/>
      <w:pPr>
        <w:ind w:left="2149" w:hanging="360"/>
      </w:pPr>
      <w:rPr>
        <w:rFonts w:ascii="Wingdings" w:eastAsia="Wingdings" w:hAnsi="Wingdings" w:cs="Wingdings" w:hint="default"/>
      </w:rPr>
    </w:lvl>
    <w:lvl w:ilvl="3" w:tplc="4E3A8908">
      <w:start w:val="1"/>
      <w:numFmt w:val="bullet"/>
      <w:lvlText w:val="·"/>
      <w:lvlJc w:val="left"/>
      <w:pPr>
        <w:ind w:left="2869" w:hanging="360"/>
      </w:pPr>
      <w:rPr>
        <w:rFonts w:ascii="Symbol" w:eastAsia="Symbol" w:hAnsi="Symbol" w:cs="Symbol" w:hint="default"/>
      </w:rPr>
    </w:lvl>
    <w:lvl w:ilvl="4" w:tplc="797C0CE6">
      <w:start w:val="1"/>
      <w:numFmt w:val="bullet"/>
      <w:lvlText w:val="o"/>
      <w:lvlJc w:val="left"/>
      <w:pPr>
        <w:ind w:left="3589" w:hanging="360"/>
      </w:pPr>
      <w:rPr>
        <w:rFonts w:ascii="Courier New" w:eastAsia="Courier New" w:hAnsi="Courier New" w:cs="Courier New" w:hint="default"/>
      </w:rPr>
    </w:lvl>
    <w:lvl w:ilvl="5" w:tplc="16BECB12">
      <w:start w:val="1"/>
      <w:numFmt w:val="bullet"/>
      <w:lvlText w:val="§"/>
      <w:lvlJc w:val="left"/>
      <w:pPr>
        <w:ind w:left="4309" w:hanging="360"/>
      </w:pPr>
      <w:rPr>
        <w:rFonts w:ascii="Wingdings" w:eastAsia="Wingdings" w:hAnsi="Wingdings" w:cs="Wingdings" w:hint="default"/>
      </w:rPr>
    </w:lvl>
    <w:lvl w:ilvl="6" w:tplc="2F94B55E">
      <w:start w:val="1"/>
      <w:numFmt w:val="bullet"/>
      <w:lvlText w:val="·"/>
      <w:lvlJc w:val="left"/>
      <w:pPr>
        <w:ind w:left="5029" w:hanging="360"/>
      </w:pPr>
      <w:rPr>
        <w:rFonts w:ascii="Symbol" w:eastAsia="Symbol" w:hAnsi="Symbol" w:cs="Symbol" w:hint="default"/>
      </w:rPr>
    </w:lvl>
    <w:lvl w:ilvl="7" w:tplc="81587F92">
      <w:start w:val="1"/>
      <w:numFmt w:val="bullet"/>
      <w:lvlText w:val="o"/>
      <w:lvlJc w:val="left"/>
      <w:pPr>
        <w:ind w:left="5749" w:hanging="360"/>
      </w:pPr>
      <w:rPr>
        <w:rFonts w:ascii="Courier New" w:eastAsia="Courier New" w:hAnsi="Courier New" w:cs="Courier New" w:hint="default"/>
      </w:rPr>
    </w:lvl>
    <w:lvl w:ilvl="8" w:tplc="A0AA0578">
      <w:start w:val="1"/>
      <w:numFmt w:val="bullet"/>
      <w:lvlText w:val="§"/>
      <w:lvlJc w:val="left"/>
      <w:pPr>
        <w:ind w:left="6469" w:hanging="360"/>
      </w:pPr>
      <w:rPr>
        <w:rFonts w:ascii="Wingdings" w:eastAsia="Wingdings" w:hAnsi="Wingdings" w:cs="Wingdings" w:hint="default"/>
      </w:rPr>
    </w:lvl>
  </w:abstractNum>
  <w:abstractNum w:abstractNumId="39" w15:restartNumberingAfterBreak="0">
    <w:nsid w:val="6E6262E4"/>
    <w:multiLevelType w:val="hybridMultilevel"/>
    <w:tmpl w:val="3DDCA7C8"/>
    <w:lvl w:ilvl="0" w:tplc="FFFFFFFF">
      <w:start w:val="1"/>
      <w:numFmt w:val="bullet"/>
      <w:lvlText w:val="§"/>
      <w:lvlJc w:val="left"/>
      <w:pPr>
        <w:ind w:left="720" w:hanging="360"/>
      </w:pPr>
      <w:rPr>
        <w:rFonts w:ascii="Wingdings" w:hAnsi="Wingdings" w:hint="default"/>
      </w:rPr>
    </w:lvl>
    <w:lvl w:ilvl="1" w:tplc="D1F67E0C">
      <w:start w:val="1"/>
      <w:numFmt w:val="bullet"/>
      <w:lvlText w:val="o"/>
      <w:lvlJc w:val="left"/>
      <w:pPr>
        <w:ind w:left="1440" w:hanging="360"/>
      </w:pPr>
      <w:rPr>
        <w:rFonts w:ascii="Courier New" w:eastAsia="Courier New" w:hAnsi="Courier New" w:cs="Courier New" w:hint="default"/>
      </w:rPr>
    </w:lvl>
    <w:lvl w:ilvl="2" w:tplc="F8520BEC">
      <w:start w:val="1"/>
      <w:numFmt w:val="bullet"/>
      <w:lvlText w:val="§"/>
      <w:lvlJc w:val="left"/>
      <w:pPr>
        <w:ind w:left="2160" w:hanging="360"/>
      </w:pPr>
      <w:rPr>
        <w:rFonts w:ascii="Wingdings" w:eastAsia="Wingdings" w:hAnsi="Wingdings" w:cs="Wingdings" w:hint="default"/>
      </w:rPr>
    </w:lvl>
    <w:lvl w:ilvl="3" w:tplc="AA422724">
      <w:start w:val="1"/>
      <w:numFmt w:val="bullet"/>
      <w:lvlText w:val="·"/>
      <w:lvlJc w:val="left"/>
      <w:pPr>
        <w:ind w:left="2880" w:hanging="360"/>
      </w:pPr>
      <w:rPr>
        <w:rFonts w:ascii="Symbol" w:eastAsia="Symbol" w:hAnsi="Symbol" w:cs="Symbol" w:hint="default"/>
      </w:rPr>
    </w:lvl>
    <w:lvl w:ilvl="4" w:tplc="0A7A60BE">
      <w:start w:val="1"/>
      <w:numFmt w:val="bullet"/>
      <w:lvlText w:val="o"/>
      <w:lvlJc w:val="left"/>
      <w:pPr>
        <w:ind w:left="3600" w:hanging="360"/>
      </w:pPr>
      <w:rPr>
        <w:rFonts w:ascii="Courier New" w:eastAsia="Courier New" w:hAnsi="Courier New" w:cs="Courier New" w:hint="default"/>
      </w:rPr>
    </w:lvl>
    <w:lvl w:ilvl="5" w:tplc="C9CC1DA6">
      <w:start w:val="1"/>
      <w:numFmt w:val="bullet"/>
      <w:lvlText w:val="§"/>
      <w:lvlJc w:val="left"/>
      <w:pPr>
        <w:ind w:left="4320" w:hanging="360"/>
      </w:pPr>
      <w:rPr>
        <w:rFonts w:ascii="Wingdings" w:eastAsia="Wingdings" w:hAnsi="Wingdings" w:cs="Wingdings" w:hint="default"/>
      </w:rPr>
    </w:lvl>
    <w:lvl w:ilvl="6" w:tplc="CBC85886">
      <w:start w:val="1"/>
      <w:numFmt w:val="bullet"/>
      <w:lvlText w:val="·"/>
      <w:lvlJc w:val="left"/>
      <w:pPr>
        <w:ind w:left="5040" w:hanging="360"/>
      </w:pPr>
      <w:rPr>
        <w:rFonts w:ascii="Symbol" w:eastAsia="Symbol" w:hAnsi="Symbol" w:cs="Symbol" w:hint="default"/>
      </w:rPr>
    </w:lvl>
    <w:lvl w:ilvl="7" w:tplc="A718DBF4">
      <w:start w:val="1"/>
      <w:numFmt w:val="bullet"/>
      <w:lvlText w:val="o"/>
      <w:lvlJc w:val="left"/>
      <w:pPr>
        <w:ind w:left="5760" w:hanging="360"/>
      </w:pPr>
      <w:rPr>
        <w:rFonts w:ascii="Courier New" w:eastAsia="Courier New" w:hAnsi="Courier New" w:cs="Courier New" w:hint="default"/>
      </w:rPr>
    </w:lvl>
    <w:lvl w:ilvl="8" w:tplc="AC12DCFA">
      <w:start w:val="1"/>
      <w:numFmt w:val="bullet"/>
      <w:lvlText w:val="§"/>
      <w:lvlJc w:val="left"/>
      <w:pPr>
        <w:ind w:left="6480" w:hanging="360"/>
      </w:pPr>
      <w:rPr>
        <w:rFonts w:ascii="Wingdings" w:eastAsia="Wingdings" w:hAnsi="Wingdings" w:cs="Wingdings" w:hint="default"/>
      </w:rPr>
    </w:lvl>
  </w:abstractNum>
  <w:abstractNum w:abstractNumId="40"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2035848">
    <w:abstractNumId w:val="37"/>
  </w:num>
  <w:num w:numId="2" w16cid:durableId="1928227333">
    <w:abstractNumId w:val="37"/>
  </w:num>
  <w:num w:numId="3" w16cid:durableId="391276411">
    <w:abstractNumId w:val="37"/>
  </w:num>
  <w:num w:numId="4" w16cid:durableId="783184740">
    <w:abstractNumId w:val="37"/>
  </w:num>
  <w:num w:numId="5" w16cid:durableId="1551267535">
    <w:abstractNumId w:val="37"/>
  </w:num>
  <w:num w:numId="6" w16cid:durableId="1009016709">
    <w:abstractNumId w:val="37"/>
  </w:num>
  <w:num w:numId="7" w16cid:durableId="1336806841">
    <w:abstractNumId w:val="37"/>
  </w:num>
  <w:num w:numId="8" w16cid:durableId="1089697524">
    <w:abstractNumId w:val="37"/>
  </w:num>
  <w:num w:numId="9" w16cid:durableId="1550535673">
    <w:abstractNumId w:val="36"/>
  </w:num>
  <w:num w:numId="10" w16cid:durableId="962883935">
    <w:abstractNumId w:val="40"/>
  </w:num>
  <w:num w:numId="11" w16cid:durableId="2140487109">
    <w:abstractNumId w:val="42"/>
  </w:num>
  <w:num w:numId="12" w16cid:durableId="769273119">
    <w:abstractNumId w:val="18"/>
  </w:num>
  <w:num w:numId="13" w16cid:durableId="933854903">
    <w:abstractNumId w:val="21"/>
  </w:num>
  <w:num w:numId="14" w16cid:durableId="1941140990">
    <w:abstractNumId w:val="10"/>
  </w:num>
  <w:num w:numId="15" w16cid:durableId="2093744255">
    <w:abstractNumId w:val="11"/>
  </w:num>
  <w:num w:numId="16" w16cid:durableId="819812948">
    <w:abstractNumId w:val="41"/>
  </w:num>
  <w:num w:numId="17" w16cid:durableId="896890442">
    <w:abstractNumId w:val="34"/>
  </w:num>
  <w:num w:numId="18" w16cid:durableId="1756053924">
    <w:abstractNumId w:val="9"/>
  </w:num>
  <w:num w:numId="19" w16cid:durableId="170607161">
    <w:abstractNumId w:val="7"/>
  </w:num>
  <w:num w:numId="20" w16cid:durableId="1069965249">
    <w:abstractNumId w:val="6"/>
  </w:num>
  <w:num w:numId="21" w16cid:durableId="860900953">
    <w:abstractNumId w:val="5"/>
  </w:num>
  <w:num w:numId="22" w16cid:durableId="286275461">
    <w:abstractNumId w:val="4"/>
  </w:num>
  <w:num w:numId="23" w16cid:durableId="1847817664">
    <w:abstractNumId w:val="8"/>
  </w:num>
  <w:num w:numId="24" w16cid:durableId="525022745">
    <w:abstractNumId w:val="3"/>
  </w:num>
  <w:num w:numId="25" w16cid:durableId="2127768453">
    <w:abstractNumId w:val="2"/>
  </w:num>
  <w:num w:numId="26" w16cid:durableId="1528057784">
    <w:abstractNumId w:val="1"/>
  </w:num>
  <w:num w:numId="27" w16cid:durableId="365058250">
    <w:abstractNumId w:val="0"/>
  </w:num>
  <w:num w:numId="28" w16cid:durableId="2131434074">
    <w:abstractNumId w:val="20"/>
  </w:num>
  <w:num w:numId="29" w16cid:durableId="150485061">
    <w:abstractNumId w:val="32"/>
  </w:num>
  <w:num w:numId="30" w16cid:durableId="722950182">
    <w:abstractNumId w:val="24"/>
  </w:num>
  <w:num w:numId="31" w16cid:durableId="42411929">
    <w:abstractNumId w:val="33"/>
  </w:num>
  <w:num w:numId="32" w16cid:durableId="1615357709">
    <w:abstractNumId w:val="14"/>
  </w:num>
  <w:num w:numId="33" w16cid:durableId="1428770867">
    <w:abstractNumId w:val="19"/>
  </w:num>
  <w:num w:numId="34" w16cid:durableId="96559217">
    <w:abstractNumId w:val="35"/>
  </w:num>
  <w:num w:numId="35" w16cid:durableId="917327790">
    <w:abstractNumId w:val="29"/>
  </w:num>
  <w:num w:numId="36" w16cid:durableId="659161224">
    <w:abstractNumId w:val="31"/>
  </w:num>
  <w:num w:numId="37" w16cid:durableId="1613782374">
    <w:abstractNumId w:val="39"/>
  </w:num>
  <w:num w:numId="38" w16cid:durableId="173619026">
    <w:abstractNumId w:val="28"/>
  </w:num>
  <w:num w:numId="39" w16cid:durableId="1859734821">
    <w:abstractNumId w:val="17"/>
  </w:num>
  <w:num w:numId="40" w16cid:durableId="1821075003">
    <w:abstractNumId w:val="22"/>
  </w:num>
  <w:num w:numId="41" w16cid:durableId="1029379625">
    <w:abstractNumId w:val="15"/>
  </w:num>
  <w:num w:numId="42" w16cid:durableId="2065131601">
    <w:abstractNumId w:val="26"/>
  </w:num>
  <w:num w:numId="43" w16cid:durableId="915699735">
    <w:abstractNumId w:val="23"/>
  </w:num>
  <w:num w:numId="44" w16cid:durableId="107049034">
    <w:abstractNumId w:val="38"/>
  </w:num>
  <w:num w:numId="45" w16cid:durableId="1452018363">
    <w:abstractNumId w:val="30"/>
  </w:num>
  <w:num w:numId="46" w16cid:durableId="1797024236">
    <w:abstractNumId w:val="27"/>
  </w:num>
  <w:num w:numId="47" w16cid:durableId="1158424435">
    <w:abstractNumId w:val="25"/>
  </w:num>
  <w:num w:numId="48" w16cid:durableId="1170363574">
    <w:abstractNumId w:val="13"/>
  </w:num>
  <w:num w:numId="49" w16cid:durableId="1565336047">
    <w:abstractNumId w:val="12"/>
  </w:num>
  <w:num w:numId="50" w16cid:durableId="57982546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isplayBackgroundShape/>
  <w:proofState w:spelling="clean" w:grammar="clean"/>
  <w:attachedTemplate r:id="rId1"/>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1250D"/>
    <w:rsid w:val="00014BD2"/>
    <w:rsid w:val="00021154"/>
    <w:rsid w:val="000216A6"/>
    <w:rsid w:val="00021885"/>
    <w:rsid w:val="00022B80"/>
    <w:rsid w:val="00024DCB"/>
    <w:rsid w:val="000259F7"/>
    <w:rsid w:val="00025AFD"/>
    <w:rsid w:val="00031C00"/>
    <w:rsid w:val="000357E2"/>
    <w:rsid w:val="0005087E"/>
    <w:rsid w:val="000604C6"/>
    <w:rsid w:val="00063F8B"/>
    <w:rsid w:val="000659FC"/>
    <w:rsid w:val="00065FFC"/>
    <w:rsid w:val="000660E7"/>
    <w:rsid w:val="0006664D"/>
    <w:rsid w:val="0006667A"/>
    <w:rsid w:val="00070213"/>
    <w:rsid w:val="00070657"/>
    <w:rsid w:val="0007677B"/>
    <w:rsid w:val="000808AF"/>
    <w:rsid w:val="00081537"/>
    <w:rsid w:val="0008415F"/>
    <w:rsid w:val="00085AA0"/>
    <w:rsid w:val="00087161"/>
    <w:rsid w:val="00090DB1"/>
    <w:rsid w:val="000922C7"/>
    <w:rsid w:val="000A1082"/>
    <w:rsid w:val="000A24AA"/>
    <w:rsid w:val="000A5C98"/>
    <w:rsid w:val="000B3317"/>
    <w:rsid w:val="000B3BD6"/>
    <w:rsid w:val="000B7EEA"/>
    <w:rsid w:val="000C2825"/>
    <w:rsid w:val="000C5B09"/>
    <w:rsid w:val="000D2BD5"/>
    <w:rsid w:val="000F5DC9"/>
    <w:rsid w:val="00104574"/>
    <w:rsid w:val="00106694"/>
    <w:rsid w:val="001078C8"/>
    <w:rsid w:val="00112CAF"/>
    <w:rsid w:val="00113E91"/>
    <w:rsid w:val="001140D3"/>
    <w:rsid w:val="001153D5"/>
    <w:rsid w:val="00116223"/>
    <w:rsid w:val="001169EE"/>
    <w:rsid w:val="001231E9"/>
    <w:rsid w:val="00124E0C"/>
    <w:rsid w:val="00125850"/>
    <w:rsid w:val="001263C5"/>
    <w:rsid w:val="00126A84"/>
    <w:rsid w:val="00130C4E"/>
    <w:rsid w:val="00131015"/>
    <w:rsid w:val="00132C3D"/>
    <w:rsid w:val="00132E35"/>
    <w:rsid w:val="00133535"/>
    <w:rsid w:val="00135C10"/>
    <w:rsid w:val="00136468"/>
    <w:rsid w:val="00137621"/>
    <w:rsid w:val="00140418"/>
    <w:rsid w:val="0014349E"/>
    <w:rsid w:val="0014679B"/>
    <w:rsid w:val="0015226A"/>
    <w:rsid w:val="00154926"/>
    <w:rsid w:val="0016172B"/>
    <w:rsid w:val="00162896"/>
    <w:rsid w:val="00163908"/>
    <w:rsid w:val="0016768A"/>
    <w:rsid w:val="00181769"/>
    <w:rsid w:val="001822A9"/>
    <w:rsid w:val="00183E7F"/>
    <w:rsid w:val="00186073"/>
    <w:rsid w:val="0018795D"/>
    <w:rsid w:val="0019203A"/>
    <w:rsid w:val="00195520"/>
    <w:rsid w:val="001A03AE"/>
    <w:rsid w:val="001A0E99"/>
    <w:rsid w:val="001A1A6A"/>
    <w:rsid w:val="001B2B26"/>
    <w:rsid w:val="001C2B8A"/>
    <w:rsid w:val="001C36E1"/>
    <w:rsid w:val="001C4B99"/>
    <w:rsid w:val="001C5866"/>
    <w:rsid w:val="001D411B"/>
    <w:rsid w:val="001D51A7"/>
    <w:rsid w:val="001D5317"/>
    <w:rsid w:val="001D7D31"/>
    <w:rsid w:val="001E449A"/>
    <w:rsid w:val="001E76B1"/>
    <w:rsid w:val="001E7BBB"/>
    <w:rsid w:val="001F0F4A"/>
    <w:rsid w:val="001F392A"/>
    <w:rsid w:val="001F6ADE"/>
    <w:rsid w:val="00210F45"/>
    <w:rsid w:val="0021319C"/>
    <w:rsid w:val="002146C5"/>
    <w:rsid w:val="00217DDF"/>
    <w:rsid w:val="00220669"/>
    <w:rsid w:val="0022451F"/>
    <w:rsid w:val="002311B1"/>
    <w:rsid w:val="00231581"/>
    <w:rsid w:val="00232DD3"/>
    <w:rsid w:val="00237933"/>
    <w:rsid w:val="00243174"/>
    <w:rsid w:val="002433E7"/>
    <w:rsid w:val="0025203F"/>
    <w:rsid w:val="002541A8"/>
    <w:rsid w:val="00254FC0"/>
    <w:rsid w:val="00256D45"/>
    <w:rsid w:val="002603C2"/>
    <w:rsid w:val="0026103D"/>
    <w:rsid w:val="00262EB8"/>
    <w:rsid w:val="00263834"/>
    <w:rsid w:val="00264526"/>
    <w:rsid w:val="00266153"/>
    <w:rsid w:val="00266AD4"/>
    <w:rsid w:val="002710FE"/>
    <w:rsid w:val="00272FBA"/>
    <w:rsid w:val="002731B3"/>
    <w:rsid w:val="00276728"/>
    <w:rsid w:val="00284B69"/>
    <w:rsid w:val="00286619"/>
    <w:rsid w:val="002959EB"/>
    <w:rsid w:val="00295C31"/>
    <w:rsid w:val="0029650E"/>
    <w:rsid w:val="00297B06"/>
    <w:rsid w:val="002A4507"/>
    <w:rsid w:val="002A76CF"/>
    <w:rsid w:val="002B5487"/>
    <w:rsid w:val="002B5E67"/>
    <w:rsid w:val="002C1757"/>
    <w:rsid w:val="002C26F6"/>
    <w:rsid w:val="002C4B9C"/>
    <w:rsid w:val="002C4EAA"/>
    <w:rsid w:val="002C6498"/>
    <w:rsid w:val="002E05E9"/>
    <w:rsid w:val="002E4CC8"/>
    <w:rsid w:val="002E7F19"/>
    <w:rsid w:val="002F23A4"/>
    <w:rsid w:val="002F283E"/>
    <w:rsid w:val="002F4F98"/>
    <w:rsid w:val="002F5913"/>
    <w:rsid w:val="002F6FCC"/>
    <w:rsid w:val="003002FD"/>
    <w:rsid w:val="00301EE2"/>
    <w:rsid w:val="003047FD"/>
    <w:rsid w:val="00306C0E"/>
    <w:rsid w:val="00311291"/>
    <w:rsid w:val="00313DC6"/>
    <w:rsid w:val="00315190"/>
    <w:rsid w:val="003159EB"/>
    <w:rsid w:val="00315AAE"/>
    <w:rsid w:val="00317C85"/>
    <w:rsid w:val="00321055"/>
    <w:rsid w:val="0032480A"/>
    <w:rsid w:val="00326603"/>
    <w:rsid w:val="003345F7"/>
    <w:rsid w:val="00335368"/>
    <w:rsid w:val="003408CB"/>
    <w:rsid w:val="00342011"/>
    <w:rsid w:val="003454C8"/>
    <w:rsid w:val="00346173"/>
    <w:rsid w:val="0034709B"/>
    <w:rsid w:val="0035046C"/>
    <w:rsid w:val="00350C78"/>
    <w:rsid w:val="00352EB8"/>
    <w:rsid w:val="00355567"/>
    <w:rsid w:val="00356FF9"/>
    <w:rsid w:val="0035786F"/>
    <w:rsid w:val="00360496"/>
    <w:rsid w:val="003618E5"/>
    <w:rsid w:val="00363BFE"/>
    <w:rsid w:val="00364BCD"/>
    <w:rsid w:val="00365804"/>
    <w:rsid w:val="00373C35"/>
    <w:rsid w:val="00376059"/>
    <w:rsid w:val="00384208"/>
    <w:rsid w:val="00391D04"/>
    <w:rsid w:val="00392F19"/>
    <w:rsid w:val="003A1382"/>
    <w:rsid w:val="003A412F"/>
    <w:rsid w:val="003A4CFD"/>
    <w:rsid w:val="003A7195"/>
    <w:rsid w:val="003B1E1B"/>
    <w:rsid w:val="003B366A"/>
    <w:rsid w:val="003C499F"/>
    <w:rsid w:val="003C5F3A"/>
    <w:rsid w:val="003D3442"/>
    <w:rsid w:val="003D4123"/>
    <w:rsid w:val="003D61B4"/>
    <w:rsid w:val="003D7719"/>
    <w:rsid w:val="003E2AA1"/>
    <w:rsid w:val="003E7C09"/>
    <w:rsid w:val="003F20BF"/>
    <w:rsid w:val="003F57E4"/>
    <w:rsid w:val="003F5ED3"/>
    <w:rsid w:val="003F6CBC"/>
    <w:rsid w:val="00401691"/>
    <w:rsid w:val="00410A85"/>
    <w:rsid w:val="00413312"/>
    <w:rsid w:val="004172C3"/>
    <w:rsid w:val="0042150F"/>
    <w:rsid w:val="00423306"/>
    <w:rsid w:val="00424BBC"/>
    <w:rsid w:val="00425F1E"/>
    <w:rsid w:val="00425FE9"/>
    <w:rsid w:val="004325EC"/>
    <w:rsid w:val="0044168B"/>
    <w:rsid w:val="00442144"/>
    <w:rsid w:val="00442E70"/>
    <w:rsid w:val="00454EAC"/>
    <w:rsid w:val="004559AD"/>
    <w:rsid w:val="00457E73"/>
    <w:rsid w:val="00460E06"/>
    <w:rsid w:val="00461301"/>
    <w:rsid w:val="0046532B"/>
    <w:rsid w:val="00465463"/>
    <w:rsid w:val="00471BAD"/>
    <w:rsid w:val="004736CE"/>
    <w:rsid w:val="0048111D"/>
    <w:rsid w:val="00482B32"/>
    <w:rsid w:val="00482BF3"/>
    <w:rsid w:val="00484563"/>
    <w:rsid w:val="004864DC"/>
    <w:rsid w:val="00486C42"/>
    <w:rsid w:val="00491A95"/>
    <w:rsid w:val="004953E8"/>
    <w:rsid w:val="00496BE9"/>
    <w:rsid w:val="004A5972"/>
    <w:rsid w:val="004A5CF5"/>
    <w:rsid w:val="004A6A03"/>
    <w:rsid w:val="004B00C1"/>
    <w:rsid w:val="004B041C"/>
    <w:rsid w:val="004B24A7"/>
    <w:rsid w:val="004C01CF"/>
    <w:rsid w:val="004C01F4"/>
    <w:rsid w:val="004C33B2"/>
    <w:rsid w:val="004C6D9E"/>
    <w:rsid w:val="004C7BEC"/>
    <w:rsid w:val="004D04A0"/>
    <w:rsid w:val="004D279E"/>
    <w:rsid w:val="004D50B5"/>
    <w:rsid w:val="004E0D0A"/>
    <w:rsid w:val="004E3F54"/>
    <w:rsid w:val="004E5E19"/>
    <w:rsid w:val="004E60C7"/>
    <w:rsid w:val="004F2B82"/>
    <w:rsid w:val="004F41F5"/>
    <w:rsid w:val="00505990"/>
    <w:rsid w:val="00506088"/>
    <w:rsid w:val="00506147"/>
    <w:rsid w:val="00506C83"/>
    <w:rsid w:val="00507292"/>
    <w:rsid w:val="00507A8D"/>
    <w:rsid w:val="005109C7"/>
    <w:rsid w:val="0051177D"/>
    <w:rsid w:val="00511F2A"/>
    <w:rsid w:val="00512576"/>
    <w:rsid w:val="005148F8"/>
    <w:rsid w:val="00514A8A"/>
    <w:rsid w:val="0051756F"/>
    <w:rsid w:val="00524A26"/>
    <w:rsid w:val="00526609"/>
    <w:rsid w:val="005309BB"/>
    <w:rsid w:val="0053111B"/>
    <w:rsid w:val="00531BAC"/>
    <w:rsid w:val="0053287C"/>
    <w:rsid w:val="00542848"/>
    <w:rsid w:val="00547487"/>
    <w:rsid w:val="00550480"/>
    <w:rsid w:val="00552DA7"/>
    <w:rsid w:val="005542B1"/>
    <w:rsid w:val="00556F7B"/>
    <w:rsid w:val="00557F9F"/>
    <w:rsid w:val="00560D5E"/>
    <w:rsid w:val="005636E7"/>
    <w:rsid w:val="0056576E"/>
    <w:rsid w:val="005673F7"/>
    <w:rsid w:val="005717BB"/>
    <w:rsid w:val="00575CFA"/>
    <w:rsid w:val="005761EA"/>
    <w:rsid w:val="00577572"/>
    <w:rsid w:val="005805A9"/>
    <w:rsid w:val="00580C70"/>
    <w:rsid w:val="00581876"/>
    <w:rsid w:val="00594E3E"/>
    <w:rsid w:val="00596471"/>
    <w:rsid w:val="00597411"/>
    <w:rsid w:val="005A19E8"/>
    <w:rsid w:val="005A2CDF"/>
    <w:rsid w:val="005A4670"/>
    <w:rsid w:val="005A6C3C"/>
    <w:rsid w:val="005B0527"/>
    <w:rsid w:val="005B3B02"/>
    <w:rsid w:val="005B4CE5"/>
    <w:rsid w:val="005B6A4A"/>
    <w:rsid w:val="005C12D1"/>
    <w:rsid w:val="005C14E2"/>
    <w:rsid w:val="005C57D4"/>
    <w:rsid w:val="005C58FF"/>
    <w:rsid w:val="005C759A"/>
    <w:rsid w:val="005D106B"/>
    <w:rsid w:val="005D3676"/>
    <w:rsid w:val="005D3A1B"/>
    <w:rsid w:val="005D5C6F"/>
    <w:rsid w:val="005D6062"/>
    <w:rsid w:val="005E3AD1"/>
    <w:rsid w:val="005E5767"/>
    <w:rsid w:val="005E6F94"/>
    <w:rsid w:val="005F5691"/>
    <w:rsid w:val="00607A4C"/>
    <w:rsid w:val="006154D8"/>
    <w:rsid w:val="00615A29"/>
    <w:rsid w:val="006164DC"/>
    <w:rsid w:val="00620197"/>
    <w:rsid w:val="00624209"/>
    <w:rsid w:val="006247AA"/>
    <w:rsid w:val="00625E6A"/>
    <w:rsid w:val="00636E70"/>
    <w:rsid w:val="0064277D"/>
    <w:rsid w:val="00651242"/>
    <w:rsid w:val="00651A22"/>
    <w:rsid w:val="00652E46"/>
    <w:rsid w:val="00656B9B"/>
    <w:rsid w:val="006570CD"/>
    <w:rsid w:val="0065763F"/>
    <w:rsid w:val="00661C0B"/>
    <w:rsid w:val="00662C5D"/>
    <w:rsid w:val="00663EEA"/>
    <w:rsid w:val="006650B9"/>
    <w:rsid w:val="006655C0"/>
    <w:rsid w:val="00666420"/>
    <w:rsid w:val="00676CAC"/>
    <w:rsid w:val="0067719B"/>
    <w:rsid w:val="00681143"/>
    <w:rsid w:val="006820C6"/>
    <w:rsid w:val="0068394F"/>
    <w:rsid w:val="006878AC"/>
    <w:rsid w:val="00690A68"/>
    <w:rsid w:val="00691739"/>
    <w:rsid w:val="006934DD"/>
    <w:rsid w:val="0069644B"/>
    <w:rsid w:val="00696B4C"/>
    <w:rsid w:val="006A05B0"/>
    <w:rsid w:val="006A12A3"/>
    <w:rsid w:val="006A33A9"/>
    <w:rsid w:val="006A3D0F"/>
    <w:rsid w:val="006A5487"/>
    <w:rsid w:val="006B1D9C"/>
    <w:rsid w:val="006B273B"/>
    <w:rsid w:val="006B44F3"/>
    <w:rsid w:val="006D26B1"/>
    <w:rsid w:val="006D7894"/>
    <w:rsid w:val="006E39F3"/>
    <w:rsid w:val="006E4064"/>
    <w:rsid w:val="006E5F23"/>
    <w:rsid w:val="006F2A33"/>
    <w:rsid w:val="006F41F0"/>
    <w:rsid w:val="006F4625"/>
    <w:rsid w:val="006F5182"/>
    <w:rsid w:val="006F729A"/>
    <w:rsid w:val="007000E2"/>
    <w:rsid w:val="00705969"/>
    <w:rsid w:val="00712C7F"/>
    <w:rsid w:val="0072109E"/>
    <w:rsid w:val="00725146"/>
    <w:rsid w:val="007279B6"/>
    <w:rsid w:val="007304C2"/>
    <w:rsid w:val="00735443"/>
    <w:rsid w:val="0073651F"/>
    <w:rsid w:val="00742EE9"/>
    <w:rsid w:val="00743842"/>
    <w:rsid w:val="0075025D"/>
    <w:rsid w:val="00751603"/>
    <w:rsid w:val="00751870"/>
    <w:rsid w:val="0075296D"/>
    <w:rsid w:val="0075717A"/>
    <w:rsid w:val="0075741F"/>
    <w:rsid w:val="0076197C"/>
    <w:rsid w:val="00762378"/>
    <w:rsid w:val="00764239"/>
    <w:rsid w:val="007706BA"/>
    <w:rsid w:val="00772F7D"/>
    <w:rsid w:val="007765EF"/>
    <w:rsid w:val="00777E96"/>
    <w:rsid w:val="00780136"/>
    <w:rsid w:val="0078125C"/>
    <w:rsid w:val="00782841"/>
    <w:rsid w:val="00782D0F"/>
    <w:rsid w:val="00784336"/>
    <w:rsid w:val="00785C64"/>
    <w:rsid w:val="00791E7E"/>
    <w:rsid w:val="007930D0"/>
    <w:rsid w:val="0079376A"/>
    <w:rsid w:val="007951EA"/>
    <w:rsid w:val="00795C79"/>
    <w:rsid w:val="007975C7"/>
    <w:rsid w:val="00797AC1"/>
    <w:rsid w:val="007A1863"/>
    <w:rsid w:val="007A577D"/>
    <w:rsid w:val="007A7750"/>
    <w:rsid w:val="007B0778"/>
    <w:rsid w:val="007B7274"/>
    <w:rsid w:val="007C116E"/>
    <w:rsid w:val="007C2D0D"/>
    <w:rsid w:val="007C3D92"/>
    <w:rsid w:val="007C431D"/>
    <w:rsid w:val="007C528E"/>
    <w:rsid w:val="007C632C"/>
    <w:rsid w:val="007C6C3F"/>
    <w:rsid w:val="007D096D"/>
    <w:rsid w:val="007D1698"/>
    <w:rsid w:val="007D1AE8"/>
    <w:rsid w:val="007D2CC8"/>
    <w:rsid w:val="007E29FD"/>
    <w:rsid w:val="007E442C"/>
    <w:rsid w:val="007E4B97"/>
    <w:rsid w:val="007E5AEF"/>
    <w:rsid w:val="007F01D1"/>
    <w:rsid w:val="007F3308"/>
    <w:rsid w:val="007F3C4C"/>
    <w:rsid w:val="00800BD5"/>
    <w:rsid w:val="008027CC"/>
    <w:rsid w:val="0080466E"/>
    <w:rsid w:val="00810C01"/>
    <w:rsid w:val="008129AE"/>
    <w:rsid w:val="0081473E"/>
    <w:rsid w:val="008150CC"/>
    <w:rsid w:val="0081658E"/>
    <w:rsid w:val="00817CB7"/>
    <w:rsid w:val="00820E39"/>
    <w:rsid w:val="00821E10"/>
    <w:rsid w:val="00823A57"/>
    <w:rsid w:val="00830B02"/>
    <w:rsid w:val="0083175A"/>
    <w:rsid w:val="008424EC"/>
    <w:rsid w:val="00842FBC"/>
    <w:rsid w:val="00844605"/>
    <w:rsid w:val="008453D1"/>
    <w:rsid w:val="008532A2"/>
    <w:rsid w:val="00856032"/>
    <w:rsid w:val="0085723D"/>
    <w:rsid w:val="0086029C"/>
    <w:rsid w:val="0086048F"/>
    <w:rsid w:val="0086381A"/>
    <w:rsid w:val="00864E37"/>
    <w:rsid w:val="00865E1A"/>
    <w:rsid w:val="00866F74"/>
    <w:rsid w:val="008732DF"/>
    <w:rsid w:val="008767CB"/>
    <w:rsid w:val="00881CC4"/>
    <w:rsid w:val="00882303"/>
    <w:rsid w:val="00885D28"/>
    <w:rsid w:val="008946FB"/>
    <w:rsid w:val="00895609"/>
    <w:rsid w:val="008A2963"/>
    <w:rsid w:val="008B1FF0"/>
    <w:rsid w:val="008B241C"/>
    <w:rsid w:val="008B3697"/>
    <w:rsid w:val="008C3A6B"/>
    <w:rsid w:val="008C5E2A"/>
    <w:rsid w:val="008D0969"/>
    <w:rsid w:val="008D157E"/>
    <w:rsid w:val="008D2844"/>
    <w:rsid w:val="008D6363"/>
    <w:rsid w:val="008D738F"/>
    <w:rsid w:val="008E169D"/>
    <w:rsid w:val="008E6226"/>
    <w:rsid w:val="008E7903"/>
    <w:rsid w:val="008E7CF2"/>
    <w:rsid w:val="008F00FC"/>
    <w:rsid w:val="008F138A"/>
    <w:rsid w:val="008F20A9"/>
    <w:rsid w:val="008F73F6"/>
    <w:rsid w:val="00900248"/>
    <w:rsid w:val="00902A92"/>
    <w:rsid w:val="00902F16"/>
    <w:rsid w:val="009055DA"/>
    <w:rsid w:val="009071EE"/>
    <w:rsid w:val="00910C10"/>
    <w:rsid w:val="00917A5A"/>
    <w:rsid w:val="00917F5E"/>
    <w:rsid w:val="009254DD"/>
    <w:rsid w:val="00926BAA"/>
    <w:rsid w:val="00941599"/>
    <w:rsid w:val="0094789C"/>
    <w:rsid w:val="00947912"/>
    <w:rsid w:val="00951603"/>
    <w:rsid w:val="0095511C"/>
    <w:rsid w:val="0095521F"/>
    <w:rsid w:val="00956105"/>
    <w:rsid w:val="009574C2"/>
    <w:rsid w:val="00961312"/>
    <w:rsid w:val="00962784"/>
    <w:rsid w:val="00963BF0"/>
    <w:rsid w:val="009645AB"/>
    <w:rsid w:val="00970C19"/>
    <w:rsid w:val="00970D4C"/>
    <w:rsid w:val="009730BD"/>
    <w:rsid w:val="00973F85"/>
    <w:rsid w:val="00981DD2"/>
    <w:rsid w:val="009A0CBC"/>
    <w:rsid w:val="009A3965"/>
    <w:rsid w:val="009A4506"/>
    <w:rsid w:val="009A6D60"/>
    <w:rsid w:val="009A6F95"/>
    <w:rsid w:val="009B141F"/>
    <w:rsid w:val="009C24A1"/>
    <w:rsid w:val="009C5580"/>
    <w:rsid w:val="009C6598"/>
    <w:rsid w:val="009C7548"/>
    <w:rsid w:val="009D38F3"/>
    <w:rsid w:val="009E0814"/>
    <w:rsid w:val="009E31E5"/>
    <w:rsid w:val="009E3F41"/>
    <w:rsid w:val="009E5B43"/>
    <w:rsid w:val="009E5CD2"/>
    <w:rsid w:val="009E6786"/>
    <w:rsid w:val="009F20B2"/>
    <w:rsid w:val="009F603B"/>
    <w:rsid w:val="009F6BAA"/>
    <w:rsid w:val="009F7136"/>
    <w:rsid w:val="009F756E"/>
    <w:rsid w:val="009F7FE7"/>
    <w:rsid w:val="00A008E9"/>
    <w:rsid w:val="00A131DD"/>
    <w:rsid w:val="00A138BD"/>
    <w:rsid w:val="00A17087"/>
    <w:rsid w:val="00A2033A"/>
    <w:rsid w:val="00A219E1"/>
    <w:rsid w:val="00A22524"/>
    <w:rsid w:val="00A2318F"/>
    <w:rsid w:val="00A27EFD"/>
    <w:rsid w:val="00A31034"/>
    <w:rsid w:val="00A354A1"/>
    <w:rsid w:val="00A361D0"/>
    <w:rsid w:val="00A373E9"/>
    <w:rsid w:val="00A4020F"/>
    <w:rsid w:val="00A41BBA"/>
    <w:rsid w:val="00A44D23"/>
    <w:rsid w:val="00A5109B"/>
    <w:rsid w:val="00A52768"/>
    <w:rsid w:val="00A52E32"/>
    <w:rsid w:val="00A6153A"/>
    <w:rsid w:val="00A64BD0"/>
    <w:rsid w:val="00A72775"/>
    <w:rsid w:val="00A916B2"/>
    <w:rsid w:val="00A92C02"/>
    <w:rsid w:val="00A93A4E"/>
    <w:rsid w:val="00A96594"/>
    <w:rsid w:val="00AA354E"/>
    <w:rsid w:val="00AA45E1"/>
    <w:rsid w:val="00AA6BA7"/>
    <w:rsid w:val="00AA6C22"/>
    <w:rsid w:val="00AB0170"/>
    <w:rsid w:val="00AB0F34"/>
    <w:rsid w:val="00AB1AD5"/>
    <w:rsid w:val="00AB224A"/>
    <w:rsid w:val="00AB4821"/>
    <w:rsid w:val="00AC0372"/>
    <w:rsid w:val="00AC3B6E"/>
    <w:rsid w:val="00AC5A52"/>
    <w:rsid w:val="00AC6D8A"/>
    <w:rsid w:val="00AC7F90"/>
    <w:rsid w:val="00AD1D3F"/>
    <w:rsid w:val="00AD2583"/>
    <w:rsid w:val="00AD41E6"/>
    <w:rsid w:val="00AD7989"/>
    <w:rsid w:val="00AE5421"/>
    <w:rsid w:val="00AE6573"/>
    <w:rsid w:val="00AE7D00"/>
    <w:rsid w:val="00AF0168"/>
    <w:rsid w:val="00AF3B21"/>
    <w:rsid w:val="00AF4B66"/>
    <w:rsid w:val="00B00D7A"/>
    <w:rsid w:val="00B0223B"/>
    <w:rsid w:val="00B05860"/>
    <w:rsid w:val="00B07E94"/>
    <w:rsid w:val="00B124C1"/>
    <w:rsid w:val="00B12535"/>
    <w:rsid w:val="00B13504"/>
    <w:rsid w:val="00B15D70"/>
    <w:rsid w:val="00B2264C"/>
    <w:rsid w:val="00B2598B"/>
    <w:rsid w:val="00B2691C"/>
    <w:rsid w:val="00B3222A"/>
    <w:rsid w:val="00B33BCE"/>
    <w:rsid w:val="00B40834"/>
    <w:rsid w:val="00B471EA"/>
    <w:rsid w:val="00B501CE"/>
    <w:rsid w:val="00B529DC"/>
    <w:rsid w:val="00B61AFE"/>
    <w:rsid w:val="00B632E8"/>
    <w:rsid w:val="00B64F84"/>
    <w:rsid w:val="00B66768"/>
    <w:rsid w:val="00B702DD"/>
    <w:rsid w:val="00B7100E"/>
    <w:rsid w:val="00B772D5"/>
    <w:rsid w:val="00B80C70"/>
    <w:rsid w:val="00B830F7"/>
    <w:rsid w:val="00B93717"/>
    <w:rsid w:val="00B946FF"/>
    <w:rsid w:val="00B97309"/>
    <w:rsid w:val="00BA23EB"/>
    <w:rsid w:val="00BB031B"/>
    <w:rsid w:val="00BB1C71"/>
    <w:rsid w:val="00BC3FCB"/>
    <w:rsid w:val="00BC7BD9"/>
    <w:rsid w:val="00BD07B1"/>
    <w:rsid w:val="00BD139E"/>
    <w:rsid w:val="00BD175B"/>
    <w:rsid w:val="00BD4571"/>
    <w:rsid w:val="00BE030D"/>
    <w:rsid w:val="00BE10DC"/>
    <w:rsid w:val="00BE1493"/>
    <w:rsid w:val="00BE3701"/>
    <w:rsid w:val="00BE4363"/>
    <w:rsid w:val="00BE57D1"/>
    <w:rsid w:val="00BF1CC6"/>
    <w:rsid w:val="00BF2E8D"/>
    <w:rsid w:val="00BF4869"/>
    <w:rsid w:val="00BF799E"/>
    <w:rsid w:val="00C00672"/>
    <w:rsid w:val="00C02A18"/>
    <w:rsid w:val="00C035C7"/>
    <w:rsid w:val="00C0692A"/>
    <w:rsid w:val="00C074C2"/>
    <w:rsid w:val="00C16CC3"/>
    <w:rsid w:val="00C172ED"/>
    <w:rsid w:val="00C219BE"/>
    <w:rsid w:val="00C246D9"/>
    <w:rsid w:val="00C3287C"/>
    <w:rsid w:val="00C3289F"/>
    <w:rsid w:val="00C36179"/>
    <w:rsid w:val="00C37B37"/>
    <w:rsid w:val="00C41D97"/>
    <w:rsid w:val="00C43020"/>
    <w:rsid w:val="00C46866"/>
    <w:rsid w:val="00C470A5"/>
    <w:rsid w:val="00C53C76"/>
    <w:rsid w:val="00C6112B"/>
    <w:rsid w:val="00C61BB7"/>
    <w:rsid w:val="00C6391A"/>
    <w:rsid w:val="00C63CDC"/>
    <w:rsid w:val="00C65095"/>
    <w:rsid w:val="00C6674F"/>
    <w:rsid w:val="00C717AA"/>
    <w:rsid w:val="00C738E5"/>
    <w:rsid w:val="00C76B04"/>
    <w:rsid w:val="00C824B5"/>
    <w:rsid w:val="00C8441B"/>
    <w:rsid w:val="00C86AB9"/>
    <w:rsid w:val="00C9790D"/>
    <w:rsid w:val="00CA0DA3"/>
    <w:rsid w:val="00CA2524"/>
    <w:rsid w:val="00CA2778"/>
    <w:rsid w:val="00CB3301"/>
    <w:rsid w:val="00CB4453"/>
    <w:rsid w:val="00CB4F4E"/>
    <w:rsid w:val="00CC014D"/>
    <w:rsid w:val="00CD0A25"/>
    <w:rsid w:val="00CE56F4"/>
    <w:rsid w:val="00CE6089"/>
    <w:rsid w:val="00CE795F"/>
    <w:rsid w:val="00CF1451"/>
    <w:rsid w:val="00CF1A91"/>
    <w:rsid w:val="00CF2F2F"/>
    <w:rsid w:val="00CF4A36"/>
    <w:rsid w:val="00D008BD"/>
    <w:rsid w:val="00D121AC"/>
    <w:rsid w:val="00D157EC"/>
    <w:rsid w:val="00D15AF7"/>
    <w:rsid w:val="00D172EF"/>
    <w:rsid w:val="00D22B76"/>
    <w:rsid w:val="00D3200C"/>
    <w:rsid w:val="00D32933"/>
    <w:rsid w:val="00D35769"/>
    <w:rsid w:val="00D4065A"/>
    <w:rsid w:val="00D46FC4"/>
    <w:rsid w:val="00D4722E"/>
    <w:rsid w:val="00D51E44"/>
    <w:rsid w:val="00D52AA7"/>
    <w:rsid w:val="00D53899"/>
    <w:rsid w:val="00D60846"/>
    <w:rsid w:val="00D6093F"/>
    <w:rsid w:val="00D6346E"/>
    <w:rsid w:val="00D70E36"/>
    <w:rsid w:val="00D7128C"/>
    <w:rsid w:val="00D717C7"/>
    <w:rsid w:val="00D73A4B"/>
    <w:rsid w:val="00D80EE1"/>
    <w:rsid w:val="00D81E9E"/>
    <w:rsid w:val="00D83012"/>
    <w:rsid w:val="00D90830"/>
    <w:rsid w:val="00D929FA"/>
    <w:rsid w:val="00DA7998"/>
    <w:rsid w:val="00DB3CAB"/>
    <w:rsid w:val="00DB43E8"/>
    <w:rsid w:val="00DB64F9"/>
    <w:rsid w:val="00DB6939"/>
    <w:rsid w:val="00DB6ED7"/>
    <w:rsid w:val="00DC1BC4"/>
    <w:rsid w:val="00DC5C46"/>
    <w:rsid w:val="00DC7082"/>
    <w:rsid w:val="00DD3CCC"/>
    <w:rsid w:val="00DE06BC"/>
    <w:rsid w:val="00DE19B7"/>
    <w:rsid w:val="00DF132C"/>
    <w:rsid w:val="00DF2D2B"/>
    <w:rsid w:val="00DF3C9E"/>
    <w:rsid w:val="00DF585A"/>
    <w:rsid w:val="00DF7982"/>
    <w:rsid w:val="00E02FEE"/>
    <w:rsid w:val="00E049FE"/>
    <w:rsid w:val="00E056B3"/>
    <w:rsid w:val="00E105E7"/>
    <w:rsid w:val="00E118FF"/>
    <w:rsid w:val="00E226FA"/>
    <w:rsid w:val="00E230C4"/>
    <w:rsid w:val="00E24A2D"/>
    <w:rsid w:val="00E31933"/>
    <w:rsid w:val="00E3223D"/>
    <w:rsid w:val="00E33427"/>
    <w:rsid w:val="00E350B8"/>
    <w:rsid w:val="00E3733D"/>
    <w:rsid w:val="00E46ACE"/>
    <w:rsid w:val="00E50346"/>
    <w:rsid w:val="00E50DC9"/>
    <w:rsid w:val="00E54ECA"/>
    <w:rsid w:val="00E60E45"/>
    <w:rsid w:val="00E630D5"/>
    <w:rsid w:val="00E64EB5"/>
    <w:rsid w:val="00E65296"/>
    <w:rsid w:val="00E660B6"/>
    <w:rsid w:val="00E672DC"/>
    <w:rsid w:val="00E71B3E"/>
    <w:rsid w:val="00E764BD"/>
    <w:rsid w:val="00E816B7"/>
    <w:rsid w:val="00E91854"/>
    <w:rsid w:val="00E92348"/>
    <w:rsid w:val="00E93F77"/>
    <w:rsid w:val="00E9433D"/>
    <w:rsid w:val="00E96AE8"/>
    <w:rsid w:val="00E96BCC"/>
    <w:rsid w:val="00E975D2"/>
    <w:rsid w:val="00EA1109"/>
    <w:rsid w:val="00EA243E"/>
    <w:rsid w:val="00EA3C51"/>
    <w:rsid w:val="00EA643D"/>
    <w:rsid w:val="00EA6B7F"/>
    <w:rsid w:val="00EB4A4A"/>
    <w:rsid w:val="00EB5121"/>
    <w:rsid w:val="00EB527B"/>
    <w:rsid w:val="00EC41A9"/>
    <w:rsid w:val="00EC462E"/>
    <w:rsid w:val="00EC4F29"/>
    <w:rsid w:val="00ED183A"/>
    <w:rsid w:val="00ED4369"/>
    <w:rsid w:val="00ED4D01"/>
    <w:rsid w:val="00ED770F"/>
    <w:rsid w:val="00EE02A8"/>
    <w:rsid w:val="00EE3C56"/>
    <w:rsid w:val="00EE7F7B"/>
    <w:rsid w:val="00EF1389"/>
    <w:rsid w:val="00EF1CA2"/>
    <w:rsid w:val="00F06EBF"/>
    <w:rsid w:val="00F1413C"/>
    <w:rsid w:val="00F146AD"/>
    <w:rsid w:val="00F15084"/>
    <w:rsid w:val="00F16B15"/>
    <w:rsid w:val="00F234FC"/>
    <w:rsid w:val="00F23ABE"/>
    <w:rsid w:val="00F26799"/>
    <w:rsid w:val="00F30C72"/>
    <w:rsid w:val="00F31D56"/>
    <w:rsid w:val="00F3427D"/>
    <w:rsid w:val="00F374C5"/>
    <w:rsid w:val="00F379E9"/>
    <w:rsid w:val="00F407E1"/>
    <w:rsid w:val="00F41217"/>
    <w:rsid w:val="00F41619"/>
    <w:rsid w:val="00F46113"/>
    <w:rsid w:val="00F47693"/>
    <w:rsid w:val="00F47ABC"/>
    <w:rsid w:val="00F507D3"/>
    <w:rsid w:val="00F52821"/>
    <w:rsid w:val="00F54B00"/>
    <w:rsid w:val="00F60155"/>
    <w:rsid w:val="00F60EFF"/>
    <w:rsid w:val="00F708A6"/>
    <w:rsid w:val="00F73053"/>
    <w:rsid w:val="00F8479C"/>
    <w:rsid w:val="00F84C25"/>
    <w:rsid w:val="00F86DDB"/>
    <w:rsid w:val="00F87828"/>
    <w:rsid w:val="00F91C6C"/>
    <w:rsid w:val="00F95BFA"/>
    <w:rsid w:val="00FA1198"/>
    <w:rsid w:val="00FA29BD"/>
    <w:rsid w:val="00FA57B9"/>
    <w:rsid w:val="00FB1406"/>
    <w:rsid w:val="00FB221B"/>
    <w:rsid w:val="00FB7091"/>
    <w:rsid w:val="00FB74B0"/>
    <w:rsid w:val="00FC714D"/>
    <w:rsid w:val="00FD0454"/>
    <w:rsid w:val="00FD4F8C"/>
    <w:rsid w:val="00FE071F"/>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15:docId w15:val="{D03CED40-7BDD-4678-A401-0BC08111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paragraph" w:styleId="Heading4">
    <w:name w:val="heading 4"/>
    <w:basedOn w:val="Normal"/>
    <w:next w:val="Normal"/>
    <w:link w:val="Heading4Char"/>
    <w:uiPriority w:val="9"/>
    <w:unhideWhenUsed/>
    <w:qFormat/>
    <w:rsid w:val="00917F5E"/>
    <w:pPr>
      <w:keepNext/>
      <w:keepLines/>
      <w:spacing w:before="320" w:after="200" w:line="259" w:lineRule="auto"/>
      <w:outlineLvl w:val="3"/>
    </w:pPr>
    <w:rPr>
      <w:rFonts w:ascii="Arial" w:eastAsia="Arial" w:hAnsi="Arial"/>
      <w:b/>
      <w:bCs/>
      <w:color w:val="auto"/>
      <w:sz w:val="26"/>
      <w:szCs w:val="26"/>
      <w:lang w:val="de-DE"/>
    </w:rPr>
  </w:style>
  <w:style w:type="paragraph" w:styleId="Heading5">
    <w:name w:val="heading 5"/>
    <w:basedOn w:val="Normal"/>
    <w:next w:val="Normal"/>
    <w:link w:val="Heading5Char"/>
    <w:uiPriority w:val="9"/>
    <w:unhideWhenUsed/>
    <w:qFormat/>
    <w:rsid w:val="00917F5E"/>
    <w:pPr>
      <w:keepNext/>
      <w:keepLines/>
      <w:spacing w:before="320" w:after="200" w:line="259" w:lineRule="auto"/>
      <w:outlineLvl w:val="4"/>
    </w:pPr>
    <w:rPr>
      <w:rFonts w:ascii="Arial" w:eastAsia="Arial" w:hAnsi="Arial"/>
      <w:b/>
      <w:bCs/>
      <w:color w:val="auto"/>
      <w:sz w:val="24"/>
      <w:szCs w:val="24"/>
      <w:lang w:val="de-DE"/>
    </w:rPr>
  </w:style>
  <w:style w:type="paragraph" w:styleId="Heading6">
    <w:name w:val="heading 6"/>
    <w:basedOn w:val="Normal"/>
    <w:next w:val="Normal"/>
    <w:link w:val="Heading6Char"/>
    <w:uiPriority w:val="9"/>
    <w:unhideWhenUsed/>
    <w:qFormat/>
    <w:rsid w:val="00917F5E"/>
    <w:pPr>
      <w:keepNext/>
      <w:keepLines/>
      <w:spacing w:before="320" w:after="200" w:line="259" w:lineRule="auto"/>
      <w:outlineLvl w:val="5"/>
    </w:pPr>
    <w:rPr>
      <w:rFonts w:ascii="Arial" w:eastAsia="Arial" w:hAnsi="Arial"/>
      <w:b/>
      <w:bCs/>
      <w:color w:val="auto"/>
      <w:sz w:val="22"/>
      <w:szCs w:val="22"/>
      <w:lang w:val="de-DE"/>
    </w:rPr>
  </w:style>
  <w:style w:type="paragraph" w:styleId="Heading7">
    <w:name w:val="heading 7"/>
    <w:basedOn w:val="Normal"/>
    <w:next w:val="Normal"/>
    <w:link w:val="Heading7Char"/>
    <w:uiPriority w:val="9"/>
    <w:unhideWhenUsed/>
    <w:qFormat/>
    <w:rsid w:val="00917F5E"/>
    <w:pPr>
      <w:keepNext/>
      <w:keepLines/>
      <w:spacing w:before="320" w:after="200" w:line="259" w:lineRule="auto"/>
      <w:outlineLvl w:val="6"/>
    </w:pPr>
    <w:rPr>
      <w:rFonts w:ascii="Arial" w:eastAsia="Arial" w:hAnsi="Arial"/>
      <w:b/>
      <w:bCs/>
      <w:i/>
      <w:iCs/>
      <w:color w:val="auto"/>
      <w:sz w:val="22"/>
      <w:szCs w:val="22"/>
      <w:lang w:val="de-DE"/>
    </w:rPr>
  </w:style>
  <w:style w:type="paragraph" w:styleId="Heading8">
    <w:name w:val="heading 8"/>
    <w:basedOn w:val="Normal"/>
    <w:next w:val="Normal"/>
    <w:link w:val="Heading8Char"/>
    <w:uiPriority w:val="9"/>
    <w:unhideWhenUsed/>
    <w:qFormat/>
    <w:rsid w:val="00917F5E"/>
    <w:pPr>
      <w:keepNext/>
      <w:keepLines/>
      <w:spacing w:before="320" w:after="200" w:line="259" w:lineRule="auto"/>
      <w:outlineLvl w:val="7"/>
    </w:pPr>
    <w:rPr>
      <w:rFonts w:ascii="Arial" w:eastAsia="Arial" w:hAnsi="Arial"/>
      <w:i/>
      <w:iCs/>
      <w:color w:val="auto"/>
      <w:sz w:val="22"/>
      <w:szCs w:val="22"/>
      <w:lang w:val="de-DE"/>
    </w:rPr>
  </w:style>
  <w:style w:type="paragraph" w:styleId="Heading9">
    <w:name w:val="heading 9"/>
    <w:basedOn w:val="Normal"/>
    <w:next w:val="Normal"/>
    <w:link w:val="Heading9Char"/>
    <w:uiPriority w:val="9"/>
    <w:unhideWhenUsed/>
    <w:qFormat/>
    <w:rsid w:val="00917F5E"/>
    <w:pPr>
      <w:keepNext/>
      <w:keepLines/>
      <w:spacing w:before="320" w:after="200" w:line="259" w:lineRule="auto"/>
      <w:outlineLvl w:val="8"/>
    </w:pPr>
    <w:rPr>
      <w:rFonts w:ascii="Arial" w:eastAsia="Arial" w:hAnsi="Arial"/>
      <w:i/>
      <w:iCs/>
      <w:color w:val="auto"/>
      <w:sz w:val="21"/>
      <w:szCs w:val="21"/>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21319C"/>
    <w:pPr>
      <w:suppressAutoHyphens/>
      <w:spacing w:line="440" w:lineRule="exact"/>
    </w:pPr>
    <w:rPr>
      <w:rFonts w:ascii="Amnesty Trade Gothic Cn" w:eastAsiaTheme="minorEastAsia" w:hAnsi="Amnesty Trade Gothic Cn"/>
      <w:bCs/>
      <w:caps/>
      <w:sz w:val="36"/>
      <w:szCs w:val="36"/>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B471EA"/>
    <w:pPr>
      <w:keepNext/>
      <w:numPr>
        <w:numId w:val="29"/>
      </w:numPr>
      <w:tabs>
        <w:tab w:val="left" w:pos="567"/>
      </w:tabs>
      <w:suppressAutoHyphens/>
      <w:spacing w:before="480" w:line="420" w:lineRule="exact"/>
      <w:ind w:left="567" w:hanging="567"/>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qFormat/>
    <w:rsid w:val="00C0692A"/>
    <w:pPr>
      <w:spacing w:after="60"/>
    </w:pPr>
    <w:rPr>
      <w:sz w:val="16"/>
      <w:szCs w:val="16"/>
    </w:rPr>
  </w:style>
  <w:style w:type="character" w:customStyle="1" w:styleId="FootnoteTextChar">
    <w:name w:val="Footnote Text Char"/>
    <w:basedOn w:val="DefaultParagraphFont"/>
    <w:link w:val="FootnoteText"/>
    <w:uiPriority w:val="99"/>
    <w:rsid w:val="00C0692A"/>
    <w:rPr>
      <w:sz w:val="16"/>
      <w:szCs w:val="16"/>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B471EA"/>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basedOn w:val="DefaultParagraphFont"/>
    <w:uiPriority w:val="99"/>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character" w:customStyle="1" w:styleId="Heading4Char">
    <w:name w:val="Heading 4 Char"/>
    <w:basedOn w:val="DefaultParagraphFont"/>
    <w:link w:val="Heading4"/>
    <w:uiPriority w:val="9"/>
    <w:rsid w:val="00917F5E"/>
    <w:rPr>
      <w:rFonts w:ascii="Arial" w:eastAsia="Arial" w:hAnsi="Arial"/>
      <w:b/>
      <w:bCs/>
      <w:color w:val="auto"/>
      <w:sz w:val="26"/>
      <w:szCs w:val="26"/>
      <w:lang w:val="de-DE"/>
    </w:rPr>
  </w:style>
  <w:style w:type="character" w:customStyle="1" w:styleId="Heading5Char">
    <w:name w:val="Heading 5 Char"/>
    <w:basedOn w:val="DefaultParagraphFont"/>
    <w:link w:val="Heading5"/>
    <w:uiPriority w:val="9"/>
    <w:rsid w:val="00917F5E"/>
    <w:rPr>
      <w:rFonts w:ascii="Arial" w:eastAsia="Arial" w:hAnsi="Arial"/>
      <w:b/>
      <w:bCs/>
      <w:color w:val="auto"/>
      <w:sz w:val="24"/>
      <w:szCs w:val="24"/>
      <w:lang w:val="de-DE"/>
    </w:rPr>
  </w:style>
  <w:style w:type="character" w:customStyle="1" w:styleId="Heading6Char">
    <w:name w:val="Heading 6 Char"/>
    <w:basedOn w:val="DefaultParagraphFont"/>
    <w:link w:val="Heading6"/>
    <w:uiPriority w:val="9"/>
    <w:rsid w:val="00917F5E"/>
    <w:rPr>
      <w:rFonts w:ascii="Arial" w:eastAsia="Arial" w:hAnsi="Arial"/>
      <w:b/>
      <w:bCs/>
      <w:color w:val="auto"/>
      <w:sz w:val="22"/>
      <w:szCs w:val="22"/>
      <w:lang w:val="de-DE"/>
    </w:rPr>
  </w:style>
  <w:style w:type="character" w:customStyle="1" w:styleId="Heading7Char">
    <w:name w:val="Heading 7 Char"/>
    <w:basedOn w:val="DefaultParagraphFont"/>
    <w:link w:val="Heading7"/>
    <w:uiPriority w:val="9"/>
    <w:rsid w:val="00917F5E"/>
    <w:rPr>
      <w:rFonts w:ascii="Arial" w:eastAsia="Arial" w:hAnsi="Arial"/>
      <w:b/>
      <w:bCs/>
      <w:i/>
      <w:iCs/>
      <w:color w:val="auto"/>
      <w:sz w:val="22"/>
      <w:szCs w:val="22"/>
      <w:lang w:val="de-DE"/>
    </w:rPr>
  </w:style>
  <w:style w:type="character" w:customStyle="1" w:styleId="Heading8Char">
    <w:name w:val="Heading 8 Char"/>
    <w:basedOn w:val="DefaultParagraphFont"/>
    <w:link w:val="Heading8"/>
    <w:uiPriority w:val="9"/>
    <w:rsid w:val="00917F5E"/>
    <w:rPr>
      <w:rFonts w:ascii="Arial" w:eastAsia="Arial" w:hAnsi="Arial"/>
      <w:i/>
      <w:iCs/>
      <w:color w:val="auto"/>
      <w:sz w:val="22"/>
      <w:szCs w:val="22"/>
      <w:lang w:val="de-DE"/>
    </w:rPr>
  </w:style>
  <w:style w:type="character" w:customStyle="1" w:styleId="Heading9Char">
    <w:name w:val="Heading 9 Char"/>
    <w:basedOn w:val="DefaultParagraphFont"/>
    <w:link w:val="Heading9"/>
    <w:uiPriority w:val="9"/>
    <w:rsid w:val="00917F5E"/>
    <w:rPr>
      <w:rFonts w:ascii="Arial" w:eastAsia="Arial" w:hAnsi="Arial"/>
      <w:i/>
      <w:iCs/>
      <w:color w:val="auto"/>
      <w:sz w:val="21"/>
      <w:szCs w:val="21"/>
      <w:lang w:val="de-DE"/>
    </w:rPr>
  </w:style>
  <w:style w:type="paragraph" w:styleId="NoSpacing">
    <w:name w:val="No Spacing"/>
    <w:uiPriority w:val="1"/>
    <w:qFormat/>
    <w:rsid w:val="00917F5E"/>
    <w:rPr>
      <w:rFonts w:asciiTheme="minorHAnsi" w:hAnsiTheme="minorHAnsi" w:cstheme="minorBidi"/>
      <w:color w:val="auto"/>
      <w:sz w:val="22"/>
      <w:szCs w:val="22"/>
      <w:lang w:val="de-DE"/>
    </w:rPr>
  </w:style>
  <w:style w:type="paragraph" w:styleId="Title">
    <w:name w:val="Title"/>
    <w:basedOn w:val="Normal"/>
    <w:next w:val="Normal"/>
    <w:link w:val="TitleChar"/>
    <w:uiPriority w:val="10"/>
    <w:qFormat/>
    <w:rsid w:val="00917F5E"/>
    <w:pPr>
      <w:spacing w:before="300" w:after="200" w:line="259" w:lineRule="auto"/>
      <w:contextualSpacing/>
    </w:pPr>
    <w:rPr>
      <w:rFonts w:asciiTheme="minorHAnsi" w:hAnsiTheme="minorHAnsi" w:cstheme="minorBidi"/>
      <w:color w:val="auto"/>
      <w:sz w:val="48"/>
      <w:szCs w:val="48"/>
      <w:lang w:val="de-DE"/>
    </w:rPr>
  </w:style>
  <w:style w:type="character" w:customStyle="1" w:styleId="TitleChar">
    <w:name w:val="Title Char"/>
    <w:basedOn w:val="DefaultParagraphFont"/>
    <w:link w:val="Title"/>
    <w:uiPriority w:val="10"/>
    <w:rsid w:val="00917F5E"/>
    <w:rPr>
      <w:rFonts w:asciiTheme="minorHAnsi" w:hAnsiTheme="minorHAnsi" w:cstheme="minorBidi"/>
      <w:color w:val="auto"/>
      <w:sz w:val="48"/>
      <w:szCs w:val="48"/>
      <w:lang w:val="de-DE"/>
    </w:rPr>
  </w:style>
  <w:style w:type="paragraph" w:styleId="Subtitle">
    <w:name w:val="Subtitle"/>
    <w:basedOn w:val="Normal"/>
    <w:next w:val="Normal"/>
    <w:link w:val="SubtitleChar"/>
    <w:uiPriority w:val="11"/>
    <w:qFormat/>
    <w:rsid w:val="00917F5E"/>
    <w:pPr>
      <w:spacing w:before="200" w:after="200" w:line="259" w:lineRule="auto"/>
    </w:pPr>
    <w:rPr>
      <w:rFonts w:asciiTheme="minorHAnsi" w:hAnsiTheme="minorHAnsi" w:cstheme="minorBidi"/>
      <w:color w:val="auto"/>
      <w:sz w:val="24"/>
      <w:szCs w:val="24"/>
      <w:lang w:val="de-DE"/>
    </w:rPr>
  </w:style>
  <w:style w:type="character" w:customStyle="1" w:styleId="SubtitleChar">
    <w:name w:val="Subtitle Char"/>
    <w:basedOn w:val="DefaultParagraphFont"/>
    <w:link w:val="Subtitle"/>
    <w:uiPriority w:val="11"/>
    <w:rsid w:val="00917F5E"/>
    <w:rPr>
      <w:rFonts w:asciiTheme="minorHAnsi" w:hAnsiTheme="minorHAnsi" w:cstheme="minorBidi"/>
      <w:color w:val="auto"/>
      <w:sz w:val="24"/>
      <w:szCs w:val="24"/>
      <w:lang w:val="de-DE"/>
    </w:rPr>
  </w:style>
  <w:style w:type="paragraph" w:styleId="Quote">
    <w:name w:val="Quote"/>
    <w:basedOn w:val="Normal"/>
    <w:next w:val="Normal"/>
    <w:link w:val="QuoteChar"/>
    <w:uiPriority w:val="29"/>
    <w:qFormat/>
    <w:rsid w:val="00917F5E"/>
    <w:pPr>
      <w:spacing w:after="160" w:line="259" w:lineRule="auto"/>
      <w:ind w:left="720" w:right="720"/>
    </w:pPr>
    <w:rPr>
      <w:rFonts w:asciiTheme="minorHAnsi" w:hAnsiTheme="minorHAnsi" w:cstheme="minorBidi"/>
      <w:i/>
      <w:color w:val="auto"/>
      <w:sz w:val="22"/>
      <w:szCs w:val="22"/>
      <w:lang w:val="de-DE"/>
    </w:rPr>
  </w:style>
  <w:style w:type="character" w:customStyle="1" w:styleId="QuoteChar">
    <w:name w:val="Quote Char"/>
    <w:basedOn w:val="DefaultParagraphFont"/>
    <w:link w:val="Quote"/>
    <w:uiPriority w:val="29"/>
    <w:rsid w:val="00917F5E"/>
    <w:rPr>
      <w:rFonts w:asciiTheme="minorHAnsi" w:hAnsiTheme="minorHAnsi" w:cstheme="minorBidi"/>
      <w:i/>
      <w:color w:val="auto"/>
      <w:sz w:val="22"/>
      <w:szCs w:val="22"/>
      <w:lang w:val="de-DE"/>
    </w:rPr>
  </w:style>
  <w:style w:type="paragraph" w:styleId="IntenseQuote">
    <w:name w:val="Intense Quote"/>
    <w:basedOn w:val="Normal"/>
    <w:next w:val="Normal"/>
    <w:link w:val="IntenseQuoteChar"/>
    <w:uiPriority w:val="30"/>
    <w:qFormat/>
    <w:rsid w:val="00917F5E"/>
    <w:pPr>
      <w:pBdr>
        <w:top w:val="single" w:sz="4" w:space="5" w:color="FFFFFF"/>
        <w:left w:val="single" w:sz="4" w:space="10" w:color="FFFFFF"/>
        <w:bottom w:val="single" w:sz="4" w:space="5" w:color="FFFFFF"/>
        <w:right w:val="single" w:sz="4" w:space="10" w:color="FFFFFF"/>
      </w:pBdr>
      <w:shd w:val="clear" w:color="auto" w:fill="F2F2F2"/>
      <w:spacing w:after="160" w:line="259" w:lineRule="auto"/>
      <w:ind w:left="720" w:right="720"/>
    </w:pPr>
    <w:rPr>
      <w:rFonts w:asciiTheme="minorHAnsi" w:hAnsiTheme="minorHAnsi" w:cstheme="minorBidi"/>
      <w:i/>
      <w:color w:val="auto"/>
      <w:sz w:val="22"/>
      <w:szCs w:val="22"/>
      <w:lang w:val="de-DE"/>
    </w:rPr>
  </w:style>
  <w:style w:type="character" w:customStyle="1" w:styleId="IntenseQuoteChar">
    <w:name w:val="Intense Quote Char"/>
    <w:basedOn w:val="DefaultParagraphFont"/>
    <w:link w:val="IntenseQuote"/>
    <w:uiPriority w:val="30"/>
    <w:rsid w:val="00917F5E"/>
    <w:rPr>
      <w:rFonts w:asciiTheme="minorHAnsi" w:hAnsiTheme="minorHAnsi" w:cstheme="minorBidi"/>
      <w:i/>
      <w:color w:val="auto"/>
      <w:sz w:val="22"/>
      <w:szCs w:val="22"/>
      <w:shd w:val="clear" w:color="auto" w:fill="F2F2F2"/>
      <w:lang w:val="de-DE"/>
    </w:rPr>
  </w:style>
  <w:style w:type="character" w:customStyle="1" w:styleId="FooterChar1">
    <w:name w:val="Footer Char1"/>
    <w:uiPriority w:val="99"/>
    <w:rsid w:val="00917F5E"/>
  </w:style>
  <w:style w:type="paragraph" w:styleId="Caption">
    <w:name w:val="caption"/>
    <w:basedOn w:val="Normal"/>
    <w:next w:val="Normal"/>
    <w:uiPriority w:val="35"/>
    <w:semiHidden/>
    <w:unhideWhenUsed/>
    <w:qFormat/>
    <w:rsid w:val="00917F5E"/>
    <w:pPr>
      <w:spacing w:after="160" w:line="276" w:lineRule="auto"/>
    </w:pPr>
    <w:rPr>
      <w:rFonts w:asciiTheme="minorHAnsi" w:hAnsiTheme="minorHAnsi" w:cstheme="minorBidi"/>
      <w:b/>
      <w:bCs/>
      <w:color w:val="FFFF00" w:themeColor="accent1"/>
      <w:sz w:val="18"/>
      <w:szCs w:val="18"/>
      <w:lang w:val="de-DE"/>
    </w:rPr>
  </w:style>
  <w:style w:type="table" w:customStyle="1" w:styleId="TableGridLight1">
    <w:name w:val="Table Grid Light1"/>
    <w:basedOn w:val="TableNormal"/>
    <w:uiPriority w:val="59"/>
    <w:rsid w:val="00917F5E"/>
    <w:rPr>
      <w:rFonts w:asciiTheme="minorHAnsi" w:hAnsiTheme="minorHAnsi" w:cstheme="minorBidi"/>
      <w:color w:val="auto"/>
      <w:sz w:val="22"/>
      <w:szCs w:val="22"/>
      <w:lang w:val="de-DE"/>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rsid w:val="00917F5E"/>
    <w:rPr>
      <w:rFonts w:asciiTheme="minorHAnsi" w:hAnsiTheme="minorHAnsi" w:cstheme="minorBidi"/>
      <w:color w:val="auto"/>
      <w:sz w:val="22"/>
      <w:szCs w:val="22"/>
      <w:lang w:val="de-DE"/>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rsid w:val="00917F5E"/>
    <w:rPr>
      <w:rFonts w:asciiTheme="minorHAnsi" w:hAnsiTheme="minorHAnsi" w:cstheme="minorBidi"/>
      <w:color w:val="auto"/>
      <w:sz w:val="22"/>
      <w:szCs w:val="22"/>
      <w:lang w:val="de-DE"/>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98" w:themeColor="accent1" w:themeTint="67"/>
        <w:left w:val="single" w:sz="4" w:space="0" w:color="FFFF98" w:themeColor="accent1" w:themeTint="67"/>
        <w:bottom w:val="single" w:sz="4" w:space="0" w:color="FFFF98" w:themeColor="accent1" w:themeTint="67"/>
        <w:right w:val="single" w:sz="4" w:space="0" w:color="FFFF98" w:themeColor="accent1" w:themeTint="67"/>
        <w:insideH w:val="single" w:sz="4" w:space="0" w:color="FFFF98" w:themeColor="accent1" w:themeTint="67"/>
        <w:insideV w:val="single" w:sz="4" w:space="0" w:color="FFFF98" w:themeColor="accent1" w:themeTint="67"/>
      </w:tblBorders>
    </w:tblPr>
    <w:tblStylePr w:type="firstRow">
      <w:rPr>
        <w:b/>
        <w:color w:val="404040"/>
      </w:rPr>
      <w:tblPr/>
      <w:tcPr>
        <w:tcBorders>
          <w:bottom w:val="single" w:sz="12" w:space="0" w:color="FFFF6A"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FF98" w:themeColor="accent1" w:themeTint="67"/>
          <w:left w:val="single" w:sz="4" w:space="0" w:color="FFFF98" w:themeColor="accent1" w:themeTint="67"/>
          <w:bottom w:val="single" w:sz="4" w:space="0" w:color="FFFF98" w:themeColor="accent1" w:themeTint="67"/>
          <w:right w:val="single" w:sz="4" w:space="0" w:color="FFFF98" w:themeColor="accent1" w:themeTint="67"/>
        </w:tcBorders>
      </w:tcPr>
    </w:tblStylePr>
  </w:style>
  <w:style w:type="table" w:customStyle="1" w:styleId="GridTable1Light-Accent31">
    <w:name w:val="Grid Table 1 Light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7C4C4" w:themeColor="accent4" w:themeTint="67"/>
        <w:left w:val="single" w:sz="4" w:space="0" w:color="C7C4C4" w:themeColor="accent4" w:themeTint="67"/>
        <w:bottom w:val="single" w:sz="4" w:space="0" w:color="C7C4C4" w:themeColor="accent4" w:themeTint="67"/>
        <w:right w:val="single" w:sz="4" w:space="0" w:color="C7C4C4" w:themeColor="accent4" w:themeTint="67"/>
        <w:insideH w:val="single" w:sz="4" w:space="0" w:color="C7C4C4" w:themeColor="accent4" w:themeTint="67"/>
        <w:insideV w:val="single" w:sz="4" w:space="0" w:color="C7C4C4" w:themeColor="accent4" w:themeTint="67"/>
      </w:tblBorders>
    </w:tblPr>
    <w:tblStylePr w:type="firstRow">
      <w:rPr>
        <w:b/>
        <w:color w:val="404040"/>
      </w:rPr>
      <w:tblPr/>
      <w:tcPr>
        <w:tcBorders>
          <w:bottom w:val="single" w:sz="12" w:space="0" w:color="AEABAB"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C4C4" w:themeColor="accent4" w:themeTint="67"/>
          <w:left w:val="single" w:sz="4" w:space="0" w:color="C7C4C4" w:themeColor="accent4" w:themeTint="67"/>
          <w:bottom w:val="single" w:sz="4" w:space="0" w:color="C7C4C4" w:themeColor="accent4" w:themeTint="67"/>
          <w:right w:val="single" w:sz="4" w:space="0" w:color="C7C4C4" w:themeColor="accent4" w:themeTint="67"/>
        </w:tcBorders>
      </w:tcPr>
    </w:tblStylePr>
  </w:style>
  <w:style w:type="table" w:customStyle="1" w:styleId="GridTable1Light-Accent51">
    <w:name w:val="Grid Table 1 Light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BCBCB" w:themeColor="accent5" w:themeTint="67"/>
        <w:left w:val="single" w:sz="4" w:space="0" w:color="CBCBCB" w:themeColor="accent5" w:themeTint="67"/>
        <w:bottom w:val="single" w:sz="4" w:space="0" w:color="CBCBCB" w:themeColor="accent5" w:themeTint="67"/>
        <w:right w:val="single" w:sz="4" w:space="0" w:color="CBCBCB" w:themeColor="accent5" w:themeTint="67"/>
        <w:insideH w:val="single" w:sz="4" w:space="0" w:color="CBCBCB" w:themeColor="accent5" w:themeTint="67"/>
        <w:insideV w:val="single" w:sz="4" w:space="0" w:color="CBCBCB" w:themeColor="accent5" w:themeTint="67"/>
      </w:tblBorders>
    </w:tblPr>
    <w:tblStylePr w:type="firstRow">
      <w:rPr>
        <w:b/>
        <w:color w:val="404040"/>
      </w:rPr>
      <w:tblPr/>
      <w:tcPr>
        <w:tcBorders>
          <w:bottom w:val="single" w:sz="12" w:space="0" w:color="B4B4B4"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BCB" w:themeColor="accent5" w:themeTint="67"/>
          <w:left w:val="single" w:sz="4" w:space="0" w:color="CBCBCB" w:themeColor="accent5" w:themeTint="67"/>
          <w:bottom w:val="single" w:sz="4" w:space="0" w:color="CBCBCB" w:themeColor="accent5" w:themeTint="67"/>
          <w:right w:val="single" w:sz="4" w:space="0" w:color="CBCBCB" w:themeColor="accent5" w:themeTint="67"/>
        </w:tcBorders>
      </w:tcPr>
    </w:tblStylePr>
  </w:style>
  <w:style w:type="table" w:customStyle="1" w:styleId="GridTable1Light-Accent61">
    <w:name w:val="Grid Table 1 Light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5F4F4" w:themeColor="accent6" w:themeTint="67"/>
        <w:left w:val="single" w:sz="4" w:space="0" w:color="F5F4F4" w:themeColor="accent6" w:themeTint="67"/>
        <w:bottom w:val="single" w:sz="4" w:space="0" w:color="F5F4F4" w:themeColor="accent6" w:themeTint="67"/>
        <w:right w:val="single" w:sz="4" w:space="0" w:color="F5F4F4" w:themeColor="accent6" w:themeTint="67"/>
        <w:insideH w:val="single" w:sz="4" w:space="0" w:color="F5F4F4" w:themeColor="accent6" w:themeTint="67"/>
        <w:insideV w:val="single" w:sz="4" w:space="0" w:color="F5F4F4" w:themeColor="accent6" w:themeTint="67"/>
      </w:tblBorders>
    </w:tblPr>
    <w:tblStylePr w:type="firstRow">
      <w:rPr>
        <w:b/>
        <w:color w:val="404040"/>
      </w:rPr>
      <w:tblPr/>
      <w:tcPr>
        <w:tcBorders>
          <w:bottom w:val="single" w:sz="12" w:space="0" w:color="F1F0F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5F4F4" w:themeColor="accent6" w:themeTint="67"/>
          <w:left w:val="single" w:sz="4" w:space="0" w:color="F5F4F4" w:themeColor="accent6" w:themeTint="67"/>
          <w:bottom w:val="single" w:sz="4" w:space="0" w:color="F5F4F4" w:themeColor="accent6" w:themeTint="67"/>
          <w:right w:val="single" w:sz="4" w:space="0" w:color="F5F4F4" w:themeColor="accent6" w:themeTint="67"/>
        </w:tcBorders>
      </w:tcPr>
    </w:tblStylePr>
  </w:style>
  <w:style w:type="table" w:styleId="GridTable2">
    <w:name w:val="Grid Table 2"/>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FFFF15" w:themeColor="accent1" w:themeTint="EA"/>
        <w:insideH w:val="single" w:sz="4" w:space="0" w:color="FFFF15" w:themeColor="accent1" w:themeTint="EA"/>
        <w:insideV w:val="single" w:sz="4" w:space="0" w:color="FFFF15" w:themeColor="accent1" w:themeTint="EA"/>
      </w:tblBorders>
    </w:tblPr>
    <w:tblStylePr w:type="firstRow">
      <w:rPr>
        <w:b/>
        <w:color w:val="404040"/>
      </w:rPr>
      <w:tblPr/>
      <w:tcPr>
        <w:tcBorders>
          <w:top w:val="none" w:sz="4" w:space="0" w:color="000000"/>
          <w:left w:val="none" w:sz="4" w:space="0" w:color="000000"/>
          <w:bottom w:val="single" w:sz="12" w:space="0" w:color="FFFF15" w:themeColor="accent1" w:themeTint="EA"/>
          <w:right w:val="none" w:sz="4" w:space="0" w:color="000000"/>
        </w:tcBorders>
        <w:shd w:val="clear" w:color="FFFFFF" w:fill="auto"/>
      </w:tcPr>
    </w:tblStylePr>
    <w:tblStylePr w:type="lastRow">
      <w:rPr>
        <w:b/>
        <w:color w:val="404040"/>
      </w:rPr>
      <w:tblPr/>
      <w:tcPr>
        <w:tcBorders>
          <w:top w:val="single" w:sz="4" w:space="0" w:color="FFFF15"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CB" w:themeColor="accent1" w:themeTint="34" w:fill="FFFFCB" w:themeFill="accent1" w:themeFillTint="34"/>
      </w:tcPr>
    </w:tblStylePr>
    <w:tblStylePr w:type="band1Horz">
      <w:rPr>
        <w:rFonts w:ascii="Arial" w:hAnsi="Arial"/>
        <w:color w:val="404040"/>
        <w:sz w:val="22"/>
      </w:rPr>
      <w:tblPr/>
      <w:tcPr>
        <w:shd w:val="clear" w:color="FFFFCB" w:themeColor="accent1" w:themeTint="34" w:fill="FFFFCB" w:themeFill="accent1" w:themeFillTint="34"/>
      </w:tcPr>
    </w:tblStylePr>
  </w:style>
  <w:style w:type="table" w:customStyle="1" w:styleId="GridTable2-Accent21">
    <w:name w:val="Grid Table 2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E3E1E1" w:themeColor="accent2" w:themeTint="97"/>
        <w:insideH w:val="single" w:sz="4" w:space="0" w:color="E3E1E1" w:themeColor="accent2" w:themeTint="97"/>
        <w:insideV w:val="single" w:sz="4" w:space="0" w:color="E3E1E1" w:themeColor="accent2" w:themeTint="97"/>
      </w:tblBorders>
    </w:tblPr>
    <w:tblStylePr w:type="firstRow">
      <w:rPr>
        <w:b/>
        <w:color w:val="404040"/>
      </w:rPr>
      <w:tblPr/>
      <w:tcPr>
        <w:tcBorders>
          <w:top w:val="none" w:sz="4" w:space="0" w:color="000000"/>
          <w:left w:val="none" w:sz="4" w:space="0" w:color="000000"/>
          <w:bottom w:val="single" w:sz="12" w:space="0" w:color="E3E1E1" w:themeColor="accent2" w:themeTint="97"/>
          <w:right w:val="none" w:sz="4" w:space="0" w:color="000000"/>
        </w:tcBorders>
        <w:shd w:val="clear" w:color="FFFFFF" w:fill="auto"/>
      </w:tcPr>
    </w:tblStylePr>
    <w:tblStylePr w:type="lastRow">
      <w:rPr>
        <w:b/>
        <w:color w:val="404040"/>
      </w:rPr>
      <w:tblPr/>
      <w:tcPr>
        <w:tcBorders>
          <w:top w:val="single" w:sz="4" w:space="0" w:color="E3E1E1"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5F5F5" w:themeColor="accent2" w:themeTint="32" w:fill="F5F5F5" w:themeFill="accent2" w:themeFillTint="32"/>
      </w:tcPr>
    </w:tblStylePr>
    <w:tblStylePr w:type="band1Horz">
      <w:rPr>
        <w:rFonts w:ascii="Arial" w:hAnsi="Arial"/>
        <w:color w:val="404040"/>
        <w:sz w:val="22"/>
      </w:rPr>
      <w:tblPr/>
      <w:tcPr>
        <w:shd w:val="clear" w:color="F5F5F5" w:themeColor="accent2" w:themeTint="32" w:fill="F5F5F5" w:themeFill="accent2" w:themeFillTint="32"/>
      </w:tcPr>
    </w:tblStylePr>
  </w:style>
  <w:style w:type="table" w:customStyle="1" w:styleId="GridTable2-Accent31">
    <w:name w:val="Grid Table 2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ABA8A8" w:themeColor="accent4" w:themeTint="9A"/>
        <w:insideH w:val="single" w:sz="4" w:space="0" w:color="ABA8A8" w:themeColor="accent4" w:themeTint="9A"/>
        <w:insideV w:val="single" w:sz="4" w:space="0" w:color="ABA8A8" w:themeColor="accent4" w:themeTint="9A"/>
      </w:tblBorders>
    </w:tblPr>
    <w:tblStylePr w:type="firstRow">
      <w:rPr>
        <w:b/>
        <w:color w:val="404040"/>
      </w:rPr>
      <w:tblPr/>
      <w:tcPr>
        <w:tcBorders>
          <w:top w:val="none" w:sz="4" w:space="0" w:color="000000"/>
          <w:left w:val="none" w:sz="4" w:space="0" w:color="000000"/>
          <w:bottom w:val="single" w:sz="12" w:space="0" w:color="ABA8A8" w:themeColor="accent4" w:themeTint="9A"/>
          <w:right w:val="none" w:sz="4" w:space="0" w:color="000000"/>
        </w:tcBorders>
        <w:shd w:val="clear" w:color="FFFFFF" w:fill="auto"/>
      </w:tcPr>
    </w:tblStylePr>
    <w:tblStylePr w:type="lastRow">
      <w:rPr>
        <w:b/>
        <w:color w:val="404040"/>
      </w:rPr>
      <w:tblPr/>
      <w:tcPr>
        <w:tcBorders>
          <w:top w:val="single" w:sz="4" w:space="0" w:color="ABA8A8"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3E1E1" w:themeColor="accent4" w:themeTint="34" w:fill="E3E1E1" w:themeFill="accent4" w:themeFillTint="34"/>
      </w:tcPr>
    </w:tblStylePr>
    <w:tblStylePr w:type="band1Horz">
      <w:rPr>
        <w:rFonts w:ascii="Arial" w:hAnsi="Arial"/>
        <w:color w:val="404040"/>
        <w:sz w:val="22"/>
      </w:rPr>
      <w:tblPr/>
      <w:tcPr>
        <w:shd w:val="clear" w:color="E3E1E1" w:themeColor="accent4" w:themeTint="34" w:fill="E3E1E1" w:themeFill="accent4" w:themeFillTint="34"/>
      </w:tcPr>
    </w:tblStylePr>
  </w:style>
  <w:style w:type="table" w:customStyle="1" w:styleId="GridTable2-Accent51">
    <w:name w:val="Grid Table 2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7F7F7F" w:themeColor="accent5"/>
        <w:insideH w:val="single" w:sz="4" w:space="0" w:color="7F7F7F" w:themeColor="accent5"/>
        <w:insideV w:val="single" w:sz="4" w:space="0" w:color="7F7F7F" w:themeColor="accent5"/>
      </w:tblBorders>
    </w:tblPr>
    <w:tblStylePr w:type="firstRow">
      <w:rPr>
        <w:b/>
        <w:color w:val="404040"/>
      </w:rPr>
      <w:tblPr/>
      <w:tcPr>
        <w:tcBorders>
          <w:top w:val="none" w:sz="4" w:space="0" w:color="000000"/>
          <w:left w:val="none" w:sz="4" w:space="0" w:color="000000"/>
          <w:bottom w:val="single" w:sz="12" w:space="0" w:color="7F7F7F" w:themeColor="accent5"/>
          <w:right w:val="none" w:sz="4" w:space="0" w:color="000000"/>
        </w:tcBorders>
        <w:shd w:val="clear" w:color="FFFFFF" w:fill="auto"/>
      </w:tcPr>
    </w:tblStylePr>
    <w:tblStylePr w:type="lastRow">
      <w:rPr>
        <w:b/>
        <w:color w:val="404040"/>
      </w:rPr>
      <w:tblPr/>
      <w:tcPr>
        <w:tcBorders>
          <w:top w:val="single" w:sz="4" w:space="0" w:color="7F7F7F"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4E4E4" w:themeColor="accent5" w:themeTint="34" w:fill="E4E4E4" w:themeFill="accent5" w:themeFillTint="34"/>
      </w:tcPr>
    </w:tblStylePr>
    <w:tblStylePr w:type="band1Horz">
      <w:rPr>
        <w:rFonts w:ascii="Arial" w:hAnsi="Arial"/>
        <w:color w:val="404040"/>
        <w:sz w:val="22"/>
      </w:rPr>
      <w:tblPr/>
      <w:tcPr>
        <w:shd w:val="clear" w:color="E4E4E4" w:themeColor="accent5" w:themeTint="34" w:fill="E4E4E4" w:themeFill="accent5" w:themeFillTint="34"/>
      </w:tcPr>
    </w:tblStylePr>
  </w:style>
  <w:style w:type="table" w:customStyle="1" w:styleId="GridTable2-Accent61">
    <w:name w:val="Grid Table 2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E7E6E6" w:themeColor="accent6"/>
        <w:insideH w:val="single" w:sz="4" w:space="0" w:color="E7E6E6" w:themeColor="accent6"/>
        <w:insideV w:val="single" w:sz="4" w:space="0" w:color="E7E6E6" w:themeColor="accent6"/>
      </w:tblBorders>
    </w:tblPr>
    <w:tblStylePr w:type="firstRow">
      <w:rPr>
        <w:b/>
        <w:color w:val="404040"/>
      </w:rPr>
      <w:tblPr/>
      <w:tcPr>
        <w:tcBorders>
          <w:top w:val="none" w:sz="4" w:space="0" w:color="000000"/>
          <w:left w:val="none" w:sz="4" w:space="0" w:color="000000"/>
          <w:bottom w:val="single" w:sz="12" w:space="0" w:color="E7E6E6" w:themeColor="accent6"/>
          <w:right w:val="none" w:sz="4" w:space="0" w:color="000000"/>
        </w:tcBorders>
        <w:shd w:val="clear" w:color="FFFFFF" w:fill="auto"/>
      </w:tcPr>
    </w:tblStylePr>
    <w:tblStylePr w:type="lastRow">
      <w:rPr>
        <w:b/>
        <w:color w:val="404040"/>
      </w:rPr>
      <w:tblPr/>
      <w:tcPr>
        <w:tcBorders>
          <w:top w:val="single" w:sz="4" w:space="0" w:color="E7E6E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F9F9" w:themeColor="accent6" w:themeTint="34" w:fill="FAF9F9" w:themeFill="accent6" w:themeFillTint="34"/>
      </w:tcPr>
    </w:tblStylePr>
    <w:tblStylePr w:type="band1Horz">
      <w:rPr>
        <w:rFonts w:ascii="Arial" w:hAnsi="Arial"/>
        <w:color w:val="404040"/>
        <w:sz w:val="22"/>
      </w:rPr>
      <w:tblPr/>
      <w:tcPr>
        <w:shd w:val="clear" w:color="FAF9F9" w:themeColor="accent6" w:themeTint="34" w:fill="FAF9F9" w:themeFill="accent6" w:themeFillTint="34"/>
      </w:tcPr>
    </w:tblStylePr>
  </w:style>
  <w:style w:type="table" w:styleId="GridTable3">
    <w:name w:val="Grid Table 3"/>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FFFF15" w:themeColor="accent1" w:themeTint="EA"/>
        <w:insideH w:val="single" w:sz="4" w:space="0" w:color="FFFF15" w:themeColor="accent1" w:themeTint="EA"/>
        <w:insideV w:val="single" w:sz="4" w:space="0" w:color="FFFF15"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FCB" w:themeColor="accent1" w:themeTint="34" w:fill="FFFFCB" w:themeFill="accent1" w:themeFillTint="34"/>
      </w:tcPr>
    </w:tblStylePr>
    <w:tblStylePr w:type="band1Horz">
      <w:rPr>
        <w:rFonts w:ascii="Arial" w:hAnsi="Arial"/>
        <w:color w:val="404040"/>
        <w:sz w:val="22"/>
      </w:rPr>
      <w:tblPr/>
      <w:tcPr>
        <w:shd w:val="clear" w:color="FFFFCB" w:themeColor="accent1" w:themeTint="34" w:fill="FFFFCB" w:themeFill="accent1" w:themeFillTint="34"/>
      </w:tcPr>
    </w:tblStylePr>
  </w:style>
  <w:style w:type="table" w:customStyle="1" w:styleId="GridTable3-Accent21">
    <w:name w:val="Grid Table 3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E3E1E1" w:themeColor="accent2" w:themeTint="97"/>
        <w:insideH w:val="single" w:sz="4" w:space="0" w:color="E3E1E1" w:themeColor="accent2" w:themeTint="97"/>
        <w:insideV w:val="single" w:sz="4" w:space="0" w:color="E3E1E1"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5F5F5" w:themeColor="accent2" w:themeTint="32" w:fill="F5F5F5" w:themeFill="accent2" w:themeFillTint="32"/>
      </w:tcPr>
    </w:tblStylePr>
    <w:tblStylePr w:type="band1Horz">
      <w:rPr>
        <w:rFonts w:ascii="Arial" w:hAnsi="Arial"/>
        <w:color w:val="404040"/>
        <w:sz w:val="22"/>
      </w:rPr>
      <w:tblPr/>
      <w:tcPr>
        <w:shd w:val="clear" w:color="F5F5F5" w:themeColor="accent2" w:themeTint="32" w:fill="F5F5F5" w:themeFill="accent2" w:themeFillTint="32"/>
      </w:tcPr>
    </w:tblStylePr>
  </w:style>
  <w:style w:type="table" w:customStyle="1" w:styleId="GridTable3-Accent31">
    <w:name w:val="Grid Table 3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ABA8A8" w:themeColor="accent4" w:themeTint="9A"/>
        <w:insideH w:val="single" w:sz="4" w:space="0" w:color="ABA8A8" w:themeColor="accent4" w:themeTint="9A"/>
        <w:insideV w:val="single" w:sz="4" w:space="0" w:color="ABA8A8"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3E1E1" w:themeColor="accent4" w:themeTint="34" w:fill="E3E1E1" w:themeFill="accent4" w:themeFillTint="34"/>
      </w:tcPr>
    </w:tblStylePr>
    <w:tblStylePr w:type="band1Horz">
      <w:rPr>
        <w:rFonts w:ascii="Arial" w:hAnsi="Arial"/>
        <w:color w:val="404040"/>
        <w:sz w:val="22"/>
      </w:rPr>
      <w:tblPr/>
      <w:tcPr>
        <w:shd w:val="clear" w:color="E3E1E1" w:themeColor="accent4" w:themeTint="34" w:fill="E3E1E1" w:themeFill="accent4" w:themeFillTint="34"/>
      </w:tcPr>
    </w:tblStylePr>
  </w:style>
  <w:style w:type="table" w:customStyle="1" w:styleId="GridTable3-Accent51">
    <w:name w:val="Grid Table 3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7F7F7F" w:themeColor="accent5"/>
        <w:insideH w:val="single" w:sz="4" w:space="0" w:color="7F7F7F" w:themeColor="accent5"/>
        <w:insideV w:val="single" w:sz="4" w:space="0" w:color="7F7F7F"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4E4E4" w:themeColor="accent5" w:themeTint="34" w:fill="E4E4E4" w:themeFill="accent5" w:themeFillTint="34"/>
      </w:tcPr>
    </w:tblStylePr>
    <w:tblStylePr w:type="band1Horz">
      <w:rPr>
        <w:rFonts w:ascii="Arial" w:hAnsi="Arial"/>
        <w:color w:val="404040"/>
        <w:sz w:val="22"/>
      </w:rPr>
      <w:tblPr/>
      <w:tcPr>
        <w:shd w:val="clear" w:color="E4E4E4" w:themeColor="accent5" w:themeTint="34" w:fill="E4E4E4" w:themeFill="accent5" w:themeFillTint="34"/>
      </w:tcPr>
    </w:tblStylePr>
  </w:style>
  <w:style w:type="table" w:customStyle="1" w:styleId="GridTable3-Accent61">
    <w:name w:val="Grid Table 3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E7E6E6" w:themeColor="accent6"/>
        <w:insideH w:val="single" w:sz="4" w:space="0" w:color="E7E6E6" w:themeColor="accent6"/>
        <w:insideV w:val="single" w:sz="4" w:space="0" w:color="E7E6E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AF9F9" w:themeColor="accent6" w:themeTint="34" w:fill="FAF9F9" w:themeFill="accent6" w:themeFillTint="34"/>
      </w:tcPr>
    </w:tblStylePr>
    <w:tblStylePr w:type="band1Horz">
      <w:rPr>
        <w:rFonts w:ascii="Arial" w:hAnsi="Arial"/>
        <w:color w:val="404040"/>
        <w:sz w:val="22"/>
      </w:rPr>
      <w:tblPr/>
      <w:tcPr>
        <w:shd w:val="clear" w:color="FAF9F9" w:themeColor="accent6" w:themeTint="34" w:fill="FAF9F9" w:themeFill="accent6" w:themeFillTint="34"/>
      </w:tcPr>
    </w:tblStylePr>
  </w:style>
  <w:style w:type="table" w:styleId="GridTable4">
    <w:name w:val="Grid Table 4"/>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FFFF6F" w:themeColor="accent1" w:themeTint="90"/>
        <w:left w:val="single" w:sz="4" w:space="0" w:color="FFFF6F" w:themeColor="accent1" w:themeTint="90"/>
        <w:bottom w:val="single" w:sz="4" w:space="0" w:color="FFFF6F" w:themeColor="accent1" w:themeTint="90"/>
        <w:right w:val="single" w:sz="4" w:space="0" w:color="FFFF6F" w:themeColor="accent1" w:themeTint="90"/>
        <w:insideH w:val="single" w:sz="4" w:space="0" w:color="FFFF6F" w:themeColor="accent1" w:themeTint="90"/>
        <w:insideV w:val="single" w:sz="4" w:space="0" w:color="FFFF6F" w:themeColor="accent1" w:themeTint="90"/>
      </w:tblBorders>
    </w:tblPr>
    <w:tblStylePr w:type="firstRow">
      <w:rPr>
        <w:rFonts w:ascii="Arial" w:hAnsi="Arial"/>
        <w:b/>
        <w:color w:val="FFFFFF"/>
        <w:sz w:val="22"/>
      </w:rPr>
      <w:tblPr/>
      <w:tcPr>
        <w:tcBorders>
          <w:top w:val="single" w:sz="4" w:space="0" w:color="FFFF15" w:themeColor="accent1" w:themeTint="EA"/>
          <w:left w:val="single" w:sz="4" w:space="0" w:color="FFFF15" w:themeColor="accent1" w:themeTint="EA"/>
          <w:bottom w:val="single" w:sz="4" w:space="0" w:color="FFFF15" w:themeColor="accent1" w:themeTint="EA"/>
          <w:right w:val="single" w:sz="4" w:space="0" w:color="FFFF15" w:themeColor="accent1" w:themeTint="EA"/>
        </w:tcBorders>
        <w:shd w:val="clear" w:color="FFFF15" w:themeColor="accent1" w:themeTint="EA" w:fill="FFFF15" w:themeFill="accent1" w:themeFillTint="EA"/>
      </w:tcPr>
    </w:tblStylePr>
    <w:tblStylePr w:type="lastRow">
      <w:rPr>
        <w:b/>
        <w:color w:val="404040"/>
      </w:rPr>
      <w:tblPr/>
      <w:tcPr>
        <w:tcBorders>
          <w:top w:val="single" w:sz="4" w:space="0" w:color="FFFF15"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CD" w:themeColor="accent1" w:themeTint="32" w:fill="FFFFCD" w:themeFill="accent1" w:themeFillTint="32"/>
      </w:tcPr>
    </w:tblStylePr>
    <w:tblStylePr w:type="band1Horz">
      <w:rPr>
        <w:rFonts w:ascii="Arial" w:hAnsi="Arial"/>
        <w:color w:val="404040"/>
        <w:sz w:val="22"/>
      </w:rPr>
      <w:tblPr/>
      <w:tcPr>
        <w:shd w:val="clear" w:color="FFFFCD" w:themeColor="accent1" w:themeTint="32" w:fill="FFFFCD" w:themeFill="accent1" w:themeFillTint="32"/>
      </w:tcPr>
    </w:tblStylePr>
  </w:style>
  <w:style w:type="table" w:customStyle="1" w:styleId="GridTable4-Accent21">
    <w:name w:val="Grid Table 4 - Accent 21"/>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E4E3E3" w:themeColor="accent2" w:themeTint="90"/>
        <w:left w:val="single" w:sz="4" w:space="0" w:color="E4E3E3" w:themeColor="accent2" w:themeTint="90"/>
        <w:bottom w:val="single" w:sz="4" w:space="0" w:color="E4E3E3" w:themeColor="accent2" w:themeTint="90"/>
        <w:right w:val="single" w:sz="4" w:space="0" w:color="E4E3E3" w:themeColor="accent2" w:themeTint="90"/>
        <w:insideH w:val="single" w:sz="4" w:space="0" w:color="E4E3E3" w:themeColor="accent2" w:themeTint="90"/>
        <w:insideV w:val="single" w:sz="4" w:space="0" w:color="E4E3E3" w:themeColor="accent2" w:themeTint="90"/>
      </w:tblBorders>
    </w:tblPr>
    <w:tblStylePr w:type="firstRow">
      <w:rPr>
        <w:rFonts w:ascii="Arial" w:hAnsi="Arial"/>
        <w:b/>
        <w:color w:val="FFFFFF"/>
        <w:sz w:val="22"/>
      </w:rPr>
      <w:tblPr/>
      <w:tcPr>
        <w:tcBorders>
          <w:top w:val="single" w:sz="4" w:space="0" w:color="E3E1E1" w:themeColor="accent2" w:themeTint="97"/>
          <w:left w:val="single" w:sz="4" w:space="0" w:color="E3E1E1" w:themeColor="accent2" w:themeTint="97"/>
          <w:bottom w:val="single" w:sz="4" w:space="0" w:color="E3E1E1" w:themeColor="accent2" w:themeTint="97"/>
          <w:right w:val="single" w:sz="4" w:space="0" w:color="E3E1E1" w:themeColor="accent2" w:themeTint="97"/>
        </w:tcBorders>
        <w:shd w:val="clear" w:color="E3E1E1" w:themeColor="accent2" w:themeTint="97" w:fill="E3E1E1" w:themeFill="accent2" w:themeFillTint="97"/>
      </w:tcPr>
    </w:tblStylePr>
    <w:tblStylePr w:type="lastRow">
      <w:rPr>
        <w:b/>
        <w:color w:val="404040"/>
      </w:rPr>
      <w:tblPr/>
      <w:tcPr>
        <w:tcBorders>
          <w:top w:val="single" w:sz="4" w:space="0" w:color="E3E1E1"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5F5F5" w:themeColor="accent2" w:themeTint="32" w:fill="F5F5F5" w:themeFill="accent2" w:themeFillTint="32"/>
      </w:tcPr>
    </w:tblStylePr>
    <w:tblStylePr w:type="band1Horz">
      <w:rPr>
        <w:rFonts w:ascii="Arial" w:hAnsi="Arial"/>
        <w:color w:val="404040"/>
        <w:sz w:val="22"/>
      </w:rPr>
      <w:tblPr/>
      <w:tcPr>
        <w:shd w:val="clear" w:color="F5F5F5" w:themeColor="accent2" w:themeTint="32" w:fill="F5F5F5" w:themeFill="accent2" w:themeFillTint="32"/>
      </w:tcPr>
    </w:tblStylePr>
  </w:style>
  <w:style w:type="table" w:customStyle="1" w:styleId="GridTable4-Accent31">
    <w:name w:val="Grid Table 4 - Accent 31"/>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B1ADAD" w:themeColor="accent4" w:themeTint="90"/>
        <w:left w:val="single" w:sz="4" w:space="0" w:color="B1ADAD" w:themeColor="accent4" w:themeTint="90"/>
        <w:bottom w:val="single" w:sz="4" w:space="0" w:color="B1ADAD" w:themeColor="accent4" w:themeTint="90"/>
        <w:right w:val="single" w:sz="4" w:space="0" w:color="B1ADAD" w:themeColor="accent4" w:themeTint="90"/>
        <w:insideH w:val="single" w:sz="4" w:space="0" w:color="B1ADAD" w:themeColor="accent4" w:themeTint="90"/>
        <w:insideV w:val="single" w:sz="4" w:space="0" w:color="B1ADAD" w:themeColor="accent4" w:themeTint="90"/>
      </w:tblBorders>
    </w:tblPr>
    <w:tblStylePr w:type="firstRow">
      <w:rPr>
        <w:rFonts w:ascii="Arial" w:hAnsi="Arial"/>
        <w:b/>
        <w:color w:val="FFFFFF"/>
        <w:sz w:val="22"/>
      </w:rPr>
      <w:tblPr/>
      <w:tcPr>
        <w:tcBorders>
          <w:top w:val="single" w:sz="4" w:space="0" w:color="ABA8A8" w:themeColor="accent4" w:themeTint="9A"/>
          <w:left w:val="single" w:sz="4" w:space="0" w:color="ABA8A8" w:themeColor="accent4" w:themeTint="9A"/>
          <w:bottom w:val="single" w:sz="4" w:space="0" w:color="ABA8A8" w:themeColor="accent4" w:themeTint="9A"/>
          <w:right w:val="single" w:sz="4" w:space="0" w:color="ABA8A8" w:themeColor="accent4" w:themeTint="9A"/>
        </w:tcBorders>
        <w:shd w:val="clear" w:color="ABA8A8" w:themeColor="accent4" w:themeTint="9A" w:fill="ABA8A8" w:themeFill="accent4" w:themeFillTint="9A"/>
      </w:tcPr>
    </w:tblStylePr>
    <w:tblStylePr w:type="lastRow">
      <w:rPr>
        <w:b/>
        <w:color w:val="404040"/>
      </w:rPr>
      <w:tblPr/>
      <w:tcPr>
        <w:tcBorders>
          <w:top w:val="single" w:sz="4" w:space="0" w:color="ABA8A8"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3E1E1" w:themeColor="accent4" w:themeTint="34" w:fill="E3E1E1" w:themeFill="accent4" w:themeFillTint="34"/>
      </w:tcPr>
    </w:tblStylePr>
    <w:tblStylePr w:type="band1Horz">
      <w:rPr>
        <w:rFonts w:ascii="Arial" w:hAnsi="Arial"/>
        <w:color w:val="404040"/>
        <w:sz w:val="22"/>
      </w:rPr>
      <w:tblPr/>
      <w:tcPr>
        <w:shd w:val="clear" w:color="E3E1E1" w:themeColor="accent4" w:themeTint="34" w:fill="E3E1E1" w:themeFill="accent4" w:themeFillTint="34"/>
      </w:tcPr>
    </w:tblStylePr>
  </w:style>
  <w:style w:type="table" w:customStyle="1" w:styleId="GridTable4-Accent51">
    <w:name w:val="Grid Table 4 - Accent 51"/>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B6B6B6" w:themeColor="accent5" w:themeTint="90"/>
        <w:left w:val="single" w:sz="4" w:space="0" w:color="B6B6B6" w:themeColor="accent5" w:themeTint="90"/>
        <w:bottom w:val="single" w:sz="4" w:space="0" w:color="B6B6B6" w:themeColor="accent5" w:themeTint="90"/>
        <w:right w:val="single" w:sz="4" w:space="0" w:color="B6B6B6" w:themeColor="accent5" w:themeTint="90"/>
        <w:insideH w:val="single" w:sz="4" w:space="0" w:color="B6B6B6" w:themeColor="accent5" w:themeTint="90"/>
        <w:insideV w:val="single" w:sz="4" w:space="0" w:color="B6B6B6" w:themeColor="accent5" w:themeTint="90"/>
      </w:tblBorders>
    </w:tblPr>
    <w:tblStylePr w:type="firstRow">
      <w:rPr>
        <w:rFonts w:ascii="Arial" w:hAnsi="Arial"/>
        <w:b/>
        <w:color w:val="FFFFFF"/>
        <w:sz w:val="22"/>
      </w:rPr>
      <w:tblPr/>
      <w:tcPr>
        <w:tcBorders>
          <w:top w:val="single" w:sz="4" w:space="0" w:color="7F7F7F" w:themeColor="accent5"/>
          <w:left w:val="single" w:sz="4" w:space="0" w:color="7F7F7F" w:themeColor="accent5"/>
          <w:bottom w:val="single" w:sz="4" w:space="0" w:color="7F7F7F" w:themeColor="accent5"/>
          <w:right w:val="single" w:sz="4" w:space="0" w:color="7F7F7F" w:themeColor="accent5"/>
        </w:tcBorders>
        <w:shd w:val="clear" w:color="7F7F7F" w:themeColor="accent5" w:fill="7F7F7F" w:themeFill="accent5"/>
      </w:tcPr>
    </w:tblStylePr>
    <w:tblStylePr w:type="lastRow">
      <w:rPr>
        <w:b/>
        <w:color w:val="404040"/>
      </w:rPr>
      <w:tblPr/>
      <w:tcPr>
        <w:tcBorders>
          <w:top w:val="single" w:sz="4" w:space="0" w:color="7F7F7F"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4E4E4" w:themeColor="accent5" w:themeTint="34" w:fill="E4E4E4" w:themeFill="accent5" w:themeFillTint="34"/>
      </w:tcPr>
    </w:tblStylePr>
    <w:tblStylePr w:type="band1Horz">
      <w:rPr>
        <w:rFonts w:ascii="Arial" w:hAnsi="Arial"/>
        <w:color w:val="404040"/>
        <w:sz w:val="22"/>
      </w:rPr>
      <w:tblPr/>
      <w:tcPr>
        <w:shd w:val="clear" w:color="E4E4E4" w:themeColor="accent5" w:themeTint="34" w:fill="E4E4E4" w:themeFill="accent5" w:themeFillTint="34"/>
      </w:tcPr>
    </w:tblStylePr>
  </w:style>
  <w:style w:type="table" w:customStyle="1" w:styleId="GridTable4-Accent61">
    <w:name w:val="Grid Table 4 - Accent 61"/>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F1F0F0" w:themeColor="accent6" w:themeTint="90"/>
        <w:left w:val="single" w:sz="4" w:space="0" w:color="F1F0F0" w:themeColor="accent6" w:themeTint="90"/>
        <w:bottom w:val="single" w:sz="4" w:space="0" w:color="F1F0F0" w:themeColor="accent6" w:themeTint="90"/>
        <w:right w:val="single" w:sz="4" w:space="0" w:color="F1F0F0" w:themeColor="accent6" w:themeTint="90"/>
        <w:insideH w:val="single" w:sz="4" w:space="0" w:color="F1F0F0" w:themeColor="accent6" w:themeTint="90"/>
        <w:insideV w:val="single" w:sz="4" w:space="0" w:color="F1F0F0" w:themeColor="accent6" w:themeTint="90"/>
      </w:tblBorders>
    </w:tblPr>
    <w:tblStylePr w:type="firstRow">
      <w:rPr>
        <w:rFonts w:ascii="Arial" w:hAnsi="Arial"/>
        <w:b/>
        <w:color w:val="FFFFFF"/>
        <w:sz w:val="22"/>
      </w:rPr>
      <w:tblPr/>
      <w:tcPr>
        <w:tcBorders>
          <w:top w:val="single" w:sz="4" w:space="0" w:color="E7E6E6" w:themeColor="accent6"/>
          <w:left w:val="single" w:sz="4" w:space="0" w:color="E7E6E6" w:themeColor="accent6"/>
          <w:bottom w:val="single" w:sz="4" w:space="0" w:color="E7E6E6" w:themeColor="accent6"/>
          <w:right w:val="single" w:sz="4" w:space="0" w:color="E7E6E6" w:themeColor="accent6"/>
        </w:tcBorders>
        <w:shd w:val="clear" w:color="E7E6E6" w:themeColor="accent6" w:fill="E7E6E6" w:themeFill="accent6"/>
      </w:tcPr>
    </w:tblStylePr>
    <w:tblStylePr w:type="lastRow">
      <w:rPr>
        <w:b/>
        <w:color w:val="404040"/>
      </w:rPr>
      <w:tblPr/>
      <w:tcPr>
        <w:tcBorders>
          <w:top w:val="single" w:sz="4" w:space="0" w:color="E7E6E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F9F9" w:themeColor="accent6" w:themeTint="34" w:fill="FAF9F9" w:themeFill="accent6" w:themeFillTint="34"/>
      </w:tcPr>
    </w:tblStylePr>
    <w:tblStylePr w:type="band1Horz">
      <w:rPr>
        <w:rFonts w:ascii="Arial" w:hAnsi="Arial"/>
        <w:color w:val="404040"/>
        <w:sz w:val="22"/>
      </w:rPr>
      <w:tblPr/>
      <w:tcPr>
        <w:shd w:val="clear" w:color="FAF9F9" w:themeColor="accent6" w:themeTint="34" w:fill="FAF9F9" w:themeFill="accent6" w:themeFillTint="34"/>
      </w:tcPr>
    </w:tblStylePr>
  </w:style>
  <w:style w:type="table" w:styleId="GridTable5Dark">
    <w:name w:val="Grid Table 5 Dark"/>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21">
    <w:name w:val="Grid Table 5 Dark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5F5F5" w:themeColor="accent2" w:themeTint="32" w:fill="F5F5F5" w:themeFill="accent2" w:themeFillTint="32"/>
    </w:tblPr>
    <w:tblStylePr w:type="firstRow">
      <w:rPr>
        <w:rFonts w:ascii="Arial" w:hAnsi="Arial"/>
        <w:b/>
        <w:color w:val="FFFFFF"/>
        <w:sz w:val="22"/>
      </w:rPr>
      <w:tblPr/>
      <w:tcPr>
        <w:shd w:val="clear" w:color="D0CECE" w:themeColor="accent2" w:fill="D0CECE" w:themeFill="accent2"/>
      </w:tcPr>
    </w:tblStylePr>
    <w:tblStylePr w:type="lastRow">
      <w:rPr>
        <w:rFonts w:ascii="Arial" w:hAnsi="Arial"/>
        <w:b/>
        <w:color w:val="FFFFFF"/>
        <w:sz w:val="22"/>
      </w:rPr>
      <w:tblPr/>
      <w:tcPr>
        <w:tcBorders>
          <w:top w:val="single" w:sz="4" w:space="0" w:color="FFFFFF" w:themeColor="light1"/>
        </w:tcBorders>
        <w:shd w:val="clear" w:color="D0CECE" w:themeColor="accent2" w:fill="D0CECE" w:themeFill="accent2"/>
      </w:tcPr>
    </w:tblStylePr>
    <w:tblStylePr w:type="firstCol">
      <w:rPr>
        <w:rFonts w:ascii="Arial" w:hAnsi="Arial"/>
        <w:b/>
        <w:color w:val="FFFFFF"/>
        <w:sz w:val="22"/>
      </w:rPr>
      <w:tblPr/>
      <w:tcPr>
        <w:shd w:val="clear" w:color="D0CECE" w:themeColor="accent2" w:fill="D0CECE" w:themeFill="accent2"/>
      </w:tcPr>
    </w:tblStylePr>
    <w:tblStylePr w:type="lastCol">
      <w:rPr>
        <w:rFonts w:ascii="Arial" w:hAnsi="Arial"/>
        <w:b/>
        <w:color w:val="FFFFFF"/>
        <w:sz w:val="22"/>
      </w:rPr>
      <w:tblPr/>
      <w:tcPr>
        <w:shd w:val="clear" w:color="D0CECE" w:themeColor="accent2" w:fill="D0CECE" w:themeFill="accent2"/>
      </w:tcPr>
    </w:tblStylePr>
    <w:tblStylePr w:type="band1Vert">
      <w:tblPr/>
      <w:tcPr>
        <w:shd w:val="clear" w:color="E9E8E8" w:themeColor="accent2" w:themeTint="75" w:fill="E9E8E8" w:themeFill="accent2" w:themeFillTint="75"/>
      </w:tcPr>
    </w:tblStylePr>
    <w:tblStylePr w:type="band1Horz">
      <w:tblPr/>
      <w:tcPr>
        <w:shd w:val="clear" w:color="E9E8E8" w:themeColor="accent2" w:themeTint="75" w:fill="E9E8E8" w:themeFill="accent2" w:themeFillTint="75"/>
      </w:tcPr>
    </w:tblStylePr>
  </w:style>
  <w:style w:type="table" w:customStyle="1" w:styleId="GridTable5Dark-Accent31">
    <w:name w:val="Grid Table 5 Dark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
    <w:name w:val="Grid Table 5 Dark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4E4E4" w:themeColor="accent5" w:themeTint="34" w:fill="E4E4E4" w:themeFill="accent5" w:themeFillTint="34"/>
    </w:tblPr>
    <w:tblStylePr w:type="firstRow">
      <w:rPr>
        <w:rFonts w:ascii="Arial" w:hAnsi="Arial"/>
        <w:b/>
        <w:color w:val="FFFFFF"/>
        <w:sz w:val="22"/>
      </w:rPr>
      <w:tblPr/>
      <w:tcPr>
        <w:shd w:val="clear" w:color="7F7F7F" w:themeColor="accent5" w:fill="7F7F7F" w:themeFill="accent5"/>
      </w:tcPr>
    </w:tblStylePr>
    <w:tblStylePr w:type="lastRow">
      <w:rPr>
        <w:rFonts w:ascii="Arial" w:hAnsi="Arial"/>
        <w:b/>
        <w:color w:val="FFFFFF"/>
        <w:sz w:val="22"/>
      </w:rPr>
      <w:tblPr/>
      <w:tcPr>
        <w:tcBorders>
          <w:top w:val="single" w:sz="4" w:space="0" w:color="FFFFFF" w:themeColor="light1"/>
        </w:tcBorders>
        <w:shd w:val="clear" w:color="7F7F7F" w:themeColor="accent5" w:fill="7F7F7F" w:themeFill="accent5"/>
      </w:tcPr>
    </w:tblStylePr>
    <w:tblStylePr w:type="firstCol">
      <w:rPr>
        <w:rFonts w:ascii="Arial" w:hAnsi="Arial"/>
        <w:b/>
        <w:color w:val="FFFFFF"/>
        <w:sz w:val="22"/>
      </w:rPr>
      <w:tblPr/>
      <w:tcPr>
        <w:shd w:val="clear" w:color="7F7F7F" w:themeColor="accent5" w:fill="7F7F7F" w:themeFill="accent5"/>
      </w:tcPr>
    </w:tblStylePr>
    <w:tblStylePr w:type="lastCol">
      <w:rPr>
        <w:rFonts w:ascii="Arial" w:hAnsi="Arial"/>
        <w:b/>
        <w:color w:val="FFFFFF"/>
        <w:sz w:val="22"/>
      </w:rPr>
      <w:tblPr/>
      <w:tcPr>
        <w:shd w:val="clear" w:color="7F7F7F" w:themeColor="accent5" w:fill="7F7F7F" w:themeFill="accent5"/>
      </w:tcPr>
    </w:tblStylePr>
    <w:tblStylePr w:type="band1Vert">
      <w:tblPr/>
      <w:tcPr>
        <w:shd w:val="clear" w:color="C4C4C4" w:themeColor="accent5" w:themeTint="75" w:fill="C4C4C4" w:themeFill="accent5" w:themeFillTint="75"/>
      </w:tcPr>
    </w:tblStylePr>
    <w:tblStylePr w:type="band1Horz">
      <w:tblPr/>
      <w:tcPr>
        <w:shd w:val="clear" w:color="C4C4C4" w:themeColor="accent5" w:themeTint="75" w:fill="C4C4C4" w:themeFill="accent5" w:themeFillTint="75"/>
      </w:tcPr>
    </w:tblStylePr>
  </w:style>
  <w:style w:type="table" w:customStyle="1" w:styleId="GridTable5Dark-Accent61">
    <w:name w:val="Grid Table 5 Dark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AF9F9" w:themeColor="accent6" w:themeTint="34" w:fill="FAF9F9" w:themeFill="accent6" w:themeFillTint="34"/>
    </w:tblPr>
    <w:tblStylePr w:type="firstRow">
      <w:rPr>
        <w:rFonts w:ascii="Arial" w:hAnsi="Arial"/>
        <w:b/>
        <w:color w:val="FFFFFF"/>
        <w:sz w:val="22"/>
      </w:rPr>
      <w:tblPr/>
      <w:tcPr>
        <w:shd w:val="clear" w:color="E7E6E6" w:themeColor="accent6" w:fill="E7E6E6" w:themeFill="accent6"/>
      </w:tcPr>
    </w:tblStylePr>
    <w:tblStylePr w:type="lastRow">
      <w:rPr>
        <w:rFonts w:ascii="Arial" w:hAnsi="Arial"/>
        <w:b/>
        <w:color w:val="FFFFFF"/>
        <w:sz w:val="22"/>
      </w:rPr>
      <w:tblPr/>
      <w:tcPr>
        <w:tcBorders>
          <w:top w:val="single" w:sz="4" w:space="0" w:color="FFFFFF" w:themeColor="light1"/>
        </w:tcBorders>
        <w:shd w:val="clear" w:color="E7E6E6" w:themeColor="accent6" w:fill="E7E6E6" w:themeFill="accent6"/>
      </w:tcPr>
    </w:tblStylePr>
    <w:tblStylePr w:type="firstCol">
      <w:rPr>
        <w:rFonts w:ascii="Arial" w:hAnsi="Arial"/>
        <w:b/>
        <w:color w:val="FFFFFF"/>
        <w:sz w:val="22"/>
      </w:rPr>
      <w:tblPr/>
      <w:tcPr>
        <w:shd w:val="clear" w:color="E7E6E6" w:themeColor="accent6" w:fill="E7E6E6" w:themeFill="accent6"/>
      </w:tcPr>
    </w:tblStylePr>
    <w:tblStylePr w:type="lastCol">
      <w:rPr>
        <w:rFonts w:ascii="Arial" w:hAnsi="Arial"/>
        <w:b/>
        <w:color w:val="FFFFFF"/>
        <w:sz w:val="22"/>
      </w:rPr>
      <w:tblPr/>
      <w:tcPr>
        <w:shd w:val="clear" w:color="E7E6E6" w:themeColor="accent6" w:fill="E7E6E6" w:themeFill="accent6"/>
      </w:tcPr>
    </w:tblStylePr>
    <w:tblStylePr w:type="band1Vert">
      <w:tblPr/>
      <w:tcPr>
        <w:shd w:val="clear" w:color="F4F3F3" w:themeColor="accent6" w:themeTint="75" w:fill="F4F3F3" w:themeFill="accent6" w:themeFillTint="75"/>
      </w:tcPr>
    </w:tblStylePr>
    <w:tblStylePr w:type="band1Horz">
      <w:tblPr/>
      <w:tcPr>
        <w:shd w:val="clear" w:color="F4F3F3" w:themeColor="accent6" w:themeTint="75" w:fill="F4F3F3" w:themeFill="accent6" w:themeFillTint="75"/>
      </w:tcPr>
    </w:tblStylePr>
  </w:style>
  <w:style w:type="table" w:styleId="GridTable6Colorful">
    <w:name w:val="Grid Table 6 Colorful"/>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7Colorful">
    <w:name w:val="Grid Table 7 Colorful"/>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ListTable1Light">
    <w:name w:val="List Table 1 Light"/>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FFFF00" w:themeColor="accent1"/>
          <w:right w:val="none" w:sz="4" w:space="0" w:color="000000"/>
        </w:tcBorders>
      </w:tcPr>
    </w:tblStylePr>
    <w:tblStylePr w:type="lastRow">
      <w:rPr>
        <w:b/>
        <w:color w:val="404040"/>
      </w:rPr>
      <w:tblPr/>
      <w:tcPr>
        <w:tcBorders>
          <w:top w:val="single" w:sz="4" w:space="0" w:color="FFFF00"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BF" w:themeColor="accent1" w:themeTint="40" w:fill="FFFFBF" w:themeFill="accent1" w:themeFillTint="40"/>
      </w:tcPr>
    </w:tblStylePr>
    <w:tblStylePr w:type="band1Horz">
      <w:tblPr/>
      <w:tcPr>
        <w:shd w:val="clear" w:color="FFFFBF" w:themeColor="accent1" w:themeTint="40" w:fill="FFFFBF" w:themeFill="accent1" w:themeFillTint="40"/>
      </w:tcPr>
    </w:tblStylePr>
  </w:style>
  <w:style w:type="table" w:customStyle="1" w:styleId="ListTable1Light-Accent21">
    <w:name w:val="List Table 1 Light - Accent 21"/>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D0CECE" w:themeColor="accent2"/>
          <w:right w:val="none" w:sz="4" w:space="0" w:color="000000"/>
        </w:tcBorders>
      </w:tcPr>
    </w:tblStylePr>
    <w:tblStylePr w:type="lastRow">
      <w:rPr>
        <w:b/>
        <w:color w:val="404040"/>
      </w:rPr>
      <w:tblPr/>
      <w:tcPr>
        <w:tcBorders>
          <w:top w:val="single" w:sz="4" w:space="0" w:color="D0CECE"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3F2F2" w:themeColor="accent2" w:themeTint="40" w:fill="F3F2F2" w:themeFill="accent2" w:themeFillTint="40"/>
      </w:tcPr>
    </w:tblStylePr>
    <w:tblStylePr w:type="band1Horz">
      <w:tblPr/>
      <w:tcPr>
        <w:shd w:val="clear" w:color="F3F2F2" w:themeColor="accent2" w:themeTint="40" w:fill="F3F2F2" w:themeFill="accent2" w:themeFillTint="40"/>
      </w:tcPr>
    </w:tblStylePr>
  </w:style>
  <w:style w:type="table" w:customStyle="1" w:styleId="ListTable1Light-Accent31">
    <w:name w:val="List Table 1 Light - Accent 31"/>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757070" w:themeColor="accent4"/>
          <w:right w:val="none" w:sz="4" w:space="0" w:color="000000"/>
        </w:tcBorders>
      </w:tcPr>
    </w:tblStylePr>
    <w:tblStylePr w:type="lastRow">
      <w:rPr>
        <w:b/>
        <w:color w:val="404040"/>
      </w:rPr>
      <w:tblPr/>
      <w:tcPr>
        <w:tcBorders>
          <w:top w:val="single" w:sz="4" w:space="0" w:color="75707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CDADA" w:themeColor="accent4" w:themeTint="40" w:fill="DCDADA" w:themeFill="accent4" w:themeFillTint="40"/>
      </w:tcPr>
    </w:tblStylePr>
    <w:tblStylePr w:type="band1Horz">
      <w:tblPr/>
      <w:tcPr>
        <w:shd w:val="clear" w:color="DCDADA" w:themeColor="accent4" w:themeTint="40" w:fill="DCDADA" w:themeFill="accent4" w:themeFillTint="40"/>
      </w:tcPr>
    </w:tblStylePr>
  </w:style>
  <w:style w:type="table" w:customStyle="1" w:styleId="ListTable1Light-Accent51">
    <w:name w:val="List Table 1 Light - Accent 51"/>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7F7F7F" w:themeColor="accent5"/>
          <w:right w:val="none" w:sz="4" w:space="0" w:color="000000"/>
        </w:tcBorders>
      </w:tcPr>
    </w:tblStylePr>
    <w:tblStylePr w:type="lastRow">
      <w:rPr>
        <w:b/>
        <w:color w:val="404040"/>
      </w:rPr>
      <w:tblPr/>
      <w:tcPr>
        <w:tcBorders>
          <w:top w:val="single" w:sz="4" w:space="0" w:color="7F7F7F"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EDEDE" w:themeColor="accent5" w:themeTint="40" w:fill="DEDEDE" w:themeFill="accent5" w:themeFillTint="40"/>
      </w:tcPr>
    </w:tblStylePr>
    <w:tblStylePr w:type="band1Horz">
      <w:tblPr/>
      <w:tcPr>
        <w:shd w:val="clear" w:color="DEDEDE" w:themeColor="accent5" w:themeTint="40" w:fill="DEDEDE" w:themeFill="accent5" w:themeFillTint="40"/>
      </w:tcPr>
    </w:tblStylePr>
  </w:style>
  <w:style w:type="table" w:customStyle="1" w:styleId="ListTable1Light-Accent61">
    <w:name w:val="List Table 1 Light - Accent 61"/>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E7E6E6" w:themeColor="accent6"/>
          <w:right w:val="none" w:sz="4" w:space="0" w:color="000000"/>
        </w:tcBorders>
      </w:tcPr>
    </w:tblStylePr>
    <w:tblStylePr w:type="lastRow">
      <w:rPr>
        <w:b/>
        <w:color w:val="404040"/>
      </w:rPr>
      <w:tblPr/>
      <w:tcPr>
        <w:tcBorders>
          <w:top w:val="single" w:sz="4" w:space="0" w:color="E7E6E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9F8F8" w:themeColor="accent6" w:themeTint="40" w:fill="F9F8F8" w:themeFill="accent6" w:themeFillTint="40"/>
      </w:tcPr>
    </w:tblStylePr>
    <w:tblStylePr w:type="band1Horz">
      <w:tblPr/>
      <w:tcPr>
        <w:shd w:val="clear" w:color="F9F8F8" w:themeColor="accent6" w:themeTint="40" w:fill="F9F8F8" w:themeFill="accent6" w:themeFillTint="40"/>
      </w:tcPr>
    </w:tblStylePr>
  </w:style>
  <w:style w:type="table" w:styleId="ListTable2">
    <w:name w:val="List Table 2"/>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6F" w:themeColor="accent1" w:themeTint="90"/>
        <w:bottom w:val="single" w:sz="4" w:space="0" w:color="FFFF6F" w:themeColor="accent1" w:themeTint="90"/>
        <w:insideH w:val="single" w:sz="4" w:space="0" w:color="FFFF6F" w:themeColor="accent1" w:themeTint="90"/>
      </w:tblBorders>
    </w:tblPr>
    <w:tblStylePr w:type="firstRow">
      <w:rPr>
        <w:rFonts w:ascii="Arial" w:hAnsi="Arial"/>
        <w:b/>
        <w:color w:val="404040"/>
        <w:sz w:val="22"/>
      </w:rPr>
      <w:tblPr/>
      <w:tcPr>
        <w:tcBorders>
          <w:top w:val="single" w:sz="4" w:space="0" w:color="FFFF6F" w:themeColor="accent1" w:themeTint="90"/>
          <w:left w:val="none" w:sz="4" w:space="0" w:color="000000"/>
          <w:bottom w:val="single" w:sz="4" w:space="0" w:color="FFFF6F" w:themeColor="accent1" w:themeTint="90"/>
          <w:right w:val="none" w:sz="4" w:space="0" w:color="000000"/>
        </w:tcBorders>
      </w:tcPr>
    </w:tblStylePr>
    <w:tblStylePr w:type="lastRow">
      <w:rPr>
        <w:rFonts w:ascii="Arial" w:hAnsi="Arial"/>
        <w:b/>
        <w:color w:val="404040"/>
        <w:sz w:val="22"/>
      </w:rPr>
      <w:tblPr/>
      <w:tcPr>
        <w:tcBorders>
          <w:top w:val="single" w:sz="4" w:space="0" w:color="FFFF6F" w:themeColor="accent1" w:themeTint="90"/>
          <w:left w:val="none" w:sz="4" w:space="0" w:color="000000"/>
          <w:bottom w:val="single" w:sz="4" w:space="0" w:color="FFFF6F"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BF" w:themeColor="accent1" w:themeTint="40" w:fill="FFFFBF" w:themeFill="accent1" w:themeFillTint="40"/>
      </w:tcPr>
    </w:tblStylePr>
    <w:tblStylePr w:type="band1Horz">
      <w:rPr>
        <w:rFonts w:ascii="Arial" w:hAnsi="Arial"/>
        <w:color w:val="404040"/>
        <w:sz w:val="22"/>
      </w:rPr>
      <w:tblPr/>
      <w:tcPr>
        <w:shd w:val="clear" w:color="FFFFBF" w:themeColor="accent1" w:themeTint="40" w:fill="FFFFBF" w:themeFill="accent1" w:themeFillTint="40"/>
      </w:tcPr>
    </w:tblStylePr>
  </w:style>
  <w:style w:type="table" w:customStyle="1" w:styleId="ListTable2-Accent21">
    <w:name w:val="List Table 2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4E3E3" w:themeColor="accent2" w:themeTint="90"/>
        <w:bottom w:val="single" w:sz="4" w:space="0" w:color="E4E3E3" w:themeColor="accent2" w:themeTint="90"/>
        <w:insideH w:val="single" w:sz="4" w:space="0" w:color="E4E3E3" w:themeColor="accent2" w:themeTint="90"/>
      </w:tblBorders>
    </w:tblPr>
    <w:tblStylePr w:type="firstRow">
      <w:rPr>
        <w:rFonts w:ascii="Arial" w:hAnsi="Arial"/>
        <w:b/>
        <w:color w:val="404040"/>
        <w:sz w:val="22"/>
      </w:rPr>
      <w:tblPr/>
      <w:tcPr>
        <w:tcBorders>
          <w:top w:val="single" w:sz="4" w:space="0" w:color="E4E3E3" w:themeColor="accent2" w:themeTint="90"/>
          <w:left w:val="none" w:sz="4" w:space="0" w:color="000000"/>
          <w:bottom w:val="single" w:sz="4" w:space="0" w:color="E4E3E3" w:themeColor="accent2" w:themeTint="90"/>
          <w:right w:val="none" w:sz="4" w:space="0" w:color="000000"/>
        </w:tcBorders>
      </w:tcPr>
    </w:tblStylePr>
    <w:tblStylePr w:type="lastRow">
      <w:rPr>
        <w:rFonts w:ascii="Arial" w:hAnsi="Arial"/>
        <w:b/>
        <w:color w:val="404040"/>
        <w:sz w:val="22"/>
      </w:rPr>
      <w:tblPr/>
      <w:tcPr>
        <w:tcBorders>
          <w:top w:val="single" w:sz="4" w:space="0" w:color="E4E3E3" w:themeColor="accent2" w:themeTint="90"/>
          <w:left w:val="none" w:sz="4" w:space="0" w:color="000000"/>
          <w:bottom w:val="single" w:sz="4" w:space="0" w:color="E4E3E3"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3F2F2" w:themeColor="accent2" w:themeTint="40" w:fill="F3F2F2" w:themeFill="accent2" w:themeFillTint="40"/>
      </w:tcPr>
    </w:tblStylePr>
    <w:tblStylePr w:type="band1Horz">
      <w:rPr>
        <w:rFonts w:ascii="Arial" w:hAnsi="Arial"/>
        <w:color w:val="404040"/>
        <w:sz w:val="22"/>
      </w:rPr>
      <w:tblPr/>
      <w:tcPr>
        <w:shd w:val="clear" w:color="F3F2F2" w:themeColor="accent2" w:themeTint="40" w:fill="F3F2F2" w:themeFill="accent2" w:themeFillTint="40"/>
      </w:tcPr>
    </w:tblStylePr>
  </w:style>
  <w:style w:type="table" w:customStyle="1" w:styleId="ListTable2-Accent31">
    <w:name w:val="List Table 2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B1ADAD" w:themeColor="accent4" w:themeTint="90"/>
        <w:bottom w:val="single" w:sz="4" w:space="0" w:color="B1ADAD" w:themeColor="accent4" w:themeTint="90"/>
        <w:insideH w:val="single" w:sz="4" w:space="0" w:color="B1ADAD" w:themeColor="accent4" w:themeTint="90"/>
      </w:tblBorders>
    </w:tblPr>
    <w:tblStylePr w:type="firstRow">
      <w:rPr>
        <w:rFonts w:ascii="Arial" w:hAnsi="Arial"/>
        <w:b/>
        <w:color w:val="404040"/>
        <w:sz w:val="22"/>
      </w:rPr>
      <w:tblPr/>
      <w:tcPr>
        <w:tcBorders>
          <w:top w:val="single" w:sz="4" w:space="0" w:color="B1ADAD" w:themeColor="accent4" w:themeTint="90"/>
          <w:left w:val="none" w:sz="4" w:space="0" w:color="000000"/>
          <w:bottom w:val="single" w:sz="4" w:space="0" w:color="B1ADAD" w:themeColor="accent4" w:themeTint="90"/>
          <w:right w:val="none" w:sz="4" w:space="0" w:color="000000"/>
        </w:tcBorders>
      </w:tcPr>
    </w:tblStylePr>
    <w:tblStylePr w:type="lastRow">
      <w:rPr>
        <w:rFonts w:ascii="Arial" w:hAnsi="Arial"/>
        <w:b/>
        <w:color w:val="404040"/>
        <w:sz w:val="22"/>
      </w:rPr>
      <w:tblPr/>
      <w:tcPr>
        <w:tcBorders>
          <w:top w:val="single" w:sz="4" w:space="0" w:color="B1ADAD" w:themeColor="accent4" w:themeTint="90"/>
          <w:left w:val="none" w:sz="4" w:space="0" w:color="000000"/>
          <w:bottom w:val="single" w:sz="4" w:space="0" w:color="B1ADAD"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DADA" w:themeColor="accent4" w:themeTint="40" w:fill="DCDADA" w:themeFill="accent4" w:themeFillTint="40"/>
      </w:tcPr>
    </w:tblStylePr>
    <w:tblStylePr w:type="band1Horz">
      <w:rPr>
        <w:rFonts w:ascii="Arial" w:hAnsi="Arial"/>
        <w:color w:val="404040"/>
        <w:sz w:val="22"/>
      </w:rPr>
      <w:tblPr/>
      <w:tcPr>
        <w:shd w:val="clear" w:color="DCDADA" w:themeColor="accent4" w:themeTint="40" w:fill="DCDADA" w:themeFill="accent4" w:themeFillTint="40"/>
      </w:tcPr>
    </w:tblStylePr>
  </w:style>
  <w:style w:type="table" w:customStyle="1" w:styleId="ListTable2-Accent51">
    <w:name w:val="List Table 2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B6B6B6" w:themeColor="accent5" w:themeTint="90"/>
        <w:bottom w:val="single" w:sz="4" w:space="0" w:color="B6B6B6" w:themeColor="accent5" w:themeTint="90"/>
        <w:insideH w:val="single" w:sz="4" w:space="0" w:color="B6B6B6" w:themeColor="accent5" w:themeTint="90"/>
      </w:tblBorders>
    </w:tblPr>
    <w:tblStylePr w:type="firstRow">
      <w:rPr>
        <w:rFonts w:ascii="Arial" w:hAnsi="Arial"/>
        <w:b/>
        <w:color w:val="404040"/>
        <w:sz w:val="22"/>
      </w:rPr>
      <w:tblPr/>
      <w:tcPr>
        <w:tcBorders>
          <w:top w:val="single" w:sz="4" w:space="0" w:color="B6B6B6" w:themeColor="accent5" w:themeTint="90"/>
          <w:left w:val="none" w:sz="4" w:space="0" w:color="000000"/>
          <w:bottom w:val="single" w:sz="4" w:space="0" w:color="B6B6B6" w:themeColor="accent5" w:themeTint="90"/>
          <w:right w:val="none" w:sz="4" w:space="0" w:color="000000"/>
        </w:tcBorders>
      </w:tcPr>
    </w:tblStylePr>
    <w:tblStylePr w:type="lastRow">
      <w:rPr>
        <w:rFonts w:ascii="Arial" w:hAnsi="Arial"/>
        <w:b/>
        <w:color w:val="404040"/>
        <w:sz w:val="22"/>
      </w:rPr>
      <w:tblPr/>
      <w:tcPr>
        <w:tcBorders>
          <w:top w:val="single" w:sz="4" w:space="0" w:color="B6B6B6" w:themeColor="accent5" w:themeTint="90"/>
          <w:left w:val="none" w:sz="4" w:space="0" w:color="000000"/>
          <w:bottom w:val="single" w:sz="4" w:space="0" w:color="B6B6B6"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EDEDE" w:themeColor="accent5" w:themeTint="40" w:fill="DEDEDE" w:themeFill="accent5" w:themeFillTint="40"/>
      </w:tcPr>
    </w:tblStylePr>
    <w:tblStylePr w:type="band1Horz">
      <w:rPr>
        <w:rFonts w:ascii="Arial" w:hAnsi="Arial"/>
        <w:color w:val="404040"/>
        <w:sz w:val="22"/>
      </w:rPr>
      <w:tblPr/>
      <w:tcPr>
        <w:shd w:val="clear" w:color="DEDEDE" w:themeColor="accent5" w:themeTint="40" w:fill="DEDEDE" w:themeFill="accent5" w:themeFillTint="40"/>
      </w:tcPr>
    </w:tblStylePr>
  </w:style>
  <w:style w:type="table" w:customStyle="1" w:styleId="ListTable2-Accent61">
    <w:name w:val="List Table 2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1F0F0" w:themeColor="accent6" w:themeTint="90"/>
        <w:bottom w:val="single" w:sz="4" w:space="0" w:color="F1F0F0" w:themeColor="accent6" w:themeTint="90"/>
        <w:insideH w:val="single" w:sz="4" w:space="0" w:color="F1F0F0" w:themeColor="accent6" w:themeTint="90"/>
      </w:tblBorders>
    </w:tblPr>
    <w:tblStylePr w:type="firstRow">
      <w:rPr>
        <w:rFonts w:ascii="Arial" w:hAnsi="Arial"/>
        <w:b/>
        <w:color w:val="404040"/>
        <w:sz w:val="22"/>
      </w:rPr>
      <w:tblPr/>
      <w:tcPr>
        <w:tcBorders>
          <w:top w:val="single" w:sz="4" w:space="0" w:color="F1F0F0" w:themeColor="accent6" w:themeTint="90"/>
          <w:left w:val="none" w:sz="4" w:space="0" w:color="000000"/>
          <w:bottom w:val="single" w:sz="4" w:space="0" w:color="F1F0F0" w:themeColor="accent6" w:themeTint="90"/>
          <w:right w:val="none" w:sz="4" w:space="0" w:color="000000"/>
        </w:tcBorders>
      </w:tcPr>
    </w:tblStylePr>
    <w:tblStylePr w:type="lastRow">
      <w:rPr>
        <w:rFonts w:ascii="Arial" w:hAnsi="Arial"/>
        <w:b/>
        <w:color w:val="404040"/>
        <w:sz w:val="22"/>
      </w:rPr>
      <w:tblPr/>
      <w:tcPr>
        <w:tcBorders>
          <w:top w:val="single" w:sz="4" w:space="0" w:color="F1F0F0" w:themeColor="accent6" w:themeTint="90"/>
          <w:left w:val="none" w:sz="4" w:space="0" w:color="000000"/>
          <w:bottom w:val="single" w:sz="4" w:space="0" w:color="F1F0F0"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F8F8" w:themeColor="accent6" w:themeTint="40" w:fill="F9F8F8" w:themeFill="accent6" w:themeFillTint="40"/>
      </w:tcPr>
    </w:tblStylePr>
    <w:tblStylePr w:type="band1Horz">
      <w:rPr>
        <w:rFonts w:ascii="Arial" w:hAnsi="Arial"/>
        <w:color w:val="404040"/>
        <w:sz w:val="22"/>
      </w:rPr>
      <w:tblPr/>
      <w:tcPr>
        <w:shd w:val="clear" w:color="F9F8F8" w:themeColor="accent6" w:themeTint="40" w:fill="F9F8F8" w:themeFill="accent6" w:themeFillTint="40"/>
      </w:tcPr>
    </w:tblStylePr>
  </w:style>
  <w:style w:type="table" w:styleId="ListTable3">
    <w:name w:val="List Table 3"/>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00" w:themeColor="accent1"/>
        <w:left w:val="single" w:sz="4" w:space="0" w:color="FFFF00" w:themeColor="accent1"/>
        <w:bottom w:val="single" w:sz="4" w:space="0" w:color="FFFF00" w:themeColor="accent1"/>
        <w:right w:val="single" w:sz="4" w:space="0" w:color="FFFF00" w:themeColor="accent1"/>
      </w:tblBorders>
    </w:tblPr>
    <w:tblStylePr w:type="firstRow">
      <w:rPr>
        <w:rFonts w:ascii="Arial" w:hAnsi="Arial"/>
        <w:b/>
        <w:color w:val="FFFFFF"/>
        <w:sz w:val="22"/>
      </w:rPr>
      <w:tblPr/>
      <w:tcPr>
        <w:shd w:val="clear" w:color="FFFF00" w:themeColor="accent1" w:fill="FFFF00"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FF00" w:themeColor="accent1"/>
          <w:right w:val="single" w:sz="4" w:space="0" w:color="FFFF00" w:themeColor="accent1"/>
        </w:tcBorders>
      </w:tcPr>
    </w:tblStylePr>
    <w:tblStylePr w:type="band1Horz">
      <w:rPr>
        <w:rFonts w:ascii="Arial" w:hAnsi="Arial"/>
        <w:color w:val="404040"/>
        <w:sz w:val="22"/>
      </w:rPr>
      <w:tblPr/>
      <w:tcPr>
        <w:tcBorders>
          <w:top w:val="single" w:sz="4" w:space="0" w:color="FFFF00" w:themeColor="accent1"/>
          <w:bottom w:val="single" w:sz="4" w:space="0" w:color="FFFF00" w:themeColor="accent1"/>
        </w:tcBorders>
      </w:tcPr>
    </w:tblStylePr>
  </w:style>
  <w:style w:type="table" w:customStyle="1" w:styleId="ListTable3-Accent21">
    <w:name w:val="List Table 3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3E1E1" w:themeColor="accent2" w:themeTint="97"/>
        <w:left w:val="single" w:sz="4" w:space="0" w:color="E3E1E1" w:themeColor="accent2" w:themeTint="97"/>
        <w:bottom w:val="single" w:sz="4" w:space="0" w:color="E3E1E1" w:themeColor="accent2" w:themeTint="97"/>
        <w:right w:val="single" w:sz="4" w:space="0" w:color="E3E1E1" w:themeColor="accent2" w:themeTint="97"/>
      </w:tblBorders>
    </w:tblPr>
    <w:tblStylePr w:type="firstRow">
      <w:rPr>
        <w:rFonts w:ascii="Arial" w:hAnsi="Arial"/>
        <w:b/>
        <w:color w:val="FFFFFF"/>
        <w:sz w:val="22"/>
      </w:rPr>
      <w:tblPr/>
      <w:tcPr>
        <w:shd w:val="clear" w:color="E3E1E1" w:themeColor="accent2" w:themeTint="97" w:fill="E3E1E1"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3E1E1" w:themeColor="accent2" w:themeTint="97"/>
          <w:right w:val="single" w:sz="4" w:space="0" w:color="E3E1E1" w:themeColor="accent2" w:themeTint="97"/>
        </w:tcBorders>
      </w:tcPr>
    </w:tblStylePr>
    <w:tblStylePr w:type="band1Horz">
      <w:rPr>
        <w:rFonts w:ascii="Arial" w:hAnsi="Arial"/>
        <w:color w:val="404040"/>
        <w:sz w:val="22"/>
      </w:rPr>
      <w:tblPr/>
      <w:tcPr>
        <w:tcBorders>
          <w:top w:val="single" w:sz="4" w:space="0" w:color="E3E1E1" w:themeColor="accent2" w:themeTint="97"/>
          <w:bottom w:val="single" w:sz="4" w:space="0" w:color="E3E1E1" w:themeColor="accent2" w:themeTint="97"/>
        </w:tcBorders>
      </w:tcPr>
    </w:tblStylePr>
  </w:style>
  <w:style w:type="table" w:customStyle="1" w:styleId="ListTable3-Accent31">
    <w:name w:val="List Table 3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ABA8A8" w:themeColor="accent4" w:themeTint="9A"/>
        <w:left w:val="single" w:sz="4" w:space="0" w:color="ABA8A8" w:themeColor="accent4" w:themeTint="9A"/>
        <w:bottom w:val="single" w:sz="4" w:space="0" w:color="ABA8A8" w:themeColor="accent4" w:themeTint="9A"/>
        <w:right w:val="single" w:sz="4" w:space="0" w:color="ABA8A8" w:themeColor="accent4" w:themeTint="9A"/>
      </w:tblBorders>
    </w:tblPr>
    <w:tblStylePr w:type="firstRow">
      <w:rPr>
        <w:rFonts w:ascii="Arial" w:hAnsi="Arial"/>
        <w:b/>
        <w:color w:val="FFFFFF"/>
        <w:sz w:val="22"/>
      </w:rPr>
      <w:tblPr/>
      <w:tcPr>
        <w:shd w:val="clear" w:color="ABA8A8" w:themeColor="accent4" w:themeTint="9A" w:fill="ABA8A8"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A8A8" w:themeColor="accent4" w:themeTint="9A"/>
          <w:right w:val="single" w:sz="4" w:space="0" w:color="ABA8A8" w:themeColor="accent4" w:themeTint="9A"/>
        </w:tcBorders>
      </w:tcPr>
    </w:tblStylePr>
    <w:tblStylePr w:type="band1Horz">
      <w:rPr>
        <w:rFonts w:ascii="Arial" w:hAnsi="Arial"/>
        <w:color w:val="404040"/>
        <w:sz w:val="22"/>
      </w:rPr>
      <w:tblPr/>
      <w:tcPr>
        <w:tcBorders>
          <w:top w:val="single" w:sz="4" w:space="0" w:color="ABA8A8" w:themeColor="accent4" w:themeTint="9A"/>
          <w:bottom w:val="single" w:sz="4" w:space="0" w:color="ABA8A8" w:themeColor="accent4" w:themeTint="9A"/>
        </w:tcBorders>
      </w:tcPr>
    </w:tblStylePr>
  </w:style>
  <w:style w:type="table" w:customStyle="1" w:styleId="ListTable3-Accent51">
    <w:name w:val="List Table 3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B1B1B1" w:themeColor="accent5" w:themeTint="9A"/>
        <w:left w:val="single" w:sz="4" w:space="0" w:color="B1B1B1" w:themeColor="accent5" w:themeTint="9A"/>
        <w:bottom w:val="single" w:sz="4" w:space="0" w:color="B1B1B1" w:themeColor="accent5" w:themeTint="9A"/>
        <w:right w:val="single" w:sz="4" w:space="0" w:color="B1B1B1" w:themeColor="accent5" w:themeTint="9A"/>
      </w:tblBorders>
    </w:tblPr>
    <w:tblStylePr w:type="firstRow">
      <w:rPr>
        <w:rFonts w:ascii="Arial" w:hAnsi="Arial"/>
        <w:b/>
        <w:color w:val="FFFFFF"/>
        <w:sz w:val="22"/>
      </w:rPr>
      <w:tblPr/>
      <w:tcPr>
        <w:shd w:val="clear" w:color="B1B1B1" w:themeColor="accent5" w:themeTint="9A" w:fill="B1B1B1"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1B1B1" w:themeColor="accent5" w:themeTint="9A"/>
          <w:right w:val="single" w:sz="4" w:space="0" w:color="B1B1B1" w:themeColor="accent5" w:themeTint="9A"/>
        </w:tcBorders>
      </w:tcPr>
    </w:tblStylePr>
    <w:tblStylePr w:type="band1Horz">
      <w:rPr>
        <w:rFonts w:ascii="Arial" w:hAnsi="Arial"/>
        <w:color w:val="404040"/>
        <w:sz w:val="22"/>
      </w:rPr>
      <w:tblPr/>
      <w:tcPr>
        <w:tcBorders>
          <w:top w:val="single" w:sz="4" w:space="0" w:color="B1B1B1" w:themeColor="accent5" w:themeTint="9A"/>
          <w:bottom w:val="single" w:sz="4" w:space="0" w:color="B1B1B1" w:themeColor="accent5" w:themeTint="9A"/>
        </w:tcBorders>
      </w:tcPr>
    </w:tblStylePr>
  </w:style>
  <w:style w:type="table" w:customStyle="1" w:styleId="ListTable3-Accent61">
    <w:name w:val="List Table 3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0F0F0" w:themeColor="accent6" w:themeTint="98"/>
        <w:left w:val="single" w:sz="4" w:space="0" w:color="F0F0F0" w:themeColor="accent6" w:themeTint="98"/>
        <w:bottom w:val="single" w:sz="4" w:space="0" w:color="F0F0F0" w:themeColor="accent6" w:themeTint="98"/>
        <w:right w:val="single" w:sz="4" w:space="0" w:color="F0F0F0" w:themeColor="accent6" w:themeTint="98"/>
      </w:tblBorders>
    </w:tblPr>
    <w:tblStylePr w:type="firstRow">
      <w:rPr>
        <w:rFonts w:ascii="Arial" w:hAnsi="Arial"/>
        <w:b/>
        <w:color w:val="FFFFFF"/>
        <w:sz w:val="22"/>
      </w:rPr>
      <w:tblPr/>
      <w:tcPr>
        <w:shd w:val="clear" w:color="F0F0F0" w:themeColor="accent6" w:themeTint="98" w:fill="F0F0F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0F0F0" w:themeColor="accent6" w:themeTint="98"/>
          <w:right w:val="single" w:sz="4" w:space="0" w:color="F0F0F0" w:themeColor="accent6" w:themeTint="98"/>
        </w:tcBorders>
      </w:tcPr>
    </w:tblStylePr>
    <w:tblStylePr w:type="band1Horz">
      <w:rPr>
        <w:rFonts w:ascii="Arial" w:hAnsi="Arial"/>
        <w:color w:val="404040"/>
        <w:sz w:val="22"/>
      </w:rPr>
      <w:tblPr/>
      <w:tcPr>
        <w:tcBorders>
          <w:top w:val="single" w:sz="4" w:space="0" w:color="F0F0F0" w:themeColor="accent6" w:themeTint="98"/>
          <w:bottom w:val="single" w:sz="4" w:space="0" w:color="F0F0F0" w:themeColor="accent6" w:themeTint="98"/>
        </w:tcBorders>
      </w:tcPr>
    </w:tblStylePr>
  </w:style>
  <w:style w:type="table" w:styleId="ListTable4">
    <w:name w:val="List Table 4"/>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6F" w:themeColor="accent1" w:themeTint="90"/>
        <w:left w:val="single" w:sz="4" w:space="0" w:color="FFFF6F" w:themeColor="accent1" w:themeTint="90"/>
        <w:bottom w:val="single" w:sz="4" w:space="0" w:color="FFFF6F" w:themeColor="accent1" w:themeTint="90"/>
        <w:right w:val="single" w:sz="4" w:space="0" w:color="FFFF6F" w:themeColor="accent1" w:themeTint="90"/>
        <w:insideH w:val="single" w:sz="4" w:space="0" w:color="FFFF6F" w:themeColor="accent1" w:themeTint="90"/>
      </w:tblBorders>
    </w:tblPr>
    <w:tblStylePr w:type="firstRow">
      <w:rPr>
        <w:rFonts w:ascii="Arial" w:hAnsi="Arial"/>
        <w:b/>
        <w:color w:val="FFFFFF"/>
        <w:sz w:val="22"/>
      </w:rPr>
      <w:tblPr/>
      <w:tcPr>
        <w:shd w:val="clear" w:color="FFFF00" w:themeColor="accent1" w:fill="FFFF00"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BF" w:themeColor="accent1" w:themeTint="40" w:fill="FFFFBF" w:themeFill="accent1" w:themeFillTint="40"/>
      </w:tcPr>
    </w:tblStylePr>
    <w:tblStylePr w:type="band1Horz">
      <w:rPr>
        <w:rFonts w:ascii="Arial" w:hAnsi="Arial"/>
        <w:color w:val="404040"/>
        <w:sz w:val="22"/>
      </w:rPr>
      <w:tblPr/>
      <w:tcPr>
        <w:shd w:val="clear" w:color="FFFFBF" w:themeColor="accent1" w:themeTint="40" w:fill="FFFFBF" w:themeFill="accent1" w:themeFillTint="40"/>
      </w:tcPr>
    </w:tblStylePr>
  </w:style>
  <w:style w:type="table" w:customStyle="1" w:styleId="ListTable4-Accent21">
    <w:name w:val="List Table 4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4E3E3" w:themeColor="accent2" w:themeTint="90"/>
        <w:left w:val="single" w:sz="4" w:space="0" w:color="E4E3E3" w:themeColor="accent2" w:themeTint="90"/>
        <w:bottom w:val="single" w:sz="4" w:space="0" w:color="E4E3E3" w:themeColor="accent2" w:themeTint="90"/>
        <w:right w:val="single" w:sz="4" w:space="0" w:color="E4E3E3" w:themeColor="accent2" w:themeTint="90"/>
        <w:insideH w:val="single" w:sz="4" w:space="0" w:color="E4E3E3" w:themeColor="accent2" w:themeTint="90"/>
      </w:tblBorders>
    </w:tblPr>
    <w:tblStylePr w:type="firstRow">
      <w:rPr>
        <w:rFonts w:ascii="Arial" w:hAnsi="Arial"/>
        <w:b/>
        <w:color w:val="FFFFFF"/>
        <w:sz w:val="22"/>
      </w:rPr>
      <w:tblPr/>
      <w:tcPr>
        <w:shd w:val="clear" w:color="D0CECE" w:themeColor="accent2" w:fill="D0CECE"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3F2F2" w:themeColor="accent2" w:themeTint="40" w:fill="F3F2F2" w:themeFill="accent2" w:themeFillTint="40"/>
      </w:tcPr>
    </w:tblStylePr>
    <w:tblStylePr w:type="band1Horz">
      <w:rPr>
        <w:rFonts w:ascii="Arial" w:hAnsi="Arial"/>
        <w:color w:val="404040"/>
        <w:sz w:val="22"/>
      </w:rPr>
      <w:tblPr/>
      <w:tcPr>
        <w:shd w:val="clear" w:color="F3F2F2" w:themeColor="accent2" w:themeTint="40" w:fill="F3F2F2" w:themeFill="accent2" w:themeFillTint="40"/>
      </w:tcPr>
    </w:tblStylePr>
  </w:style>
  <w:style w:type="table" w:customStyle="1" w:styleId="ListTable4-Accent31">
    <w:name w:val="List Table 4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B1ADAD" w:themeColor="accent4" w:themeTint="90"/>
        <w:left w:val="single" w:sz="4" w:space="0" w:color="B1ADAD" w:themeColor="accent4" w:themeTint="90"/>
        <w:bottom w:val="single" w:sz="4" w:space="0" w:color="B1ADAD" w:themeColor="accent4" w:themeTint="90"/>
        <w:right w:val="single" w:sz="4" w:space="0" w:color="B1ADAD" w:themeColor="accent4" w:themeTint="90"/>
        <w:insideH w:val="single" w:sz="4" w:space="0" w:color="B1ADAD" w:themeColor="accent4" w:themeTint="90"/>
      </w:tblBorders>
    </w:tblPr>
    <w:tblStylePr w:type="firstRow">
      <w:rPr>
        <w:rFonts w:ascii="Arial" w:hAnsi="Arial"/>
        <w:b/>
        <w:color w:val="FFFFFF"/>
        <w:sz w:val="22"/>
      </w:rPr>
      <w:tblPr/>
      <w:tcPr>
        <w:shd w:val="clear" w:color="757070" w:themeColor="accent4" w:fill="75707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DADA" w:themeColor="accent4" w:themeTint="40" w:fill="DCDADA" w:themeFill="accent4" w:themeFillTint="40"/>
      </w:tcPr>
    </w:tblStylePr>
    <w:tblStylePr w:type="band1Horz">
      <w:rPr>
        <w:rFonts w:ascii="Arial" w:hAnsi="Arial"/>
        <w:color w:val="404040"/>
        <w:sz w:val="22"/>
      </w:rPr>
      <w:tblPr/>
      <w:tcPr>
        <w:shd w:val="clear" w:color="DCDADA" w:themeColor="accent4" w:themeTint="40" w:fill="DCDADA" w:themeFill="accent4" w:themeFillTint="40"/>
      </w:tcPr>
    </w:tblStylePr>
  </w:style>
  <w:style w:type="table" w:customStyle="1" w:styleId="ListTable4-Accent51">
    <w:name w:val="List Table 4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B6B6B6" w:themeColor="accent5" w:themeTint="90"/>
        <w:left w:val="single" w:sz="4" w:space="0" w:color="B6B6B6" w:themeColor="accent5" w:themeTint="90"/>
        <w:bottom w:val="single" w:sz="4" w:space="0" w:color="B6B6B6" w:themeColor="accent5" w:themeTint="90"/>
        <w:right w:val="single" w:sz="4" w:space="0" w:color="B6B6B6" w:themeColor="accent5" w:themeTint="90"/>
        <w:insideH w:val="single" w:sz="4" w:space="0" w:color="B6B6B6" w:themeColor="accent5" w:themeTint="90"/>
      </w:tblBorders>
    </w:tblPr>
    <w:tblStylePr w:type="firstRow">
      <w:rPr>
        <w:rFonts w:ascii="Arial" w:hAnsi="Arial"/>
        <w:b/>
        <w:color w:val="FFFFFF"/>
        <w:sz w:val="22"/>
      </w:rPr>
      <w:tblPr/>
      <w:tcPr>
        <w:shd w:val="clear" w:color="7F7F7F" w:themeColor="accent5" w:fill="7F7F7F"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DEDE" w:themeColor="accent5" w:themeTint="40" w:fill="DEDEDE" w:themeFill="accent5" w:themeFillTint="40"/>
      </w:tcPr>
    </w:tblStylePr>
    <w:tblStylePr w:type="band1Horz">
      <w:rPr>
        <w:rFonts w:ascii="Arial" w:hAnsi="Arial"/>
        <w:color w:val="404040"/>
        <w:sz w:val="22"/>
      </w:rPr>
      <w:tblPr/>
      <w:tcPr>
        <w:shd w:val="clear" w:color="DEDEDE" w:themeColor="accent5" w:themeTint="40" w:fill="DEDEDE" w:themeFill="accent5" w:themeFillTint="40"/>
      </w:tcPr>
    </w:tblStylePr>
  </w:style>
  <w:style w:type="table" w:customStyle="1" w:styleId="ListTable4-Accent61">
    <w:name w:val="List Table 4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1F0F0" w:themeColor="accent6" w:themeTint="90"/>
        <w:left w:val="single" w:sz="4" w:space="0" w:color="F1F0F0" w:themeColor="accent6" w:themeTint="90"/>
        <w:bottom w:val="single" w:sz="4" w:space="0" w:color="F1F0F0" w:themeColor="accent6" w:themeTint="90"/>
        <w:right w:val="single" w:sz="4" w:space="0" w:color="F1F0F0" w:themeColor="accent6" w:themeTint="90"/>
        <w:insideH w:val="single" w:sz="4" w:space="0" w:color="F1F0F0" w:themeColor="accent6" w:themeTint="90"/>
      </w:tblBorders>
    </w:tblPr>
    <w:tblStylePr w:type="firstRow">
      <w:rPr>
        <w:rFonts w:ascii="Arial" w:hAnsi="Arial"/>
        <w:b/>
        <w:color w:val="FFFFFF"/>
        <w:sz w:val="22"/>
      </w:rPr>
      <w:tblPr/>
      <w:tcPr>
        <w:shd w:val="clear" w:color="E7E6E6" w:themeColor="accent6" w:fill="E7E6E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F8F8" w:themeColor="accent6" w:themeTint="40" w:fill="F9F8F8" w:themeFill="accent6" w:themeFillTint="40"/>
      </w:tcPr>
    </w:tblStylePr>
    <w:tblStylePr w:type="band1Horz">
      <w:rPr>
        <w:rFonts w:ascii="Arial" w:hAnsi="Arial"/>
        <w:color w:val="404040"/>
        <w:sz w:val="22"/>
      </w:rPr>
      <w:tblPr/>
      <w:tcPr>
        <w:shd w:val="clear" w:color="F9F8F8" w:themeColor="accent6" w:themeTint="40" w:fill="F9F8F8" w:themeFill="accent6" w:themeFillTint="40"/>
      </w:tcPr>
    </w:tblStylePr>
  </w:style>
  <w:style w:type="table" w:styleId="ListTable5Dark">
    <w:name w:val="List Table 5 Dark"/>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FFFF00" w:themeColor="accent1"/>
        <w:left w:val="single" w:sz="32" w:space="0" w:color="FFFF00" w:themeColor="accent1"/>
        <w:bottom w:val="single" w:sz="32" w:space="0" w:color="FFFF00" w:themeColor="accent1"/>
        <w:right w:val="single" w:sz="32" w:space="0" w:color="FFFF00" w:themeColor="accent1"/>
      </w:tblBorders>
      <w:shd w:val="clear" w:color="FFFF00" w:themeColor="accent1" w:fill="FFFF00" w:themeFill="accent1"/>
    </w:tblPr>
    <w:tblStylePr w:type="firstRow">
      <w:rPr>
        <w:rFonts w:ascii="Arial" w:hAnsi="Arial"/>
        <w:b/>
        <w:color w:val="FFFFFF" w:themeColor="light1"/>
        <w:sz w:val="22"/>
      </w:rPr>
      <w:tblPr/>
      <w:tcPr>
        <w:tcBorders>
          <w:top w:val="single" w:sz="32" w:space="0" w:color="FFFF00" w:themeColor="accent1"/>
          <w:bottom w:val="single" w:sz="12" w:space="0" w:color="FFFFFF" w:themeColor="light1"/>
        </w:tcBorders>
        <w:shd w:val="clear" w:color="FFFF00" w:themeColor="accent1" w:fill="FFFF00"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FF00" w:themeColor="accent1"/>
          <w:right w:val="single" w:sz="4" w:space="0" w:color="FFFFFF" w:themeColor="light1"/>
        </w:tcBorders>
      </w:tcPr>
    </w:tblStylePr>
    <w:tblStylePr w:type="lastCol">
      <w:tblPr/>
      <w:tcPr>
        <w:tcBorders>
          <w:left w:val="single" w:sz="4" w:space="0" w:color="FFFFFF" w:themeColor="light1"/>
          <w:right w:val="single" w:sz="32" w:space="0" w:color="FFFF00" w:themeColor="accent1"/>
        </w:tcBorders>
      </w:tcPr>
    </w:tblStylePr>
    <w:tblStylePr w:type="band1Vert">
      <w:tblPr/>
      <w:tcPr>
        <w:tcBorders>
          <w:left w:val="single" w:sz="4" w:space="0" w:color="FFFFFF" w:themeColor="light1"/>
          <w:right w:val="single" w:sz="4" w:space="0" w:color="FFFFFF" w:themeColor="light1"/>
        </w:tcBorders>
        <w:shd w:val="clear" w:color="FFFF00" w:themeColor="accent1" w:fill="FFFF00"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00" w:themeColor="accent1" w:fill="FFFF00" w:themeFill="accent1"/>
      </w:tcPr>
    </w:tblStylePr>
    <w:tblStylePr w:type="band2Horz">
      <w:tblPr/>
      <w:tcPr>
        <w:tcBorders>
          <w:top w:val="single" w:sz="4" w:space="0" w:color="FFFFFF" w:themeColor="light1"/>
          <w:bottom w:val="single" w:sz="4" w:space="0" w:color="FFFFFF" w:themeColor="light1"/>
        </w:tcBorders>
        <w:shd w:val="clear" w:color="FFFF00" w:themeColor="accent1" w:fill="FFFF00" w:themeFill="accent1"/>
      </w:tcPr>
    </w:tblStylePr>
  </w:style>
  <w:style w:type="table" w:customStyle="1" w:styleId="ListTable5Dark-Accent21">
    <w:name w:val="List Table 5 Dark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E3E1E1" w:themeColor="accent2" w:themeTint="97"/>
        <w:left w:val="single" w:sz="32" w:space="0" w:color="E3E1E1" w:themeColor="accent2" w:themeTint="97"/>
        <w:bottom w:val="single" w:sz="32" w:space="0" w:color="E3E1E1" w:themeColor="accent2" w:themeTint="97"/>
        <w:right w:val="single" w:sz="32" w:space="0" w:color="E3E1E1" w:themeColor="accent2" w:themeTint="97"/>
      </w:tblBorders>
      <w:shd w:val="clear" w:color="E3E1E1" w:themeColor="accent2" w:themeTint="97" w:fill="E3E1E1" w:themeFill="accent2" w:themeFillTint="97"/>
    </w:tblPr>
    <w:tblStylePr w:type="firstRow">
      <w:rPr>
        <w:rFonts w:ascii="Arial" w:hAnsi="Arial"/>
        <w:b/>
        <w:color w:val="FFFFFF" w:themeColor="light1"/>
        <w:sz w:val="22"/>
      </w:rPr>
      <w:tblPr/>
      <w:tcPr>
        <w:tcBorders>
          <w:top w:val="single" w:sz="32" w:space="0" w:color="E3E1E1" w:themeColor="accent2" w:themeTint="97"/>
          <w:bottom w:val="single" w:sz="12" w:space="0" w:color="FFFFFF" w:themeColor="light1"/>
        </w:tcBorders>
        <w:shd w:val="clear" w:color="E3E1E1" w:themeColor="accent2" w:themeTint="97" w:fill="E3E1E1"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3E1E1" w:themeColor="accent2" w:themeTint="97"/>
          <w:right w:val="single" w:sz="4" w:space="0" w:color="FFFFFF" w:themeColor="light1"/>
        </w:tcBorders>
      </w:tcPr>
    </w:tblStylePr>
    <w:tblStylePr w:type="lastCol">
      <w:tblPr/>
      <w:tcPr>
        <w:tcBorders>
          <w:left w:val="single" w:sz="4" w:space="0" w:color="FFFFFF" w:themeColor="light1"/>
          <w:right w:val="single" w:sz="32" w:space="0" w:color="E3E1E1" w:themeColor="accent2" w:themeTint="97"/>
        </w:tcBorders>
      </w:tcPr>
    </w:tblStylePr>
    <w:tblStylePr w:type="band1Vert">
      <w:tblPr/>
      <w:tcPr>
        <w:tcBorders>
          <w:left w:val="single" w:sz="4" w:space="0" w:color="FFFFFF" w:themeColor="light1"/>
          <w:right w:val="single" w:sz="4" w:space="0" w:color="FFFFFF" w:themeColor="light1"/>
        </w:tcBorders>
        <w:shd w:val="clear" w:color="E3E1E1" w:themeColor="accent2" w:themeTint="97" w:fill="E3E1E1"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3E1E1" w:themeColor="accent2" w:themeTint="97" w:fill="E3E1E1" w:themeFill="accent2" w:themeFillTint="97"/>
      </w:tcPr>
    </w:tblStylePr>
    <w:tblStylePr w:type="band2Horz">
      <w:tblPr/>
      <w:tcPr>
        <w:tcBorders>
          <w:top w:val="single" w:sz="4" w:space="0" w:color="FFFFFF" w:themeColor="light1"/>
          <w:bottom w:val="single" w:sz="4" w:space="0" w:color="FFFFFF" w:themeColor="light1"/>
        </w:tcBorders>
        <w:shd w:val="clear" w:color="E3E1E1" w:themeColor="accent2" w:themeTint="97" w:fill="E3E1E1" w:themeFill="accent2" w:themeFillTint="97"/>
      </w:tcPr>
    </w:tblStylePr>
  </w:style>
  <w:style w:type="table" w:customStyle="1" w:styleId="ListTable5Dark-Accent31">
    <w:name w:val="List Table 5 Dark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ABA8A8" w:themeColor="accent4" w:themeTint="9A"/>
        <w:left w:val="single" w:sz="32" w:space="0" w:color="ABA8A8" w:themeColor="accent4" w:themeTint="9A"/>
        <w:bottom w:val="single" w:sz="32" w:space="0" w:color="ABA8A8" w:themeColor="accent4" w:themeTint="9A"/>
        <w:right w:val="single" w:sz="32" w:space="0" w:color="ABA8A8" w:themeColor="accent4" w:themeTint="9A"/>
      </w:tblBorders>
      <w:shd w:val="clear" w:color="ABA8A8" w:themeColor="accent4" w:themeTint="9A" w:fill="ABA8A8" w:themeFill="accent4" w:themeFillTint="9A"/>
    </w:tblPr>
    <w:tblStylePr w:type="firstRow">
      <w:rPr>
        <w:rFonts w:ascii="Arial" w:hAnsi="Arial"/>
        <w:b/>
        <w:color w:val="FFFFFF" w:themeColor="light1"/>
        <w:sz w:val="22"/>
      </w:rPr>
      <w:tblPr/>
      <w:tcPr>
        <w:tcBorders>
          <w:top w:val="single" w:sz="32" w:space="0" w:color="ABA8A8" w:themeColor="accent4" w:themeTint="9A"/>
          <w:bottom w:val="single" w:sz="12" w:space="0" w:color="FFFFFF" w:themeColor="light1"/>
        </w:tcBorders>
        <w:shd w:val="clear" w:color="ABA8A8" w:themeColor="accent4" w:themeTint="9A" w:fill="ABA8A8"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BA8A8" w:themeColor="accent4" w:themeTint="9A"/>
          <w:right w:val="single" w:sz="4" w:space="0" w:color="FFFFFF" w:themeColor="light1"/>
        </w:tcBorders>
      </w:tcPr>
    </w:tblStylePr>
    <w:tblStylePr w:type="lastCol">
      <w:tblPr/>
      <w:tcPr>
        <w:tcBorders>
          <w:left w:val="single" w:sz="4" w:space="0" w:color="FFFFFF" w:themeColor="light1"/>
          <w:right w:val="single" w:sz="32" w:space="0" w:color="ABA8A8" w:themeColor="accent4" w:themeTint="9A"/>
        </w:tcBorders>
      </w:tcPr>
    </w:tblStylePr>
    <w:tblStylePr w:type="band1Vert">
      <w:tblPr/>
      <w:tcPr>
        <w:tcBorders>
          <w:left w:val="single" w:sz="4" w:space="0" w:color="FFFFFF" w:themeColor="light1"/>
          <w:right w:val="single" w:sz="4" w:space="0" w:color="FFFFFF" w:themeColor="light1"/>
        </w:tcBorders>
        <w:shd w:val="clear" w:color="ABA8A8" w:themeColor="accent4" w:themeTint="9A" w:fill="ABA8A8"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BA8A8" w:themeColor="accent4" w:themeTint="9A" w:fill="ABA8A8" w:themeFill="accent4" w:themeFillTint="9A"/>
      </w:tcPr>
    </w:tblStylePr>
    <w:tblStylePr w:type="band2Horz">
      <w:tblPr/>
      <w:tcPr>
        <w:tcBorders>
          <w:top w:val="single" w:sz="4" w:space="0" w:color="FFFFFF" w:themeColor="light1"/>
          <w:bottom w:val="single" w:sz="4" w:space="0" w:color="FFFFFF" w:themeColor="light1"/>
        </w:tcBorders>
        <w:shd w:val="clear" w:color="ABA8A8" w:themeColor="accent4" w:themeTint="9A" w:fill="ABA8A8" w:themeFill="accent4" w:themeFillTint="9A"/>
      </w:tcPr>
    </w:tblStylePr>
  </w:style>
  <w:style w:type="table" w:customStyle="1" w:styleId="ListTable5Dark-Accent51">
    <w:name w:val="List Table 5 Dark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B1B1B1" w:themeColor="accent5" w:themeTint="9A"/>
        <w:left w:val="single" w:sz="32" w:space="0" w:color="B1B1B1" w:themeColor="accent5" w:themeTint="9A"/>
        <w:bottom w:val="single" w:sz="32" w:space="0" w:color="B1B1B1" w:themeColor="accent5" w:themeTint="9A"/>
        <w:right w:val="single" w:sz="32" w:space="0" w:color="B1B1B1" w:themeColor="accent5" w:themeTint="9A"/>
      </w:tblBorders>
      <w:shd w:val="clear" w:color="B1B1B1" w:themeColor="accent5" w:themeTint="9A" w:fill="B1B1B1" w:themeFill="accent5" w:themeFillTint="9A"/>
    </w:tblPr>
    <w:tblStylePr w:type="firstRow">
      <w:rPr>
        <w:rFonts w:ascii="Arial" w:hAnsi="Arial"/>
        <w:b/>
        <w:color w:val="FFFFFF" w:themeColor="light1"/>
        <w:sz w:val="22"/>
      </w:rPr>
      <w:tblPr/>
      <w:tcPr>
        <w:tcBorders>
          <w:top w:val="single" w:sz="32" w:space="0" w:color="B1B1B1" w:themeColor="accent5" w:themeTint="9A"/>
          <w:bottom w:val="single" w:sz="12" w:space="0" w:color="FFFFFF" w:themeColor="light1"/>
        </w:tcBorders>
        <w:shd w:val="clear" w:color="B1B1B1" w:themeColor="accent5" w:themeTint="9A" w:fill="B1B1B1"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1B1B1" w:themeColor="accent5" w:themeTint="9A"/>
          <w:right w:val="single" w:sz="4" w:space="0" w:color="FFFFFF" w:themeColor="light1"/>
        </w:tcBorders>
      </w:tcPr>
    </w:tblStylePr>
    <w:tblStylePr w:type="lastCol">
      <w:tblPr/>
      <w:tcPr>
        <w:tcBorders>
          <w:left w:val="single" w:sz="4" w:space="0" w:color="FFFFFF" w:themeColor="light1"/>
          <w:right w:val="single" w:sz="32" w:space="0" w:color="B1B1B1" w:themeColor="accent5" w:themeTint="9A"/>
        </w:tcBorders>
      </w:tcPr>
    </w:tblStylePr>
    <w:tblStylePr w:type="band1Vert">
      <w:tblPr/>
      <w:tcPr>
        <w:tcBorders>
          <w:left w:val="single" w:sz="4" w:space="0" w:color="FFFFFF" w:themeColor="light1"/>
          <w:right w:val="single" w:sz="4" w:space="0" w:color="FFFFFF" w:themeColor="light1"/>
        </w:tcBorders>
        <w:shd w:val="clear" w:color="B1B1B1" w:themeColor="accent5" w:themeTint="9A" w:fill="B1B1B1"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1B1B1" w:themeColor="accent5" w:themeTint="9A" w:fill="B1B1B1" w:themeFill="accent5" w:themeFillTint="9A"/>
      </w:tcPr>
    </w:tblStylePr>
    <w:tblStylePr w:type="band2Horz">
      <w:tblPr/>
      <w:tcPr>
        <w:tcBorders>
          <w:top w:val="single" w:sz="4" w:space="0" w:color="FFFFFF" w:themeColor="light1"/>
          <w:bottom w:val="single" w:sz="4" w:space="0" w:color="FFFFFF" w:themeColor="light1"/>
        </w:tcBorders>
        <w:shd w:val="clear" w:color="B1B1B1" w:themeColor="accent5" w:themeTint="9A" w:fill="B1B1B1" w:themeFill="accent5" w:themeFillTint="9A"/>
      </w:tcPr>
    </w:tblStylePr>
  </w:style>
  <w:style w:type="table" w:customStyle="1" w:styleId="ListTable5Dark-Accent61">
    <w:name w:val="List Table 5 Dark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F0F0F0" w:themeColor="accent6" w:themeTint="98"/>
        <w:left w:val="single" w:sz="32" w:space="0" w:color="F0F0F0" w:themeColor="accent6" w:themeTint="98"/>
        <w:bottom w:val="single" w:sz="32" w:space="0" w:color="F0F0F0" w:themeColor="accent6" w:themeTint="98"/>
        <w:right w:val="single" w:sz="32" w:space="0" w:color="F0F0F0" w:themeColor="accent6" w:themeTint="98"/>
      </w:tblBorders>
      <w:shd w:val="clear" w:color="F0F0F0" w:themeColor="accent6" w:themeTint="98" w:fill="F0F0F0" w:themeFill="accent6" w:themeFillTint="98"/>
    </w:tblPr>
    <w:tblStylePr w:type="firstRow">
      <w:rPr>
        <w:rFonts w:ascii="Arial" w:hAnsi="Arial"/>
        <w:b/>
        <w:color w:val="FFFFFF" w:themeColor="light1"/>
        <w:sz w:val="22"/>
      </w:rPr>
      <w:tblPr/>
      <w:tcPr>
        <w:tcBorders>
          <w:top w:val="single" w:sz="32" w:space="0" w:color="F0F0F0" w:themeColor="accent6" w:themeTint="98"/>
          <w:bottom w:val="single" w:sz="12" w:space="0" w:color="FFFFFF" w:themeColor="light1"/>
        </w:tcBorders>
        <w:shd w:val="clear" w:color="F0F0F0" w:themeColor="accent6" w:themeTint="98" w:fill="F0F0F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0F0F0" w:themeColor="accent6" w:themeTint="98"/>
          <w:right w:val="single" w:sz="4" w:space="0" w:color="FFFFFF" w:themeColor="light1"/>
        </w:tcBorders>
      </w:tcPr>
    </w:tblStylePr>
    <w:tblStylePr w:type="lastCol">
      <w:tblPr/>
      <w:tcPr>
        <w:tcBorders>
          <w:left w:val="single" w:sz="4" w:space="0" w:color="FFFFFF" w:themeColor="light1"/>
          <w:right w:val="single" w:sz="32" w:space="0" w:color="F0F0F0" w:themeColor="accent6" w:themeTint="98"/>
        </w:tcBorders>
      </w:tcPr>
    </w:tblStylePr>
    <w:tblStylePr w:type="band1Vert">
      <w:tblPr/>
      <w:tcPr>
        <w:tcBorders>
          <w:left w:val="single" w:sz="4" w:space="0" w:color="FFFFFF" w:themeColor="light1"/>
          <w:right w:val="single" w:sz="4" w:space="0" w:color="FFFFFF" w:themeColor="light1"/>
        </w:tcBorders>
        <w:shd w:val="clear" w:color="F0F0F0" w:themeColor="accent6" w:themeTint="98" w:fill="F0F0F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0F0F0" w:themeColor="accent6" w:themeTint="98" w:fill="F0F0F0" w:themeFill="accent6" w:themeFillTint="98"/>
      </w:tcPr>
    </w:tblStylePr>
    <w:tblStylePr w:type="band2Horz">
      <w:tblPr/>
      <w:tcPr>
        <w:tcBorders>
          <w:top w:val="single" w:sz="4" w:space="0" w:color="FFFFFF" w:themeColor="light1"/>
          <w:bottom w:val="single" w:sz="4" w:space="0" w:color="FFFFFF" w:themeColor="light1"/>
        </w:tcBorders>
        <w:shd w:val="clear" w:color="F0F0F0" w:themeColor="accent6" w:themeTint="98" w:fill="F0F0F0" w:themeFill="accent6" w:themeFillTint="98"/>
      </w:tcPr>
    </w:tblStylePr>
  </w:style>
  <w:style w:type="table" w:styleId="ListTable6Colorful">
    <w:name w:val="List Table 6 Colorful"/>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7Colorful">
    <w:name w:val="List Table 7 Colorful"/>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ned-Accent">
    <w:name w:val="Lined - Accent"/>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FFFF15" w:themeColor="accent1" w:themeTint="EA" w:fill="FFFF15" w:themeFill="accent1" w:themeFillTint="EA"/>
      </w:tcPr>
    </w:tblStylePr>
    <w:tblStylePr w:type="lastRow">
      <w:rPr>
        <w:rFonts w:ascii="Arial" w:hAnsi="Arial"/>
        <w:color w:val="F2F2F2"/>
        <w:sz w:val="22"/>
      </w:rPr>
      <w:tblPr/>
      <w:tcPr>
        <w:shd w:val="clear" w:color="FFFF15" w:themeColor="accent1" w:themeTint="EA" w:fill="FFFF15" w:themeFill="accent1" w:themeFillTint="EA"/>
      </w:tcPr>
    </w:tblStylePr>
    <w:tblStylePr w:type="firstCol">
      <w:rPr>
        <w:rFonts w:ascii="Arial" w:hAnsi="Arial"/>
        <w:color w:val="F2F2F2"/>
        <w:sz w:val="22"/>
      </w:rPr>
      <w:tblPr/>
      <w:tcPr>
        <w:shd w:val="clear" w:color="FFFF15" w:themeColor="accent1" w:themeTint="EA" w:fill="FFFF15" w:themeFill="accent1" w:themeFillTint="EA"/>
      </w:tcPr>
    </w:tblStylePr>
    <w:tblStylePr w:type="lastCol">
      <w:rPr>
        <w:rFonts w:ascii="Arial" w:hAnsi="Arial"/>
        <w:color w:val="F2F2F2"/>
        <w:sz w:val="22"/>
      </w:rPr>
      <w:tblPr/>
      <w:tcPr>
        <w:shd w:val="clear" w:color="FFFF15" w:themeColor="accent1" w:themeTint="EA" w:fill="FFFF15"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AF" w:themeColor="accent1" w:themeTint="50" w:fill="FFFFA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AF" w:themeColor="accent1" w:themeTint="50" w:fill="FFFFAF" w:themeFill="accent1" w:themeFillTint="50"/>
      </w:tcPr>
    </w:tblStylePr>
  </w:style>
  <w:style w:type="table" w:customStyle="1" w:styleId="Lined-Accent2">
    <w:name w:val="Lined - Accent 2"/>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E3E1E1" w:themeColor="accent2" w:themeTint="97" w:fill="E3E1E1" w:themeFill="accent2" w:themeFillTint="97"/>
      </w:tcPr>
    </w:tblStylePr>
    <w:tblStylePr w:type="lastRow">
      <w:rPr>
        <w:rFonts w:ascii="Arial" w:hAnsi="Arial"/>
        <w:color w:val="F2F2F2"/>
        <w:sz w:val="22"/>
      </w:rPr>
      <w:tblPr/>
      <w:tcPr>
        <w:shd w:val="clear" w:color="E3E1E1" w:themeColor="accent2" w:themeTint="97" w:fill="E3E1E1" w:themeFill="accent2" w:themeFillTint="97"/>
      </w:tcPr>
    </w:tblStylePr>
    <w:tblStylePr w:type="firstCol">
      <w:rPr>
        <w:rFonts w:ascii="Arial" w:hAnsi="Arial"/>
        <w:color w:val="F2F2F2"/>
        <w:sz w:val="22"/>
      </w:rPr>
      <w:tblPr/>
      <w:tcPr>
        <w:shd w:val="clear" w:color="E3E1E1" w:themeColor="accent2" w:themeTint="97" w:fill="E3E1E1" w:themeFill="accent2" w:themeFillTint="97"/>
      </w:tcPr>
    </w:tblStylePr>
    <w:tblStylePr w:type="lastCol">
      <w:rPr>
        <w:rFonts w:ascii="Arial" w:hAnsi="Arial"/>
        <w:color w:val="F2F2F2"/>
        <w:sz w:val="22"/>
      </w:rPr>
      <w:tblPr/>
      <w:tcPr>
        <w:shd w:val="clear" w:color="E3E1E1" w:themeColor="accent2" w:themeTint="97" w:fill="E3E1E1"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5F5F5" w:themeColor="accent2" w:themeTint="32" w:fill="F5F5F5"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5F5F5" w:themeColor="accent2" w:themeTint="32" w:fill="F5F5F5" w:themeFill="accent2" w:themeFillTint="32"/>
      </w:tcPr>
    </w:tblStylePr>
  </w:style>
  <w:style w:type="table" w:customStyle="1" w:styleId="Lined-Accent3">
    <w:name w:val="Lined - Accent 3"/>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ABA8A8" w:themeColor="accent4" w:themeTint="9A" w:fill="ABA8A8" w:themeFill="accent4" w:themeFillTint="9A"/>
      </w:tcPr>
    </w:tblStylePr>
    <w:tblStylePr w:type="lastRow">
      <w:rPr>
        <w:rFonts w:ascii="Arial" w:hAnsi="Arial"/>
        <w:color w:val="F2F2F2"/>
        <w:sz w:val="22"/>
      </w:rPr>
      <w:tblPr/>
      <w:tcPr>
        <w:shd w:val="clear" w:color="ABA8A8" w:themeColor="accent4" w:themeTint="9A" w:fill="ABA8A8" w:themeFill="accent4" w:themeFillTint="9A"/>
      </w:tcPr>
    </w:tblStylePr>
    <w:tblStylePr w:type="firstCol">
      <w:rPr>
        <w:rFonts w:ascii="Arial" w:hAnsi="Arial"/>
        <w:color w:val="F2F2F2"/>
        <w:sz w:val="22"/>
      </w:rPr>
      <w:tblPr/>
      <w:tcPr>
        <w:shd w:val="clear" w:color="ABA8A8" w:themeColor="accent4" w:themeTint="9A" w:fill="ABA8A8" w:themeFill="accent4" w:themeFillTint="9A"/>
      </w:tcPr>
    </w:tblStylePr>
    <w:tblStylePr w:type="lastCol">
      <w:rPr>
        <w:rFonts w:ascii="Arial" w:hAnsi="Arial"/>
        <w:color w:val="F2F2F2"/>
        <w:sz w:val="22"/>
      </w:rPr>
      <w:tblPr/>
      <w:tcPr>
        <w:shd w:val="clear" w:color="ABA8A8" w:themeColor="accent4" w:themeTint="9A" w:fill="ABA8A8"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3E1E1" w:themeColor="accent4" w:themeTint="34" w:fill="E3E1E1"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3E1E1" w:themeColor="accent4" w:themeTint="34" w:fill="E3E1E1" w:themeFill="accent4" w:themeFillTint="34"/>
      </w:tcPr>
    </w:tblStylePr>
  </w:style>
  <w:style w:type="table" w:customStyle="1" w:styleId="Lined-Accent5">
    <w:name w:val="Lined - Accent 5"/>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7F7F7F" w:themeColor="accent5" w:fill="7F7F7F" w:themeFill="accent5"/>
      </w:tcPr>
    </w:tblStylePr>
    <w:tblStylePr w:type="lastRow">
      <w:rPr>
        <w:rFonts w:ascii="Arial" w:hAnsi="Arial"/>
        <w:color w:val="F2F2F2"/>
        <w:sz w:val="22"/>
      </w:rPr>
      <w:tblPr/>
      <w:tcPr>
        <w:shd w:val="clear" w:color="7F7F7F" w:themeColor="accent5" w:fill="7F7F7F" w:themeFill="accent5"/>
      </w:tcPr>
    </w:tblStylePr>
    <w:tblStylePr w:type="firstCol">
      <w:rPr>
        <w:rFonts w:ascii="Arial" w:hAnsi="Arial"/>
        <w:color w:val="F2F2F2"/>
        <w:sz w:val="22"/>
      </w:rPr>
      <w:tblPr/>
      <w:tcPr>
        <w:shd w:val="clear" w:color="7F7F7F" w:themeColor="accent5" w:fill="7F7F7F" w:themeFill="accent5"/>
      </w:tcPr>
    </w:tblStylePr>
    <w:tblStylePr w:type="lastCol">
      <w:rPr>
        <w:rFonts w:ascii="Arial" w:hAnsi="Arial"/>
        <w:color w:val="F2F2F2"/>
        <w:sz w:val="22"/>
      </w:rPr>
      <w:tblPr/>
      <w:tcPr>
        <w:shd w:val="clear" w:color="7F7F7F" w:themeColor="accent5" w:fill="7F7F7F" w:themeFill="accent5"/>
      </w:tcPr>
    </w:tblStylePr>
    <w:tblStylePr w:type="band1Vert">
      <w:rPr>
        <w:rFonts w:ascii="Arial" w:hAnsi="Arial"/>
        <w:color w:val="404040"/>
        <w:sz w:val="22"/>
      </w:rPr>
    </w:tblStylePr>
    <w:tblStylePr w:type="band2Vert">
      <w:rPr>
        <w:rFonts w:ascii="Arial" w:hAnsi="Arial"/>
        <w:color w:val="404040"/>
        <w:sz w:val="22"/>
      </w:rPr>
      <w:tblPr/>
      <w:tcPr>
        <w:shd w:val="clear" w:color="E4E4E4" w:themeColor="accent5" w:themeTint="34" w:fill="E4E4E4"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E4E4E4" w:themeColor="accent5" w:themeTint="34" w:fill="E4E4E4" w:themeFill="accent5" w:themeFillTint="34"/>
      </w:tcPr>
    </w:tblStylePr>
  </w:style>
  <w:style w:type="table" w:customStyle="1" w:styleId="Lined-Accent6">
    <w:name w:val="Lined - Accent 6"/>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E7E6E6" w:themeColor="accent6" w:fill="E7E6E6" w:themeFill="accent6"/>
      </w:tcPr>
    </w:tblStylePr>
    <w:tblStylePr w:type="lastRow">
      <w:rPr>
        <w:rFonts w:ascii="Arial" w:hAnsi="Arial"/>
        <w:color w:val="F2F2F2"/>
        <w:sz w:val="22"/>
      </w:rPr>
      <w:tblPr/>
      <w:tcPr>
        <w:shd w:val="clear" w:color="E7E6E6" w:themeColor="accent6" w:fill="E7E6E6" w:themeFill="accent6"/>
      </w:tcPr>
    </w:tblStylePr>
    <w:tblStylePr w:type="firstCol">
      <w:rPr>
        <w:rFonts w:ascii="Arial" w:hAnsi="Arial"/>
        <w:color w:val="F2F2F2"/>
        <w:sz w:val="22"/>
      </w:rPr>
      <w:tblPr/>
      <w:tcPr>
        <w:shd w:val="clear" w:color="E7E6E6" w:themeColor="accent6" w:fill="E7E6E6" w:themeFill="accent6"/>
      </w:tcPr>
    </w:tblStylePr>
    <w:tblStylePr w:type="lastCol">
      <w:rPr>
        <w:rFonts w:ascii="Arial" w:hAnsi="Arial"/>
        <w:color w:val="F2F2F2"/>
        <w:sz w:val="22"/>
      </w:rPr>
      <w:tblPr/>
      <w:tcPr>
        <w:shd w:val="clear" w:color="E7E6E6" w:themeColor="accent6" w:fill="E7E6E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AF9F9" w:themeColor="accent6" w:themeTint="34" w:fill="FAF9F9"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AF9F9" w:themeColor="accent6" w:themeTint="34" w:fill="FAF9F9" w:themeFill="accent6" w:themeFillTint="34"/>
      </w:tcPr>
    </w:tblStylePr>
  </w:style>
  <w:style w:type="table" w:customStyle="1" w:styleId="BorderedLined-Accent">
    <w:name w:val="Bordered &amp; Lined - Accent"/>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959500" w:themeColor="accent1" w:themeShade="95"/>
        <w:left w:val="single" w:sz="4" w:space="0" w:color="959500" w:themeColor="accent1" w:themeShade="95"/>
        <w:bottom w:val="single" w:sz="4" w:space="0" w:color="959500" w:themeColor="accent1" w:themeShade="95"/>
        <w:right w:val="single" w:sz="4" w:space="0" w:color="959500" w:themeColor="accent1" w:themeShade="95"/>
        <w:insideH w:val="single" w:sz="4" w:space="0" w:color="959500" w:themeColor="accent1" w:themeShade="95"/>
        <w:insideV w:val="single" w:sz="4" w:space="0" w:color="959500" w:themeColor="accent1" w:themeShade="95"/>
      </w:tblBorders>
    </w:tblPr>
    <w:tblStylePr w:type="firstRow">
      <w:rPr>
        <w:rFonts w:ascii="Arial" w:hAnsi="Arial"/>
        <w:color w:val="F2F2F2"/>
        <w:sz w:val="22"/>
      </w:rPr>
      <w:tblPr/>
      <w:tcPr>
        <w:shd w:val="clear" w:color="FFFF15" w:themeColor="accent1" w:themeTint="EA" w:fill="FFFF15" w:themeFill="accent1" w:themeFillTint="EA"/>
      </w:tcPr>
    </w:tblStylePr>
    <w:tblStylePr w:type="lastRow">
      <w:rPr>
        <w:rFonts w:ascii="Arial" w:hAnsi="Arial"/>
        <w:color w:val="F2F2F2"/>
        <w:sz w:val="22"/>
      </w:rPr>
      <w:tblPr/>
      <w:tcPr>
        <w:shd w:val="clear" w:color="FFFF15" w:themeColor="accent1" w:themeTint="EA" w:fill="FFFF15" w:themeFill="accent1" w:themeFillTint="EA"/>
      </w:tcPr>
    </w:tblStylePr>
    <w:tblStylePr w:type="firstCol">
      <w:rPr>
        <w:rFonts w:ascii="Arial" w:hAnsi="Arial"/>
        <w:color w:val="F2F2F2"/>
        <w:sz w:val="22"/>
      </w:rPr>
      <w:tblPr/>
      <w:tcPr>
        <w:shd w:val="clear" w:color="FFFF15" w:themeColor="accent1" w:themeTint="EA" w:fill="FFFF15" w:themeFill="accent1" w:themeFillTint="EA"/>
      </w:tcPr>
    </w:tblStylePr>
    <w:tblStylePr w:type="lastCol">
      <w:rPr>
        <w:rFonts w:ascii="Arial" w:hAnsi="Arial"/>
        <w:color w:val="F2F2F2"/>
        <w:sz w:val="22"/>
      </w:rPr>
      <w:tblPr/>
      <w:tcPr>
        <w:shd w:val="clear" w:color="FFFF15" w:themeColor="accent1" w:themeTint="EA" w:fill="FFFF15"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AF" w:themeColor="accent1" w:themeTint="50" w:fill="FFFFA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AF" w:themeColor="accent1" w:themeTint="50" w:fill="FFFFAF" w:themeFill="accent1" w:themeFillTint="50"/>
      </w:tcPr>
    </w:tblStylePr>
  </w:style>
  <w:style w:type="table" w:customStyle="1" w:styleId="BorderedLined-Accent2">
    <w:name w:val="Bordered &amp; Lined - Accent 2"/>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7B7676" w:themeColor="accent2" w:themeShade="95"/>
        <w:left w:val="single" w:sz="4" w:space="0" w:color="7B7676" w:themeColor="accent2" w:themeShade="95"/>
        <w:bottom w:val="single" w:sz="4" w:space="0" w:color="7B7676" w:themeColor="accent2" w:themeShade="95"/>
        <w:right w:val="single" w:sz="4" w:space="0" w:color="7B7676" w:themeColor="accent2" w:themeShade="95"/>
        <w:insideH w:val="single" w:sz="4" w:space="0" w:color="7B7676" w:themeColor="accent2" w:themeShade="95"/>
        <w:insideV w:val="single" w:sz="4" w:space="0" w:color="7B7676" w:themeColor="accent2" w:themeShade="95"/>
      </w:tblBorders>
    </w:tblPr>
    <w:tblStylePr w:type="firstRow">
      <w:rPr>
        <w:rFonts w:ascii="Arial" w:hAnsi="Arial"/>
        <w:color w:val="F2F2F2"/>
        <w:sz w:val="22"/>
      </w:rPr>
      <w:tblPr/>
      <w:tcPr>
        <w:shd w:val="clear" w:color="E3E1E1" w:themeColor="accent2" w:themeTint="97" w:fill="E3E1E1" w:themeFill="accent2" w:themeFillTint="97"/>
      </w:tcPr>
    </w:tblStylePr>
    <w:tblStylePr w:type="lastRow">
      <w:rPr>
        <w:rFonts w:ascii="Arial" w:hAnsi="Arial"/>
        <w:color w:val="F2F2F2"/>
        <w:sz w:val="22"/>
      </w:rPr>
      <w:tblPr/>
      <w:tcPr>
        <w:shd w:val="clear" w:color="E3E1E1" w:themeColor="accent2" w:themeTint="97" w:fill="E3E1E1" w:themeFill="accent2" w:themeFillTint="97"/>
      </w:tcPr>
    </w:tblStylePr>
    <w:tblStylePr w:type="firstCol">
      <w:rPr>
        <w:rFonts w:ascii="Arial" w:hAnsi="Arial"/>
        <w:color w:val="F2F2F2"/>
        <w:sz w:val="22"/>
      </w:rPr>
      <w:tblPr/>
      <w:tcPr>
        <w:shd w:val="clear" w:color="E3E1E1" w:themeColor="accent2" w:themeTint="97" w:fill="E3E1E1" w:themeFill="accent2" w:themeFillTint="97"/>
      </w:tcPr>
    </w:tblStylePr>
    <w:tblStylePr w:type="lastCol">
      <w:rPr>
        <w:rFonts w:ascii="Arial" w:hAnsi="Arial"/>
        <w:color w:val="F2F2F2"/>
        <w:sz w:val="22"/>
      </w:rPr>
      <w:tblPr/>
      <w:tcPr>
        <w:shd w:val="clear" w:color="E3E1E1" w:themeColor="accent2" w:themeTint="97" w:fill="E3E1E1"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5F5F5" w:themeColor="accent2" w:themeTint="32" w:fill="F5F5F5"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5F5F5" w:themeColor="accent2" w:themeTint="32" w:fill="F5F5F5" w:themeFill="accent2" w:themeFillTint="32"/>
      </w:tcPr>
    </w:tblStylePr>
  </w:style>
  <w:style w:type="table" w:customStyle="1" w:styleId="BorderedLined-Accent3">
    <w:name w:val="Bordered &amp; Lined - Accent 3"/>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444141" w:themeColor="accent4" w:themeShade="95"/>
        <w:left w:val="single" w:sz="4" w:space="0" w:color="444141" w:themeColor="accent4" w:themeShade="95"/>
        <w:bottom w:val="single" w:sz="4" w:space="0" w:color="444141" w:themeColor="accent4" w:themeShade="95"/>
        <w:right w:val="single" w:sz="4" w:space="0" w:color="444141" w:themeColor="accent4" w:themeShade="95"/>
        <w:insideH w:val="single" w:sz="4" w:space="0" w:color="444141" w:themeColor="accent4" w:themeShade="95"/>
        <w:insideV w:val="single" w:sz="4" w:space="0" w:color="444141" w:themeColor="accent4" w:themeShade="95"/>
      </w:tblBorders>
    </w:tblPr>
    <w:tblStylePr w:type="firstRow">
      <w:rPr>
        <w:rFonts w:ascii="Arial" w:hAnsi="Arial"/>
        <w:color w:val="F2F2F2"/>
        <w:sz w:val="22"/>
      </w:rPr>
      <w:tblPr/>
      <w:tcPr>
        <w:shd w:val="clear" w:color="ABA8A8" w:themeColor="accent4" w:themeTint="9A" w:fill="ABA8A8" w:themeFill="accent4" w:themeFillTint="9A"/>
      </w:tcPr>
    </w:tblStylePr>
    <w:tblStylePr w:type="lastRow">
      <w:rPr>
        <w:rFonts w:ascii="Arial" w:hAnsi="Arial"/>
        <w:color w:val="F2F2F2"/>
        <w:sz w:val="22"/>
      </w:rPr>
      <w:tblPr/>
      <w:tcPr>
        <w:shd w:val="clear" w:color="ABA8A8" w:themeColor="accent4" w:themeTint="9A" w:fill="ABA8A8" w:themeFill="accent4" w:themeFillTint="9A"/>
      </w:tcPr>
    </w:tblStylePr>
    <w:tblStylePr w:type="firstCol">
      <w:rPr>
        <w:rFonts w:ascii="Arial" w:hAnsi="Arial"/>
        <w:color w:val="F2F2F2"/>
        <w:sz w:val="22"/>
      </w:rPr>
      <w:tblPr/>
      <w:tcPr>
        <w:shd w:val="clear" w:color="ABA8A8" w:themeColor="accent4" w:themeTint="9A" w:fill="ABA8A8" w:themeFill="accent4" w:themeFillTint="9A"/>
      </w:tcPr>
    </w:tblStylePr>
    <w:tblStylePr w:type="lastCol">
      <w:rPr>
        <w:rFonts w:ascii="Arial" w:hAnsi="Arial"/>
        <w:color w:val="F2F2F2"/>
        <w:sz w:val="22"/>
      </w:rPr>
      <w:tblPr/>
      <w:tcPr>
        <w:shd w:val="clear" w:color="ABA8A8" w:themeColor="accent4" w:themeTint="9A" w:fill="ABA8A8"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3E1E1" w:themeColor="accent4" w:themeTint="34" w:fill="E3E1E1"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3E1E1" w:themeColor="accent4" w:themeTint="34" w:fill="E3E1E1" w:themeFill="accent4" w:themeFillTint="34"/>
      </w:tcPr>
    </w:tblStylePr>
  </w:style>
  <w:style w:type="table" w:customStyle="1" w:styleId="BorderedLined-Accent5">
    <w:name w:val="Bordered &amp; Lined - Accent 5"/>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4A4A4A" w:themeColor="accent5" w:themeShade="95"/>
        <w:left w:val="single" w:sz="4" w:space="0" w:color="4A4A4A" w:themeColor="accent5" w:themeShade="95"/>
        <w:bottom w:val="single" w:sz="4" w:space="0" w:color="4A4A4A" w:themeColor="accent5" w:themeShade="95"/>
        <w:right w:val="single" w:sz="4" w:space="0" w:color="4A4A4A" w:themeColor="accent5" w:themeShade="95"/>
        <w:insideH w:val="single" w:sz="4" w:space="0" w:color="4A4A4A" w:themeColor="accent5" w:themeShade="95"/>
        <w:insideV w:val="single" w:sz="4" w:space="0" w:color="4A4A4A" w:themeColor="accent5" w:themeShade="95"/>
      </w:tblBorders>
    </w:tblPr>
    <w:tblStylePr w:type="firstRow">
      <w:rPr>
        <w:rFonts w:ascii="Arial" w:hAnsi="Arial"/>
        <w:color w:val="F2F2F2"/>
        <w:sz w:val="22"/>
      </w:rPr>
      <w:tblPr/>
      <w:tcPr>
        <w:shd w:val="clear" w:color="7F7F7F" w:themeColor="accent5" w:fill="7F7F7F" w:themeFill="accent5"/>
      </w:tcPr>
    </w:tblStylePr>
    <w:tblStylePr w:type="lastRow">
      <w:rPr>
        <w:rFonts w:ascii="Arial" w:hAnsi="Arial"/>
        <w:color w:val="F2F2F2"/>
        <w:sz w:val="22"/>
      </w:rPr>
      <w:tblPr/>
      <w:tcPr>
        <w:shd w:val="clear" w:color="7F7F7F" w:themeColor="accent5" w:fill="7F7F7F" w:themeFill="accent5"/>
      </w:tcPr>
    </w:tblStylePr>
    <w:tblStylePr w:type="firstCol">
      <w:rPr>
        <w:rFonts w:ascii="Arial" w:hAnsi="Arial"/>
        <w:color w:val="F2F2F2"/>
        <w:sz w:val="22"/>
      </w:rPr>
      <w:tblPr/>
      <w:tcPr>
        <w:shd w:val="clear" w:color="7F7F7F" w:themeColor="accent5" w:fill="7F7F7F" w:themeFill="accent5"/>
      </w:tcPr>
    </w:tblStylePr>
    <w:tblStylePr w:type="lastCol">
      <w:rPr>
        <w:rFonts w:ascii="Arial" w:hAnsi="Arial"/>
        <w:color w:val="F2F2F2"/>
        <w:sz w:val="22"/>
      </w:rPr>
      <w:tblPr/>
      <w:tcPr>
        <w:shd w:val="clear" w:color="7F7F7F" w:themeColor="accent5" w:fill="7F7F7F" w:themeFill="accent5"/>
      </w:tcPr>
    </w:tblStylePr>
    <w:tblStylePr w:type="band1Vert">
      <w:rPr>
        <w:rFonts w:ascii="Arial" w:hAnsi="Arial"/>
        <w:color w:val="404040"/>
        <w:sz w:val="22"/>
      </w:rPr>
    </w:tblStylePr>
    <w:tblStylePr w:type="band2Vert">
      <w:rPr>
        <w:rFonts w:ascii="Arial" w:hAnsi="Arial"/>
        <w:color w:val="404040"/>
        <w:sz w:val="22"/>
      </w:rPr>
      <w:tblPr/>
      <w:tcPr>
        <w:shd w:val="clear" w:color="E4E4E4" w:themeColor="accent5" w:themeTint="34" w:fill="E4E4E4"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E4E4E4" w:themeColor="accent5" w:themeTint="34" w:fill="E4E4E4" w:themeFill="accent5" w:themeFillTint="34"/>
      </w:tcPr>
    </w:tblStylePr>
  </w:style>
  <w:style w:type="table" w:customStyle="1" w:styleId="BorderedLined-Accent6">
    <w:name w:val="Bordered &amp; Lined - Accent 6"/>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898484" w:themeColor="accent6" w:themeShade="95"/>
        <w:left w:val="single" w:sz="4" w:space="0" w:color="898484" w:themeColor="accent6" w:themeShade="95"/>
        <w:bottom w:val="single" w:sz="4" w:space="0" w:color="898484" w:themeColor="accent6" w:themeShade="95"/>
        <w:right w:val="single" w:sz="4" w:space="0" w:color="898484" w:themeColor="accent6" w:themeShade="95"/>
        <w:insideH w:val="single" w:sz="4" w:space="0" w:color="898484" w:themeColor="accent6" w:themeShade="95"/>
        <w:insideV w:val="single" w:sz="4" w:space="0" w:color="898484" w:themeColor="accent6" w:themeShade="95"/>
      </w:tblBorders>
    </w:tblPr>
    <w:tblStylePr w:type="firstRow">
      <w:rPr>
        <w:rFonts w:ascii="Arial" w:hAnsi="Arial"/>
        <w:color w:val="F2F2F2"/>
        <w:sz w:val="22"/>
      </w:rPr>
      <w:tblPr/>
      <w:tcPr>
        <w:shd w:val="clear" w:color="E7E6E6" w:themeColor="accent6" w:fill="E7E6E6" w:themeFill="accent6"/>
      </w:tcPr>
    </w:tblStylePr>
    <w:tblStylePr w:type="lastRow">
      <w:rPr>
        <w:rFonts w:ascii="Arial" w:hAnsi="Arial"/>
        <w:color w:val="F2F2F2"/>
        <w:sz w:val="22"/>
      </w:rPr>
      <w:tblPr/>
      <w:tcPr>
        <w:shd w:val="clear" w:color="E7E6E6" w:themeColor="accent6" w:fill="E7E6E6" w:themeFill="accent6"/>
      </w:tcPr>
    </w:tblStylePr>
    <w:tblStylePr w:type="firstCol">
      <w:rPr>
        <w:rFonts w:ascii="Arial" w:hAnsi="Arial"/>
        <w:color w:val="F2F2F2"/>
        <w:sz w:val="22"/>
      </w:rPr>
      <w:tblPr/>
      <w:tcPr>
        <w:shd w:val="clear" w:color="E7E6E6" w:themeColor="accent6" w:fill="E7E6E6" w:themeFill="accent6"/>
      </w:tcPr>
    </w:tblStylePr>
    <w:tblStylePr w:type="lastCol">
      <w:rPr>
        <w:rFonts w:ascii="Arial" w:hAnsi="Arial"/>
        <w:color w:val="F2F2F2"/>
        <w:sz w:val="22"/>
      </w:rPr>
      <w:tblPr/>
      <w:tcPr>
        <w:shd w:val="clear" w:color="E7E6E6" w:themeColor="accent6" w:fill="E7E6E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AF9F9" w:themeColor="accent6" w:themeTint="34" w:fill="FAF9F9"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AF9F9" w:themeColor="accent6" w:themeTint="34" w:fill="FAF9F9" w:themeFill="accent6" w:themeFillTint="34"/>
      </w:tcPr>
    </w:tblStylePr>
  </w:style>
  <w:style w:type="table" w:customStyle="1" w:styleId="Bordered">
    <w:name w:val="Bordered"/>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98" w:themeColor="accent1" w:themeTint="67"/>
        <w:left w:val="single" w:sz="4" w:space="0" w:color="FFFF98" w:themeColor="accent1" w:themeTint="67"/>
        <w:bottom w:val="single" w:sz="4" w:space="0" w:color="FFFF98" w:themeColor="accent1" w:themeTint="67"/>
        <w:right w:val="single" w:sz="4" w:space="0" w:color="FFFF98" w:themeColor="accent1" w:themeTint="67"/>
        <w:insideH w:val="single" w:sz="4" w:space="0" w:color="FFFF98" w:themeColor="accent1" w:themeTint="67"/>
        <w:insideV w:val="single" w:sz="4" w:space="0" w:color="FFFF98" w:themeColor="accent1" w:themeTint="67"/>
      </w:tblBorders>
    </w:tblPr>
    <w:tblStylePr w:type="firstRow">
      <w:rPr>
        <w:rFonts w:ascii="Arial" w:hAnsi="Arial"/>
        <w:color w:val="404040"/>
        <w:sz w:val="22"/>
      </w:rPr>
      <w:tblPr/>
      <w:tcPr>
        <w:tcBorders>
          <w:bottom w:val="single" w:sz="12" w:space="0" w:color="FFFF00" w:themeColor="accent1"/>
        </w:tcBorders>
      </w:tcPr>
    </w:tblStylePr>
    <w:tblStylePr w:type="lastRow">
      <w:rPr>
        <w:rFonts w:ascii="Arial" w:hAnsi="Arial"/>
        <w:color w:val="404040"/>
        <w:sz w:val="22"/>
      </w:rPr>
      <w:tblPr/>
      <w:tcPr>
        <w:tcBorders>
          <w:top w:val="single" w:sz="12" w:space="0" w:color="FFFF00"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FF00" w:themeColor="accent1"/>
        </w:tcBorders>
      </w:tcPr>
    </w:tblStylePr>
    <w:tblStylePr w:type="band1Horz">
      <w:rPr>
        <w:rFonts w:ascii="Arial" w:hAnsi="Arial"/>
        <w:color w:val="404040"/>
        <w:sz w:val="22"/>
      </w:rPr>
      <w:tblPr/>
      <w:tcPr>
        <w:tcBorders>
          <w:top w:val="single" w:sz="4" w:space="0" w:color="FFFF98" w:themeColor="accent1" w:themeTint="67"/>
          <w:left w:val="single" w:sz="4" w:space="0" w:color="FFFF98" w:themeColor="accent1" w:themeTint="67"/>
          <w:bottom w:val="single" w:sz="4" w:space="0" w:color="FFFF98" w:themeColor="accent1" w:themeTint="67"/>
          <w:right w:val="single" w:sz="4" w:space="0" w:color="FFFF98" w:themeColor="accent1" w:themeTint="67"/>
        </w:tcBorders>
      </w:tcPr>
    </w:tblStylePr>
  </w:style>
  <w:style w:type="table" w:customStyle="1" w:styleId="Bordered-Accent2">
    <w:name w:val="Bordered - Accent 2"/>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CEBEB" w:themeColor="accent2" w:themeTint="67"/>
        <w:left w:val="single" w:sz="4" w:space="0" w:color="ECEBEB" w:themeColor="accent2" w:themeTint="67"/>
        <w:bottom w:val="single" w:sz="4" w:space="0" w:color="ECEBEB" w:themeColor="accent2" w:themeTint="67"/>
        <w:right w:val="single" w:sz="4" w:space="0" w:color="ECEBEB" w:themeColor="accent2" w:themeTint="67"/>
        <w:insideH w:val="single" w:sz="4" w:space="0" w:color="ECEBEB" w:themeColor="accent2" w:themeTint="67"/>
        <w:insideV w:val="single" w:sz="4" w:space="0" w:color="ECEBEB" w:themeColor="accent2" w:themeTint="67"/>
      </w:tblBorders>
    </w:tblPr>
    <w:tblStylePr w:type="firstRow">
      <w:rPr>
        <w:rFonts w:ascii="Arial" w:hAnsi="Arial"/>
        <w:color w:val="404040"/>
        <w:sz w:val="22"/>
      </w:rPr>
      <w:tblPr/>
      <w:tcPr>
        <w:tcBorders>
          <w:bottom w:val="single" w:sz="12" w:space="0" w:color="E3E1E1" w:themeColor="accent2" w:themeTint="97"/>
        </w:tcBorders>
      </w:tcPr>
    </w:tblStylePr>
    <w:tblStylePr w:type="lastRow">
      <w:rPr>
        <w:rFonts w:ascii="Arial" w:hAnsi="Arial"/>
        <w:color w:val="404040"/>
        <w:sz w:val="22"/>
      </w:rPr>
      <w:tblPr/>
      <w:tcPr>
        <w:tcBorders>
          <w:top w:val="single" w:sz="12" w:space="0" w:color="E3E1E1"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3E1E1" w:themeColor="accent2" w:themeTint="97"/>
        </w:tcBorders>
      </w:tcPr>
    </w:tblStylePr>
    <w:tblStylePr w:type="band1Horz">
      <w:rPr>
        <w:rFonts w:ascii="Arial" w:hAnsi="Arial"/>
        <w:color w:val="404040"/>
        <w:sz w:val="22"/>
      </w:rPr>
      <w:tblPr/>
      <w:tcPr>
        <w:tcBorders>
          <w:top w:val="single" w:sz="4" w:space="0" w:color="ECEBEB" w:themeColor="accent2" w:themeTint="67"/>
          <w:left w:val="single" w:sz="4" w:space="0" w:color="ECEBEB" w:themeColor="accent2" w:themeTint="67"/>
          <w:bottom w:val="single" w:sz="4" w:space="0" w:color="ECEBEB" w:themeColor="accent2" w:themeTint="67"/>
          <w:right w:val="single" w:sz="4" w:space="0" w:color="ECEBEB" w:themeColor="accent2" w:themeTint="67"/>
        </w:tcBorders>
      </w:tcPr>
    </w:tblStylePr>
  </w:style>
  <w:style w:type="table" w:customStyle="1" w:styleId="Bordered-Accent3">
    <w:name w:val="Bordered - Accent 3"/>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7C4C4" w:themeColor="accent4" w:themeTint="67"/>
        <w:left w:val="single" w:sz="4" w:space="0" w:color="C7C4C4" w:themeColor="accent4" w:themeTint="67"/>
        <w:bottom w:val="single" w:sz="4" w:space="0" w:color="C7C4C4" w:themeColor="accent4" w:themeTint="67"/>
        <w:right w:val="single" w:sz="4" w:space="0" w:color="C7C4C4" w:themeColor="accent4" w:themeTint="67"/>
        <w:insideH w:val="single" w:sz="4" w:space="0" w:color="C7C4C4" w:themeColor="accent4" w:themeTint="67"/>
        <w:insideV w:val="single" w:sz="4" w:space="0" w:color="C7C4C4" w:themeColor="accent4" w:themeTint="67"/>
      </w:tblBorders>
    </w:tblPr>
    <w:tblStylePr w:type="firstRow">
      <w:rPr>
        <w:rFonts w:ascii="Arial" w:hAnsi="Arial"/>
        <w:color w:val="404040"/>
        <w:sz w:val="22"/>
      </w:rPr>
      <w:tblPr/>
      <w:tcPr>
        <w:tcBorders>
          <w:bottom w:val="single" w:sz="12" w:space="0" w:color="ABA8A8" w:themeColor="accent4" w:themeTint="9A"/>
        </w:tcBorders>
      </w:tcPr>
    </w:tblStylePr>
    <w:tblStylePr w:type="lastRow">
      <w:rPr>
        <w:rFonts w:ascii="Arial" w:hAnsi="Arial"/>
        <w:color w:val="404040"/>
        <w:sz w:val="22"/>
      </w:rPr>
      <w:tblPr/>
      <w:tcPr>
        <w:tcBorders>
          <w:top w:val="single" w:sz="12" w:space="0" w:color="ABA8A8"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A8A8" w:themeColor="accent4" w:themeTint="9A"/>
        </w:tcBorders>
      </w:tcPr>
    </w:tblStylePr>
    <w:tblStylePr w:type="band1Horz">
      <w:rPr>
        <w:rFonts w:ascii="Arial" w:hAnsi="Arial"/>
        <w:color w:val="404040"/>
        <w:sz w:val="22"/>
      </w:rPr>
      <w:tblPr/>
      <w:tcPr>
        <w:tcBorders>
          <w:top w:val="single" w:sz="4" w:space="0" w:color="C7C4C4" w:themeColor="accent4" w:themeTint="67"/>
          <w:left w:val="single" w:sz="4" w:space="0" w:color="C7C4C4" w:themeColor="accent4" w:themeTint="67"/>
          <w:bottom w:val="single" w:sz="4" w:space="0" w:color="C7C4C4" w:themeColor="accent4" w:themeTint="67"/>
          <w:right w:val="single" w:sz="4" w:space="0" w:color="C7C4C4" w:themeColor="accent4" w:themeTint="67"/>
        </w:tcBorders>
      </w:tcPr>
    </w:tblStylePr>
  </w:style>
  <w:style w:type="table" w:customStyle="1" w:styleId="Bordered-Accent5">
    <w:name w:val="Bordered - Accent 5"/>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BCBCB" w:themeColor="accent5" w:themeTint="67"/>
        <w:left w:val="single" w:sz="4" w:space="0" w:color="CBCBCB" w:themeColor="accent5" w:themeTint="67"/>
        <w:bottom w:val="single" w:sz="4" w:space="0" w:color="CBCBCB" w:themeColor="accent5" w:themeTint="67"/>
        <w:right w:val="single" w:sz="4" w:space="0" w:color="CBCBCB" w:themeColor="accent5" w:themeTint="67"/>
        <w:insideH w:val="single" w:sz="4" w:space="0" w:color="CBCBCB" w:themeColor="accent5" w:themeTint="67"/>
        <w:insideV w:val="single" w:sz="4" w:space="0" w:color="CBCBCB" w:themeColor="accent5" w:themeTint="67"/>
      </w:tblBorders>
    </w:tblPr>
    <w:tblStylePr w:type="firstRow">
      <w:rPr>
        <w:rFonts w:ascii="Arial" w:hAnsi="Arial"/>
        <w:color w:val="404040"/>
        <w:sz w:val="22"/>
      </w:rPr>
      <w:tblPr/>
      <w:tcPr>
        <w:tcBorders>
          <w:bottom w:val="single" w:sz="12" w:space="0" w:color="B1B1B1" w:themeColor="accent5" w:themeTint="9A"/>
        </w:tcBorders>
      </w:tcPr>
    </w:tblStylePr>
    <w:tblStylePr w:type="lastRow">
      <w:rPr>
        <w:rFonts w:ascii="Arial" w:hAnsi="Arial"/>
        <w:color w:val="404040"/>
        <w:sz w:val="22"/>
      </w:rPr>
      <w:tblPr/>
      <w:tcPr>
        <w:tcBorders>
          <w:top w:val="single" w:sz="12" w:space="0" w:color="B1B1B1"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1B1B1" w:themeColor="accent5" w:themeTint="9A"/>
        </w:tcBorders>
      </w:tcPr>
    </w:tblStylePr>
    <w:tblStylePr w:type="band1Horz">
      <w:rPr>
        <w:rFonts w:ascii="Arial" w:hAnsi="Arial"/>
        <w:color w:val="404040"/>
        <w:sz w:val="22"/>
      </w:rPr>
      <w:tblPr/>
      <w:tcPr>
        <w:tcBorders>
          <w:top w:val="single" w:sz="4" w:space="0" w:color="CBCBCB" w:themeColor="accent5" w:themeTint="67"/>
          <w:left w:val="single" w:sz="4" w:space="0" w:color="CBCBCB" w:themeColor="accent5" w:themeTint="67"/>
          <w:bottom w:val="single" w:sz="4" w:space="0" w:color="CBCBCB" w:themeColor="accent5" w:themeTint="67"/>
          <w:right w:val="single" w:sz="4" w:space="0" w:color="CBCBCB" w:themeColor="accent5" w:themeTint="67"/>
        </w:tcBorders>
      </w:tcPr>
    </w:tblStylePr>
  </w:style>
  <w:style w:type="table" w:customStyle="1" w:styleId="Bordered-Accent6">
    <w:name w:val="Bordered - Accent 6"/>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5F4F4" w:themeColor="accent6" w:themeTint="67"/>
        <w:left w:val="single" w:sz="4" w:space="0" w:color="F5F4F4" w:themeColor="accent6" w:themeTint="67"/>
        <w:bottom w:val="single" w:sz="4" w:space="0" w:color="F5F4F4" w:themeColor="accent6" w:themeTint="67"/>
        <w:right w:val="single" w:sz="4" w:space="0" w:color="F5F4F4" w:themeColor="accent6" w:themeTint="67"/>
        <w:insideH w:val="single" w:sz="4" w:space="0" w:color="F5F4F4" w:themeColor="accent6" w:themeTint="67"/>
        <w:insideV w:val="single" w:sz="4" w:space="0" w:color="F5F4F4" w:themeColor="accent6" w:themeTint="67"/>
      </w:tblBorders>
    </w:tblPr>
    <w:tblStylePr w:type="firstRow">
      <w:rPr>
        <w:rFonts w:ascii="Arial" w:hAnsi="Arial"/>
        <w:color w:val="404040"/>
        <w:sz w:val="22"/>
      </w:rPr>
      <w:tblPr/>
      <w:tcPr>
        <w:tcBorders>
          <w:bottom w:val="single" w:sz="12" w:space="0" w:color="F0F0F0" w:themeColor="accent6" w:themeTint="98"/>
        </w:tcBorders>
      </w:tcPr>
    </w:tblStylePr>
    <w:tblStylePr w:type="lastRow">
      <w:rPr>
        <w:rFonts w:ascii="Arial" w:hAnsi="Arial"/>
        <w:color w:val="404040"/>
        <w:sz w:val="22"/>
      </w:rPr>
      <w:tblPr/>
      <w:tcPr>
        <w:tcBorders>
          <w:top w:val="single" w:sz="12" w:space="0" w:color="F0F0F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0F0F0" w:themeColor="accent6" w:themeTint="98"/>
        </w:tcBorders>
      </w:tcPr>
    </w:tblStylePr>
    <w:tblStylePr w:type="band1Horz">
      <w:rPr>
        <w:rFonts w:ascii="Arial" w:hAnsi="Arial"/>
        <w:color w:val="404040"/>
        <w:sz w:val="22"/>
      </w:rPr>
      <w:tblPr/>
      <w:tcPr>
        <w:tcBorders>
          <w:top w:val="single" w:sz="4" w:space="0" w:color="F5F4F4" w:themeColor="accent6" w:themeTint="67"/>
          <w:left w:val="single" w:sz="4" w:space="0" w:color="F5F4F4" w:themeColor="accent6" w:themeTint="67"/>
          <w:bottom w:val="single" w:sz="4" w:space="0" w:color="F5F4F4" w:themeColor="accent6" w:themeTint="67"/>
          <w:right w:val="single" w:sz="4" w:space="0" w:color="F5F4F4" w:themeColor="accent6" w:themeTint="67"/>
        </w:tcBorders>
      </w:tcPr>
    </w:tblStylePr>
  </w:style>
  <w:style w:type="paragraph" w:styleId="EndnoteText">
    <w:name w:val="endnote text"/>
    <w:basedOn w:val="Normal"/>
    <w:link w:val="EndnoteTextChar"/>
    <w:uiPriority w:val="99"/>
    <w:semiHidden/>
    <w:unhideWhenUsed/>
    <w:rsid w:val="00917F5E"/>
    <w:rPr>
      <w:rFonts w:asciiTheme="minorHAnsi" w:hAnsiTheme="minorHAnsi" w:cstheme="minorBidi"/>
      <w:color w:val="auto"/>
      <w:szCs w:val="22"/>
      <w:lang w:val="de-DE"/>
    </w:rPr>
  </w:style>
  <w:style w:type="character" w:customStyle="1" w:styleId="EndnoteTextChar">
    <w:name w:val="Endnote Text Char"/>
    <w:basedOn w:val="DefaultParagraphFont"/>
    <w:link w:val="EndnoteText"/>
    <w:uiPriority w:val="99"/>
    <w:semiHidden/>
    <w:rsid w:val="00917F5E"/>
    <w:rPr>
      <w:rFonts w:asciiTheme="minorHAnsi" w:hAnsiTheme="minorHAnsi" w:cstheme="minorBidi"/>
      <w:color w:val="auto"/>
      <w:szCs w:val="22"/>
      <w:lang w:val="de-DE"/>
    </w:rPr>
  </w:style>
  <w:style w:type="character" w:styleId="EndnoteReference">
    <w:name w:val="endnote reference"/>
    <w:basedOn w:val="DefaultParagraphFont"/>
    <w:uiPriority w:val="99"/>
    <w:semiHidden/>
    <w:unhideWhenUsed/>
    <w:rsid w:val="00917F5E"/>
    <w:rPr>
      <w:vertAlign w:val="superscript"/>
    </w:rPr>
  </w:style>
  <w:style w:type="paragraph" w:styleId="TOC5">
    <w:name w:val="toc 5"/>
    <w:basedOn w:val="Normal"/>
    <w:next w:val="Normal"/>
    <w:uiPriority w:val="39"/>
    <w:unhideWhenUsed/>
    <w:rsid w:val="00917F5E"/>
    <w:pPr>
      <w:spacing w:after="57" w:line="259" w:lineRule="auto"/>
      <w:ind w:left="1134"/>
    </w:pPr>
    <w:rPr>
      <w:rFonts w:asciiTheme="minorHAnsi" w:hAnsiTheme="minorHAnsi" w:cstheme="minorBidi"/>
      <w:color w:val="auto"/>
      <w:sz w:val="22"/>
      <w:szCs w:val="22"/>
      <w:lang w:val="de-DE"/>
    </w:rPr>
  </w:style>
  <w:style w:type="paragraph" w:styleId="TOC6">
    <w:name w:val="toc 6"/>
    <w:basedOn w:val="Normal"/>
    <w:next w:val="Normal"/>
    <w:uiPriority w:val="39"/>
    <w:unhideWhenUsed/>
    <w:rsid w:val="00917F5E"/>
    <w:pPr>
      <w:spacing w:after="57" w:line="259" w:lineRule="auto"/>
      <w:ind w:left="1417"/>
    </w:pPr>
    <w:rPr>
      <w:rFonts w:asciiTheme="minorHAnsi" w:hAnsiTheme="minorHAnsi" w:cstheme="minorBidi"/>
      <w:color w:val="auto"/>
      <w:sz w:val="22"/>
      <w:szCs w:val="22"/>
      <w:lang w:val="de-DE"/>
    </w:rPr>
  </w:style>
  <w:style w:type="paragraph" w:styleId="TOC7">
    <w:name w:val="toc 7"/>
    <w:basedOn w:val="Normal"/>
    <w:next w:val="Normal"/>
    <w:uiPriority w:val="39"/>
    <w:unhideWhenUsed/>
    <w:rsid w:val="00917F5E"/>
    <w:pPr>
      <w:spacing w:after="57" w:line="259" w:lineRule="auto"/>
      <w:ind w:left="1701"/>
    </w:pPr>
    <w:rPr>
      <w:rFonts w:asciiTheme="minorHAnsi" w:hAnsiTheme="minorHAnsi" w:cstheme="minorBidi"/>
      <w:color w:val="auto"/>
      <w:sz w:val="22"/>
      <w:szCs w:val="22"/>
      <w:lang w:val="de-DE"/>
    </w:rPr>
  </w:style>
  <w:style w:type="paragraph" w:styleId="TOC8">
    <w:name w:val="toc 8"/>
    <w:basedOn w:val="Normal"/>
    <w:next w:val="Normal"/>
    <w:uiPriority w:val="39"/>
    <w:unhideWhenUsed/>
    <w:rsid w:val="00917F5E"/>
    <w:pPr>
      <w:spacing w:after="57" w:line="259" w:lineRule="auto"/>
      <w:ind w:left="1984"/>
    </w:pPr>
    <w:rPr>
      <w:rFonts w:asciiTheme="minorHAnsi" w:hAnsiTheme="minorHAnsi" w:cstheme="minorBidi"/>
      <w:color w:val="auto"/>
      <w:sz w:val="22"/>
      <w:szCs w:val="22"/>
      <w:lang w:val="de-DE"/>
    </w:rPr>
  </w:style>
  <w:style w:type="paragraph" w:styleId="TOC9">
    <w:name w:val="toc 9"/>
    <w:basedOn w:val="Normal"/>
    <w:next w:val="Normal"/>
    <w:uiPriority w:val="39"/>
    <w:unhideWhenUsed/>
    <w:rsid w:val="00917F5E"/>
    <w:pPr>
      <w:spacing w:after="57" w:line="259" w:lineRule="auto"/>
      <w:ind w:left="2268"/>
    </w:pPr>
    <w:rPr>
      <w:rFonts w:asciiTheme="minorHAnsi" w:hAnsiTheme="minorHAnsi" w:cstheme="minorBidi"/>
      <w:color w:val="auto"/>
      <w:sz w:val="22"/>
      <w:szCs w:val="22"/>
      <w:lang w:val="de-DE"/>
    </w:rPr>
  </w:style>
  <w:style w:type="paragraph" w:styleId="TableofFigures">
    <w:name w:val="table of figures"/>
    <w:basedOn w:val="Normal"/>
    <w:next w:val="Normal"/>
    <w:uiPriority w:val="99"/>
    <w:unhideWhenUsed/>
    <w:rsid w:val="00917F5E"/>
    <w:pPr>
      <w:spacing w:line="259" w:lineRule="auto"/>
    </w:pPr>
    <w:rPr>
      <w:rFonts w:asciiTheme="minorHAnsi" w:hAnsiTheme="minorHAnsi" w:cstheme="minorBidi"/>
      <w:color w:val="auto"/>
      <w:sz w:val="22"/>
      <w:szCs w:val="22"/>
      <w:lang w:val="de-DE"/>
    </w:rPr>
  </w:style>
  <w:style w:type="paragraph" w:styleId="NormalWeb">
    <w:name w:val="Normal (Web)"/>
    <w:basedOn w:val="Normal"/>
    <w:uiPriority w:val="99"/>
    <w:unhideWhenUsed/>
    <w:rsid w:val="00917F5E"/>
    <w:pPr>
      <w:spacing w:before="100" w:beforeAutospacing="1" w:after="100" w:afterAutospacing="1"/>
    </w:pPr>
    <w:rPr>
      <w:rFonts w:ascii="Times New Roman" w:eastAsia="Times New Roman" w:hAnsi="Times New Roman" w:cs="Times New Roman"/>
      <w:color w:val="auto"/>
      <w:sz w:val="24"/>
      <w:szCs w:val="24"/>
      <w:lang w:val="de-DE" w:eastAsia="de-DE"/>
    </w:rPr>
  </w:style>
  <w:style w:type="paragraph" w:styleId="CommentText">
    <w:name w:val="annotation text"/>
    <w:basedOn w:val="Normal"/>
    <w:link w:val="CommentTextChar"/>
    <w:uiPriority w:val="99"/>
    <w:unhideWhenUsed/>
    <w:rsid w:val="00917F5E"/>
    <w:pPr>
      <w:spacing w:after="160"/>
    </w:pPr>
    <w:rPr>
      <w:rFonts w:asciiTheme="minorHAnsi" w:hAnsiTheme="minorHAnsi" w:cstheme="minorBidi"/>
      <w:color w:val="auto"/>
      <w:lang w:val="de-DE"/>
    </w:rPr>
  </w:style>
  <w:style w:type="character" w:customStyle="1" w:styleId="CommentTextChar">
    <w:name w:val="Comment Text Char"/>
    <w:basedOn w:val="DefaultParagraphFont"/>
    <w:link w:val="CommentText"/>
    <w:uiPriority w:val="99"/>
    <w:rsid w:val="00917F5E"/>
    <w:rPr>
      <w:rFonts w:asciiTheme="minorHAnsi" w:hAnsiTheme="minorHAnsi" w:cstheme="minorBidi"/>
      <w:color w:val="auto"/>
      <w:lang w:val="de-DE"/>
    </w:rPr>
  </w:style>
  <w:style w:type="paragraph" w:styleId="ListParagraph">
    <w:name w:val="List Paragraph"/>
    <w:basedOn w:val="Normal"/>
    <w:uiPriority w:val="34"/>
    <w:qFormat/>
    <w:rsid w:val="00917F5E"/>
    <w:pPr>
      <w:spacing w:after="160" w:line="259" w:lineRule="auto"/>
      <w:ind w:left="720"/>
      <w:contextualSpacing/>
    </w:pPr>
    <w:rPr>
      <w:rFonts w:asciiTheme="minorHAnsi" w:hAnsiTheme="minorHAnsi" w:cstheme="minorBidi"/>
      <w:color w:val="auto"/>
      <w:sz w:val="22"/>
      <w:szCs w:val="22"/>
      <w:lang w:val="de-DE"/>
    </w:rPr>
  </w:style>
  <w:style w:type="character" w:customStyle="1" w:styleId="cf01">
    <w:name w:val="cf01"/>
    <w:basedOn w:val="DefaultParagraphFont"/>
    <w:rsid w:val="00917F5E"/>
    <w:rPr>
      <w:rFonts w:ascii="Segoe UI" w:hAnsi="Segoe UI" w:cs="Segoe UI" w:hint="default"/>
      <w:sz w:val="18"/>
      <w:szCs w:val="18"/>
    </w:rPr>
  </w:style>
  <w:style w:type="table" w:customStyle="1" w:styleId="GridTable1Light-Accent21">
    <w:name w:val="Grid Table 1 Light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CEBEB" w:themeColor="accent2" w:themeTint="67"/>
        <w:left w:val="single" w:sz="4" w:space="0" w:color="ECEBEB" w:themeColor="accent2" w:themeTint="67"/>
        <w:bottom w:val="single" w:sz="4" w:space="0" w:color="ECEBEB" w:themeColor="accent2" w:themeTint="67"/>
        <w:right w:val="single" w:sz="4" w:space="0" w:color="ECEBEB" w:themeColor="accent2" w:themeTint="67"/>
        <w:insideH w:val="single" w:sz="4" w:space="0" w:color="ECEBEB" w:themeColor="accent2" w:themeTint="67"/>
        <w:insideV w:val="single" w:sz="4" w:space="0" w:color="ECEBEB" w:themeColor="accent2" w:themeTint="67"/>
      </w:tblBorders>
    </w:tblPr>
    <w:tblStylePr w:type="firstRow">
      <w:rPr>
        <w:b/>
        <w:color w:val="404040"/>
      </w:rPr>
      <w:tblPr/>
      <w:tcPr>
        <w:tcBorders>
          <w:bottom w:val="single" w:sz="12" w:space="0" w:color="E3E2E2"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CEBEB" w:themeColor="accent2" w:themeTint="67"/>
          <w:left w:val="single" w:sz="4" w:space="0" w:color="ECEBEB" w:themeColor="accent2" w:themeTint="67"/>
          <w:bottom w:val="single" w:sz="4" w:space="0" w:color="ECEBEB" w:themeColor="accent2" w:themeTint="67"/>
          <w:right w:val="single" w:sz="4" w:space="0" w:color="ECEBEB" w:themeColor="accent2" w:themeTint="67"/>
        </w:tcBorders>
      </w:tcPr>
    </w:tblStylePr>
  </w:style>
  <w:style w:type="table" w:customStyle="1" w:styleId="GridTable6Colorful-Accent11">
    <w:name w:val="Grid Table 6 Colorful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7F" w:themeColor="accent1" w:themeTint="80"/>
        <w:left w:val="single" w:sz="4" w:space="0" w:color="FFFF7F" w:themeColor="accent1" w:themeTint="80"/>
        <w:bottom w:val="single" w:sz="4" w:space="0" w:color="FFFF7F" w:themeColor="accent1" w:themeTint="80"/>
        <w:right w:val="single" w:sz="4" w:space="0" w:color="FFFF7F" w:themeColor="accent1" w:themeTint="80"/>
        <w:insideH w:val="single" w:sz="4" w:space="0" w:color="FFFF7F" w:themeColor="accent1" w:themeTint="80"/>
        <w:insideV w:val="single" w:sz="4" w:space="0" w:color="FFFF7F" w:themeColor="accent1" w:themeTint="80"/>
      </w:tblBorders>
    </w:tblPr>
    <w:tblStylePr w:type="firstRow">
      <w:rPr>
        <w:b/>
        <w:color w:val="FFFF7F" w:themeColor="accent1" w:themeTint="80" w:themeShade="95"/>
      </w:rPr>
      <w:tblPr/>
      <w:tcPr>
        <w:tcBorders>
          <w:bottom w:val="single" w:sz="12" w:space="0" w:color="FFFF7F" w:themeColor="accent1" w:themeTint="80"/>
        </w:tcBorders>
      </w:tcPr>
    </w:tblStylePr>
    <w:tblStylePr w:type="lastRow">
      <w:rPr>
        <w:b/>
        <w:color w:val="FFFF7F" w:themeColor="accent1" w:themeTint="80" w:themeShade="95"/>
      </w:rPr>
    </w:tblStylePr>
    <w:tblStylePr w:type="firstCol">
      <w:rPr>
        <w:b/>
        <w:color w:val="FFFF7F" w:themeColor="accent1" w:themeTint="80" w:themeShade="95"/>
      </w:rPr>
    </w:tblStylePr>
    <w:tblStylePr w:type="lastCol">
      <w:rPr>
        <w:b/>
        <w:color w:val="FFFF7F" w:themeColor="accent1" w:themeTint="80" w:themeShade="95"/>
      </w:rPr>
    </w:tblStylePr>
    <w:tblStylePr w:type="band1Vert">
      <w:tblPr/>
      <w:tcPr>
        <w:shd w:val="clear" w:color="FFFFCB" w:themeColor="accent1" w:themeTint="34" w:fill="FFFFCB" w:themeFill="accent1" w:themeFillTint="34"/>
      </w:tcPr>
    </w:tblStylePr>
    <w:tblStylePr w:type="band1Horz">
      <w:rPr>
        <w:rFonts w:ascii="Arial" w:hAnsi="Arial"/>
        <w:color w:val="FFFF7F" w:themeColor="accent1" w:themeTint="80" w:themeShade="95"/>
        <w:sz w:val="22"/>
      </w:rPr>
      <w:tblPr/>
      <w:tcPr>
        <w:shd w:val="clear" w:color="FFFFCB" w:themeColor="accent1" w:themeTint="34" w:fill="FFFFCB" w:themeFill="accent1" w:themeFillTint="34"/>
      </w:tcPr>
    </w:tblStylePr>
    <w:tblStylePr w:type="band2Horz">
      <w:rPr>
        <w:rFonts w:ascii="Arial" w:hAnsi="Arial"/>
        <w:color w:val="FFFF7F" w:themeColor="accent1" w:themeTint="80" w:themeShade="95"/>
        <w:sz w:val="22"/>
      </w:rPr>
    </w:tblStylePr>
  </w:style>
  <w:style w:type="table" w:customStyle="1" w:styleId="GridTable6Colorful-Accent21">
    <w:name w:val="Grid Table 6 Colorful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3E1E1" w:themeColor="accent2" w:themeTint="97"/>
        <w:left w:val="single" w:sz="4" w:space="0" w:color="E3E1E1" w:themeColor="accent2" w:themeTint="97"/>
        <w:bottom w:val="single" w:sz="4" w:space="0" w:color="E3E1E1" w:themeColor="accent2" w:themeTint="97"/>
        <w:right w:val="single" w:sz="4" w:space="0" w:color="E3E1E1" w:themeColor="accent2" w:themeTint="97"/>
        <w:insideH w:val="single" w:sz="4" w:space="0" w:color="E3E1E1" w:themeColor="accent2" w:themeTint="97"/>
        <w:insideV w:val="single" w:sz="4" w:space="0" w:color="E3E1E1" w:themeColor="accent2" w:themeTint="97"/>
      </w:tblBorders>
    </w:tblPr>
    <w:tblStylePr w:type="firstRow">
      <w:rPr>
        <w:b/>
        <w:color w:val="E3E1E1" w:themeColor="accent2" w:themeTint="97" w:themeShade="95"/>
      </w:rPr>
      <w:tblPr/>
      <w:tcPr>
        <w:tcBorders>
          <w:bottom w:val="single" w:sz="12" w:space="0" w:color="E3E1E1" w:themeColor="accent2" w:themeTint="97"/>
        </w:tcBorders>
      </w:tcPr>
    </w:tblStylePr>
    <w:tblStylePr w:type="lastRow">
      <w:rPr>
        <w:b/>
        <w:color w:val="E3E1E1" w:themeColor="accent2" w:themeTint="97" w:themeShade="95"/>
      </w:rPr>
    </w:tblStylePr>
    <w:tblStylePr w:type="firstCol">
      <w:rPr>
        <w:b/>
        <w:color w:val="E3E1E1" w:themeColor="accent2" w:themeTint="97" w:themeShade="95"/>
      </w:rPr>
    </w:tblStylePr>
    <w:tblStylePr w:type="lastCol">
      <w:rPr>
        <w:b/>
        <w:color w:val="E3E1E1" w:themeColor="accent2" w:themeTint="97" w:themeShade="95"/>
      </w:rPr>
    </w:tblStylePr>
    <w:tblStylePr w:type="band1Vert">
      <w:tblPr/>
      <w:tcPr>
        <w:shd w:val="clear" w:color="F5F5F5" w:themeColor="accent2" w:themeTint="32" w:fill="F5F5F5" w:themeFill="accent2" w:themeFillTint="32"/>
      </w:tcPr>
    </w:tblStylePr>
    <w:tblStylePr w:type="band1Horz">
      <w:rPr>
        <w:rFonts w:ascii="Arial" w:hAnsi="Arial"/>
        <w:color w:val="E3E1E1" w:themeColor="accent2" w:themeTint="97" w:themeShade="95"/>
        <w:sz w:val="22"/>
      </w:rPr>
      <w:tblPr/>
      <w:tcPr>
        <w:shd w:val="clear" w:color="F5F5F5" w:themeColor="accent2" w:themeTint="32" w:fill="F5F5F5" w:themeFill="accent2" w:themeFillTint="32"/>
      </w:tcPr>
    </w:tblStylePr>
    <w:tblStylePr w:type="band2Horz">
      <w:rPr>
        <w:rFonts w:ascii="Arial" w:hAnsi="Arial"/>
        <w:color w:val="E3E1E1" w:themeColor="accent2" w:themeTint="97" w:themeShade="95"/>
        <w:sz w:val="22"/>
      </w:rPr>
    </w:tblStylePr>
  </w:style>
  <w:style w:type="table" w:customStyle="1" w:styleId="GridTable6Colorful-Accent31">
    <w:name w:val="Grid Table 6 Colorful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ABA8A8" w:themeColor="accent4" w:themeTint="9A"/>
        <w:left w:val="single" w:sz="4" w:space="0" w:color="ABA8A8" w:themeColor="accent4" w:themeTint="9A"/>
        <w:bottom w:val="single" w:sz="4" w:space="0" w:color="ABA8A8" w:themeColor="accent4" w:themeTint="9A"/>
        <w:right w:val="single" w:sz="4" w:space="0" w:color="ABA8A8" w:themeColor="accent4" w:themeTint="9A"/>
        <w:insideH w:val="single" w:sz="4" w:space="0" w:color="ABA8A8" w:themeColor="accent4" w:themeTint="9A"/>
        <w:insideV w:val="single" w:sz="4" w:space="0" w:color="ABA8A8" w:themeColor="accent4" w:themeTint="9A"/>
      </w:tblBorders>
    </w:tblPr>
    <w:tblStylePr w:type="firstRow">
      <w:rPr>
        <w:b/>
        <w:color w:val="ABA8A8" w:themeColor="accent4" w:themeTint="9A" w:themeShade="95"/>
      </w:rPr>
      <w:tblPr/>
      <w:tcPr>
        <w:tcBorders>
          <w:bottom w:val="single" w:sz="12" w:space="0" w:color="ABA8A8" w:themeColor="accent4" w:themeTint="9A"/>
        </w:tcBorders>
      </w:tcPr>
    </w:tblStylePr>
    <w:tblStylePr w:type="lastRow">
      <w:rPr>
        <w:b/>
        <w:color w:val="ABA8A8" w:themeColor="accent4" w:themeTint="9A" w:themeShade="95"/>
      </w:rPr>
    </w:tblStylePr>
    <w:tblStylePr w:type="firstCol">
      <w:rPr>
        <w:b/>
        <w:color w:val="ABA8A8" w:themeColor="accent4" w:themeTint="9A" w:themeShade="95"/>
      </w:rPr>
    </w:tblStylePr>
    <w:tblStylePr w:type="lastCol">
      <w:rPr>
        <w:b/>
        <w:color w:val="ABA8A8" w:themeColor="accent4" w:themeTint="9A" w:themeShade="95"/>
      </w:rPr>
    </w:tblStylePr>
    <w:tblStylePr w:type="band1Vert">
      <w:tblPr/>
      <w:tcPr>
        <w:shd w:val="clear" w:color="E3E1E1" w:themeColor="accent4" w:themeTint="34" w:fill="E3E1E1" w:themeFill="accent4" w:themeFillTint="34"/>
      </w:tcPr>
    </w:tblStylePr>
    <w:tblStylePr w:type="band1Horz">
      <w:rPr>
        <w:rFonts w:ascii="Arial" w:hAnsi="Arial"/>
        <w:color w:val="ABA8A8" w:themeColor="accent4" w:themeTint="9A" w:themeShade="95"/>
        <w:sz w:val="22"/>
      </w:rPr>
      <w:tblPr/>
      <w:tcPr>
        <w:shd w:val="clear" w:color="E3E1E1" w:themeColor="accent4" w:themeTint="34" w:fill="E3E1E1" w:themeFill="accent4" w:themeFillTint="34"/>
      </w:tcPr>
    </w:tblStylePr>
    <w:tblStylePr w:type="band2Horz">
      <w:rPr>
        <w:rFonts w:ascii="Arial" w:hAnsi="Arial"/>
        <w:color w:val="ABA8A8" w:themeColor="accent4" w:themeTint="9A" w:themeShade="95"/>
        <w:sz w:val="22"/>
      </w:rPr>
    </w:tblStylePr>
  </w:style>
  <w:style w:type="table" w:customStyle="1" w:styleId="GridTable6Colorful-Accent51">
    <w:name w:val="Grid Table 6 Colorful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7F7F7F" w:themeColor="accent5"/>
        <w:left w:val="single" w:sz="4" w:space="0" w:color="7F7F7F" w:themeColor="accent5"/>
        <w:bottom w:val="single" w:sz="4" w:space="0" w:color="7F7F7F" w:themeColor="accent5"/>
        <w:right w:val="single" w:sz="4" w:space="0" w:color="7F7F7F" w:themeColor="accent5"/>
        <w:insideH w:val="single" w:sz="4" w:space="0" w:color="7F7F7F" w:themeColor="accent5"/>
        <w:insideV w:val="single" w:sz="4" w:space="0" w:color="7F7F7F" w:themeColor="accent5"/>
      </w:tblBorders>
    </w:tblPr>
    <w:tblStylePr w:type="firstRow">
      <w:rPr>
        <w:b/>
        <w:color w:val="4A4A4A" w:themeColor="accent5" w:themeShade="95"/>
      </w:rPr>
      <w:tblPr/>
      <w:tcPr>
        <w:tcBorders>
          <w:bottom w:val="single" w:sz="12" w:space="0" w:color="7F7F7F" w:themeColor="accent5"/>
        </w:tcBorders>
      </w:tcPr>
    </w:tblStylePr>
    <w:tblStylePr w:type="lastRow">
      <w:rPr>
        <w:b/>
        <w:color w:val="4A4A4A" w:themeColor="accent5" w:themeShade="95"/>
      </w:rPr>
    </w:tblStylePr>
    <w:tblStylePr w:type="firstCol">
      <w:rPr>
        <w:b/>
        <w:color w:val="4A4A4A" w:themeColor="accent5" w:themeShade="95"/>
      </w:rPr>
    </w:tblStylePr>
    <w:tblStylePr w:type="lastCol">
      <w:rPr>
        <w:b/>
        <w:color w:val="4A4A4A" w:themeColor="accent5" w:themeShade="95"/>
      </w:rPr>
    </w:tblStylePr>
    <w:tblStylePr w:type="band1Vert">
      <w:tblPr/>
      <w:tcPr>
        <w:shd w:val="clear" w:color="E4E4E4" w:themeColor="accent5" w:themeTint="34" w:fill="E4E4E4" w:themeFill="accent5" w:themeFillTint="34"/>
      </w:tcPr>
    </w:tblStylePr>
    <w:tblStylePr w:type="band1Horz">
      <w:rPr>
        <w:rFonts w:ascii="Arial" w:hAnsi="Arial"/>
        <w:color w:val="4A4A4A" w:themeColor="accent5" w:themeShade="95"/>
        <w:sz w:val="22"/>
      </w:rPr>
      <w:tblPr/>
      <w:tcPr>
        <w:shd w:val="clear" w:color="E4E4E4" w:themeColor="accent5" w:themeTint="34" w:fill="E4E4E4" w:themeFill="accent5" w:themeFillTint="34"/>
      </w:tcPr>
    </w:tblStylePr>
    <w:tblStylePr w:type="band2Horz">
      <w:rPr>
        <w:rFonts w:ascii="Arial" w:hAnsi="Arial"/>
        <w:color w:val="4A4A4A" w:themeColor="accent5" w:themeShade="95"/>
        <w:sz w:val="22"/>
      </w:rPr>
    </w:tblStylePr>
  </w:style>
  <w:style w:type="table" w:customStyle="1" w:styleId="GridTable6Colorful-Accent61">
    <w:name w:val="Grid Table 6 Colorful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7E6E6" w:themeColor="accent6"/>
        <w:left w:val="single" w:sz="4" w:space="0" w:color="E7E6E6" w:themeColor="accent6"/>
        <w:bottom w:val="single" w:sz="4" w:space="0" w:color="E7E6E6" w:themeColor="accent6"/>
        <w:right w:val="single" w:sz="4" w:space="0" w:color="E7E6E6" w:themeColor="accent6"/>
        <w:insideH w:val="single" w:sz="4" w:space="0" w:color="E7E6E6" w:themeColor="accent6"/>
        <w:insideV w:val="single" w:sz="4" w:space="0" w:color="E7E6E6" w:themeColor="accent6"/>
      </w:tblBorders>
    </w:tblPr>
    <w:tblStylePr w:type="firstRow">
      <w:rPr>
        <w:b/>
        <w:color w:val="4A4A4A" w:themeColor="accent5" w:themeShade="95"/>
      </w:rPr>
      <w:tblPr/>
      <w:tcPr>
        <w:tcBorders>
          <w:bottom w:val="single" w:sz="12" w:space="0" w:color="E7E6E6" w:themeColor="accent6"/>
        </w:tcBorders>
      </w:tcPr>
    </w:tblStylePr>
    <w:tblStylePr w:type="lastRow">
      <w:rPr>
        <w:b/>
        <w:color w:val="4A4A4A" w:themeColor="accent5" w:themeShade="95"/>
      </w:rPr>
    </w:tblStylePr>
    <w:tblStylePr w:type="firstCol">
      <w:rPr>
        <w:b/>
        <w:color w:val="4A4A4A" w:themeColor="accent5" w:themeShade="95"/>
      </w:rPr>
    </w:tblStylePr>
    <w:tblStylePr w:type="lastCol">
      <w:rPr>
        <w:b/>
        <w:color w:val="4A4A4A" w:themeColor="accent5" w:themeShade="95"/>
      </w:rPr>
    </w:tblStylePr>
    <w:tblStylePr w:type="band1Vert">
      <w:tblPr/>
      <w:tcPr>
        <w:shd w:val="clear" w:color="FAF9F9" w:themeColor="accent6" w:themeTint="34" w:fill="FAF9F9" w:themeFill="accent6" w:themeFillTint="34"/>
      </w:tcPr>
    </w:tblStylePr>
    <w:tblStylePr w:type="band1Horz">
      <w:rPr>
        <w:rFonts w:ascii="Arial" w:hAnsi="Arial"/>
        <w:color w:val="4A4A4A" w:themeColor="accent5" w:themeShade="95"/>
        <w:sz w:val="22"/>
      </w:rPr>
      <w:tblPr/>
      <w:tcPr>
        <w:shd w:val="clear" w:color="FAF9F9" w:themeColor="accent6" w:themeTint="34" w:fill="FAF9F9" w:themeFill="accent6" w:themeFillTint="34"/>
      </w:tcPr>
    </w:tblStylePr>
    <w:tblStylePr w:type="band2Horz">
      <w:rPr>
        <w:rFonts w:ascii="Arial" w:hAnsi="Arial"/>
        <w:color w:val="4A4A4A" w:themeColor="accent5" w:themeShade="95"/>
        <w:sz w:val="22"/>
      </w:rPr>
    </w:tblStylePr>
  </w:style>
  <w:style w:type="table" w:customStyle="1" w:styleId="GridTable7Colorful-Accent11">
    <w:name w:val="Grid Table 7 Colorful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FFFF7F" w:themeColor="accent1" w:themeTint="80"/>
        <w:right w:val="single" w:sz="4" w:space="0" w:color="FFFF7F" w:themeColor="accent1" w:themeTint="80"/>
        <w:insideH w:val="single" w:sz="4" w:space="0" w:color="FFFF7F" w:themeColor="accent1" w:themeTint="80"/>
        <w:insideV w:val="single" w:sz="4" w:space="0" w:color="FFFF7F" w:themeColor="accent1" w:themeTint="80"/>
      </w:tblBorders>
    </w:tblPr>
    <w:tblStylePr w:type="firstRow">
      <w:rPr>
        <w:rFonts w:ascii="Arial" w:hAnsi="Arial"/>
        <w:b/>
        <w:color w:val="FFFF7F" w:themeColor="accent1" w:themeTint="80" w:themeShade="95"/>
        <w:sz w:val="22"/>
      </w:rPr>
      <w:tblPr/>
      <w:tcPr>
        <w:tcBorders>
          <w:top w:val="none" w:sz="4" w:space="0" w:color="000000"/>
          <w:left w:val="none" w:sz="4" w:space="0" w:color="000000"/>
          <w:bottom w:val="single" w:sz="4" w:space="0" w:color="FFFF7F" w:themeColor="accent1" w:themeTint="80"/>
          <w:right w:val="none" w:sz="4" w:space="0" w:color="000000"/>
        </w:tcBorders>
        <w:shd w:val="clear" w:color="FFFFFF" w:themeColor="light1" w:fill="FFFFFF" w:themeFill="light1"/>
      </w:tcPr>
    </w:tblStylePr>
    <w:tblStylePr w:type="lastRow">
      <w:rPr>
        <w:rFonts w:ascii="Arial" w:hAnsi="Arial"/>
        <w:b/>
        <w:color w:val="FFFF7F" w:themeColor="accent1" w:themeTint="80" w:themeShade="95"/>
        <w:sz w:val="22"/>
      </w:rPr>
      <w:tblPr/>
      <w:tcPr>
        <w:tcBorders>
          <w:top w:val="single" w:sz="4" w:space="0" w:color="FFFF7F"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FF7F" w:themeColor="accent1" w:themeTint="80" w:themeShade="95"/>
        <w:sz w:val="22"/>
      </w:rPr>
      <w:tblPr/>
      <w:tcPr>
        <w:tcBorders>
          <w:top w:val="none" w:sz="4" w:space="0" w:color="000000"/>
          <w:left w:val="none" w:sz="4" w:space="0" w:color="000000"/>
          <w:bottom w:val="none" w:sz="4" w:space="0" w:color="000000"/>
          <w:right w:val="single" w:sz="4" w:space="0" w:color="FFFF7F" w:themeColor="accent1" w:themeTint="80"/>
        </w:tcBorders>
        <w:shd w:val="clear" w:color="FFFFFF" w:fill="auto"/>
      </w:tcPr>
    </w:tblStylePr>
    <w:tblStylePr w:type="lastCol">
      <w:rPr>
        <w:rFonts w:ascii="Arial" w:hAnsi="Arial"/>
        <w:i/>
        <w:color w:val="FFFF7F" w:themeColor="accent1" w:themeTint="80" w:themeShade="95"/>
        <w:sz w:val="22"/>
      </w:rPr>
      <w:tblPr/>
      <w:tcPr>
        <w:tcBorders>
          <w:top w:val="none" w:sz="4" w:space="0" w:color="000000"/>
          <w:left w:val="single" w:sz="4" w:space="0" w:color="FFFF7F" w:themeColor="accent1" w:themeTint="80"/>
          <w:bottom w:val="none" w:sz="4" w:space="0" w:color="000000"/>
          <w:right w:val="none" w:sz="4" w:space="0" w:color="000000"/>
        </w:tcBorders>
        <w:shd w:val="clear" w:color="FFFFFF" w:fill="auto"/>
      </w:tcPr>
    </w:tblStylePr>
    <w:tblStylePr w:type="band1Vert">
      <w:tblPr/>
      <w:tcPr>
        <w:shd w:val="clear" w:color="FFFFCB" w:themeColor="accent1" w:themeTint="34" w:fill="FFFFCB" w:themeFill="accent1" w:themeFillTint="34"/>
      </w:tcPr>
    </w:tblStylePr>
    <w:tblStylePr w:type="band1Horz">
      <w:rPr>
        <w:rFonts w:ascii="Arial" w:hAnsi="Arial"/>
        <w:color w:val="FFFF7F" w:themeColor="accent1" w:themeTint="80" w:themeShade="95"/>
        <w:sz w:val="22"/>
      </w:rPr>
      <w:tblPr/>
      <w:tcPr>
        <w:shd w:val="clear" w:color="FFFFCB" w:themeColor="accent1" w:themeTint="34" w:fill="FFFFCB" w:themeFill="accent1" w:themeFillTint="34"/>
      </w:tcPr>
    </w:tblStylePr>
    <w:tblStylePr w:type="band2Horz">
      <w:rPr>
        <w:rFonts w:ascii="Arial" w:hAnsi="Arial"/>
        <w:color w:val="FFFF7F" w:themeColor="accent1" w:themeTint="80" w:themeShade="95"/>
        <w:sz w:val="22"/>
      </w:rPr>
    </w:tblStylePr>
  </w:style>
  <w:style w:type="table" w:customStyle="1" w:styleId="GridTable7Colorful-Accent21">
    <w:name w:val="Grid Table 7 Colorful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E3E1E1" w:themeColor="accent2" w:themeTint="97"/>
        <w:right w:val="single" w:sz="4" w:space="0" w:color="E3E1E1" w:themeColor="accent2" w:themeTint="97"/>
        <w:insideH w:val="single" w:sz="4" w:space="0" w:color="E3E1E1" w:themeColor="accent2" w:themeTint="97"/>
        <w:insideV w:val="single" w:sz="4" w:space="0" w:color="E3E1E1" w:themeColor="accent2" w:themeTint="97"/>
      </w:tblBorders>
    </w:tblPr>
    <w:tblStylePr w:type="firstRow">
      <w:rPr>
        <w:rFonts w:ascii="Arial" w:hAnsi="Arial"/>
        <w:b/>
        <w:color w:val="E3E1E1" w:themeColor="accent2" w:themeTint="97" w:themeShade="95"/>
        <w:sz w:val="22"/>
      </w:rPr>
      <w:tblPr/>
      <w:tcPr>
        <w:tcBorders>
          <w:top w:val="none" w:sz="4" w:space="0" w:color="000000"/>
          <w:left w:val="none" w:sz="4" w:space="0" w:color="000000"/>
          <w:bottom w:val="single" w:sz="4" w:space="0" w:color="E3E1E1" w:themeColor="accent2" w:themeTint="97"/>
          <w:right w:val="none" w:sz="4" w:space="0" w:color="000000"/>
        </w:tcBorders>
        <w:shd w:val="clear" w:color="FFFFFF" w:themeColor="light1" w:fill="FFFFFF" w:themeFill="light1"/>
      </w:tcPr>
    </w:tblStylePr>
    <w:tblStylePr w:type="lastRow">
      <w:rPr>
        <w:rFonts w:ascii="Arial" w:hAnsi="Arial"/>
        <w:b/>
        <w:color w:val="E3E1E1" w:themeColor="accent2" w:themeTint="97" w:themeShade="95"/>
        <w:sz w:val="22"/>
      </w:rPr>
      <w:tblPr/>
      <w:tcPr>
        <w:tcBorders>
          <w:top w:val="single" w:sz="4" w:space="0" w:color="E3E1E1"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E3E1E1" w:themeColor="accent2" w:themeTint="97" w:themeShade="95"/>
        <w:sz w:val="22"/>
      </w:rPr>
      <w:tblPr/>
      <w:tcPr>
        <w:tcBorders>
          <w:top w:val="none" w:sz="4" w:space="0" w:color="000000"/>
          <w:left w:val="none" w:sz="4" w:space="0" w:color="000000"/>
          <w:bottom w:val="none" w:sz="4" w:space="0" w:color="000000"/>
          <w:right w:val="single" w:sz="4" w:space="0" w:color="E3E1E1" w:themeColor="accent2" w:themeTint="97"/>
        </w:tcBorders>
        <w:shd w:val="clear" w:color="FFFFFF" w:fill="auto"/>
      </w:tcPr>
    </w:tblStylePr>
    <w:tblStylePr w:type="lastCol">
      <w:rPr>
        <w:rFonts w:ascii="Arial" w:hAnsi="Arial"/>
        <w:i/>
        <w:color w:val="E3E1E1" w:themeColor="accent2" w:themeTint="97" w:themeShade="95"/>
        <w:sz w:val="22"/>
      </w:rPr>
      <w:tblPr/>
      <w:tcPr>
        <w:tcBorders>
          <w:top w:val="none" w:sz="4" w:space="0" w:color="000000"/>
          <w:left w:val="single" w:sz="4" w:space="0" w:color="E3E1E1" w:themeColor="accent2" w:themeTint="97"/>
          <w:bottom w:val="none" w:sz="4" w:space="0" w:color="000000"/>
          <w:right w:val="none" w:sz="4" w:space="0" w:color="000000"/>
        </w:tcBorders>
        <w:shd w:val="clear" w:color="FFFFFF" w:fill="auto"/>
      </w:tcPr>
    </w:tblStylePr>
    <w:tblStylePr w:type="band1Vert">
      <w:tblPr/>
      <w:tcPr>
        <w:shd w:val="clear" w:color="F5F5F5" w:themeColor="accent2" w:themeTint="32" w:fill="F5F5F5" w:themeFill="accent2" w:themeFillTint="32"/>
      </w:tcPr>
    </w:tblStylePr>
    <w:tblStylePr w:type="band1Horz">
      <w:rPr>
        <w:rFonts w:ascii="Arial" w:hAnsi="Arial"/>
        <w:color w:val="E3E1E1" w:themeColor="accent2" w:themeTint="97" w:themeShade="95"/>
        <w:sz w:val="22"/>
      </w:rPr>
      <w:tblPr/>
      <w:tcPr>
        <w:shd w:val="clear" w:color="F5F5F5" w:themeColor="accent2" w:themeTint="32" w:fill="F5F5F5" w:themeFill="accent2" w:themeFillTint="32"/>
      </w:tcPr>
    </w:tblStylePr>
    <w:tblStylePr w:type="band2Horz">
      <w:rPr>
        <w:rFonts w:ascii="Arial" w:hAnsi="Arial"/>
        <w:color w:val="E3E1E1" w:themeColor="accent2" w:themeTint="97" w:themeShade="95"/>
        <w:sz w:val="22"/>
      </w:rPr>
    </w:tblStylePr>
  </w:style>
  <w:style w:type="table" w:customStyle="1" w:styleId="GridTable7Colorful-Accent31">
    <w:name w:val="Grid Table 7 Colorful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ABA8A8" w:themeColor="accent4" w:themeTint="9A"/>
        <w:right w:val="single" w:sz="4" w:space="0" w:color="ABA8A8" w:themeColor="accent4" w:themeTint="9A"/>
        <w:insideH w:val="single" w:sz="4" w:space="0" w:color="ABA8A8" w:themeColor="accent4" w:themeTint="9A"/>
        <w:insideV w:val="single" w:sz="4" w:space="0" w:color="ABA8A8" w:themeColor="accent4" w:themeTint="9A"/>
      </w:tblBorders>
    </w:tblPr>
    <w:tblStylePr w:type="firstRow">
      <w:rPr>
        <w:rFonts w:ascii="Arial" w:hAnsi="Arial"/>
        <w:b/>
        <w:color w:val="ABA8A8" w:themeColor="accent4" w:themeTint="9A" w:themeShade="95"/>
        <w:sz w:val="22"/>
      </w:rPr>
      <w:tblPr/>
      <w:tcPr>
        <w:tcBorders>
          <w:top w:val="none" w:sz="4" w:space="0" w:color="000000"/>
          <w:left w:val="none" w:sz="4" w:space="0" w:color="000000"/>
          <w:bottom w:val="single" w:sz="4" w:space="0" w:color="ABA8A8" w:themeColor="accent4" w:themeTint="9A"/>
          <w:right w:val="none" w:sz="4" w:space="0" w:color="000000"/>
        </w:tcBorders>
        <w:shd w:val="clear" w:color="FFFFFF" w:themeColor="light1" w:fill="FFFFFF" w:themeFill="light1"/>
      </w:tcPr>
    </w:tblStylePr>
    <w:tblStylePr w:type="lastRow">
      <w:rPr>
        <w:rFonts w:ascii="Arial" w:hAnsi="Arial"/>
        <w:b/>
        <w:color w:val="ABA8A8" w:themeColor="accent4" w:themeTint="9A" w:themeShade="95"/>
        <w:sz w:val="22"/>
      </w:rPr>
      <w:tblPr/>
      <w:tcPr>
        <w:tcBorders>
          <w:top w:val="single" w:sz="4" w:space="0" w:color="ABA8A8"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BA8A8" w:themeColor="accent4" w:themeTint="9A" w:themeShade="95"/>
        <w:sz w:val="22"/>
      </w:rPr>
      <w:tblPr/>
      <w:tcPr>
        <w:tcBorders>
          <w:top w:val="none" w:sz="4" w:space="0" w:color="000000"/>
          <w:left w:val="none" w:sz="4" w:space="0" w:color="000000"/>
          <w:bottom w:val="none" w:sz="4" w:space="0" w:color="000000"/>
          <w:right w:val="single" w:sz="4" w:space="0" w:color="ABA8A8" w:themeColor="accent4" w:themeTint="9A"/>
        </w:tcBorders>
        <w:shd w:val="clear" w:color="FFFFFF" w:fill="auto"/>
      </w:tcPr>
    </w:tblStylePr>
    <w:tblStylePr w:type="lastCol">
      <w:rPr>
        <w:rFonts w:ascii="Arial" w:hAnsi="Arial"/>
        <w:i/>
        <w:color w:val="ABA8A8" w:themeColor="accent4" w:themeTint="9A" w:themeShade="95"/>
        <w:sz w:val="22"/>
      </w:rPr>
      <w:tblPr/>
      <w:tcPr>
        <w:tcBorders>
          <w:top w:val="none" w:sz="4" w:space="0" w:color="000000"/>
          <w:left w:val="single" w:sz="4" w:space="0" w:color="ABA8A8" w:themeColor="accent4" w:themeTint="9A"/>
          <w:bottom w:val="none" w:sz="4" w:space="0" w:color="000000"/>
          <w:right w:val="none" w:sz="4" w:space="0" w:color="000000"/>
        </w:tcBorders>
        <w:shd w:val="clear" w:color="FFFFFF" w:fill="auto"/>
      </w:tcPr>
    </w:tblStylePr>
    <w:tblStylePr w:type="band1Vert">
      <w:tblPr/>
      <w:tcPr>
        <w:shd w:val="clear" w:color="E3E1E1" w:themeColor="accent4" w:themeTint="34" w:fill="E3E1E1" w:themeFill="accent4" w:themeFillTint="34"/>
      </w:tcPr>
    </w:tblStylePr>
    <w:tblStylePr w:type="band1Horz">
      <w:rPr>
        <w:rFonts w:ascii="Arial" w:hAnsi="Arial"/>
        <w:color w:val="ABA8A8" w:themeColor="accent4" w:themeTint="9A" w:themeShade="95"/>
        <w:sz w:val="22"/>
      </w:rPr>
      <w:tblPr/>
      <w:tcPr>
        <w:shd w:val="clear" w:color="E3E1E1" w:themeColor="accent4" w:themeTint="34" w:fill="E3E1E1" w:themeFill="accent4" w:themeFillTint="34"/>
      </w:tcPr>
    </w:tblStylePr>
    <w:tblStylePr w:type="band2Horz">
      <w:rPr>
        <w:rFonts w:ascii="Arial" w:hAnsi="Arial"/>
        <w:color w:val="ABA8A8" w:themeColor="accent4" w:themeTint="9A" w:themeShade="95"/>
        <w:sz w:val="22"/>
      </w:rPr>
    </w:tblStylePr>
  </w:style>
  <w:style w:type="table" w:customStyle="1" w:styleId="GridTable7Colorful-Accent51">
    <w:name w:val="Grid Table 7 Colorful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B6B6B6" w:themeColor="accent5" w:themeTint="90"/>
        <w:right w:val="single" w:sz="4" w:space="0" w:color="B6B6B6" w:themeColor="accent5" w:themeTint="90"/>
        <w:insideH w:val="single" w:sz="4" w:space="0" w:color="B6B6B6" w:themeColor="accent5" w:themeTint="90"/>
        <w:insideV w:val="single" w:sz="4" w:space="0" w:color="B6B6B6" w:themeColor="accent5" w:themeTint="90"/>
      </w:tblBorders>
    </w:tblPr>
    <w:tblStylePr w:type="firstRow">
      <w:rPr>
        <w:rFonts w:ascii="Arial" w:hAnsi="Arial"/>
        <w:b/>
        <w:color w:val="4A4A4A" w:themeColor="accent5" w:themeShade="95"/>
        <w:sz w:val="22"/>
      </w:rPr>
      <w:tblPr/>
      <w:tcPr>
        <w:tcBorders>
          <w:top w:val="none" w:sz="4" w:space="0" w:color="000000"/>
          <w:left w:val="none" w:sz="4" w:space="0" w:color="000000"/>
          <w:bottom w:val="single" w:sz="4" w:space="0" w:color="B6B6B6" w:themeColor="accent5" w:themeTint="90"/>
          <w:right w:val="none" w:sz="4" w:space="0" w:color="000000"/>
        </w:tcBorders>
        <w:shd w:val="clear" w:color="FFFFFF" w:themeColor="light1" w:fill="FFFFFF" w:themeFill="light1"/>
      </w:tcPr>
    </w:tblStylePr>
    <w:tblStylePr w:type="lastRow">
      <w:rPr>
        <w:rFonts w:ascii="Arial" w:hAnsi="Arial"/>
        <w:b/>
        <w:color w:val="4A4A4A" w:themeColor="accent5" w:themeShade="95"/>
        <w:sz w:val="22"/>
      </w:rPr>
      <w:tblPr/>
      <w:tcPr>
        <w:tcBorders>
          <w:top w:val="single" w:sz="4" w:space="0" w:color="B6B6B6"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A4A4A" w:themeColor="accent5" w:themeShade="95"/>
        <w:sz w:val="22"/>
      </w:rPr>
      <w:tblPr/>
      <w:tcPr>
        <w:tcBorders>
          <w:top w:val="none" w:sz="4" w:space="0" w:color="000000"/>
          <w:left w:val="none" w:sz="4" w:space="0" w:color="000000"/>
          <w:bottom w:val="none" w:sz="4" w:space="0" w:color="000000"/>
          <w:right w:val="single" w:sz="4" w:space="0" w:color="B6B6B6" w:themeColor="accent5" w:themeTint="90"/>
        </w:tcBorders>
        <w:shd w:val="clear" w:color="FFFFFF" w:fill="auto"/>
      </w:tcPr>
    </w:tblStylePr>
    <w:tblStylePr w:type="lastCol">
      <w:rPr>
        <w:rFonts w:ascii="Arial" w:hAnsi="Arial"/>
        <w:i/>
        <w:color w:val="4A4A4A" w:themeColor="accent5" w:themeShade="95"/>
        <w:sz w:val="22"/>
      </w:rPr>
      <w:tblPr/>
      <w:tcPr>
        <w:tcBorders>
          <w:top w:val="none" w:sz="4" w:space="0" w:color="000000"/>
          <w:left w:val="single" w:sz="4" w:space="0" w:color="B6B6B6" w:themeColor="accent5" w:themeTint="90"/>
          <w:bottom w:val="none" w:sz="4" w:space="0" w:color="000000"/>
          <w:right w:val="none" w:sz="4" w:space="0" w:color="000000"/>
        </w:tcBorders>
        <w:shd w:val="clear" w:color="FFFFFF" w:fill="auto"/>
      </w:tcPr>
    </w:tblStylePr>
    <w:tblStylePr w:type="band1Vert">
      <w:tblPr/>
      <w:tcPr>
        <w:shd w:val="clear" w:color="E4E4E4" w:themeColor="accent5" w:themeTint="34" w:fill="E4E4E4" w:themeFill="accent5" w:themeFillTint="34"/>
      </w:tcPr>
    </w:tblStylePr>
    <w:tblStylePr w:type="band1Horz">
      <w:rPr>
        <w:rFonts w:ascii="Arial" w:hAnsi="Arial"/>
        <w:color w:val="4A4A4A" w:themeColor="accent5" w:themeShade="95"/>
        <w:sz w:val="22"/>
      </w:rPr>
      <w:tblPr/>
      <w:tcPr>
        <w:shd w:val="clear" w:color="E4E4E4" w:themeColor="accent5" w:themeTint="34" w:fill="E4E4E4" w:themeFill="accent5" w:themeFillTint="34"/>
      </w:tcPr>
    </w:tblStylePr>
    <w:tblStylePr w:type="band2Horz">
      <w:rPr>
        <w:rFonts w:ascii="Arial" w:hAnsi="Arial"/>
        <w:color w:val="4A4A4A" w:themeColor="accent5" w:themeShade="95"/>
        <w:sz w:val="22"/>
      </w:rPr>
    </w:tblStylePr>
  </w:style>
  <w:style w:type="table" w:customStyle="1" w:styleId="GridTable7Colorful-Accent61">
    <w:name w:val="Grid Table 7 Colorful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F1F0F0" w:themeColor="accent6" w:themeTint="90"/>
        <w:right w:val="single" w:sz="4" w:space="0" w:color="F1F0F0" w:themeColor="accent6" w:themeTint="90"/>
        <w:insideH w:val="single" w:sz="4" w:space="0" w:color="F1F0F0" w:themeColor="accent6" w:themeTint="90"/>
        <w:insideV w:val="single" w:sz="4" w:space="0" w:color="F1F0F0" w:themeColor="accent6" w:themeTint="90"/>
      </w:tblBorders>
    </w:tblPr>
    <w:tblStylePr w:type="firstRow">
      <w:rPr>
        <w:rFonts w:ascii="Arial" w:hAnsi="Arial"/>
        <w:b/>
        <w:color w:val="898484" w:themeColor="accent6" w:themeShade="95"/>
        <w:sz w:val="22"/>
      </w:rPr>
      <w:tblPr/>
      <w:tcPr>
        <w:tcBorders>
          <w:top w:val="none" w:sz="4" w:space="0" w:color="000000"/>
          <w:left w:val="none" w:sz="4" w:space="0" w:color="000000"/>
          <w:bottom w:val="single" w:sz="4" w:space="0" w:color="F1F0F0" w:themeColor="accent6" w:themeTint="90"/>
          <w:right w:val="none" w:sz="4" w:space="0" w:color="000000"/>
        </w:tcBorders>
        <w:shd w:val="clear" w:color="FFFFFF" w:themeColor="light1" w:fill="FFFFFF" w:themeFill="light1"/>
      </w:tcPr>
    </w:tblStylePr>
    <w:tblStylePr w:type="lastRow">
      <w:rPr>
        <w:rFonts w:ascii="Arial" w:hAnsi="Arial"/>
        <w:b/>
        <w:color w:val="898484" w:themeColor="accent6" w:themeShade="95"/>
        <w:sz w:val="22"/>
      </w:rPr>
      <w:tblPr/>
      <w:tcPr>
        <w:tcBorders>
          <w:top w:val="single" w:sz="4" w:space="0" w:color="F1F0F0"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98484" w:themeColor="accent6" w:themeShade="95"/>
        <w:sz w:val="22"/>
      </w:rPr>
      <w:tblPr/>
      <w:tcPr>
        <w:tcBorders>
          <w:top w:val="none" w:sz="4" w:space="0" w:color="000000"/>
          <w:left w:val="none" w:sz="4" w:space="0" w:color="000000"/>
          <w:bottom w:val="none" w:sz="4" w:space="0" w:color="000000"/>
          <w:right w:val="single" w:sz="4" w:space="0" w:color="F1F0F0" w:themeColor="accent6" w:themeTint="90"/>
        </w:tcBorders>
        <w:shd w:val="clear" w:color="FFFFFF" w:fill="auto"/>
      </w:tcPr>
    </w:tblStylePr>
    <w:tblStylePr w:type="lastCol">
      <w:rPr>
        <w:rFonts w:ascii="Arial" w:hAnsi="Arial"/>
        <w:i/>
        <w:color w:val="898484" w:themeColor="accent6" w:themeShade="95"/>
        <w:sz w:val="22"/>
      </w:rPr>
      <w:tblPr/>
      <w:tcPr>
        <w:tcBorders>
          <w:top w:val="none" w:sz="4" w:space="0" w:color="000000"/>
          <w:left w:val="single" w:sz="4" w:space="0" w:color="F1F0F0" w:themeColor="accent6" w:themeTint="90"/>
          <w:bottom w:val="none" w:sz="4" w:space="0" w:color="000000"/>
          <w:right w:val="none" w:sz="4" w:space="0" w:color="000000"/>
        </w:tcBorders>
        <w:shd w:val="clear" w:color="FFFFFF" w:fill="auto"/>
      </w:tcPr>
    </w:tblStylePr>
    <w:tblStylePr w:type="band1Vert">
      <w:tblPr/>
      <w:tcPr>
        <w:shd w:val="clear" w:color="FAF9F9" w:themeColor="accent6" w:themeTint="34" w:fill="FAF9F9" w:themeFill="accent6" w:themeFillTint="34"/>
      </w:tcPr>
    </w:tblStylePr>
    <w:tblStylePr w:type="band1Horz">
      <w:rPr>
        <w:rFonts w:ascii="Arial" w:hAnsi="Arial"/>
        <w:color w:val="898484" w:themeColor="accent6" w:themeShade="95"/>
        <w:sz w:val="22"/>
      </w:rPr>
      <w:tblPr/>
      <w:tcPr>
        <w:shd w:val="clear" w:color="FAF9F9" w:themeColor="accent6" w:themeTint="34" w:fill="FAF9F9" w:themeFill="accent6" w:themeFillTint="34"/>
      </w:tcPr>
    </w:tblStylePr>
    <w:tblStylePr w:type="band2Horz">
      <w:rPr>
        <w:rFonts w:ascii="Arial" w:hAnsi="Arial"/>
        <w:color w:val="898484" w:themeColor="accent6" w:themeShade="95"/>
        <w:sz w:val="22"/>
      </w:rPr>
    </w:tblStylePr>
  </w:style>
  <w:style w:type="table" w:customStyle="1" w:styleId="ListTable6Colorful-Accent11">
    <w:name w:val="List Table 6 Colorful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00" w:themeColor="accent1"/>
        <w:bottom w:val="single" w:sz="4" w:space="0" w:color="FFFF00" w:themeColor="accent1"/>
      </w:tblBorders>
    </w:tblPr>
    <w:tblStylePr w:type="firstRow">
      <w:rPr>
        <w:b/>
        <w:color w:val="959500" w:themeColor="accent1" w:themeShade="95"/>
      </w:rPr>
      <w:tblPr/>
      <w:tcPr>
        <w:tcBorders>
          <w:bottom w:val="single" w:sz="4" w:space="0" w:color="FFFF00" w:themeColor="accent1"/>
        </w:tcBorders>
      </w:tcPr>
    </w:tblStylePr>
    <w:tblStylePr w:type="lastRow">
      <w:rPr>
        <w:b/>
        <w:color w:val="959500" w:themeColor="accent1" w:themeShade="95"/>
      </w:rPr>
      <w:tblPr/>
      <w:tcPr>
        <w:tcBorders>
          <w:top w:val="single" w:sz="4" w:space="0" w:color="FFFF00" w:themeColor="accent1"/>
        </w:tcBorders>
      </w:tcPr>
    </w:tblStylePr>
    <w:tblStylePr w:type="firstCol">
      <w:rPr>
        <w:b/>
        <w:color w:val="959500" w:themeColor="accent1" w:themeShade="95"/>
      </w:rPr>
    </w:tblStylePr>
    <w:tblStylePr w:type="lastCol">
      <w:rPr>
        <w:b/>
        <w:color w:val="959500" w:themeColor="accent1" w:themeShade="95"/>
      </w:rPr>
    </w:tblStylePr>
    <w:tblStylePr w:type="band1Vert">
      <w:tblPr/>
      <w:tcPr>
        <w:shd w:val="clear" w:color="FFFFBF" w:themeColor="accent1" w:themeTint="40" w:fill="FFFFBF" w:themeFill="accent1" w:themeFillTint="40"/>
      </w:tcPr>
    </w:tblStylePr>
    <w:tblStylePr w:type="band1Horz">
      <w:rPr>
        <w:rFonts w:ascii="Arial" w:hAnsi="Arial"/>
        <w:color w:val="959500" w:themeColor="accent1" w:themeShade="95"/>
        <w:sz w:val="22"/>
      </w:rPr>
      <w:tblPr/>
      <w:tcPr>
        <w:shd w:val="clear" w:color="FFFFBF" w:themeColor="accent1" w:themeTint="40" w:fill="FFFFBF" w:themeFill="accent1" w:themeFillTint="40"/>
      </w:tcPr>
    </w:tblStylePr>
    <w:tblStylePr w:type="band2Horz">
      <w:rPr>
        <w:rFonts w:ascii="Arial" w:hAnsi="Arial"/>
        <w:color w:val="959500" w:themeColor="accent1" w:themeShade="95"/>
        <w:sz w:val="22"/>
      </w:rPr>
    </w:tblStylePr>
  </w:style>
  <w:style w:type="table" w:customStyle="1" w:styleId="ListTable6Colorful-Accent21">
    <w:name w:val="List Table 6 Colorful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3E1E1" w:themeColor="accent2" w:themeTint="97"/>
        <w:bottom w:val="single" w:sz="4" w:space="0" w:color="E3E1E1" w:themeColor="accent2" w:themeTint="97"/>
      </w:tblBorders>
    </w:tblPr>
    <w:tblStylePr w:type="firstRow">
      <w:rPr>
        <w:b/>
        <w:color w:val="E3E1E1" w:themeColor="accent2" w:themeTint="97" w:themeShade="95"/>
      </w:rPr>
      <w:tblPr/>
      <w:tcPr>
        <w:tcBorders>
          <w:bottom w:val="single" w:sz="4" w:space="0" w:color="E3E1E1" w:themeColor="accent2" w:themeTint="97"/>
        </w:tcBorders>
      </w:tcPr>
    </w:tblStylePr>
    <w:tblStylePr w:type="lastRow">
      <w:rPr>
        <w:b/>
        <w:color w:val="E3E1E1" w:themeColor="accent2" w:themeTint="97" w:themeShade="95"/>
      </w:rPr>
      <w:tblPr/>
      <w:tcPr>
        <w:tcBorders>
          <w:top w:val="single" w:sz="4" w:space="0" w:color="E3E1E1" w:themeColor="accent2" w:themeTint="97"/>
        </w:tcBorders>
      </w:tcPr>
    </w:tblStylePr>
    <w:tblStylePr w:type="firstCol">
      <w:rPr>
        <w:b/>
        <w:color w:val="E3E1E1" w:themeColor="accent2" w:themeTint="97" w:themeShade="95"/>
      </w:rPr>
    </w:tblStylePr>
    <w:tblStylePr w:type="lastCol">
      <w:rPr>
        <w:b/>
        <w:color w:val="E3E1E1" w:themeColor="accent2" w:themeTint="97" w:themeShade="95"/>
      </w:rPr>
    </w:tblStylePr>
    <w:tblStylePr w:type="band1Vert">
      <w:tblPr/>
      <w:tcPr>
        <w:shd w:val="clear" w:color="F3F2F2" w:themeColor="accent2" w:themeTint="40" w:fill="F3F2F2" w:themeFill="accent2" w:themeFillTint="40"/>
      </w:tcPr>
    </w:tblStylePr>
    <w:tblStylePr w:type="band1Horz">
      <w:rPr>
        <w:rFonts w:ascii="Arial" w:hAnsi="Arial"/>
        <w:color w:val="E3E1E1" w:themeColor="accent2" w:themeTint="97" w:themeShade="95"/>
        <w:sz w:val="22"/>
      </w:rPr>
      <w:tblPr/>
      <w:tcPr>
        <w:shd w:val="clear" w:color="F3F2F2" w:themeColor="accent2" w:themeTint="40" w:fill="F3F2F2" w:themeFill="accent2" w:themeFillTint="40"/>
      </w:tcPr>
    </w:tblStylePr>
    <w:tblStylePr w:type="band2Horz">
      <w:rPr>
        <w:rFonts w:ascii="Arial" w:hAnsi="Arial"/>
        <w:color w:val="E3E1E1" w:themeColor="accent2" w:themeTint="97" w:themeShade="95"/>
        <w:sz w:val="22"/>
      </w:rPr>
    </w:tblStylePr>
  </w:style>
  <w:style w:type="table" w:customStyle="1" w:styleId="ListTable6Colorful-Accent31">
    <w:name w:val="List Table 6 Colorful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ABA8A8" w:themeColor="accent4" w:themeTint="9A"/>
        <w:bottom w:val="single" w:sz="4" w:space="0" w:color="ABA8A8" w:themeColor="accent4" w:themeTint="9A"/>
      </w:tblBorders>
    </w:tblPr>
    <w:tblStylePr w:type="firstRow">
      <w:rPr>
        <w:b/>
        <w:color w:val="ABA8A8" w:themeColor="accent4" w:themeTint="9A" w:themeShade="95"/>
      </w:rPr>
      <w:tblPr/>
      <w:tcPr>
        <w:tcBorders>
          <w:bottom w:val="single" w:sz="4" w:space="0" w:color="ABA8A8" w:themeColor="accent4" w:themeTint="9A"/>
        </w:tcBorders>
      </w:tcPr>
    </w:tblStylePr>
    <w:tblStylePr w:type="lastRow">
      <w:rPr>
        <w:b/>
        <w:color w:val="ABA8A8" w:themeColor="accent4" w:themeTint="9A" w:themeShade="95"/>
      </w:rPr>
      <w:tblPr/>
      <w:tcPr>
        <w:tcBorders>
          <w:top w:val="single" w:sz="4" w:space="0" w:color="ABA8A8" w:themeColor="accent4" w:themeTint="9A"/>
        </w:tcBorders>
      </w:tcPr>
    </w:tblStylePr>
    <w:tblStylePr w:type="firstCol">
      <w:rPr>
        <w:b/>
        <w:color w:val="ABA8A8" w:themeColor="accent4" w:themeTint="9A" w:themeShade="95"/>
      </w:rPr>
    </w:tblStylePr>
    <w:tblStylePr w:type="lastCol">
      <w:rPr>
        <w:b/>
        <w:color w:val="ABA8A8" w:themeColor="accent4" w:themeTint="9A" w:themeShade="95"/>
      </w:rPr>
    </w:tblStylePr>
    <w:tblStylePr w:type="band1Vert">
      <w:tblPr/>
      <w:tcPr>
        <w:shd w:val="clear" w:color="DCDADA" w:themeColor="accent4" w:themeTint="40" w:fill="DCDADA" w:themeFill="accent4" w:themeFillTint="40"/>
      </w:tcPr>
    </w:tblStylePr>
    <w:tblStylePr w:type="band1Horz">
      <w:rPr>
        <w:rFonts w:ascii="Arial" w:hAnsi="Arial"/>
        <w:color w:val="ABA8A8" w:themeColor="accent4" w:themeTint="9A" w:themeShade="95"/>
        <w:sz w:val="22"/>
      </w:rPr>
      <w:tblPr/>
      <w:tcPr>
        <w:shd w:val="clear" w:color="DCDADA" w:themeColor="accent4" w:themeTint="40" w:fill="DCDADA" w:themeFill="accent4" w:themeFillTint="40"/>
      </w:tcPr>
    </w:tblStylePr>
    <w:tblStylePr w:type="band2Horz">
      <w:rPr>
        <w:rFonts w:ascii="Arial" w:hAnsi="Arial"/>
        <w:color w:val="ABA8A8" w:themeColor="accent4" w:themeTint="9A" w:themeShade="95"/>
        <w:sz w:val="22"/>
      </w:rPr>
    </w:tblStylePr>
  </w:style>
  <w:style w:type="table" w:customStyle="1" w:styleId="ListTable6Colorful-Accent51">
    <w:name w:val="List Table 6 Colorful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B1B1B1" w:themeColor="accent5" w:themeTint="9A"/>
        <w:bottom w:val="single" w:sz="4" w:space="0" w:color="B1B1B1" w:themeColor="accent5" w:themeTint="9A"/>
      </w:tblBorders>
    </w:tblPr>
    <w:tblStylePr w:type="firstRow">
      <w:rPr>
        <w:b/>
        <w:color w:val="B1B1B1" w:themeColor="accent5" w:themeTint="9A" w:themeShade="95"/>
      </w:rPr>
      <w:tblPr/>
      <w:tcPr>
        <w:tcBorders>
          <w:bottom w:val="single" w:sz="4" w:space="0" w:color="B1B1B1" w:themeColor="accent5" w:themeTint="9A"/>
        </w:tcBorders>
      </w:tcPr>
    </w:tblStylePr>
    <w:tblStylePr w:type="lastRow">
      <w:rPr>
        <w:b/>
        <w:color w:val="B1B1B1" w:themeColor="accent5" w:themeTint="9A" w:themeShade="95"/>
      </w:rPr>
      <w:tblPr/>
      <w:tcPr>
        <w:tcBorders>
          <w:top w:val="single" w:sz="4" w:space="0" w:color="B1B1B1" w:themeColor="accent5" w:themeTint="9A"/>
        </w:tcBorders>
      </w:tcPr>
    </w:tblStylePr>
    <w:tblStylePr w:type="firstCol">
      <w:rPr>
        <w:b/>
        <w:color w:val="B1B1B1" w:themeColor="accent5" w:themeTint="9A" w:themeShade="95"/>
      </w:rPr>
    </w:tblStylePr>
    <w:tblStylePr w:type="lastCol">
      <w:rPr>
        <w:b/>
        <w:color w:val="B1B1B1" w:themeColor="accent5" w:themeTint="9A" w:themeShade="95"/>
      </w:rPr>
    </w:tblStylePr>
    <w:tblStylePr w:type="band1Vert">
      <w:tblPr/>
      <w:tcPr>
        <w:shd w:val="clear" w:color="DEDEDE" w:themeColor="accent5" w:themeTint="40" w:fill="DEDEDE" w:themeFill="accent5" w:themeFillTint="40"/>
      </w:tcPr>
    </w:tblStylePr>
    <w:tblStylePr w:type="band1Horz">
      <w:rPr>
        <w:rFonts w:ascii="Arial" w:hAnsi="Arial"/>
        <w:color w:val="B1B1B1" w:themeColor="accent5" w:themeTint="9A" w:themeShade="95"/>
        <w:sz w:val="22"/>
      </w:rPr>
      <w:tblPr/>
      <w:tcPr>
        <w:shd w:val="clear" w:color="DEDEDE" w:themeColor="accent5" w:themeTint="40" w:fill="DEDEDE" w:themeFill="accent5" w:themeFillTint="40"/>
      </w:tcPr>
    </w:tblStylePr>
    <w:tblStylePr w:type="band2Horz">
      <w:rPr>
        <w:rFonts w:ascii="Arial" w:hAnsi="Arial"/>
        <w:color w:val="B1B1B1" w:themeColor="accent5" w:themeTint="9A" w:themeShade="95"/>
        <w:sz w:val="22"/>
      </w:rPr>
    </w:tblStylePr>
  </w:style>
  <w:style w:type="table" w:customStyle="1" w:styleId="ListTable6Colorful-Accent61">
    <w:name w:val="List Table 6 Colorful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0F0F0" w:themeColor="accent6" w:themeTint="98"/>
        <w:bottom w:val="single" w:sz="4" w:space="0" w:color="F0F0F0" w:themeColor="accent6" w:themeTint="98"/>
      </w:tblBorders>
    </w:tblPr>
    <w:tblStylePr w:type="firstRow">
      <w:rPr>
        <w:b/>
        <w:color w:val="F0F0F0" w:themeColor="accent6" w:themeTint="98" w:themeShade="95"/>
      </w:rPr>
      <w:tblPr/>
      <w:tcPr>
        <w:tcBorders>
          <w:bottom w:val="single" w:sz="4" w:space="0" w:color="F0F0F0" w:themeColor="accent6" w:themeTint="98"/>
        </w:tcBorders>
      </w:tcPr>
    </w:tblStylePr>
    <w:tblStylePr w:type="lastRow">
      <w:rPr>
        <w:b/>
        <w:color w:val="F0F0F0" w:themeColor="accent6" w:themeTint="98" w:themeShade="95"/>
      </w:rPr>
      <w:tblPr/>
      <w:tcPr>
        <w:tcBorders>
          <w:top w:val="single" w:sz="4" w:space="0" w:color="F0F0F0" w:themeColor="accent6" w:themeTint="98"/>
        </w:tcBorders>
      </w:tcPr>
    </w:tblStylePr>
    <w:tblStylePr w:type="firstCol">
      <w:rPr>
        <w:b/>
        <w:color w:val="F0F0F0" w:themeColor="accent6" w:themeTint="98" w:themeShade="95"/>
      </w:rPr>
    </w:tblStylePr>
    <w:tblStylePr w:type="lastCol">
      <w:rPr>
        <w:b/>
        <w:color w:val="F0F0F0" w:themeColor="accent6" w:themeTint="98" w:themeShade="95"/>
      </w:rPr>
    </w:tblStylePr>
    <w:tblStylePr w:type="band1Vert">
      <w:tblPr/>
      <w:tcPr>
        <w:shd w:val="clear" w:color="F9F8F8" w:themeColor="accent6" w:themeTint="40" w:fill="F9F8F8" w:themeFill="accent6" w:themeFillTint="40"/>
      </w:tcPr>
    </w:tblStylePr>
    <w:tblStylePr w:type="band1Horz">
      <w:rPr>
        <w:rFonts w:ascii="Arial" w:hAnsi="Arial"/>
        <w:color w:val="F0F0F0" w:themeColor="accent6" w:themeTint="98" w:themeShade="95"/>
        <w:sz w:val="22"/>
      </w:rPr>
      <w:tblPr/>
      <w:tcPr>
        <w:shd w:val="clear" w:color="F9F8F8" w:themeColor="accent6" w:themeTint="40" w:fill="F9F8F8" w:themeFill="accent6" w:themeFillTint="40"/>
      </w:tcPr>
    </w:tblStylePr>
    <w:tblStylePr w:type="band2Horz">
      <w:rPr>
        <w:rFonts w:ascii="Arial" w:hAnsi="Arial"/>
        <w:color w:val="F0F0F0" w:themeColor="accent6" w:themeTint="98" w:themeShade="95"/>
        <w:sz w:val="22"/>
      </w:rPr>
    </w:tblStylePr>
  </w:style>
  <w:style w:type="table" w:customStyle="1" w:styleId="ListTable7Colorful-Accent11">
    <w:name w:val="List Table 7 Colorful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FFFF00" w:themeColor="accent1"/>
      </w:tblBorders>
    </w:tblPr>
    <w:tblStylePr w:type="firstRow">
      <w:rPr>
        <w:rFonts w:ascii="Arial" w:hAnsi="Arial"/>
        <w:i/>
        <w:color w:val="959500" w:themeColor="accent1" w:themeShade="95"/>
        <w:sz w:val="22"/>
      </w:rPr>
      <w:tblPr/>
      <w:tcPr>
        <w:tcBorders>
          <w:top w:val="none" w:sz="4" w:space="0" w:color="000000"/>
          <w:left w:val="none" w:sz="4" w:space="0" w:color="000000"/>
          <w:bottom w:val="single" w:sz="4" w:space="0" w:color="FFFF00" w:themeColor="accent1"/>
          <w:right w:val="none" w:sz="4" w:space="0" w:color="000000"/>
        </w:tcBorders>
        <w:shd w:val="clear" w:color="FFFFFF" w:themeColor="light1" w:fill="FFFFFF" w:themeFill="light1"/>
      </w:tcPr>
    </w:tblStylePr>
    <w:tblStylePr w:type="lastRow">
      <w:rPr>
        <w:rFonts w:ascii="Arial" w:hAnsi="Arial"/>
        <w:i/>
        <w:color w:val="959500" w:themeColor="accent1" w:themeShade="95"/>
        <w:sz w:val="22"/>
      </w:rPr>
      <w:tblPr/>
      <w:tcPr>
        <w:tcBorders>
          <w:top w:val="single" w:sz="4" w:space="0" w:color="FFFF00"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59500" w:themeColor="accent1" w:themeShade="95"/>
        <w:sz w:val="22"/>
      </w:rPr>
      <w:tblPr/>
      <w:tcPr>
        <w:tcBorders>
          <w:top w:val="none" w:sz="4" w:space="0" w:color="000000"/>
          <w:left w:val="none" w:sz="4" w:space="0" w:color="000000"/>
          <w:bottom w:val="none" w:sz="4" w:space="0" w:color="000000"/>
          <w:right w:val="single" w:sz="4" w:space="0" w:color="FFFF00" w:themeColor="accent1"/>
        </w:tcBorders>
        <w:shd w:val="clear" w:color="FFFFFF" w:fill="auto"/>
      </w:tcPr>
    </w:tblStylePr>
    <w:tblStylePr w:type="lastCol">
      <w:rPr>
        <w:rFonts w:ascii="Arial" w:hAnsi="Arial"/>
        <w:i/>
        <w:color w:val="959500" w:themeColor="accent1" w:themeShade="95"/>
        <w:sz w:val="22"/>
      </w:rPr>
      <w:tblPr/>
      <w:tcPr>
        <w:tcBorders>
          <w:top w:val="none" w:sz="4" w:space="0" w:color="000000"/>
          <w:left w:val="single" w:sz="4" w:space="0" w:color="FFFF00" w:themeColor="accent1"/>
          <w:bottom w:val="none" w:sz="4" w:space="0" w:color="000000"/>
          <w:right w:val="none" w:sz="4" w:space="0" w:color="000000"/>
        </w:tcBorders>
        <w:shd w:val="clear" w:color="FFFFFF" w:fill="auto"/>
      </w:tcPr>
    </w:tblStylePr>
    <w:tblStylePr w:type="band1Vert">
      <w:tblPr/>
      <w:tcPr>
        <w:shd w:val="clear" w:color="FFFFBF" w:themeColor="accent1" w:themeTint="40" w:fill="FFFFBF" w:themeFill="accent1" w:themeFillTint="40"/>
      </w:tcPr>
    </w:tblStylePr>
    <w:tblStylePr w:type="band1Horz">
      <w:rPr>
        <w:rFonts w:ascii="Arial" w:hAnsi="Arial"/>
        <w:color w:val="959500" w:themeColor="accent1" w:themeShade="95"/>
        <w:sz w:val="22"/>
      </w:rPr>
      <w:tblPr/>
      <w:tcPr>
        <w:shd w:val="clear" w:color="FFFFBF" w:themeColor="accent1" w:themeTint="40" w:fill="FFFFBF" w:themeFill="accent1" w:themeFillTint="40"/>
      </w:tcPr>
    </w:tblStylePr>
    <w:tblStylePr w:type="band2Horz">
      <w:rPr>
        <w:rFonts w:ascii="Arial" w:hAnsi="Arial"/>
        <w:color w:val="959500" w:themeColor="accent1" w:themeShade="95"/>
        <w:sz w:val="22"/>
      </w:rPr>
    </w:tblStylePr>
  </w:style>
  <w:style w:type="table" w:customStyle="1" w:styleId="ListTable7Colorful-Accent21">
    <w:name w:val="List Table 7 Colorful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E3E1E1" w:themeColor="accent2" w:themeTint="97"/>
      </w:tblBorders>
    </w:tblPr>
    <w:tblStylePr w:type="firstRow">
      <w:rPr>
        <w:rFonts w:ascii="Arial" w:hAnsi="Arial"/>
        <w:i/>
        <w:color w:val="E3E1E1" w:themeColor="accent2" w:themeTint="97" w:themeShade="95"/>
        <w:sz w:val="22"/>
      </w:rPr>
      <w:tblPr/>
      <w:tcPr>
        <w:tcBorders>
          <w:top w:val="none" w:sz="4" w:space="0" w:color="000000"/>
          <w:left w:val="none" w:sz="4" w:space="0" w:color="000000"/>
          <w:bottom w:val="single" w:sz="4" w:space="0" w:color="E3E1E1" w:themeColor="accent2" w:themeTint="97"/>
          <w:right w:val="none" w:sz="4" w:space="0" w:color="000000"/>
        </w:tcBorders>
        <w:shd w:val="clear" w:color="FFFFFF" w:themeColor="light1" w:fill="FFFFFF" w:themeFill="light1"/>
      </w:tcPr>
    </w:tblStylePr>
    <w:tblStylePr w:type="lastRow">
      <w:rPr>
        <w:rFonts w:ascii="Arial" w:hAnsi="Arial"/>
        <w:i/>
        <w:color w:val="E3E1E1" w:themeColor="accent2" w:themeTint="97" w:themeShade="95"/>
        <w:sz w:val="22"/>
      </w:rPr>
      <w:tblPr/>
      <w:tcPr>
        <w:tcBorders>
          <w:top w:val="single" w:sz="4" w:space="0" w:color="E3E1E1"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E3E1E1" w:themeColor="accent2" w:themeTint="97" w:themeShade="95"/>
        <w:sz w:val="22"/>
      </w:rPr>
      <w:tblPr/>
      <w:tcPr>
        <w:tcBorders>
          <w:top w:val="none" w:sz="4" w:space="0" w:color="000000"/>
          <w:left w:val="none" w:sz="4" w:space="0" w:color="000000"/>
          <w:bottom w:val="none" w:sz="4" w:space="0" w:color="000000"/>
          <w:right w:val="single" w:sz="4" w:space="0" w:color="E3E1E1" w:themeColor="accent2" w:themeTint="97"/>
        </w:tcBorders>
        <w:shd w:val="clear" w:color="FFFFFF" w:fill="auto"/>
      </w:tcPr>
    </w:tblStylePr>
    <w:tblStylePr w:type="lastCol">
      <w:rPr>
        <w:rFonts w:ascii="Arial" w:hAnsi="Arial"/>
        <w:i/>
        <w:color w:val="E3E1E1" w:themeColor="accent2" w:themeTint="97" w:themeShade="95"/>
        <w:sz w:val="22"/>
      </w:rPr>
      <w:tblPr/>
      <w:tcPr>
        <w:tcBorders>
          <w:top w:val="none" w:sz="4" w:space="0" w:color="000000"/>
          <w:left w:val="single" w:sz="4" w:space="0" w:color="E3E1E1" w:themeColor="accent2" w:themeTint="97"/>
          <w:bottom w:val="none" w:sz="4" w:space="0" w:color="000000"/>
          <w:right w:val="none" w:sz="4" w:space="0" w:color="000000"/>
        </w:tcBorders>
        <w:shd w:val="clear" w:color="FFFFFF" w:fill="auto"/>
      </w:tcPr>
    </w:tblStylePr>
    <w:tblStylePr w:type="band1Vert">
      <w:tblPr/>
      <w:tcPr>
        <w:shd w:val="clear" w:color="F3F2F2" w:themeColor="accent2" w:themeTint="40" w:fill="F3F2F2" w:themeFill="accent2" w:themeFillTint="40"/>
      </w:tcPr>
    </w:tblStylePr>
    <w:tblStylePr w:type="band1Horz">
      <w:rPr>
        <w:rFonts w:ascii="Arial" w:hAnsi="Arial"/>
        <w:color w:val="E3E1E1" w:themeColor="accent2" w:themeTint="97" w:themeShade="95"/>
        <w:sz w:val="22"/>
      </w:rPr>
      <w:tblPr/>
      <w:tcPr>
        <w:shd w:val="clear" w:color="F3F2F2" w:themeColor="accent2" w:themeTint="40" w:fill="F3F2F2" w:themeFill="accent2" w:themeFillTint="40"/>
      </w:tcPr>
    </w:tblStylePr>
    <w:tblStylePr w:type="band2Horz">
      <w:rPr>
        <w:rFonts w:ascii="Arial" w:hAnsi="Arial"/>
        <w:color w:val="E3E1E1" w:themeColor="accent2" w:themeTint="97" w:themeShade="95"/>
        <w:sz w:val="22"/>
      </w:rPr>
    </w:tblStylePr>
  </w:style>
  <w:style w:type="table" w:customStyle="1" w:styleId="ListTable7Colorful-Accent31">
    <w:name w:val="List Table 7 Colorful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ABA8A8" w:themeColor="accent4" w:themeTint="9A"/>
      </w:tblBorders>
    </w:tblPr>
    <w:tblStylePr w:type="firstRow">
      <w:rPr>
        <w:rFonts w:ascii="Arial" w:hAnsi="Arial"/>
        <w:i/>
        <w:color w:val="ABA8A8" w:themeColor="accent4" w:themeTint="9A" w:themeShade="95"/>
        <w:sz w:val="22"/>
      </w:rPr>
      <w:tblPr/>
      <w:tcPr>
        <w:tcBorders>
          <w:top w:val="none" w:sz="4" w:space="0" w:color="000000"/>
          <w:left w:val="none" w:sz="4" w:space="0" w:color="000000"/>
          <w:bottom w:val="single" w:sz="4" w:space="0" w:color="ABA8A8" w:themeColor="accent4" w:themeTint="9A"/>
          <w:right w:val="none" w:sz="4" w:space="0" w:color="000000"/>
        </w:tcBorders>
        <w:shd w:val="clear" w:color="FFFFFF" w:themeColor="light1" w:fill="FFFFFF" w:themeFill="light1"/>
      </w:tcPr>
    </w:tblStylePr>
    <w:tblStylePr w:type="lastRow">
      <w:rPr>
        <w:rFonts w:ascii="Arial" w:hAnsi="Arial"/>
        <w:i/>
        <w:color w:val="ABA8A8" w:themeColor="accent4" w:themeTint="9A" w:themeShade="95"/>
        <w:sz w:val="22"/>
      </w:rPr>
      <w:tblPr/>
      <w:tcPr>
        <w:tcBorders>
          <w:top w:val="single" w:sz="4" w:space="0" w:color="ABA8A8"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BA8A8" w:themeColor="accent4" w:themeTint="9A" w:themeShade="95"/>
        <w:sz w:val="22"/>
      </w:rPr>
      <w:tblPr/>
      <w:tcPr>
        <w:tcBorders>
          <w:top w:val="none" w:sz="4" w:space="0" w:color="000000"/>
          <w:left w:val="none" w:sz="4" w:space="0" w:color="000000"/>
          <w:bottom w:val="none" w:sz="4" w:space="0" w:color="000000"/>
          <w:right w:val="single" w:sz="4" w:space="0" w:color="ABA8A8" w:themeColor="accent4" w:themeTint="9A"/>
        </w:tcBorders>
        <w:shd w:val="clear" w:color="FFFFFF" w:fill="auto"/>
      </w:tcPr>
    </w:tblStylePr>
    <w:tblStylePr w:type="lastCol">
      <w:rPr>
        <w:rFonts w:ascii="Arial" w:hAnsi="Arial"/>
        <w:i/>
        <w:color w:val="ABA8A8" w:themeColor="accent4" w:themeTint="9A" w:themeShade="95"/>
        <w:sz w:val="22"/>
      </w:rPr>
      <w:tblPr/>
      <w:tcPr>
        <w:tcBorders>
          <w:top w:val="none" w:sz="4" w:space="0" w:color="000000"/>
          <w:left w:val="single" w:sz="4" w:space="0" w:color="ABA8A8" w:themeColor="accent4" w:themeTint="9A"/>
          <w:bottom w:val="none" w:sz="4" w:space="0" w:color="000000"/>
          <w:right w:val="none" w:sz="4" w:space="0" w:color="000000"/>
        </w:tcBorders>
        <w:shd w:val="clear" w:color="FFFFFF" w:fill="auto"/>
      </w:tcPr>
    </w:tblStylePr>
    <w:tblStylePr w:type="band1Vert">
      <w:tblPr/>
      <w:tcPr>
        <w:shd w:val="clear" w:color="DCDADA" w:themeColor="accent4" w:themeTint="40" w:fill="DCDADA" w:themeFill="accent4" w:themeFillTint="40"/>
      </w:tcPr>
    </w:tblStylePr>
    <w:tblStylePr w:type="band1Horz">
      <w:rPr>
        <w:rFonts w:ascii="Arial" w:hAnsi="Arial"/>
        <w:color w:val="ABA8A8" w:themeColor="accent4" w:themeTint="9A" w:themeShade="95"/>
        <w:sz w:val="22"/>
      </w:rPr>
      <w:tblPr/>
      <w:tcPr>
        <w:shd w:val="clear" w:color="DCDADA" w:themeColor="accent4" w:themeTint="40" w:fill="DCDADA" w:themeFill="accent4" w:themeFillTint="40"/>
      </w:tcPr>
    </w:tblStylePr>
    <w:tblStylePr w:type="band2Horz">
      <w:rPr>
        <w:rFonts w:ascii="Arial" w:hAnsi="Arial"/>
        <w:color w:val="ABA8A8" w:themeColor="accent4" w:themeTint="9A" w:themeShade="95"/>
        <w:sz w:val="22"/>
      </w:rPr>
    </w:tblStylePr>
  </w:style>
  <w:style w:type="table" w:customStyle="1" w:styleId="ListTable7Colorful-Accent51">
    <w:name w:val="List Table 7 Colorful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B1B1B1" w:themeColor="accent5" w:themeTint="9A"/>
      </w:tblBorders>
    </w:tblPr>
    <w:tblStylePr w:type="firstRow">
      <w:rPr>
        <w:rFonts w:ascii="Arial" w:hAnsi="Arial"/>
        <w:i/>
        <w:color w:val="B1B1B1" w:themeColor="accent5" w:themeTint="9A" w:themeShade="95"/>
        <w:sz w:val="22"/>
      </w:rPr>
      <w:tblPr/>
      <w:tcPr>
        <w:tcBorders>
          <w:top w:val="none" w:sz="4" w:space="0" w:color="000000"/>
          <w:left w:val="none" w:sz="4" w:space="0" w:color="000000"/>
          <w:bottom w:val="single" w:sz="4" w:space="0" w:color="B1B1B1" w:themeColor="accent5" w:themeTint="9A"/>
          <w:right w:val="none" w:sz="4" w:space="0" w:color="000000"/>
        </w:tcBorders>
        <w:shd w:val="clear" w:color="FFFFFF" w:themeColor="light1" w:fill="FFFFFF" w:themeFill="light1"/>
      </w:tcPr>
    </w:tblStylePr>
    <w:tblStylePr w:type="lastRow">
      <w:rPr>
        <w:rFonts w:ascii="Arial" w:hAnsi="Arial"/>
        <w:i/>
        <w:color w:val="B1B1B1" w:themeColor="accent5" w:themeTint="9A" w:themeShade="95"/>
        <w:sz w:val="22"/>
      </w:rPr>
      <w:tblPr/>
      <w:tcPr>
        <w:tcBorders>
          <w:top w:val="single" w:sz="4" w:space="0" w:color="B1B1B1"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B1B1" w:themeColor="accent5" w:themeTint="9A" w:themeShade="95"/>
        <w:sz w:val="22"/>
      </w:rPr>
      <w:tblPr/>
      <w:tcPr>
        <w:tcBorders>
          <w:top w:val="none" w:sz="4" w:space="0" w:color="000000"/>
          <w:left w:val="none" w:sz="4" w:space="0" w:color="000000"/>
          <w:bottom w:val="none" w:sz="4" w:space="0" w:color="000000"/>
          <w:right w:val="single" w:sz="4" w:space="0" w:color="B1B1B1" w:themeColor="accent5" w:themeTint="9A"/>
        </w:tcBorders>
        <w:shd w:val="clear" w:color="FFFFFF" w:fill="auto"/>
      </w:tcPr>
    </w:tblStylePr>
    <w:tblStylePr w:type="lastCol">
      <w:rPr>
        <w:rFonts w:ascii="Arial" w:hAnsi="Arial"/>
        <w:i/>
        <w:color w:val="B1B1B1" w:themeColor="accent5" w:themeTint="9A" w:themeShade="95"/>
        <w:sz w:val="22"/>
      </w:rPr>
      <w:tblPr/>
      <w:tcPr>
        <w:tcBorders>
          <w:top w:val="none" w:sz="4" w:space="0" w:color="000000"/>
          <w:left w:val="single" w:sz="4" w:space="0" w:color="B1B1B1" w:themeColor="accent5" w:themeTint="9A"/>
          <w:bottom w:val="none" w:sz="4" w:space="0" w:color="000000"/>
          <w:right w:val="none" w:sz="4" w:space="0" w:color="000000"/>
        </w:tcBorders>
        <w:shd w:val="clear" w:color="FFFFFF" w:fill="auto"/>
      </w:tcPr>
    </w:tblStylePr>
    <w:tblStylePr w:type="band1Vert">
      <w:tblPr/>
      <w:tcPr>
        <w:shd w:val="clear" w:color="DEDEDE" w:themeColor="accent5" w:themeTint="40" w:fill="DEDEDE" w:themeFill="accent5" w:themeFillTint="40"/>
      </w:tcPr>
    </w:tblStylePr>
    <w:tblStylePr w:type="band1Horz">
      <w:rPr>
        <w:rFonts w:ascii="Arial" w:hAnsi="Arial"/>
        <w:color w:val="B1B1B1" w:themeColor="accent5" w:themeTint="9A" w:themeShade="95"/>
        <w:sz w:val="22"/>
      </w:rPr>
      <w:tblPr/>
      <w:tcPr>
        <w:shd w:val="clear" w:color="DEDEDE" w:themeColor="accent5" w:themeTint="40" w:fill="DEDEDE" w:themeFill="accent5" w:themeFillTint="40"/>
      </w:tcPr>
    </w:tblStylePr>
    <w:tblStylePr w:type="band2Horz">
      <w:rPr>
        <w:rFonts w:ascii="Arial" w:hAnsi="Arial"/>
        <w:color w:val="B1B1B1" w:themeColor="accent5" w:themeTint="9A" w:themeShade="95"/>
        <w:sz w:val="22"/>
      </w:rPr>
    </w:tblStylePr>
  </w:style>
  <w:style w:type="table" w:customStyle="1" w:styleId="ListTable7Colorful-Accent61">
    <w:name w:val="List Table 7 Colorful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F0F0F0" w:themeColor="accent6" w:themeTint="98"/>
      </w:tblBorders>
    </w:tblPr>
    <w:tblStylePr w:type="firstRow">
      <w:rPr>
        <w:rFonts w:ascii="Arial" w:hAnsi="Arial"/>
        <w:i/>
        <w:color w:val="F0F0F0" w:themeColor="accent6" w:themeTint="98" w:themeShade="95"/>
        <w:sz w:val="22"/>
      </w:rPr>
      <w:tblPr/>
      <w:tcPr>
        <w:tcBorders>
          <w:top w:val="none" w:sz="4" w:space="0" w:color="000000"/>
          <w:left w:val="none" w:sz="4" w:space="0" w:color="000000"/>
          <w:bottom w:val="single" w:sz="4" w:space="0" w:color="F0F0F0" w:themeColor="accent6" w:themeTint="98"/>
          <w:right w:val="none" w:sz="4" w:space="0" w:color="000000"/>
        </w:tcBorders>
        <w:shd w:val="clear" w:color="FFFFFF" w:themeColor="light1" w:fill="FFFFFF" w:themeFill="light1"/>
      </w:tcPr>
    </w:tblStylePr>
    <w:tblStylePr w:type="lastRow">
      <w:rPr>
        <w:rFonts w:ascii="Arial" w:hAnsi="Arial"/>
        <w:i/>
        <w:color w:val="F0F0F0" w:themeColor="accent6" w:themeTint="98" w:themeShade="95"/>
        <w:sz w:val="22"/>
      </w:rPr>
      <w:tblPr/>
      <w:tcPr>
        <w:tcBorders>
          <w:top w:val="single" w:sz="4" w:space="0" w:color="F0F0F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0F0F0" w:themeColor="accent6" w:themeTint="98" w:themeShade="95"/>
        <w:sz w:val="22"/>
      </w:rPr>
      <w:tblPr/>
      <w:tcPr>
        <w:tcBorders>
          <w:top w:val="none" w:sz="4" w:space="0" w:color="000000"/>
          <w:left w:val="none" w:sz="4" w:space="0" w:color="000000"/>
          <w:bottom w:val="none" w:sz="4" w:space="0" w:color="000000"/>
          <w:right w:val="single" w:sz="4" w:space="0" w:color="F0F0F0" w:themeColor="accent6" w:themeTint="98"/>
        </w:tcBorders>
        <w:shd w:val="clear" w:color="FFFFFF" w:fill="auto"/>
      </w:tcPr>
    </w:tblStylePr>
    <w:tblStylePr w:type="lastCol">
      <w:rPr>
        <w:rFonts w:ascii="Arial" w:hAnsi="Arial"/>
        <w:i/>
        <w:color w:val="F0F0F0" w:themeColor="accent6" w:themeTint="98" w:themeShade="95"/>
        <w:sz w:val="22"/>
      </w:rPr>
      <w:tblPr/>
      <w:tcPr>
        <w:tcBorders>
          <w:top w:val="none" w:sz="4" w:space="0" w:color="000000"/>
          <w:left w:val="single" w:sz="4" w:space="0" w:color="F0F0F0" w:themeColor="accent6" w:themeTint="98"/>
          <w:bottom w:val="none" w:sz="4" w:space="0" w:color="000000"/>
          <w:right w:val="none" w:sz="4" w:space="0" w:color="000000"/>
        </w:tcBorders>
        <w:shd w:val="clear" w:color="FFFFFF" w:fill="auto"/>
      </w:tcPr>
    </w:tblStylePr>
    <w:tblStylePr w:type="band1Vert">
      <w:tblPr/>
      <w:tcPr>
        <w:shd w:val="clear" w:color="F9F8F8" w:themeColor="accent6" w:themeTint="40" w:fill="F9F8F8" w:themeFill="accent6" w:themeFillTint="40"/>
      </w:tcPr>
    </w:tblStylePr>
    <w:tblStylePr w:type="band1Horz">
      <w:rPr>
        <w:rFonts w:ascii="Arial" w:hAnsi="Arial"/>
        <w:color w:val="F0F0F0" w:themeColor="accent6" w:themeTint="98" w:themeShade="95"/>
        <w:sz w:val="22"/>
      </w:rPr>
      <w:tblPr/>
      <w:tcPr>
        <w:shd w:val="clear" w:color="F9F8F8" w:themeColor="accent6" w:themeTint="40" w:fill="F9F8F8" w:themeFill="accent6" w:themeFillTint="40"/>
      </w:tcPr>
    </w:tblStylePr>
    <w:tblStylePr w:type="band2Horz">
      <w:rPr>
        <w:rFonts w:ascii="Arial" w:hAnsi="Arial"/>
        <w:color w:val="F0F0F0" w:themeColor="accent6" w:themeTint="98" w:themeShade="95"/>
        <w:sz w:val="22"/>
      </w:rPr>
    </w:tblStylePr>
  </w:style>
  <w:style w:type="character" w:customStyle="1" w:styleId="indexnumber">
    <w:name w:val="indexnumber"/>
    <w:basedOn w:val="DefaultParagraphFont"/>
    <w:rsid w:val="00917F5E"/>
  </w:style>
  <w:style w:type="table" w:customStyle="1" w:styleId="GridTable5Dark-Accent11">
    <w:name w:val="Grid Table 5 Dark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CB" w:themeColor="accent1" w:themeTint="34" w:fill="FFFFCB" w:themeFill="accent1" w:themeFillTint="34"/>
    </w:tblPr>
    <w:tblStylePr w:type="firstRow">
      <w:rPr>
        <w:rFonts w:ascii="Arial" w:hAnsi="Arial"/>
        <w:b/>
        <w:color w:val="FFFFFF"/>
        <w:sz w:val="22"/>
      </w:rPr>
      <w:tblPr/>
      <w:tcPr>
        <w:shd w:val="clear" w:color="FFFF00" w:themeColor="accent1" w:fill="FFFF00" w:themeFill="accent1"/>
      </w:tcPr>
    </w:tblStylePr>
    <w:tblStylePr w:type="lastRow">
      <w:rPr>
        <w:rFonts w:ascii="Arial" w:hAnsi="Arial"/>
        <w:b/>
        <w:color w:val="FFFFFF"/>
        <w:sz w:val="22"/>
      </w:rPr>
      <w:tblPr/>
      <w:tcPr>
        <w:tcBorders>
          <w:top w:val="single" w:sz="4" w:space="0" w:color="FFFFFF" w:themeColor="light1"/>
        </w:tcBorders>
        <w:shd w:val="clear" w:color="FFFF00" w:themeColor="accent1" w:fill="FFFF00" w:themeFill="accent1"/>
      </w:tcPr>
    </w:tblStylePr>
    <w:tblStylePr w:type="firstCol">
      <w:rPr>
        <w:rFonts w:ascii="Arial" w:hAnsi="Arial"/>
        <w:b/>
        <w:color w:val="FFFFFF"/>
        <w:sz w:val="22"/>
      </w:rPr>
      <w:tblPr/>
      <w:tcPr>
        <w:shd w:val="clear" w:color="FFFF00" w:themeColor="accent1" w:fill="FFFF00" w:themeFill="accent1"/>
      </w:tcPr>
    </w:tblStylePr>
    <w:tblStylePr w:type="lastCol">
      <w:rPr>
        <w:rFonts w:ascii="Arial" w:hAnsi="Arial"/>
        <w:b/>
        <w:color w:val="FFFFFF"/>
        <w:sz w:val="22"/>
      </w:rPr>
      <w:tblPr/>
      <w:tcPr>
        <w:shd w:val="clear" w:color="FFFF00" w:themeColor="accent1" w:fill="FFFF00" w:themeFill="accent1"/>
      </w:tcPr>
    </w:tblStylePr>
    <w:tblStylePr w:type="band1Vert">
      <w:tblPr/>
      <w:tcPr>
        <w:shd w:val="clear" w:color="FFFF8A" w:themeColor="accent1" w:themeTint="75" w:fill="FFFF8A" w:themeFill="accent1" w:themeFillTint="75"/>
      </w:tcPr>
    </w:tblStylePr>
    <w:tblStylePr w:type="band1Horz">
      <w:tblPr/>
      <w:tcPr>
        <w:shd w:val="clear" w:color="FFFF8A" w:themeColor="accent1" w:themeTint="75" w:fill="FFFF8A" w:themeFill="accent1" w:themeFillTint="75"/>
      </w:tcPr>
    </w:tblStylePr>
  </w:style>
  <w:style w:type="table" w:customStyle="1" w:styleId="GridTable5Dark-Accent41">
    <w:name w:val="Grid Table 5 Dark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3E1E1" w:themeColor="accent4" w:themeTint="34" w:fill="E3E1E1" w:themeFill="accent4" w:themeFillTint="34"/>
    </w:tblPr>
    <w:tblStylePr w:type="firstRow">
      <w:rPr>
        <w:rFonts w:ascii="Arial" w:hAnsi="Arial"/>
        <w:b/>
        <w:color w:val="FFFFFF"/>
        <w:sz w:val="22"/>
      </w:rPr>
      <w:tblPr/>
      <w:tcPr>
        <w:shd w:val="clear" w:color="757070" w:themeColor="accent4" w:fill="757070" w:themeFill="accent4"/>
      </w:tcPr>
    </w:tblStylePr>
    <w:tblStylePr w:type="lastRow">
      <w:rPr>
        <w:rFonts w:ascii="Arial" w:hAnsi="Arial"/>
        <w:b/>
        <w:color w:val="FFFFFF"/>
        <w:sz w:val="22"/>
      </w:rPr>
      <w:tblPr/>
      <w:tcPr>
        <w:tcBorders>
          <w:top w:val="single" w:sz="4" w:space="0" w:color="FFFFFF" w:themeColor="light1"/>
        </w:tcBorders>
        <w:shd w:val="clear" w:color="757070" w:themeColor="accent4" w:fill="757070" w:themeFill="accent4"/>
      </w:tcPr>
    </w:tblStylePr>
    <w:tblStylePr w:type="firstCol">
      <w:rPr>
        <w:rFonts w:ascii="Arial" w:hAnsi="Arial"/>
        <w:b/>
        <w:color w:val="FFFFFF"/>
        <w:sz w:val="22"/>
      </w:rPr>
      <w:tblPr/>
      <w:tcPr>
        <w:shd w:val="clear" w:color="757070" w:themeColor="accent4" w:fill="757070" w:themeFill="accent4"/>
      </w:tcPr>
    </w:tblStylePr>
    <w:tblStylePr w:type="lastCol">
      <w:rPr>
        <w:rFonts w:ascii="Arial" w:hAnsi="Arial"/>
        <w:b/>
        <w:color w:val="FFFFFF"/>
        <w:sz w:val="22"/>
      </w:rPr>
      <w:tblPr/>
      <w:tcPr>
        <w:shd w:val="clear" w:color="757070" w:themeColor="accent4" w:fill="757070" w:themeFill="accent4"/>
      </w:tcPr>
    </w:tblStylePr>
    <w:tblStylePr w:type="band1Vert">
      <w:tblPr/>
      <w:tcPr>
        <w:shd w:val="clear" w:color="C0BDBD" w:themeColor="accent4" w:themeTint="75" w:fill="C0BDBD" w:themeFill="accent4" w:themeFillTint="75"/>
      </w:tcPr>
    </w:tblStylePr>
    <w:tblStylePr w:type="band1Horz">
      <w:tblPr/>
      <w:tcPr>
        <w:shd w:val="clear" w:color="C0BDBD" w:themeColor="accent4" w:themeTint="75" w:fill="C0BDBD" w:themeFill="accent4" w:themeFillTint="75"/>
      </w:tcPr>
    </w:tblStylePr>
  </w:style>
  <w:style w:type="character" w:styleId="Mention">
    <w:name w:val="Mention"/>
    <w:basedOn w:val="DefaultParagraphFont"/>
    <w:uiPriority w:val="99"/>
    <w:unhideWhenUsed/>
    <w:rsid w:val="00917F5E"/>
    <w:rPr>
      <w:color w:val="2B579A"/>
      <w:shd w:val="clear" w:color="auto" w:fill="E6E6E6"/>
    </w:rPr>
  </w:style>
  <w:style w:type="character" w:styleId="HTMLCite">
    <w:name w:val="HTML Cite"/>
    <w:basedOn w:val="DefaultParagraphFont"/>
    <w:uiPriority w:val="99"/>
    <w:semiHidden/>
    <w:unhideWhenUsed/>
    <w:rsid w:val="00866F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330333312">
      <w:bodyDiv w:val="1"/>
      <w:marLeft w:val="0"/>
      <w:marRight w:val="0"/>
      <w:marTop w:val="0"/>
      <w:marBottom w:val="0"/>
      <w:divBdr>
        <w:top w:val="none" w:sz="0" w:space="0" w:color="auto"/>
        <w:left w:val="none" w:sz="0" w:space="0" w:color="auto"/>
        <w:bottom w:val="none" w:sz="0" w:space="0" w:color="auto"/>
        <w:right w:val="none" w:sz="0" w:space="0" w:color="auto"/>
      </w:divBdr>
    </w:div>
    <w:div w:id="357507740">
      <w:bodyDiv w:val="1"/>
      <w:marLeft w:val="0"/>
      <w:marRight w:val="0"/>
      <w:marTop w:val="0"/>
      <w:marBottom w:val="0"/>
      <w:divBdr>
        <w:top w:val="none" w:sz="0" w:space="0" w:color="auto"/>
        <w:left w:val="none" w:sz="0" w:space="0" w:color="auto"/>
        <w:bottom w:val="none" w:sz="0" w:space="0" w:color="auto"/>
        <w:right w:val="none" w:sz="0" w:space="0" w:color="auto"/>
      </w:divBdr>
    </w:div>
    <w:div w:id="399523559">
      <w:bodyDiv w:val="1"/>
      <w:marLeft w:val="0"/>
      <w:marRight w:val="0"/>
      <w:marTop w:val="0"/>
      <w:marBottom w:val="0"/>
      <w:divBdr>
        <w:top w:val="none" w:sz="0" w:space="0" w:color="auto"/>
        <w:left w:val="none" w:sz="0" w:space="0" w:color="auto"/>
        <w:bottom w:val="none" w:sz="0" w:space="0" w:color="auto"/>
        <w:right w:val="none" w:sz="0" w:space="0" w:color="auto"/>
      </w:divBdr>
    </w:div>
    <w:div w:id="1296448635">
      <w:bodyDiv w:val="1"/>
      <w:marLeft w:val="0"/>
      <w:marRight w:val="0"/>
      <w:marTop w:val="0"/>
      <w:marBottom w:val="0"/>
      <w:divBdr>
        <w:top w:val="none" w:sz="0" w:space="0" w:color="auto"/>
        <w:left w:val="none" w:sz="0" w:space="0" w:color="auto"/>
        <w:bottom w:val="none" w:sz="0" w:space="0" w:color="auto"/>
        <w:right w:val="none" w:sz="0" w:space="0" w:color="auto"/>
      </w:divBdr>
    </w:div>
    <w:div w:id="1813058824">
      <w:bodyDiv w:val="1"/>
      <w:marLeft w:val="0"/>
      <w:marRight w:val="0"/>
      <w:marTop w:val="0"/>
      <w:marBottom w:val="0"/>
      <w:divBdr>
        <w:top w:val="none" w:sz="0" w:space="0" w:color="auto"/>
        <w:left w:val="none" w:sz="0" w:space="0" w:color="auto"/>
        <w:bottom w:val="none" w:sz="0" w:space="0" w:color="auto"/>
        <w:right w:val="none" w:sz="0" w:space="0" w:color="auto"/>
      </w:divBdr>
    </w:div>
    <w:div w:id="204670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fo@amnesty.org" TargetMode="External"/><Relationship Id="rId18" Type="http://schemas.openxmlformats.org/officeDocument/2006/relationships/hyperlink" Target="http://www.facebook.com/AmnestyGloba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mailto:info@amnesty.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amnesty.org/en/about-us/permis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10" Type="http://schemas.openxmlformats.org/officeDocument/2006/relationships/footer" Target="footer2.xml"/><Relationship Id="rId19" Type="http://schemas.openxmlformats.org/officeDocument/2006/relationships/hyperlink" Target="https://www.amnesty.org/en/about-us/permission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acebook.com/AmnestyGlobal" TargetMode="External"/><Relationship Id="rId22" Type="http://schemas.openxmlformats.org/officeDocument/2006/relationships/image" Target="media/image7.sv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www.amnesty.org/en/documents/eur23/6481/2023/en/," TargetMode="External"/><Relationship Id="rId117" Type="http://schemas.openxmlformats.org/officeDocument/2006/relationships/hyperlink" Target="https://www.amnesty.de/informieren/aktuell/deutschland-asylbewerberleistungsgesetz-abschaffen" TargetMode="External"/><Relationship Id="rId21" Type="http://schemas.openxmlformats.org/officeDocument/2006/relationships/hyperlink" Target="https://mediendienst-integration.de/fileadmin/Dateien/MEDIENDIENST_Expertise_Antislawischer_Rassismus.pdf" TargetMode="External"/><Relationship Id="rId42" Type="http://schemas.openxmlformats.org/officeDocument/2006/relationships/hyperlink" Target="https://www.amnesty.de/sites/default/files/2019-03/Amnesty-Positionspapier-Kennzeichnungspflicht-fuer-Polizist_innen-November-2018.pdf" TargetMode="External"/><Relationship Id="rId47" Type="http://schemas.openxmlformats.org/officeDocument/2006/relationships/hyperlink" Target="https://www.faz.net/aktuell/politik/inland/polizei-in-nrw-nazi-symbole-und-menschenverachtung-in-rechtsextremem-chat-19078319.html" TargetMode="External"/><Relationship Id="rId63" Type="http://schemas.openxmlformats.org/officeDocument/2006/relationships/hyperlink" Target="https://www.amnesty.org/en/documents/EUR23/4112/2016/en" TargetMode="External"/><Relationship Id="rId68" Type="http://schemas.openxmlformats.org/officeDocument/2006/relationships/hyperlink" Target="https://www.amnesty.de/allgemein/pressemitteilung/deutschland-zehn-jahre-nsu-selbstenttarnung-polizei-bilanz" TargetMode="External"/><Relationship Id="rId84" Type="http://schemas.openxmlformats.org/officeDocument/2006/relationships/hyperlink" Target="https://verband-brg.de/rechte-rassistische-und-antisemitische-gewalt-in-deutschland-2022-jahresbilanzen-der-opferberatungsstellen/" TargetMode="External"/><Relationship Id="rId89" Type="http://schemas.openxmlformats.org/officeDocument/2006/relationships/hyperlink" Target="https://www.institut-fuer-menschenrechte.de/publikationen/detail/rassismus-in-der-strafverfolgung-von-der-notwendigkeit-struktureller-veraenderungen" TargetMode="External"/><Relationship Id="rId112" Type="http://schemas.openxmlformats.org/officeDocument/2006/relationships/hyperlink" Target="https://www.gesetze-im-internet.de/asylvfg_1992/BJNR111260992.html" TargetMode="External"/><Relationship Id="rId16" Type="http://schemas.openxmlformats.org/officeDocument/2006/relationships/hyperlink" Target="https://report-antisemitism.de/annuals/" TargetMode="External"/><Relationship Id="rId107" Type="http://schemas.openxmlformats.org/officeDocument/2006/relationships/hyperlink" Target="https://www.auswaertiges-amt.de/en/newsroom/news/-/2463598" TargetMode="External"/><Relationship Id="rId11" Type="http://schemas.openxmlformats.org/officeDocument/2006/relationships/hyperlink" Target="https://www.auswaertiges-amt.de/en/newsroom/news/-/2561510" TargetMode="External"/><Relationship Id="rId32" Type="http://schemas.openxmlformats.org/officeDocument/2006/relationships/hyperlink" Target="https://www.amnesty.de/sites/default/files/2023-06/Amnesty-Stellungnahme-Bundespolizeigesetz-Juni-2023.pdf" TargetMode="External"/><Relationship Id="rId37" Type="http://schemas.openxmlformats.org/officeDocument/2006/relationships/hyperlink" Target="https://rm.coe.int/mi-germany-eng/1680a23c90" TargetMode="External"/><Relationship Id="rId53" Type="http://schemas.openxmlformats.org/officeDocument/2006/relationships/hyperlink" Target="https://kviapol.uni-frankfurt.de/images/pdf/en/Executive%20Summary_Gewalt%20im%20Amt.pdf" TargetMode="External"/><Relationship Id="rId58" Type="http://schemas.openxmlformats.org/officeDocument/2006/relationships/hyperlink" Target="https://www1.wdr.de/nachrichten/ruhrgebiet/jahrestag-toedlich-schuesse-mouhamed-dortmund-100.html" TargetMode="External"/><Relationship Id="rId74" Type="http://schemas.openxmlformats.org/officeDocument/2006/relationships/hyperlink" Target="https://kein-abschlussbericht.org/" TargetMode="External"/><Relationship Id="rId79" Type="http://schemas.openxmlformats.org/officeDocument/2006/relationships/hyperlink" Target="https://www.amnesty.org/en/documents/pol10/3202/2021/en/" TargetMode="External"/><Relationship Id="rId102" Type="http://schemas.openxmlformats.org/officeDocument/2006/relationships/hyperlink" Target="https://www.amnesty.org/en/documents/eur23/7180/2023/en/" TargetMode="External"/><Relationship Id="rId123" Type="http://schemas.openxmlformats.org/officeDocument/2006/relationships/hyperlink" Target="https://www.rv.hessenrecht.hessen.de/bshe/document/jlr-BGHE2013pP45" TargetMode="External"/><Relationship Id="rId128" Type="http://schemas.openxmlformats.org/officeDocument/2006/relationships/hyperlink" Target="https://www.welt.de/politik/deutschland/article230971383/Bundesrat-Kopftuchverbot-durch-die-Hintertuer.html" TargetMode="External"/><Relationship Id="rId5" Type="http://schemas.openxmlformats.org/officeDocument/2006/relationships/hyperlink" Target="https://www.integrationsbeauftragte.de/ib-de/staatsministerin/expert-innenrat-2194024" TargetMode="External"/><Relationship Id="rId90" Type="http://schemas.openxmlformats.org/officeDocument/2006/relationships/hyperlink" Target="https://tbinternet.ohchr.org/_layouts/15/treatybodyexternal/Download.aspx?symbolno=INT%2FCERD%2FNGO%2FDEU%2F19968&amp;Lang=en" TargetMode="External"/><Relationship Id="rId95" Type="http://schemas.openxmlformats.org/officeDocument/2006/relationships/hyperlink" Target="https://mediendienst-integration.de/artikel/wie-oft-nennen-medien-die-herkunft-von-tatverdaechtigen.html" TargetMode="External"/><Relationship Id="rId22" Type="http://schemas.openxmlformats.org/officeDocument/2006/relationships/hyperlink" Target="https://www.amnesty.org/en/documents/EUR23/4112/2016/en/" TargetMode="External"/><Relationship Id="rId27" Type="http://schemas.openxmlformats.org/officeDocument/2006/relationships/hyperlink" Target="https://tbinternet.ohchr.org/_layouts/15/treatybodyexternal/Download.aspx?symbolno=CERD%2FC%2FDEU%2F23-26&amp;Lang=en" TargetMode="External"/><Relationship Id="rId43" Type="http://schemas.openxmlformats.org/officeDocument/2006/relationships/hyperlink" Target="https://www.amnesty.de/sites/default/files/2021-06/Amnesty-Forderungspapier-Polizei-Rassismus-Juni-2021.pdf" TargetMode="External"/><Relationship Id="rId48" Type="http://schemas.openxmlformats.org/officeDocument/2006/relationships/hyperlink" Target="https://www.rassismusmonitor.de/kurzstudien/rassismus-in-der-polizei/" TargetMode="External"/><Relationship Id="rId64" Type="http://schemas.openxmlformats.org/officeDocument/2006/relationships/hyperlink" Target="https://dserver.bundestag.de/btd/18/129/1812950.pdf" TargetMode="External"/><Relationship Id="rId69" Type="http://schemas.openxmlformats.org/officeDocument/2006/relationships/hyperlink" Target="https://mediendienst-integration.de/artikel/der-verkannte-anschlag.html" TargetMode="External"/><Relationship Id="rId113" Type="http://schemas.openxmlformats.org/officeDocument/2006/relationships/hyperlink" Target="https://www.amnesty.de/2015/12/9/das-asylpaket-ii-menschenrechte-gefahr" TargetMode="External"/><Relationship Id="rId118" Type="http://schemas.openxmlformats.org/officeDocument/2006/relationships/hyperlink" Target="https://www.bverfg.de/e/ls20221019_1bvl000321.html" TargetMode="External"/><Relationship Id="rId80" Type="http://schemas.openxmlformats.org/officeDocument/2006/relationships/hyperlink" Target="https://www.amnesty.org/en/documents/EUR23/4112/2016/en" TargetMode="External"/><Relationship Id="rId85" Type="http://schemas.openxmlformats.org/officeDocument/2006/relationships/hyperlink" Target="https://rm.coe.int/ecri-general-policy-recommendation-no-11-on-combating-racism-and-racia/16808b5adf" TargetMode="External"/><Relationship Id="rId12" Type="http://schemas.openxmlformats.org/officeDocument/2006/relationships/hyperlink" Target="https://www.rassismusmonitor.de/studie-rassistische-realitaeten" TargetMode="External"/><Relationship Id="rId17" Type="http://schemas.openxmlformats.org/officeDocument/2006/relationships/hyperlink" Target="https://www.bmi.bund.de/SharedDocs/pressemitteilungen/DE/2023/06/uem-abschlussbericht.html" TargetMode="External"/><Relationship Id="rId33" Type="http://schemas.openxmlformats.org/officeDocument/2006/relationships/hyperlink" Target="https://gesetze.io/gesetze/hb/brempolg" TargetMode="External"/><Relationship Id="rId38" Type="http://schemas.openxmlformats.org/officeDocument/2006/relationships/hyperlink" Target="https://www.bundestag.de/resource/blob/899854/c703911ae8f6e04a16618f8a85727ad3/WD-3-057-22-pdf-data.pdf" TargetMode="External"/><Relationship Id="rId59" Type="http://schemas.openxmlformats.org/officeDocument/2006/relationships/hyperlink" Target="https://www.amnesty.org/en/documents/eur23/002/2010/en/" TargetMode="External"/><Relationship Id="rId103" Type="http://schemas.openxmlformats.org/officeDocument/2006/relationships/hyperlink" Target="https://www.dezim-institut.de/publikationen/publikation-detail/hate-speech-aber-normal/" TargetMode="External"/><Relationship Id="rId108" Type="http://schemas.openxmlformats.org/officeDocument/2006/relationships/hyperlink" Target="https://spcommreports.ohchr.org/TMResultsBase/DownLoadPublicCommunicationFile?gId=27875" TargetMode="External"/><Relationship Id="rId124" Type="http://schemas.openxmlformats.org/officeDocument/2006/relationships/hyperlink" Target="https://gesetze.berlin.de/bsbe/document/jlr-VerfArt29GBE2005pP2" TargetMode="External"/><Relationship Id="rId54" Type="http://schemas.openxmlformats.org/officeDocument/2006/relationships/hyperlink" Target="https://doku.deathincustody.info/" TargetMode="External"/><Relationship Id="rId70" Type="http://schemas.openxmlformats.org/officeDocument/2006/relationships/hyperlink" Target="https://www.amnesty.de/informieren/aktuell/deutschland-oez-terroranschlag-muenchen-rassismus" TargetMode="External"/><Relationship Id="rId75" Type="http://schemas.openxmlformats.org/officeDocument/2006/relationships/hyperlink" Target="https://19feb-hanau.org/2023/05/30/interner-bericht-bestaetigt-polizei-versagen/" TargetMode="External"/><Relationship Id="rId91" Type="http://schemas.openxmlformats.org/officeDocument/2006/relationships/hyperlink" Target="https://www.amnesty.eu/wp-content/uploads/2022/09/PACE-submission-Islamophobia-1-June-2022.pdf" TargetMode="External"/><Relationship Id="rId96" Type="http://schemas.openxmlformats.org/officeDocument/2006/relationships/hyperlink" Target="https://www.zdf.de/nachrichten/heute-sendungen/videos/alice-weidel-ordnungsruf-100.html" TargetMode="External"/><Relationship Id="rId1" Type="http://schemas.openxmlformats.org/officeDocument/2006/relationships/hyperlink" Target="https://www.bmj.de/SharedDocs/Publikationen/DE/Fachpublikationen/2017_ICERD.pdf?__blob=publicationFile&amp;v=4" TargetMode="External"/><Relationship Id="rId6" Type="http://schemas.openxmlformats.org/officeDocument/2006/relationships/hyperlink" Target="https://www.bmi.bund.de/SharedDocs/downloads/DE/veroeffentlichungen/themen/sicherheit/abschlussbericht-kabinettausschuss-rechtsextremismus.html" TargetMode="External"/><Relationship Id="rId23" Type="http://schemas.openxmlformats.org/officeDocument/2006/relationships/hyperlink" Target="https://www.coe.int/en/web/european-commission-against-racism-and-intolerance/recommendation-no.11," TargetMode="External"/><Relationship Id="rId28" Type="http://schemas.openxmlformats.org/officeDocument/2006/relationships/hyperlink" Target="https://rm.coe.int/ecri-general-policy-recommendation-no-11-on-combating-racism-and-racia/16808b5adf" TargetMode="External"/><Relationship Id="rId49" Type="http://schemas.openxmlformats.org/officeDocument/2006/relationships/hyperlink" Target="https://www.bmi.bund.de/SharedDocs/downloads/DE/publikationen/themen/heimat-integration/BMI23006-muslimfeindlichkeit.html" TargetMode="External"/><Relationship Id="rId114" Type="http://schemas.openxmlformats.org/officeDocument/2006/relationships/hyperlink" Target="https://www.rki.de/DE/Content/Gesundheitsmonitoring/Gesundheitsberichterstattung/GBEDownloadsJ/Focus/JoHM_01_2021_Gesundheit_Gefluechteter_RESPOND.pdf?__blob=publicationFile" TargetMode="External"/><Relationship Id="rId119" Type="http://schemas.openxmlformats.org/officeDocument/2006/relationships/hyperlink" Target="https://www.bundesverfassungsgericht.de/SharedDocs/Pressemitteilungen/DE/2015/bvg15-014.html" TargetMode="External"/><Relationship Id="rId44" Type="http://schemas.openxmlformats.org/officeDocument/2006/relationships/hyperlink" Target="https://rm.coe.int/ecri-conclusions-on-the-implementation-of-the-recommendations-in-respe/1680a807d2" TargetMode="External"/><Relationship Id="rId60" Type="http://schemas.openxmlformats.org/officeDocument/2006/relationships/hyperlink" Target="https://initiativeouryjalloh.wordpress.com/2023/07/05/klage-vor-dem-europaischen-gerichtshof/" TargetMode="External"/><Relationship Id="rId65" Type="http://schemas.openxmlformats.org/officeDocument/2006/relationships/hyperlink" Target="https://www.amnesty.de/informieren/aktuell/deutschland-nsu-urteil-darf-kein-schlussstrich-sein-rolle-von-institutionellem" TargetMode="External"/><Relationship Id="rId81" Type="http://schemas.openxmlformats.org/officeDocument/2006/relationships/hyperlink" Target="https://dserver.bundestag.de/btd/20/057/2005773.pdf" TargetMode="External"/><Relationship Id="rId86" Type="http://schemas.openxmlformats.org/officeDocument/2006/relationships/hyperlink" Target="https://www.integrationsbeauftragte.de/resource/blob/1864320/2157012/77c8d1dddeea760bc13dbd87ee9a415f/lagebericht-rassismus-komplett-data.pdf?download=1," TargetMode="External"/><Relationship Id="rId13" Type="http://schemas.openxmlformats.org/officeDocument/2006/relationships/hyperlink" Target="https://www.antidiskriminierungsstelle.de/SharedDocs/downloads/DE/publikationen/Jahresberichte/2022.html?nn=305458" TargetMode="External"/><Relationship Id="rId18" Type="http://schemas.openxmlformats.org/officeDocument/2006/relationships/hyperlink" Target="https://www.claim-allianz.de/aktuelles/news/pressemitteilung-erstes-zivilgesellschaftliches-lagebild-zeigt-mehr-als-zwei-antimuslimische-vorfaelle-pro-tag-in-deutschland/" TargetMode="External"/><Relationship Id="rId39" Type="http://schemas.openxmlformats.org/officeDocument/2006/relationships/hyperlink" Target="https://www.amnesty.org/en/documents/eur23/6481/2023/en/," TargetMode="External"/><Relationship Id="rId109" Type="http://schemas.openxmlformats.org/officeDocument/2006/relationships/hyperlink" Target="https://spcommreports.ohchr.org/TMResultsBase/DownLoadPublicCommunicationFile?gId=27875" TargetMode="External"/><Relationship Id="rId34" Type="http://schemas.openxmlformats.org/officeDocument/2006/relationships/hyperlink" Target="https://kviapol.uni-frankfurt.de/images/pdf/en/Executive%20Summary_Gewalt%20im%20Amt.pdf" TargetMode="External"/><Relationship Id="rId50" Type="http://schemas.openxmlformats.org/officeDocument/2006/relationships/hyperlink" Target="https://verfassungsblog.de/uber-die-sogenannte-clankriminalitat" TargetMode="External"/><Relationship Id="rId55" Type="http://schemas.openxmlformats.org/officeDocument/2006/relationships/hyperlink" Target="https://www.amnesty.org/en/location/europe-and-central-asia/germany/report-germany/" TargetMode="External"/><Relationship Id="rId76" Type="http://schemas.openxmlformats.org/officeDocument/2006/relationships/hyperlink" Target="https://www.fr.de/rhein-main/terror-in-hanau-sti1519756/exklusiv-rechtsextremismus-terror-von-hanau-chaos-beim-polizeieinsatz-92309241.html" TargetMode="External"/><Relationship Id="rId97" Type="http://schemas.openxmlformats.org/officeDocument/2006/relationships/hyperlink" Target="https://www.zdf.de/nachrichten/politik/lanz-merz-silvesternacht-integration-100.html" TargetMode="External"/><Relationship Id="rId104" Type="http://schemas.openxmlformats.org/officeDocument/2006/relationships/hyperlink" Target="https://www.antidiskriminierungsstelle.de/SharedDocs/pressemitteilungen/DE/2023/20230911_Erklaerung_Beauftragte.html" TargetMode="External"/><Relationship Id="rId120" Type="http://schemas.openxmlformats.org/officeDocument/2006/relationships/hyperlink" Target="https://www.amnesty.eu/wp-content/uploads/2022/09/PACE-submission-Islamophobia-1-June-2022.pdf" TargetMode="External"/><Relationship Id="rId125" Type="http://schemas.openxmlformats.org/officeDocument/2006/relationships/hyperlink" Target="https://www.bundesarbeitsgericht.de/entscheidung/8-azr-62-19" TargetMode="External"/><Relationship Id="rId7" Type="http://schemas.openxmlformats.org/officeDocument/2006/relationships/hyperlink" Target="https://www.bmi.bund.de/SharedDocs/pressemitteilungen/DE/2022/03/aktionsplan-rechtsextremismus.html" TargetMode="External"/><Relationship Id="rId71" Type="http://schemas.openxmlformats.org/officeDocument/2006/relationships/hyperlink" Target="https://www.amnesty.de/informieren/aktuell/deutschland-halle-dritter-jahrestag-des-anschlags-antisemitismus" TargetMode="External"/><Relationship Id="rId92" Type="http://schemas.openxmlformats.org/officeDocument/2006/relationships/hyperlink" Target="https://www.focus.de/politik/deutschland/ergebnis-einer-umfrage-deutsche-stehen-ukraine-gefluechteten-positiver-gegenueber-als-anderen-migranten_id_77665450.html" TargetMode="External"/><Relationship Id="rId2" Type="http://schemas.openxmlformats.org/officeDocument/2006/relationships/hyperlink" Target="https://www.integrationsbeauftragte.de/resource/blob/1864320/2157012/77c8d1dddeea760bc13dbd87ee9a415f/lagebericht-rassismus-komplett-data.pdf?download=" TargetMode="External"/><Relationship Id="rId29" Type="http://schemas.openxmlformats.org/officeDocument/2006/relationships/hyperlink" Target="https://gesetze.io/gesetze/hb/brempolg" TargetMode="External"/><Relationship Id="rId24" Type="http://schemas.openxmlformats.org/officeDocument/2006/relationships/hyperlink" Target="https://fra.europa.eu/sites/default/files/fra_uploads/fra-2021-fundamental-rights-survey-police-stops_en.pdf" TargetMode="External"/><Relationship Id="rId40" Type="http://schemas.openxmlformats.org/officeDocument/2006/relationships/hyperlink" Target="https://www.amnesty.de/informieren/positionspapiere/deutschland-amnesty-positionspapier-zu-unabhaengigen" TargetMode="External"/><Relationship Id="rId45" Type="http://schemas.openxmlformats.org/officeDocument/2006/relationships/hyperlink" Target="https://www.amnesty.de/sites/default/files/2022-05/Amnesty-Stellungnahme-ECRE-Deutschland-sechster-Bericht-Mai-2022.pdf" TargetMode="External"/><Relationship Id="rId66" Type="http://schemas.openxmlformats.org/officeDocument/2006/relationships/hyperlink" Target="https://www.gesetze-bayern.de/Content/Document/Y-300-Z-BECKRS-B-2018-N-051467?hl=true" TargetMode="External"/><Relationship Id="rId87" Type="http://schemas.openxmlformats.org/officeDocument/2006/relationships/hyperlink" Target="https://www.bmfsfj.de/bmfsfj/meta/en/the-ministry/the-ministry-112048" TargetMode="External"/><Relationship Id="rId110" Type="http://schemas.openxmlformats.org/officeDocument/2006/relationships/hyperlink" Target="https://www.auswaertiges-amt.de/en/newsroom/news/-/2561510" TargetMode="External"/><Relationship Id="rId115" Type="http://schemas.openxmlformats.org/officeDocument/2006/relationships/hyperlink" Target="https://www.proasyl.de/wp-content/uploads/221108_PA_Stellungnahme_alles_1_236_last.pdf" TargetMode="External"/><Relationship Id="rId61" Type="http://schemas.openxmlformats.org/officeDocument/2006/relationships/hyperlink" Target="https://www.amnesty.org/en/documents/EUR23/4112/2016/en/" TargetMode="External"/><Relationship Id="rId82" Type="http://schemas.openxmlformats.org/officeDocument/2006/relationships/hyperlink" Target="https://www.tagesschau.de/inland/angriffe-fluechtlingsheime-100.html" TargetMode="External"/><Relationship Id="rId19" Type="http://schemas.openxmlformats.org/officeDocument/2006/relationships/hyperlink" Target="https://www.antiziganismus-melden.de/2023/09/18/melde-und-informationsstelle-antiziganismus-mia-veroeffentlicht-ersten-jahresbericht-2022-zu-antiziganistischen-vorfaellen-in-deutschland/" TargetMode="External"/><Relationship Id="rId14" Type="http://schemas.openxmlformats.org/officeDocument/2006/relationships/hyperlink" Target="https://www.bundesregierung.de/breg-de/service/publikationen/zweiter-bericht-des-unabhaengigen-expertenkreises-antisemitismus-735880" TargetMode="External"/><Relationship Id="rId30" Type="http://schemas.openxmlformats.org/officeDocument/2006/relationships/hyperlink" Target="https://dserver.bundestag.de/btd/20/049/2004961.pdf" TargetMode="External"/><Relationship Id="rId35" Type="http://schemas.openxmlformats.org/officeDocument/2006/relationships/hyperlink" Target="https://hudoc.echr.coe.int/eng" TargetMode="External"/><Relationship Id="rId56" Type="http://schemas.openxmlformats.org/officeDocument/2006/relationships/hyperlink" Target="https://taz.de/Polizist-erschiesst-Teenager/!5872147/" TargetMode="External"/><Relationship Id="rId77" Type="http://schemas.openxmlformats.org/officeDocument/2006/relationships/hyperlink" Target="https://fragdenstaat.de/blog/2023/05/30/anschlag-hanau-hessische-polizei-interner-bericht-fehler/" TargetMode="External"/><Relationship Id="rId100" Type="http://schemas.openxmlformats.org/officeDocument/2006/relationships/hyperlink" Target="https://www.cilip.de/2022/08/12/clankriminalitaet-in-lagebildern-unklare-definitionen-eindeutiger-rassismus/" TargetMode="External"/><Relationship Id="rId105" Type="http://schemas.openxmlformats.org/officeDocument/2006/relationships/hyperlink" Target="https://spcommreports.ohchr.org/TMResultsBase/DownLoadPublicCommunicationFile?gId=27875" TargetMode="External"/><Relationship Id="rId126" Type="http://schemas.openxmlformats.org/officeDocument/2006/relationships/hyperlink" Target="http://www.rechtsprechung-im-internet.de/jportal/portal/t/19ke/page/bsjrsprod.psml?pid=Dokumentanzeige&amp;showdoccase=1&amp;js_peid=Trefferliste&amp;documentnumber=1&amp;numberofresults=10908&amp;fromdoctodoc=yes&amp;doc.id=jb-KVRE451092301&amp;doc.part=L&amp;doc.price=0.0&amp;doc.hl=1" TargetMode="External"/><Relationship Id="rId8" Type="http://schemas.openxmlformats.org/officeDocument/2006/relationships/hyperlink" Target="https://www.amnesty.org/en/documents/eur23/6481/2023/en/" TargetMode="External"/><Relationship Id="rId51" Type="http://schemas.openxmlformats.org/officeDocument/2006/relationships/hyperlink" Target="https://mediendienst-integration.de/fileadmin/Rassismus_und_Antisemitismus_bei_der_Polizei_MEDIENDIENST_Recherche.pdf" TargetMode="External"/><Relationship Id="rId72" Type="http://schemas.openxmlformats.org/officeDocument/2006/relationships/hyperlink" Target="https://www.amnesty.de/allgemein/pressemitteilung/deutschland-hanau-anschlag-jahrestag-rassismus-entgegentreten" TargetMode="External"/><Relationship Id="rId93" Type="http://schemas.openxmlformats.org/officeDocument/2006/relationships/hyperlink" Target="https://www.bmi.bund.de/SharedDocs/pressemitteilungen/DE/2023/06/uem-abschlussbericht.html" TargetMode="External"/><Relationship Id="rId98" Type="http://schemas.openxmlformats.org/officeDocument/2006/relationships/hyperlink" Target="https://www.polsoz.fu-berlin.de/polwiss/forschung/international/vorderer-orient/publikation/working_papers/wp_16/WP16_Sarah-Klemm.pdf" TargetMode="External"/><Relationship Id="rId121" Type="http://schemas.openxmlformats.org/officeDocument/2006/relationships/hyperlink" Target="https://www.antidiskriminierungsstelle.de/DE/ueber-diskriminierung/lebensbereiche/arbeitsleben/kopftuch-am-arbeitsplatz/kopftuch-am-arbeitsplatz-node.html" TargetMode="External"/><Relationship Id="rId3" Type="http://schemas.openxmlformats.org/officeDocument/2006/relationships/hyperlink" Target="https://rm.coe.int/ecri-report-on-germany-sixth-monitoring-cycle-/16809ce4be" TargetMode="External"/><Relationship Id="rId25" Type="http://schemas.openxmlformats.org/officeDocument/2006/relationships/hyperlink" Target="https://fra.europa.eu/sites/default/files/fra_uploads/fra-2021-fundamental-rights-survey-police-stops_en.pdf" TargetMode="External"/><Relationship Id="rId46" Type="http://schemas.openxmlformats.org/officeDocument/2006/relationships/hyperlink" Target="https://www.swr.de/swraktuell/baden-wuerttemberg/polizisten-volksverhetzung-100.html" TargetMode="External"/><Relationship Id="rId67" Type="http://schemas.openxmlformats.org/officeDocument/2006/relationships/hyperlink" Target="https://www.mdr.de/geschichte/zeitgeschichte-gegenwart/politik-gesellschaft/nsu-urteil-morde-prozess-zschaepe-mundlos-100.html" TargetMode="External"/><Relationship Id="rId116" Type="http://schemas.openxmlformats.org/officeDocument/2006/relationships/hyperlink" Target="https://www.bundesverfassungsgericht.de/SharedDocs/Entscheidungen/DE/2012/07/ls20120718_1bvl001010.html." TargetMode="External"/><Relationship Id="rId20" Type="http://schemas.openxmlformats.org/officeDocument/2006/relationships/hyperlink" Target="https://www.korientation.de/projekte/radar/broschuere-anti-asiatischer-rassismus/" TargetMode="External"/><Relationship Id="rId41" Type="http://schemas.openxmlformats.org/officeDocument/2006/relationships/hyperlink" Target="https://www.gruene-bundestag.de/themen/innenpolitik/eckpunkte-fuer-bundespolizeibeauftragten-vorgestellt" TargetMode="External"/><Relationship Id="rId62" Type="http://schemas.openxmlformats.org/officeDocument/2006/relationships/hyperlink" Target="https://www.bka.de/SharedDocs/Kurzmeldungen/DE/Kurzmeldungen/230509_PMK_PK.html" TargetMode="External"/><Relationship Id="rId83" Type="http://schemas.openxmlformats.org/officeDocument/2006/relationships/hyperlink" Target="https://www.zdf.de/nachrichten/panorama/angriff-fluechtlinge-sachsen-sebnitz-100.html" TargetMode="External"/><Relationship Id="rId88" Type="http://schemas.openxmlformats.org/officeDocument/2006/relationships/hyperlink" Target="https://www.bmfsfj.de/resource/blob/116798/5fc38044a1dd8edec34de568ad59e2b9/nationaler-aktionsplan-rassismus-data.pdf" TargetMode="External"/><Relationship Id="rId111" Type="http://schemas.openxmlformats.org/officeDocument/2006/relationships/hyperlink" Target="https://www.bundestag.de/presse/hib/kurzmeldungen-945228" TargetMode="External"/><Relationship Id="rId15" Type="http://schemas.openxmlformats.org/officeDocument/2006/relationships/hyperlink" Target="https://report-antisemitism.de/annuals/" TargetMode="External"/><Relationship Id="rId36" Type="http://schemas.openxmlformats.org/officeDocument/2006/relationships/hyperlink" Target="https://hudoc.echr.coe.int/eng" TargetMode="External"/><Relationship Id="rId57" Type="http://schemas.openxmlformats.org/officeDocument/2006/relationships/hyperlink" Target="https://www1.wdr.de/nachrichten/ruhrgebiet/anklagen-fall-mouhamed-100.html" TargetMode="External"/><Relationship Id="rId106" Type="http://schemas.openxmlformats.org/officeDocument/2006/relationships/hyperlink" Target="https://www.parliament.na/wp-content/uploads/2021/09/Joint-Declaration-Document-Genocide-rt.pdf" TargetMode="External"/><Relationship Id="rId127" Type="http://schemas.openxmlformats.org/officeDocument/2006/relationships/hyperlink" Target="https://dip.bundestag.de/vorgang/.../272243" TargetMode="External"/><Relationship Id="rId10" Type="http://schemas.openxmlformats.org/officeDocument/2006/relationships/hyperlink" Target="https://www.bmfsfj.de/resource/blob/116798/5fc38044a1dd8edec34de568ad59e2b9/nationaler-aktionsplan-rassismus-data.pdf" TargetMode="External"/><Relationship Id="rId31" Type="http://schemas.openxmlformats.org/officeDocument/2006/relationships/hyperlink" Target="https://www.bmi.bund.de/SharedDocs/gesetzgebungsverfahren/DE/Downloads/referentenentwuerfe/B1/ref-neustrukturierung-bundespolizeigesetz.pdf;jsessionid=F73CCB2959273429F790F35BA0436F05.2_cid360?__blob=publicationFile&amp;v=6," TargetMode="External"/><Relationship Id="rId52" Type="http://schemas.openxmlformats.org/officeDocument/2006/relationships/hyperlink" Target="https://www.amnesty.de/sites/default/files/2022-01/Amnesty-Positionspapier-Polizei-Antirassimus-Trainings-Deutschland-Oktober-2021.pdf" TargetMode="External"/><Relationship Id="rId73" Type="http://schemas.openxmlformats.org/officeDocument/2006/relationships/hyperlink" Target="https://www.belltower.news/das-manifest-des-hanau-attentaeters-zwischen-rechtsextremismus-und-frauenhass-frauenfeind-aber-kein-incel-97509/" TargetMode="External"/><Relationship Id="rId78" Type="http://schemas.openxmlformats.org/officeDocument/2006/relationships/hyperlink" Target="https://taz.de/Ausreiseforderung-aus-Deutschland/!5941454/" TargetMode="External"/><Relationship Id="rId94" Type="http://schemas.openxmlformats.org/officeDocument/2006/relationships/hyperlink" Target="https://www.bmi.bund.de/SharedDocs/pressemitteilungen/DE/2023/06/uem-abschlussbericht.html" TargetMode="External"/><Relationship Id="rId99" Type="http://schemas.openxmlformats.org/officeDocument/2006/relationships/hyperlink" Target="https://www.zeit.de/politik/deutschland/2023-07/carsten-linnemann-gewalt-freibad-berlin-schnellverfahren" TargetMode="External"/><Relationship Id="rId101" Type="http://schemas.openxmlformats.org/officeDocument/2006/relationships/hyperlink" Target="https://www.bmi.bund.de/SharedDocs/pressemitteilungen/DE/2023/08/diskussionsentwuerfe.html" TargetMode="External"/><Relationship Id="rId122" Type="http://schemas.openxmlformats.org/officeDocument/2006/relationships/hyperlink" Target="https://www.bayern.landtag.de/www/ElanTextAblage_WP15/Protokolle/15%20Wahlperiode%20Kopie/15%20WP%20Plenum%20Kopie/013%20PL%20170304%20ges%20endg%20Kopie.pdf" TargetMode="External"/><Relationship Id="rId4" Type="http://schemas.openxmlformats.org/officeDocument/2006/relationships/hyperlink" Target="https://www.amnesty.org/en/documents/EUR23/4112/2016/en/" TargetMode="External"/><Relationship Id="rId9" Type="http://schemas.openxmlformats.org/officeDocument/2006/relationships/hyperlink" Target="https://www.bmfsfj.de/bmfsfj/meta/en/the-ministry/the-ministry-1120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swingle\AppData\Local\Microsoft\Windows\INetCache\Content.Outlook\MBI5641K\2021-07%20-%20Briefing%20Template%20-%20BACK%20COV%20(final%20draft%20V2).dotx"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2C794-7834-49D7-AB99-76DF80911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2021-07 - Briefing Template - BACK COV (final draft V2)</Template>
  <TotalTime>5</TotalTime>
  <Pages>24</Pages>
  <Words>8747</Words>
  <Characters>49863</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58494</CharactersWithSpaces>
  <SharedDoc>false</SharedDoc>
  <HLinks>
    <vt:vector size="930" baseType="variant">
      <vt:variant>
        <vt:i4>1048630</vt:i4>
      </vt:variant>
      <vt:variant>
        <vt:i4>140</vt:i4>
      </vt:variant>
      <vt:variant>
        <vt:i4>0</vt:i4>
      </vt:variant>
      <vt:variant>
        <vt:i4>5</vt:i4>
      </vt:variant>
      <vt:variant>
        <vt:lpwstr/>
      </vt:variant>
      <vt:variant>
        <vt:lpwstr>_Toc148687725</vt:lpwstr>
      </vt:variant>
      <vt:variant>
        <vt:i4>1048630</vt:i4>
      </vt:variant>
      <vt:variant>
        <vt:i4>134</vt:i4>
      </vt:variant>
      <vt:variant>
        <vt:i4>0</vt:i4>
      </vt:variant>
      <vt:variant>
        <vt:i4>5</vt:i4>
      </vt:variant>
      <vt:variant>
        <vt:lpwstr/>
      </vt:variant>
      <vt:variant>
        <vt:lpwstr>_Toc148687724</vt:lpwstr>
      </vt:variant>
      <vt:variant>
        <vt:i4>1048630</vt:i4>
      </vt:variant>
      <vt:variant>
        <vt:i4>128</vt:i4>
      </vt:variant>
      <vt:variant>
        <vt:i4>0</vt:i4>
      </vt:variant>
      <vt:variant>
        <vt:i4>5</vt:i4>
      </vt:variant>
      <vt:variant>
        <vt:lpwstr/>
      </vt:variant>
      <vt:variant>
        <vt:lpwstr>_Toc148687723</vt:lpwstr>
      </vt:variant>
      <vt:variant>
        <vt:i4>1048630</vt:i4>
      </vt:variant>
      <vt:variant>
        <vt:i4>122</vt:i4>
      </vt:variant>
      <vt:variant>
        <vt:i4>0</vt:i4>
      </vt:variant>
      <vt:variant>
        <vt:i4>5</vt:i4>
      </vt:variant>
      <vt:variant>
        <vt:lpwstr/>
      </vt:variant>
      <vt:variant>
        <vt:lpwstr>_Toc148687722</vt:lpwstr>
      </vt:variant>
      <vt:variant>
        <vt:i4>1048630</vt:i4>
      </vt:variant>
      <vt:variant>
        <vt:i4>116</vt:i4>
      </vt:variant>
      <vt:variant>
        <vt:i4>0</vt:i4>
      </vt:variant>
      <vt:variant>
        <vt:i4>5</vt:i4>
      </vt:variant>
      <vt:variant>
        <vt:lpwstr/>
      </vt:variant>
      <vt:variant>
        <vt:lpwstr>_Toc148687721</vt:lpwstr>
      </vt:variant>
      <vt:variant>
        <vt:i4>1048630</vt:i4>
      </vt:variant>
      <vt:variant>
        <vt:i4>110</vt:i4>
      </vt:variant>
      <vt:variant>
        <vt:i4>0</vt:i4>
      </vt:variant>
      <vt:variant>
        <vt:i4>5</vt:i4>
      </vt:variant>
      <vt:variant>
        <vt:lpwstr/>
      </vt:variant>
      <vt:variant>
        <vt:lpwstr>_Toc148687720</vt:lpwstr>
      </vt:variant>
      <vt:variant>
        <vt:i4>1245238</vt:i4>
      </vt:variant>
      <vt:variant>
        <vt:i4>104</vt:i4>
      </vt:variant>
      <vt:variant>
        <vt:i4>0</vt:i4>
      </vt:variant>
      <vt:variant>
        <vt:i4>5</vt:i4>
      </vt:variant>
      <vt:variant>
        <vt:lpwstr/>
      </vt:variant>
      <vt:variant>
        <vt:lpwstr>_Toc148687719</vt:lpwstr>
      </vt:variant>
      <vt:variant>
        <vt:i4>1245238</vt:i4>
      </vt:variant>
      <vt:variant>
        <vt:i4>98</vt:i4>
      </vt:variant>
      <vt:variant>
        <vt:i4>0</vt:i4>
      </vt:variant>
      <vt:variant>
        <vt:i4>5</vt:i4>
      </vt:variant>
      <vt:variant>
        <vt:lpwstr/>
      </vt:variant>
      <vt:variant>
        <vt:lpwstr>_Toc148687718</vt:lpwstr>
      </vt:variant>
      <vt:variant>
        <vt:i4>1245238</vt:i4>
      </vt:variant>
      <vt:variant>
        <vt:i4>92</vt:i4>
      </vt:variant>
      <vt:variant>
        <vt:i4>0</vt:i4>
      </vt:variant>
      <vt:variant>
        <vt:i4>5</vt:i4>
      </vt:variant>
      <vt:variant>
        <vt:lpwstr/>
      </vt:variant>
      <vt:variant>
        <vt:lpwstr>_Toc148687717</vt:lpwstr>
      </vt:variant>
      <vt:variant>
        <vt:i4>1245238</vt:i4>
      </vt:variant>
      <vt:variant>
        <vt:i4>86</vt:i4>
      </vt:variant>
      <vt:variant>
        <vt:i4>0</vt:i4>
      </vt:variant>
      <vt:variant>
        <vt:i4>5</vt:i4>
      </vt:variant>
      <vt:variant>
        <vt:lpwstr/>
      </vt:variant>
      <vt:variant>
        <vt:lpwstr>_Toc148687716</vt:lpwstr>
      </vt:variant>
      <vt:variant>
        <vt:i4>1245238</vt:i4>
      </vt:variant>
      <vt:variant>
        <vt:i4>80</vt:i4>
      </vt:variant>
      <vt:variant>
        <vt:i4>0</vt:i4>
      </vt:variant>
      <vt:variant>
        <vt:i4>5</vt:i4>
      </vt:variant>
      <vt:variant>
        <vt:lpwstr/>
      </vt:variant>
      <vt:variant>
        <vt:lpwstr>_Toc148687715</vt:lpwstr>
      </vt:variant>
      <vt:variant>
        <vt:i4>1245238</vt:i4>
      </vt:variant>
      <vt:variant>
        <vt:i4>74</vt:i4>
      </vt:variant>
      <vt:variant>
        <vt:i4>0</vt:i4>
      </vt:variant>
      <vt:variant>
        <vt:i4>5</vt:i4>
      </vt:variant>
      <vt:variant>
        <vt:lpwstr/>
      </vt:variant>
      <vt:variant>
        <vt:lpwstr>_Toc148687714</vt:lpwstr>
      </vt:variant>
      <vt:variant>
        <vt:i4>1245238</vt:i4>
      </vt:variant>
      <vt:variant>
        <vt:i4>68</vt:i4>
      </vt:variant>
      <vt:variant>
        <vt:i4>0</vt:i4>
      </vt:variant>
      <vt:variant>
        <vt:i4>5</vt:i4>
      </vt:variant>
      <vt:variant>
        <vt:lpwstr/>
      </vt:variant>
      <vt:variant>
        <vt:lpwstr>_Toc148687713</vt:lpwstr>
      </vt:variant>
      <vt:variant>
        <vt:i4>1245238</vt:i4>
      </vt:variant>
      <vt:variant>
        <vt:i4>62</vt:i4>
      </vt:variant>
      <vt:variant>
        <vt:i4>0</vt:i4>
      </vt:variant>
      <vt:variant>
        <vt:i4>5</vt:i4>
      </vt:variant>
      <vt:variant>
        <vt:lpwstr/>
      </vt:variant>
      <vt:variant>
        <vt:lpwstr>_Toc148687712</vt:lpwstr>
      </vt:variant>
      <vt:variant>
        <vt:i4>1245238</vt:i4>
      </vt:variant>
      <vt:variant>
        <vt:i4>56</vt:i4>
      </vt:variant>
      <vt:variant>
        <vt:i4>0</vt:i4>
      </vt:variant>
      <vt:variant>
        <vt:i4>5</vt:i4>
      </vt:variant>
      <vt:variant>
        <vt:lpwstr/>
      </vt:variant>
      <vt:variant>
        <vt:lpwstr>_Toc148687711</vt:lpwstr>
      </vt:variant>
      <vt:variant>
        <vt:i4>1245238</vt:i4>
      </vt:variant>
      <vt:variant>
        <vt:i4>50</vt:i4>
      </vt:variant>
      <vt:variant>
        <vt:i4>0</vt:i4>
      </vt:variant>
      <vt:variant>
        <vt:i4>5</vt:i4>
      </vt:variant>
      <vt:variant>
        <vt:lpwstr/>
      </vt:variant>
      <vt:variant>
        <vt:lpwstr>_Toc148687710</vt:lpwstr>
      </vt:variant>
      <vt:variant>
        <vt:i4>1179702</vt:i4>
      </vt:variant>
      <vt:variant>
        <vt:i4>44</vt:i4>
      </vt:variant>
      <vt:variant>
        <vt:i4>0</vt:i4>
      </vt:variant>
      <vt:variant>
        <vt:i4>5</vt:i4>
      </vt:variant>
      <vt:variant>
        <vt:lpwstr/>
      </vt:variant>
      <vt:variant>
        <vt:lpwstr>_Toc148687709</vt:lpwstr>
      </vt:variant>
      <vt:variant>
        <vt:i4>1179702</vt:i4>
      </vt:variant>
      <vt:variant>
        <vt:i4>38</vt:i4>
      </vt:variant>
      <vt:variant>
        <vt:i4>0</vt:i4>
      </vt:variant>
      <vt:variant>
        <vt:i4>5</vt:i4>
      </vt:variant>
      <vt:variant>
        <vt:lpwstr/>
      </vt:variant>
      <vt:variant>
        <vt:lpwstr>_Toc148687708</vt:lpwstr>
      </vt:variant>
      <vt:variant>
        <vt:i4>1179702</vt:i4>
      </vt:variant>
      <vt:variant>
        <vt:i4>32</vt:i4>
      </vt:variant>
      <vt:variant>
        <vt:i4>0</vt:i4>
      </vt:variant>
      <vt:variant>
        <vt:i4>5</vt:i4>
      </vt:variant>
      <vt:variant>
        <vt:lpwstr/>
      </vt:variant>
      <vt:variant>
        <vt:lpwstr>_Toc148687707</vt:lpwstr>
      </vt:variant>
      <vt:variant>
        <vt:i4>1179702</vt:i4>
      </vt:variant>
      <vt:variant>
        <vt:i4>26</vt:i4>
      </vt:variant>
      <vt:variant>
        <vt:i4>0</vt:i4>
      </vt:variant>
      <vt:variant>
        <vt:i4>5</vt:i4>
      </vt:variant>
      <vt:variant>
        <vt:lpwstr/>
      </vt:variant>
      <vt:variant>
        <vt:lpwstr>_Toc148687706</vt:lpwstr>
      </vt:variant>
      <vt:variant>
        <vt:i4>1179702</vt:i4>
      </vt:variant>
      <vt:variant>
        <vt:i4>20</vt:i4>
      </vt:variant>
      <vt:variant>
        <vt:i4>0</vt:i4>
      </vt:variant>
      <vt:variant>
        <vt:i4>5</vt:i4>
      </vt:variant>
      <vt:variant>
        <vt:lpwstr/>
      </vt:variant>
      <vt:variant>
        <vt:lpwstr>_Toc148687705</vt:lpwstr>
      </vt:variant>
      <vt:variant>
        <vt:i4>1179702</vt:i4>
      </vt:variant>
      <vt:variant>
        <vt:i4>14</vt:i4>
      </vt:variant>
      <vt:variant>
        <vt:i4>0</vt:i4>
      </vt:variant>
      <vt:variant>
        <vt:i4>5</vt:i4>
      </vt:variant>
      <vt:variant>
        <vt:lpwstr/>
      </vt:variant>
      <vt:variant>
        <vt:lpwstr>_Toc148687704</vt:lpwstr>
      </vt:variant>
      <vt:variant>
        <vt:i4>1179702</vt:i4>
      </vt:variant>
      <vt:variant>
        <vt:i4>8</vt:i4>
      </vt:variant>
      <vt:variant>
        <vt:i4>0</vt:i4>
      </vt:variant>
      <vt:variant>
        <vt:i4>5</vt:i4>
      </vt:variant>
      <vt:variant>
        <vt:lpwstr/>
      </vt:variant>
      <vt:variant>
        <vt:lpwstr>_Toc148687703</vt:lpwstr>
      </vt:variant>
      <vt:variant>
        <vt:i4>1179702</vt:i4>
      </vt:variant>
      <vt:variant>
        <vt:i4>2</vt:i4>
      </vt:variant>
      <vt:variant>
        <vt:i4>0</vt:i4>
      </vt:variant>
      <vt:variant>
        <vt:i4>5</vt:i4>
      </vt:variant>
      <vt:variant>
        <vt:lpwstr/>
      </vt:variant>
      <vt:variant>
        <vt:lpwstr>_Toc148687702</vt:lpwstr>
      </vt:variant>
      <vt:variant>
        <vt:i4>7864381</vt:i4>
      </vt:variant>
      <vt:variant>
        <vt:i4>387</vt:i4>
      </vt:variant>
      <vt:variant>
        <vt:i4>0</vt:i4>
      </vt:variant>
      <vt:variant>
        <vt:i4>5</vt:i4>
      </vt:variant>
      <vt:variant>
        <vt:lpwstr>https://www.welt.de/politik/deutschland/article230971383/Bundesrat-Kopftuchverbot-durch-die-Hintertuer.html</vt:lpwstr>
      </vt:variant>
      <vt:variant>
        <vt:lpwstr/>
      </vt:variant>
      <vt:variant>
        <vt:i4>2621480</vt:i4>
      </vt:variant>
      <vt:variant>
        <vt:i4>384</vt:i4>
      </vt:variant>
      <vt:variant>
        <vt:i4>0</vt:i4>
      </vt:variant>
      <vt:variant>
        <vt:i4>5</vt:i4>
      </vt:variant>
      <vt:variant>
        <vt:lpwstr>https://dip.bundestag.de/vorgang/.../272243</vt:lpwstr>
      </vt:variant>
      <vt:variant>
        <vt:lpwstr/>
      </vt:variant>
      <vt:variant>
        <vt:i4>8126539</vt:i4>
      </vt:variant>
      <vt:variant>
        <vt:i4>381</vt:i4>
      </vt:variant>
      <vt:variant>
        <vt:i4>0</vt:i4>
      </vt:variant>
      <vt:variant>
        <vt:i4>5</vt:i4>
      </vt:variant>
      <vt:variant>
        <vt:lpwstr>http://www.rechtsprechung-im-internet.de/jportal/portal/t/19ke/page/bsjrsprod.psml?pid=Dokumentanzeige&amp;showdoccase=1&amp;js_peid=Trefferliste&amp;documentnumber=1&amp;numberofresults=10908&amp;fromdoctodoc=yes&amp;doc.id=jb-KVRE451092301&amp;doc.part=L&amp;doc.price=0.0&amp;doc.hl=1</vt:lpwstr>
      </vt:variant>
      <vt:variant>
        <vt:lpwstr>focuspoint</vt:lpwstr>
      </vt:variant>
      <vt:variant>
        <vt:i4>458836</vt:i4>
      </vt:variant>
      <vt:variant>
        <vt:i4>378</vt:i4>
      </vt:variant>
      <vt:variant>
        <vt:i4>0</vt:i4>
      </vt:variant>
      <vt:variant>
        <vt:i4>5</vt:i4>
      </vt:variant>
      <vt:variant>
        <vt:lpwstr>https://www.bundesarbeitsgericht.de/entscheidung/8-azr-62-19</vt:lpwstr>
      </vt:variant>
      <vt:variant>
        <vt:lpwstr/>
      </vt:variant>
      <vt:variant>
        <vt:i4>2162803</vt:i4>
      </vt:variant>
      <vt:variant>
        <vt:i4>375</vt:i4>
      </vt:variant>
      <vt:variant>
        <vt:i4>0</vt:i4>
      </vt:variant>
      <vt:variant>
        <vt:i4>5</vt:i4>
      </vt:variant>
      <vt:variant>
        <vt:lpwstr>https://gesetze.berlin.de/bsbe/document/jlr-VerfArt29GBE2005pP2</vt:lpwstr>
      </vt:variant>
      <vt:variant>
        <vt:lpwstr/>
      </vt:variant>
      <vt:variant>
        <vt:i4>7012473</vt:i4>
      </vt:variant>
      <vt:variant>
        <vt:i4>372</vt:i4>
      </vt:variant>
      <vt:variant>
        <vt:i4>0</vt:i4>
      </vt:variant>
      <vt:variant>
        <vt:i4>5</vt:i4>
      </vt:variant>
      <vt:variant>
        <vt:lpwstr>https://www.rv.hessenrecht.hessen.de/bshe/document/jlr-BGHE2013pP45</vt:lpwstr>
      </vt:variant>
      <vt:variant>
        <vt:lpwstr/>
      </vt:variant>
      <vt:variant>
        <vt:i4>4980854</vt:i4>
      </vt:variant>
      <vt:variant>
        <vt:i4>369</vt:i4>
      </vt:variant>
      <vt:variant>
        <vt:i4>0</vt:i4>
      </vt:variant>
      <vt:variant>
        <vt:i4>5</vt:i4>
      </vt:variant>
      <vt:variant>
        <vt:lpwstr>https://www.bayern.landtag.de/www/ElanTextAblage_WP15/Protokolle/15 Wahlperiode Kopie/15 WP Plenum Kopie/013 PL 170304 ges endg Kopie.pdf</vt:lpwstr>
      </vt:variant>
      <vt:variant>
        <vt:lpwstr/>
      </vt:variant>
      <vt:variant>
        <vt:i4>4128823</vt:i4>
      </vt:variant>
      <vt:variant>
        <vt:i4>366</vt:i4>
      </vt:variant>
      <vt:variant>
        <vt:i4>0</vt:i4>
      </vt:variant>
      <vt:variant>
        <vt:i4>5</vt:i4>
      </vt:variant>
      <vt:variant>
        <vt:lpwstr>https://www.antidiskriminierungsstelle.de/DE/ueber-diskriminierung/lebensbereiche/arbeitsleben/kopftuch-am-arbeitsplatz/kopftuch-am-arbeitsplatz-node.html</vt:lpwstr>
      </vt:variant>
      <vt:variant>
        <vt:lpwstr/>
      </vt:variant>
      <vt:variant>
        <vt:i4>7405672</vt:i4>
      </vt:variant>
      <vt:variant>
        <vt:i4>363</vt:i4>
      </vt:variant>
      <vt:variant>
        <vt:i4>0</vt:i4>
      </vt:variant>
      <vt:variant>
        <vt:i4>5</vt:i4>
      </vt:variant>
      <vt:variant>
        <vt:lpwstr>https://www.amnesty.eu/wp-content/uploads/2022/09/PACE-submission-Islamophobia-1-June-2022.pdf</vt:lpwstr>
      </vt:variant>
      <vt:variant>
        <vt:lpwstr/>
      </vt:variant>
      <vt:variant>
        <vt:i4>1376321</vt:i4>
      </vt:variant>
      <vt:variant>
        <vt:i4>360</vt:i4>
      </vt:variant>
      <vt:variant>
        <vt:i4>0</vt:i4>
      </vt:variant>
      <vt:variant>
        <vt:i4>5</vt:i4>
      </vt:variant>
      <vt:variant>
        <vt:lpwstr>https://www.bundesverfassungsgericht.de/SharedDocs/Pressemitteilungen/DE/2015/bvg15-014.html</vt:lpwstr>
      </vt:variant>
      <vt:variant>
        <vt:lpwstr/>
      </vt:variant>
      <vt:variant>
        <vt:i4>7602181</vt:i4>
      </vt:variant>
      <vt:variant>
        <vt:i4>357</vt:i4>
      </vt:variant>
      <vt:variant>
        <vt:i4>0</vt:i4>
      </vt:variant>
      <vt:variant>
        <vt:i4>5</vt:i4>
      </vt:variant>
      <vt:variant>
        <vt:lpwstr>https://www.bverfg.de/e/ls20221019_1bvl000321.html</vt:lpwstr>
      </vt:variant>
      <vt:variant>
        <vt:lpwstr/>
      </vt:variant>
      <vt:variant>
        <vt:i4>1114125</vt:i4>
      </vt:variant>
      <vt:variant>
        <vt:i4>354</vt:i4>
      </vt:variant>
      <vt:variant>
        <vt:i4>0</vt:i4>
      </vt:variant>
      <vt:variant>
        <vt:i4>5</vt:i4>
      </vt:variant>
      <vt:variant>
        <vt:lpwstr>https://www.amnesty.de/informieren/aktuell/deutschland-asylbewerberleistungsgesetz-abschaffen</vt:lpwstr>
      </vt:variant>
      <vt:variant>
        <vt:lpwstr/>
      </vt:variant>
      <vt:variant>
        <vt:i4>7209051</vt:i4>
      </vt:variant>
      <vt:variant>
        <vt:i4>351</vt:i4>
      </vt:variant>
      <vt:variant>
        <vt:i4>0</vt:i4>
      </vt:variant>
      <vt:variant>
        <vt:i4>5</vt:i4>
      </vt:variant>
      <vt:variant>
        <vt:lpwstr>https://www.bundesverfassungsgericht.de/SharedDocs/Entscheidungen/DE/2012/07/ls20120718_1bvl001010.html.</vt:lpwstr>
      </vt:variant>
      <vt:variant>
        <vt:lpwstr/>
      </vt:variant>
      <vt:variant>
        <vt:i4>1441800</vt:i4>
      </vt:variant>
      <vt:variant>
        <vt:i4>348</vt:i4>
      </vt:variant>
      <vt:variant>
        <vt:i4>0</vt:i4>
      </vt:variant>
      <vt:variant>
        <vt:i4>5</vt:i4>
      </vt:variant>
      <vt:variant>
        <vt:lpwstr>https://www.proasyl.de/wp-content/uploads/221108_PA_Stellungnahme_alles_1_236_last.pdf</vt:lpwstr>
      </vt:variant>
      <vt:variant>
        <vt:lpwstr/>
      </vt:variant>
      <vt:variant>
        <vt:i4>6619141</vt:i4>
      </vt:variant>
      <vt:variant>
        <vt:i4>345</vt:i4>
      </vt:variant>
      <vt:variant>
        <vt:i4>0</vt:i4>
      </vt:variant>
      <vt:variant>
        <vt:i4>5</vt:i4>
      </vt:variant>
      <vt:variant>
        <vt:lpwstr>https://www.rki.de/DE/Content/Gesundheitsmonitoring/Gesundheitsberichterstattung/GBEDownloadsJ/Focus/JoHM_01_2021_Gesundheit_Gefluechteter_RESPOND.pdf?__blob=publicationFile</vt:lpwstr>
      </vt:variant>
      <vt:variant>
        <vt:lpwstr/>
      </vt:variant>
      <vt:variant>
        <vt:i4>7143520</vt:i4>
      </vt:variant>
      <vt:variant>
        <vt:i4>342</vt:i4>
      </vt:variant>
      <vt:variant>
        <vt:i4>0</vt:i4>
      </vt:variant>
      <vt:variant>
        <vt:i4>5</vt:i4>
      </vt:variant>
      <vt:variant>
        <vt:lpwstr>https://www.amnesty.de/2015/12/9/das-asylpaket-ii-menschenrechte-gefahr</vt:lpwstr>
      </vt:variant>
      <vt:variant>
        <vt:lpwstr/>
      </vt:variant>
      <vt:variant>
        <vt:i4>1376378</vt:i4>
      </vt:variant>
      <vt:variant>
        <vt:i4>339</vt:i4>
      </vt:variant>
      <vt:variant>
        <vt:i4>0</vt:i4>
      </vt:variant>
      <vt:variant>
        <vt:i4>5</vt:i4>
      </vt:variant>
      <vt:variant>
        <vt:lpwstr>https://www.gesetze-im-internet.de/asylvfg_1992/BJNR111260992.html</vt:lpwstr>
      </vt:variant>
      <vt:variant>
        <vt:lpwstr>BJNR111260992BJNG000104311</vt:lpwstr>
      </vt:variant>
      <vt:variant>
        <vt:i4>1638469</vt:i4>
      </vt:variant>
      <vt:variant>
        <vt:i4>336</vt:i4>
      </vt:variant>
      <vt:variant>
        <vt:i4>0</vt:i4>
      </vt:variant>
      <vt:variant>
        <vt:i4>5</vt:i4>
      </vt:variant>
      <vt:variant>
        <vt:lpwstr>https://www.bundestag.de/presse/hib/kurzmeldungen-945228</vt:lpwstr>
      </vt:variant>
      <vt:variant>
        <vt:lpwstr/>
      </vt:variant>
      <vt:variant>
        <vt:i4>7209012</vt:i4>
      </vt:variant>
      <vt:variant>
        <vt:i4>333</vt:i4>
      </vt:variant>
      <vt:variant>
        <vt:i4>0</vt:i4>
      </vt:variant>
      <vt:variant>
        <vt:i4>5</vt:i4>
      </vt:variant>
      <vt:variant>
        <vt:lpwstr>https://www.auswaertiges-amt.de/en/newsroom/news/-/2561510</vt:lpwstr>
      </vt:variant>
      <vt:variant>
        <vt:lpwstr/>
      </vt:variant>
      <vt:variant>
        <vt:i4>7471154</vt:i4>
      </vt:variant>
      <vt:variant>
        <vt:i4>330</vt:i4>
      </vt:variant>
      <vt:variant>
        <vt:i4>0</vt:i4>
      </vt:variant>
      <vt:variant>
        <vt:i4>5</vt:i4>
      </vt:variant>
      <vt:variant>
        <vt:lpwstr>https://spcommreports.ohchr.org/TMResultsBase/DownLoadPublicCommunicationFile?gId=27875</vt:lpwstr>
      </vt:variant>
      <vt:variant>
        <vt:lpwstr/>
      </vt:variant>
      <vt:variant>
        <vt:i4>7471154</vt:i4>
      </vt:variant>
      <vt:variant>
        <vt:i4>327</vt:i4>
      </vt:variant>
      <vt:variant>
        <vt:i4>0</vt:i4>
      </vt:variant>
      <vt:variant>
        <vt:i4>5</vt:i4>
      </vt:variant>
      <vt:variant>
        <vt:lpwstr>https://spcommreports.ohchr.org/TMResultsBase/DownLoadPublicCommunicationFile?gId=27875</vt:lpwstr>
      </vt:variant>
      <vt:variant>
        <vt:lpwstr/>
      </vt:variant>
      <vt:variant>
        <vt:i4>6684735</vt:i4>
      </vt:variant>
      <vt:variant>
        <vt:i4>324</vt:i4>
      </vt:variant>
      <vt:variant>
        <vt:i4>0</vt:i4>
      </vt:variant>
      <vt:variant>
        <vt:i4>5</vt:i4>
      </vt:variant>
      <vt:variant>
        <vt:lpwstr>https://www.auswaertiges-amt.de/en/newsroom/news/-/2463598</vt:lpwstr>
      </vt:variant>
      <vt:variant>
        <vt:lpwstr/>
      </vt:variant>
      <vt:variant>
        <vt:i4>6619232</vt:i4>
      </vt:variant>
      <vt:variant>
        <vt:i4>321</vt:i4>
      </vt:variant>
      <vt:variant>
        <vt:i4>0</vt:i4>
      </vt:variant>
      <vt:variant>
        <vt:i4>5</vt:i4>
      </vt:variant>
      <vt:variant>
        <vt:lpwstr>https://www.parliament.na/wp-content/uploads/2021/09/Joint-Declaration-Document-Genocide-rt.pdf</vt:lpwstr>
      </vt:variant>
      <vt:variant>
        <vt:lpwstr/>
      </vt:variant>
      <vt:variant>
        <vt:i4>7471154</vt:i4>
      </vt:variant>
      <vt:variant>
        <vt:i4>318</vt:i4>
      </vt:variant>
      <vt:variant>
        <vt:i4>0</vt:i4>
      </vt:variant>
      <vt:variant>
        <vt:i4>5</vt:i4>
      </vt:variant>
      <vt:variant>
        <vt:lpwstr>https://spcommreports.ohchr.org/TMResultsBase/DownLoadPublicCommunicationFile?gId=27875</vt:lpwstr>
      </vt:variant>
      <vt:variant>
        <vt:lpwstr/>
      </vt:variant>
      <vt:variant>
        <vt:i4>6750249</vt:i4>
      </vt:variant>
      <vt:variant>
        <vt:i4>315</vt:i4>
      </vt:variant>
      <vt:variant>
        <vt:i4>0</vt:i4>
      </vt:variant>
      <vt:variant>
        <vt:i4>5</vt:i4>
      </vt:variant>
      <vt:variant>
        <vt:lpwstr>https://www.antidiskriminierungsstelle.de/SharedDocs/pressemitteilungen/DE/2023/20230911_Erklaerung_Beauftragte.html</vt:lpwstr>
      </vt:variant>
      <vt:variant>
        <vt:lpwstr/>
      </vt:variant>
      <vt:variant>
        <vt:i4>3932279</vt:i4>
      </vt:variant>
      <vt:variant>
        <vt:i4>312</vt:i4>
      </vt:variant>
      <vt:variant>
        <vt:i4>0</vt:i4>
      </vt:variant>
      <vt:variant>
        <vt:i4>5</vt:i4>
      </vt:variant>
      <vt:variant>
        <vt:lpwstr>https://www.dezim-institut.de/publikationen/publikation-detail/hate-speech-aber-normal/</vt:lpwstr>
      </vt:variant>
      <vt:variant>
        <vt:lpwstr/>
      </vt:variant>
      <vt:variant>
        <vt:i4>1245195</vt:i4>
      </vt:variant>
      <vt:variant>
        <vt:i4>309</vt:i4>
      </vt:variant>
      <vt:variant>
        <vt:i4>0</vt:i4>
      </vt:variant>
      <vt:variant>
        <vt:i4>5</vt:i4>
      </vt:variant>
      <vt:variant>
        <vt:lpwstr>https://www.amnesty.org/en/documents/eur23/7180/2023/en/</vt:lpwstr>
      </vt:variant>
      <vt:variant>
        <vt:lpwstr/>
      </vt:variant>
      <vt:variant>
        <vt:i4>3276904</vt:i4>
      </vt:variant>
      <vt:variant>
        <vt:i4>306</vt:i4>
      </vt:variant>
      <vt:variant>
        <vt:i4>0</vt:i4>
      </vt:variant>
      <vt:variant>
        <vt:i4>5</vt:i4>
      </vt:variant>
      <vt:variant>
        <vt:lpwstr>https://www.bmi.bund.de/SharedDocs/pressemitteilungen/DE/2023/08/diskussionsentwuerfe.html</vt:lpwstr>
      </vt:variant>
      <vt:variant>
        <vt:lpwstr/>
      </vt:variant>
      <vt:variant>
        <vt:i4>917525</vt:i4>
      </vt:variant>
      <vt:variant>
        <vt:i4>303</vt:i4>
      </vt:variant>
      <vt:variant>
        <vt:i4>0</vt:i4>
      </vt:variant>
      <vt:variant>
        <vt:i4>5</vt:i4>
      </vt:variant>
      <vt:variant>
        <vt:lpwstr>https://www.cilip.de/2022/08/12/clankriminalitaet-in-lagebildern-unklare-definitionen-eindeutiger-rassismus/</vt:lpwstr>
      </vt:variant>
      <vt:variant>
        <vt:lpwstr/>
      </vt:variant>
      <vt:variant>
        <vt:i4>5963792</vt:i4>
      </vt:variant>
      <vt:variant>
        <vt:i4>300</vt:i4>
      </vt:variant>
      <vt:variant>
        <vt:i4>0</vt:i4>
      </vt:variant>
      <vt:variant>
        <vt:i4>5</vt:i4>
      </vt:variant>
      <vt:variant>
        <vt:lpwstr>https://www.zeit.de/politik/deutschland/2023-07/carsten-linnemann-gewalt-freibad-berlin-schnellverfahren</vt:lpwstr>
      </vt:variant>
      <vt:variant>
        <vt:lpwstr/>
      </vt:variant>
      <vt:variant>
        <vt:i4>2162703</vt:i4>
      </vt:variant>
      <vt:variant>
        <vt:i4>297</vt:i4>
      </vt:variant>
      <vt:variant>
        <vt:i4>0</vt:i4>
      </vt:variant>
      <vt:variant>
        <vt:i4>5</vt:i4>
      </vt:variant>
      <vt:variant>
        <vt:lpwstr>https://www.polsoz.fu-berlin.de/polwiss/forschung/international/vorderer-orient/publikation/working_papers/wp_16/WP16_Sarah-Klemm.pdf</vt:lpwstr>
      </vt:variant>
      <vt:variant>
        <vt:lpwstr/>
      </vt:variant>
      <vt:variant>
        <vt:i4>4390996</vt:i4>
      </vt:variant>
      <vt:variant>
        <vt:i4>294</vt:i4>
      </vt:variant>
      <vt:variant>
        <vt:i4>0</vt:i4>
      </vt:variant>
      <vt:variant>
        <vt:i4>5</vt:i4>
      </vt:variant>
      <vt:variant>
        <vt:lpwstr>https://www.zdf.de/nachrichten/politik/lanz-merz-silvesternacht-integration-100.html</vt:lpwstr>
      </vt:variant>
      <vt:variant>
        <vt:lpwstr/>
      </vt:variant>
      <vt:variant>
        <vt:i4>7077947</vt:i4>
      </vt:variant>
      <vt:variant>
        <vt:i4>291</vt:i4>
      </vt:variant>
      <vt:variant>
        <vt:i4>0</vt:i4>
      </vt:variant>
      <vt:variant>
        <vt:i4>5</vt:i4>
      </vt:variant>
      <vt:variant>
        <vt:lpwstr>https://www.zdf.de/nachrichten/heute-sendungen/videos/alice-weidel-ordnungsruf-100.html</vt:lpwstr>
      </vt:variant>
      <vt:variant>
        <vt:lpwstr/>
      </vt:variant>
      <vt:variant>
        <vt:i4>5439507</vt:i4>
      </vt:variant>
      <vt:variant>
        <vt:i4>288</vt:i4>
      </vt:variant>
      <vt:variant>
        <vt:i4>0</vt:i4>
      </vt:variant>
      <vt:variant>
        <vt:i4>5</vt:i4>
      </vt:variant>
      <vt:variant>
        <vt:lpwstr>https://mediendienst-integration.de/artikel/wie-oft-nennen-medien-die-herkunft-von-tatverdaechtigen.html</vt:lpwstr>
      </vt:variant>
      <vt:variant>
        <vt:lpwstr/>
      </vt:variant>
      <vt:variant>
        <vt:i4>2818108</vt:i4>
      </vt:variant>
      <vt:variant>
        <vt:i4>284</vt:i4>
      </vt:variant>
      <vt:variant>
        <vt:i4>0</vt:i4>
      </vt:variant>
      <vt:variant>
        <vt:i4>5</vt:i4>
      </vt:variant>
      <vt:variant>
        <vt:lpwstr>https://www.bmi.bund.de/SharedDocs/pressemitteilungen/DE/2023/06/uem-abschlussbericht.html</vt:lpwstr>
      </vt:variant>
      <vt:variant>
        <vt:lpwstr/>
      </vt:variant>
      <vt:variant>
        <vt:i4>2818108</vt:i4>
      </vt:variant>
      <vt:variant>
        <vt:i4>282</vt:i4>
      </vt:variant>
      <vt:variant>
        <vt:i4>0</vt:i4>
      </vt:variant>
      <vt:variant>
        <vt:i4>5</vt:i4>
      </vt:variant>
      <vt:variant>
        <vt:lpwstr>https://www.bmi.bund.de/SharedDocs/pressemitteilungen/DE/2023/06/uem-abschlussbericht.html</vt:lpwstr>
      </vt:variant>
      <vt:variant>
        <vt:lpwstr/>
      </vt:variant>
      <vt:variant>
        <vt:i4>6422627</vt:i4>
      </vt:variant>
      <vt:variant>
        <vt:i4>279</vt:i4>
      </vt:variant>
      <vt:variant>
        <vt:i4>0</vt:i4>
      </vt:variant>
      <vt:variant>
        <vt:i4>5</vt:i4>
      </vt:variant>
      <vt:variant>
        <vt:lpwstr>https://www.focus.de/politik/deutschland/ergebnis-einer-umfrage-deutsche-stehen-ukraine-gefluechteten-positiver-gegenueber-als-anderen-migranten_id_77665450.html</vt:lpwstr>
      </vt:variant>
      <vt:variant>
        <vt:lpwstr/>
      </vt:variant>
      <vt:variant>
        <vt:i4>7405672</vt:i4>
      </vt:variant>
      <vt:variant>
        <vt:i4>276</vt:i4>
      </vt:variant>
      <vt:variant>
        <vt:i4>0</vt:i4>
      </vt:variant>
      <vt:variant>
        <vt:i4>5</vt:i4>
      </vt:variant>
      <vt:variant>
        <vt:lpwstr>https://www.amnesty.eu/wp-content/uploads/2022/09/PACE-submission-Islamophobia-1-June-2022.pdf</vt:lpwstr>
      </vt:variant>
      <vt:variant>
        <vt:lpwstr/>
      </vt:variant>
      <vt:variant>
        <vt:i4>7077909</vt:i4>
      </vt:variant>
      <vt:variant>
        <vt:i4>273</vt:i4>
      </vt:variant>
      <vt:variant>
        <vt:i4>0</vt:i4>
      </vt:variant>
      <vt:variant>
        <vt:i4>5</vt:i4>
      </vt:variant>
      <vt:variant>
        <vt:lpwstr>https://tbinternet.ohchr.org/_layouts/15/treatybodyexternal/Download.aspx?symbolno=INT%2FCERD%2FNGO%2FDEU%2F19968&amp;Lang=en</vt:lpwstr>
      </vt:variant>
      <vt:variant>
        <vt:lpwstr/>
      </vt:variant>
      <vt:variant>
        <vt:i4>5111874</vt:i4>
      </vt:variant>
      <vt:variant>
        <vt:i4>270</vt:i4>
      </vt:variant>
      <vt:variant>
        <vt:i4>0</vt:i4>
      </vt:variant>
      <vt:variant>
        <vt:i4>5</vt:i4>
      </vt:variant>
      <vt:variant>
        <vt:lpwstr>https://www.institut-fuer-menschenrechte.de/publikationen/detail/rassismus-in-der-strafverfolgung-von-der-notwendigkeit-struktureller-veraenderungen</vt:lpwstr>
      </vt:variant>
      <vt:variant>
        <vt:lpwstr/>
      </vt:variant>
      <vt:variant>
        <vt:i4>5373955</vt:i4>
      </vt:variant>
      <vt:variant>
        <vt:i4>267</vt:i4>
      </vt:variant>
      <vt:variant>
        <vt:i4>0</vt:i4>
      </vt:variant>
      <vt:variant>
        <vt:i4>5</vt:i4>
      </vt:variant>
      <vt:variant>
        <vt:lpwstr>https://www.bmfsfj.de/resource/blob/116798/5fc38044a1dd8edec34de568ad59e2b9/nationaler-aktionsplan-rassismus-data.pdf</vt:lpwstr>
      </vt:variant>
      <vt:variant>
        <vt:lpwstr/>
      </vt:variant>
      <vt:variant>
        <vt:i4>1572893</vt:i4>
      </vt:variant>
      <vt:variant>
        <vt:i4>264</vt:i4>
      </vt:variant>
      <vt:variant>
        <vt:i4>0</vt:i4>
      </vt:variant>
      <vt:variant>
        <vt:i4>5</vt:i4>
      </vt:variant>
      <vt:variant>
        <vt:lpwstr>https://www.bmfsfj.de/bmfsfj/meta/en/the-ministry/the-ministry-112048</vt:lpwstr>
      </vt:variant>
      <vt:variant>
        <vt:lpwstr/>
      </vt:variant>
      <vt:variant>
        <vt:i4>5898263</vt:i4>
      </vt:variant>
      <vt:variant>
        <vt:i4>261</vt:i4>
      </vt:variant>
      <vt:variant>
        <vt:i4>0</vt:i4>
      </vt:variant>
      <vt:variant>
        <vt:i4>5</vt:i4>
      </vt:variant>
      <vt:variant>
        <vt:lpwstr>https://www.integrationsbeauftragte.de/resource/blob/1864320/2157012/77c8d1dddeea760bc13dbd87ee9a415f/lagebericht-rassismus-komplett-data.pdf?download=1,</vt:lpwstr>
      </vt:variant>
      <vt:variant>
        <vt:lpwstr/>
      </vt:variant>
      <vt:variant>
        <vt:i4>1114182</vt:i4>
      </vt:variant>
      <vt:variant>
        <vt:i4>258</vt:i4>
      </vt:variant>
      <vt:variant>
        <vt:i4>0</vt:i4>
      </vt:variant>
      <vt:variant>
        <vt:i4>5</vt:i4>
      </vt:variant>
      <vt:variant>
        <vt:lpwstr>https://rm.coe.int/ecri-general-policy-recommendation-no-11-on-combating-racism-and-racia/16808b5adf</vt:lpwstr>
      </vt:variant>
      <vt:variant>
        <vt:lpwstr/>
      </vt:variant>
      <vt:variant>
        <vt:i4>2097252</vt:i4>
      </vt:variant>
      <vt:variant>
        <vt:i4>255</vt:i4>
      </vt:variant>
      <vt:variant>
        <vt:i4>0</vt:i4>
      </vt:variant>
      <vt:variant>
        <vt:i4>5</vt:i4>
      </vt:variant>
      <vt:variant>
        <vt:lpwstr>https://verband-brg.de/rechte-rassistische-und-antisemitische-gewalt-in-deutschland-2022-jahresbilanzen-der-opferberatungsstellen/</vt:lpwstr>
      </vt:variant>
      <vt:variant>
        <vt:lpwstr/>
      </vt:variant>
      <vt:variant>
        <vt:i4>1376268</vt:i4>
      </vt:variant>
      <vt:variant>
        <vt:i4>252</vt:i4>
      </vt:variant>
      <vt:variant>
        <vt:i4>0</vt:i4>
      </vt:variant>
      <vt:variant>
        <vt:i4>5</vt:i4>
      </vt:variant>
      <vt:variant>
        <vt:lpwstr>https://www.zdf.de/nachrichten/panorama/angriff-fluechtlinge-sachsen-sebnitz-100.html</vt:lpwstr>
      </vt:variant>
      <vt:variant>
        <vt:lpwstr/>
      </vt:variant>
      <vt:variant>
        <vt:i4>1376344</vt:i4>
      </vt:variant>
      <vt:variant>
        <vt:i4>249</vt:i4>
      </vt:variant>
      <vt:variant>
        <vt:i4>0</vt:i4>
      </vt:variant>
      <vt:variant>
        <vt:i4>5</vt:i4>
      </vt:variant>
      <vt:variant>
        <vt:lpwstr>https://www.tagesschau.de/inland/angriffe-fluechtlingsheime-100.html</vt:lpwstr>
      </vt:variant>
      <vt:variant>
        <vt:lpwstr/>
      </vt:variant>
      <vt:variant>
        <vt:i4>6946926</vt:i4>
      </vt:variant>
      <vt:variant>
        <vt:i4>246</vt:i4>
      </vt:variant>
      <vt:variant>
        <vt:i4>0</vt:i4>
      </vt:variant>
      <vt:variant>
        <vt:i4>5</vt:i4>
      </vt:variant>
      <vt:variant>
        <vt:lpwstr>https://dserver.bundestag.de/btd/20/057/2005773.pdf</vt:lpwstr>
      </vt:variant>
      <vt:variant>
        <vt:lpwstr/>
      </vt:variant>
      <vt:variant>
        <vt:i4>3342436</vt:i4>
      </vt:variant>
      <vt:variant>
        <vt:i4>243</vt:i4>
      </vt:variant>
      <vt:variant>
        <vt:i4>0</vt:i4>
      </vt:variant>
      <vt:variant>
        <vt:i4>5</vt:i4>
      </vt:variant>
      <vt:variant>
        <vt:lpwstr>https://www.amnesty.org/en/documents/EUR23/4112/2016/en</vt:lpwstr>
      </vt:variant>
      <vt:variant>
        <vt:lpwstr/>
      </vt:variant>
      <vt:variant>
        <vt:i4>1376275</vt:i4>
      </vt:variant>
      <vt:variant>
        <vt:i4>240</vt:i4>
      </vt:variant>
      <vt:variant>
        <vt:i4>0</vt:i4>
      </vt:variant>
      <vt:variant>
        <vt:i4>5</vt:i4>
      </vt:variant>
      <vt:variant>
        <vt:lpwstr>https://www.amnesty.org/en/documents/pol10/3202/2021/en/</vt:lpwstr>
      </vt:variant>
      <vt:variant>
        <vt:lpwstr/>
      </vt:variant>
      <vt:variant>
        <vt:i4>7471154</vt:i4>
      </vt:variant>
      <vt:variant>
        <vt:i4>237</vt:i4>
      </vt:variant>
      <vt:variant>
        <vt:i4>0</vt:i4>
      </vt:variant>
      <vt:variant>
        <vt:i4>5</vt:i4>
      </vt:variant>
      <vt:variant>
        <vt:lpwstr>https://taz.de/Ausreiseforderung-aus-Deutschland/!5941454/</vt:lpwstr>
      </vt:variant>
      <vt:variant>
        <vt:lpwstr/>
      </vt:variant>
      <vt:variant>
        <vt:i4>5898259</vt:i4>
      </vt:variant>
      <vt:variant>
        <vt:i4>234</vt:i4>
      </vt:variant>
      <vt:variant>
        <vt:i4>0</vt:i4>
      </vt:variant>
      <vt:variant>
        <vt:i4>5</vt:i4>
      </vt:variant>
      <vt:variant>
        <vt:lpwstr>https://fragdenstaat.de/blog/2023/05/30/anschlag-hanau-hessische-polizei-interner-bericht-fehler/</vt:lpwstr>
      </vt:variant>
      <vt:variant>
        <vt:lpwstr/>
      </vt:variant>
      <vt:variant>
        <vt:i4>3211324</vt:i4>
      </vt:variant>
      <vt:variant>
        <vt:i4>231</vt:i4>
      </vt:variant>
      <vt:variant>
        <vt:i4>0</vt:i4>
      </vt:variant>
      <vt:variant>
        <vt:i4>5</vt:i4>
      </vt:variant>
      <vt:variant>
        <vt:lpwstr>https://www.fr.de/rhein-main/terror-in-hanau-sti1519756/exklusiv-rechtsextremismus-terror-von-hanau-chaos-beim-polizeieinsatz-92309241.html</vt:lpwstr>
      </vt:variant>
      <vt:variant>
        <vt:lpwstr/>
      </vt:variant>
      <vt:variant>
        <vt:i4>1572871</vt:i4>
      </vt:variant>
      <vt:variant>
        <vt:i4>228</vt:i4>
      </vt:variant>
      <vt:variant>
        <vt:i4>0</vt:i4>
      </vt:variant>
      <vt:variant>
        <vt:i4>5</vt:i4>
      </vt:variant>
      <vt:variant>
        <vt:lpwstr>https://19feb-hanau.org/2023/05/30/interner-bericht-bestaetigt-polizei-versagen/</vt:lpwstr>
      </vt:variant>
      <vt:variant>
        <vt:lpwstr/>
      </vt:variant>
      <vt:variant>
        <vt:i4>7405694</vt:i4>
      </vt:variant>
      <vt:variant>
        <vt:i4>225</vt:i4>
      </vt:variant>
      <vt:variant>
        <vt:i4>0</vt:i4>
      </vt:variant>
      <vt:variant>
        <vt:i4>5</vt:i4>
      </vt:variant>
      <vt:variant>
        <vt:lpwstr>https://kein-abschlussbericht.org/</vt:lpwstr>
      </vt:variant>
      <vt:variant>
        <vt:lpwstr/>
      </vt:variant>
      <vt:variant>
        <vt:i4>6684793</vt:i4>
      </vt:variant>
      <vt:variant>
        <vt:i4>222</vt:i4>
      </vt:variant>
      <vt:variant>
        <vt:i4>0</vt:i4>
      </vt:variant>
      <vt:variant>
        <vt:i4>5</vt:i4>
      </vt:variant>
      <vt:variant>
        <vt:lpwstr>https://www.belltower.news/das-manifest-des-hanau-attentaeters-zwischen-rechtsextremismus-und-frauenhass-frauenfeind-aber-kein-incel-97509/</vt:lpwstr>
      </vt:variant>
      <vt:variant>
        <vt:lpwstr/>
      </vt:variant>
      <vt:variant>
        <vt:i4>3801205</vt:i4>
      </vt:variant>
      <vt:variant>
        <vt:i4>219</vt:i4>
      </vt:variant>
      <vt:variant>
        <vt:i4>0</vt:i4>
      </vt:variant>
      <vt:variant>
        <vt:i4>5</vt:i4>
      </vt:variant>
      <vt:variant>
        <vt:lpwstr>https://www.amnesty.de/allgemein/pressemitteilung/deutschland-hanau-anschlag-jahrestag-rassismus-entgegentreten</vt:lpwstr>
      </vt:variant>
      <vt:variant>
        <vt:lpwstr/>
      </vt:variant>
      <vt:variant>
        <vt:i4>8126563</vt:i4>
      </vt:variant>
      <vt:variant>
        <vt:i4>216</vt:i4>
      </vt:variant>
      <vt:variant>
        <vt:i4>0</vt:i4>
      </vt:variant>
      <vt:variant>
        <vt:i4>5</vt:i4>
      </vt:variant>
      <vt:variant>
        <vt:lpwstr>https://www.amnesty.de/informieren/aktuell/deutschland-halle-dritter-jahrestag-des-anschlags-antisemitismus</vt:lpwstr>
      </vt:variant>
      <vt:variant>
        <vt:lpwstr/>
      </vt:variant>
      <vt:variant>
        <vt:i4>4522065</vt:i4>
      </vt:variant>
      <vt:variant>
        <vt:i4>213</vt:i4>
      </vt:variant>
      <vt:variant>
        <vt:i4>0</vt:i4>
      </vt:variant>
      <vt:variant>
        <vt:i4>5</vt:i4>
      </vt:variant>
      <vt:variant>
        <vt:lpwstr>https://www.amnesty.de/informieren/aktuell/deutschland-oez-terroranschlag-muenchen-rassismus</vt:lpwstr>
      </vt:variant>
      <vt:variant>
        <vt:lpwstr/>
      </vt:variant>
      <vt:variant>
        <vt:i4>7602289</vt:i4>
      </vt:variant>
      <vt:variant>
        <vt:i4>210</vt:i4>
      </vt:variant>
      <vt:variant>
        <vt:i4>0</vt:i4>
      </vt:variant>
      <vt:variant>
        <vt:i4>5</vt:i4>
      </vt:variant>
      <vt:variant>
        <vt:lpwstr>https://mediendienst-integration.de/artikel/der-verkannte-anschlag.html</vt:lpwstr>
      </vt:variant>
      <vt:variant>
        <vt:lpwstr/>
      </vt:variant>
      <vt:variant>
        <vt:i4>786458</vt:i4>
      </vt:variant>
      <vt:variant>
        <vt:i4>207</vt:i4>
      </vt:variant>
      <vt:variant>
        <vt:i4>0</vt:i4>
      </vt:variant>
      <vt:variant>
        <vt:i4>5</vt:i4>
      </vt:variant>
      <vt:variant>
        <vt:lpwstr>https://www.amnesty.de/allgemein/pressemitteilung/deutschland-zehn-jahre-nsu-selbstenttarnung-polizei-bilanz</vt:lpwstr>
      </vt:variant>
      <vt:variant>
        <vt:lpwstr/>
      </vt:variant>
      <vt:variant>
        <vt:i4>2359420</vt:i4>
      </vt:variant>
      <vt:variant>
        <vt:i4>204</vt:i4>
      </vt:variant>
      <vt:variant>
        <vt:i4>0</vt:i4>
      </vt:variant>
      <vt:variant>
        <vt:i4>5</vt:i4>
      </vt:variant>
      <vt:variant>
        <vt:lpwstr>https://www.mdr.de/geschichte/zeitgeschichte-gegenwart/politik-gesellschaft/nsu-urteil-morde-prozess-zschaepe-mundlos-100.html</vt:lpwstr>
      </vt:variant>
      <vt:variant>
        <vt:lpwstr/>
      </vt:variant>
      <vt:variant>
        <vt:i4>2031680</vt:i4>
      </vt:variant>
      <vt:variant>
        <vt:i4>201</vt:i4>
      </vt:variant>
      <vt:variant>
        <vt:i4>0</vt:i4>
      </vt:variant>
      <vt:variant>
        <vt:i4>5</vt:i4>
      </vt:variant>
      <vt:variant>
        <vt:lpwstr>https://www.gesetze-bayern.de/Content/Document/Y-300-Z-BECKRS-B-2018-N-051467?hl=true</vt:lpwstr>
      </vt:variant>
      <vt:variant>
        <vt:lpwstr/>
      </vt:variant>
      <vt:variant>
        <vt:i4>4259863</vt:i4>
      </vt:variant>
      <vt:variant>
        <vt:i4>198</vt:i4>
      </vt:variant>
      <vt:variant>
        <vt:i4>0</vt:i4>
      </vt:variant>
      <vt:variant>
        <vt:i4>5</vt:i4>
      </vt:variant>
      <vt:variant>
        <vt:lpwstr>https://www.amnesty.de/informieren/aktuell/deutschland-nsu-urteil-darf-kein-schlussstrich-sein-rolle-von-institutionellem</vt:lpwstr>
      </vt:variant>
      <vt:variant>
        <vt:lpwstr/>
      </vt:variant>
      <vt:variant>
        <vt:i4>6488166</vt:i4>
      </vt:variant>
      <vt:variant>
        <vt:i4>195</vt:i4>
      </vt:variant>
      <vt:variant>
        <vt:i4>0</vt:i4>
      </vt:variant>
      <vt:variant>
        <vt:i4>5</vt:i4>
      </vt:variant>
      <vt:variant>
        <vt:lpwstr>https://dserver.bundestag.de/btd/18/129/1812950.pdf</vt:lpwstr>
      </vt:variant>
      <vt:variant>
        <vt:lpwstr/>
      </vt:variant>
      <vt:variant>
        <vt:i4>3342436</vt:i4>
      </vt:variant>
      <vt:variant>
        <vt:i4>192</vt:i4>
      </vt:variant>
      <vt:variant>
        <vt:i4>0</vt:i4>
      </vt:variant>
      <vt:variant>
        <vt:i4>5</vt:i4>
      </vt:variant>
      <vt:variant>
        <vt:lpwstr>https://www.amnesty.org/en/documents/EUR23/4112/2016/en</vt:lpwstr>
      </vt:variant>
      <vt:variant>
        <vt:lpwstr/>
      </vt:variant>
      <vt:variant>
        <vt:i4>2949217</vt:i4>
      </vt:variant>
      <vt:variant>
        <vt:i4>189</vt:i4>
      </vt:variant>
      <vt:variant>
        <vt:i4>0</vt:i4>
      </vt:variant>
      <vt:variant>
        <vt:i4>5</vt:i4>
      </vt:variant>
      <vt:variant>
        <vt:lpwstr>https://www.bka.de/SharedDocs/Kurzmeldungen/DE/Kurzmeldungen/230509_PMK_PK.html</vt:lpwstr>
      </vt:variant>
      <vt:variant>
        <vt:lpwstr/>
      </vt:variant>
      <vt:variant>
        <vt:i4>1835018</vt:i4>
      </vt:variant>
      <vt:variant>
        <vt:i4>186</vt:i4>
      </vt:variant>
      <vt:variant>
        <vt:i4>0</vt:i4>
      </vt:variant>
      <vt:variant>
        <vt:i4>5</vt:i4>
      </vt:variant>
      <vt:variant>
        <vt:lpwstr>https://www.amnesty.org/en/documents/EUR23/4112/2016/en/</vt:lpwstr>
      </vt:variant>
      <vt:variant>
        <vt:lpwstr/>
      </vt:variant>
      <vt:variant>
        <vt:i4>4915203</vt:i4>
      </vt:variant>
      <vt:variant>
        <vt:i4>180</vt:i4>
      </vt:variant>
      <vt:variant>
        <vt:i4>0</vt:i4>
      </vt:variant>
      <vt:variant>
        <vt:i4>5</vt:i4>
      </vt:variant>
      <vt:variant>
        <vt:lpwstr>https://initiativeouryjalloh.wordpress.com/2023/07/05/klage-vor-dem-europaischen-gerichtshof/</vt:lpwstr>
      </vt:variant>
      <vt:variant>
        <vt:lpwstr/>
      </vt:variant>
      <vt:variant>
        <vt:i4>3801137</vt:i4>
      </vt:variant>
      <vt:variant>
        <vt:i4>177</vt:i4>
      </vt:variant>
      <vt:variant>
        <vt:i4>0</vt:i4>
      </vt:variant>
      <vt:variant>
        <vt:i4>5</vt:i4>
      </vt:variant>
      <vt:variant>
        <vt:lpwstr>https://www.amnesty.org/en/documents/eur23/002/2010/en/</vt:lpwstr>
      </vt:variant>
      <vt:variant>
        <vt:lpwstr/>
      </vt:variant>
      <vt:variant>
        <vt:i4>6029384</vt:i4>
      </vt:variant>
      <vt:variant>
        <vt:i4>174</vt:i4>
      </vt:variant>
      <vt:variant>
        <vt:i4>0</vt:i4>
      </vt:variant>
      <vt:variant>
        <vt:i4>5</vt:i4>
      </vt:variant>
      <vt:variant>
        <vt:lpwstr>https://www1.wdr.de/nachrichten/ruhrgebiet/jahrestag-toedlich-schuesse-mouhamed-dortmund-100.html</vt:lpwstr>
      </vt:variant>
      <vt:variant>
        <vt:lpwstr/>
      </vt:variant>
      <vt:variant>
        <vt:i4>3997748</vt:i4>
      </vt:variant>
      <vt:variant>
        <vt:i4>171</vt:i4>
      </vt:variant>
      <vt:variant>
        <vt:i4>0</vt:i4>
      </vt:variant>
      <vt:variant>
        <vt:i4>5</vt:i4>
      </vt:variant>
      <vt:variant>
        <vt:lpwstr>https://www1.wdr.de/nachrichten/ruhrgebiet/anklagen-fall-mouhamed-100.html</vt:lpwstr>
      </vt:variant>
      <vt:variant>
        <vt:lpwstr/>
      </vt:variant>
      <vt:variant>
        <vt:i4>4325466</vt:i4>
      </vt:variant>
      <vt:variant>
        <vt:i4>168</vt:i4>
      </vt:variant>
      <vt:variant>
        <vt:i4>0</vt:i4>
      </vt:variant>
      <vt:variant>
        <vt:i4>5</vt:i4>
      </vt:variant>
      <vt:variant>
        <vt:lpwstr>https://taz.de/Polizist-erschiesst-Teenager/!5872147/</vt:lpwstr>
      </vt:variant>
      <vt:variant>
        <vt:lpwstr/>
      </vt:variant>
      <vt:variant>
        <vt:i4>6684798</vt:i4>
      </vt:variant>
      <vt:variant>
        <vt:i4>165</vt:i4>
      </vt:variant>
      <vt:variant>
        <vt:i4>0</vt:i4>
      </vt:variant>
      <vt:variant>
        <vt:i4>5</vt:i4>
      </vt:variant>
      <vt:variant>
        <vt:lpwstr>https://www.amnesty.org/en/location/europe-and-central-asia/germany/report-germany/</vt:lpwstr>
      </vt:variant>
      <vt:variant>
        <vt:lpwstr/>
      </vt:variant>
      <vt:variant>
        <vt:i4>4325392</vt:i4>
      </vt:variant>
      <vt:variant>
        <vt:i4>162</vt:i4>
      </vt:variant>
      <vt:variant>
        <vt:i4>0</vt:i4>
      </vt:variant>
      <vt:variant>
        <vt:i4>5</vt:i4>
      </vt:variant>
      <vt:variant>
        <vt:lpwstr>https://doku.deathincustody.info/</vt:lpwstr>
      </vt:variant>
      <vt:variant>
        <vt:lpwstr/>
      </vt:variant>
      <vt:variant>
        <vt:i4>7143507</vt:i4>
      </vt:variant>
      <vt:variant>
        <vt:i4>159</vt:i4>
      </vt:variant>
      <vt:variant>
        <vt:i4>0</vt:i4>
      </vt:variant>
      <vt:variant>
        <vt:i4>5</vt:i4>
      </vt:variant>
      <vt:variant>
        <vt:lpwstr>https://kviapol.uni-frankfurt.de/images/pdf/en/Executive Summary_Gewalt im Amt.pdf</vt:lpwstr>
      </vt:variant>
      <vt:variant>
        <vt:lpwstr/>
      </vt:variant>
      <vt:variant>
        <vt:i4>7143457</vt:i4>
      </vt:variant>
      <vt:variant>
        <vt:i4>156</vt:i4>
      </vt:variant>
      <vt:variant>
        <vt:i4>0</vt:i4>
      </vt:variant>
      <vt:variant>
        <vt:i4>5</vt:i4>
      </vt:variant>
      <vt:variant>
        <vt:lpwstr>https://www.amnesty.de/sites/default/files/2022-01/Amnesty-Positionspapier-Polizei-Antirassimus-Trainings-Deutschland-Oktober-2021.pdf</vt:lpwstr>
      </vt:variant>
      <vt:variant>
        <vt:lpwstr/>
      </vt:variant>
      <vt:variant>
        <vt:i4>7405660</vt:i4>
      </vt:variant>
      <vt:variant>
        <vt:i4>153</vt:i4>
      </vt:variant>
      <vt:variant>
        <vt:i4>0</vt:i4>
      </vt:variant>
      <vt:variant>
        <vt:i4>5</vt:i4>
      </vt:variant>
      <vt:variant>
        <vt:lpwstr>https://mediendienst-integration.de/fileadmin/Rassismus_und_Antisemitismus_bei_der_Polizei_MEDIENDIENST_Recherche.pdf</vt:lpwstr>
      </vt:variant>
      <vt:variant>
        <vt:lpwstr/>
      </vt:variant>
      <vt:variant>
        <vt:i4>2883644</vt:i4>
      </vt:variant>
      <vt:variant>
        <vt:i4>147</vt:i4>
      </vt:variant>
      <vt:variant>
        <vt:i4>0</vt:i4>
      </vt:variant>
      <vt:variant>
        <vt:i4>5</vt:i4>
      </vt:variant>
      <vt:variant>
        <vt:lpwstr>https://verfassungsblog.de/uber-die-sogenannte-clankriminalitat</vt:lpwstr>
      </vt:variant>
      <vt:variant>
        <vt:lpwstr/>
      </vt:variant>
      <vt:variant>
        <vt:i4>852054</vt:i4>
      </vt:variant>
      <vt:variant>
        <vt:i4>144</vt:i4>
      </vt:variant>
      <vt:variant>
        <vt:i4>0</vt:i4>
      </vt:variant>
      <vt:variant>
        <vt:i4>5</vt:i4>
      </vt:variant>
      <vt:variant>
        <vt:lpwstr>https://www.bmi.bund.de/SharedDocs/downloads/DE/publikationen/themen/heimat-integration/BMI23006-muslimfeindlichkeit.html</vt:lpwstr>
      </vt:variant>
      <vt:variant>
        <vt:lpwstr/>
      </vt:variant>
      <vt:variant>
        <vt:i4>589845</vt:i4>
      </vt:variant>
      <vt:variant>
        <vt:i4>141</vt:i4>
      </vt:variant>
      <vt:variant>
        <vt:i4>0</vt:i4>
      </vt:variant>
      <vt:variant>
        <vt:i4>5</vt:i4>
      </vt:variant>
      <vt:variant>
        <vt:lpwstr>https://www.rassismusmonitor.de/kurzstudien/rassismus-in-der-polizei/</vt:lpwstr>
      </vt:variant>
      <vt:variant>
        <vt:lpwstr/>
      </vt:variant>
      <vt:variant>
        <vt:i4>6422644</vt:i4>
      </vt:variant>
      <vt:variant>
        <vt:i4>138</vt:i4>
      </vt:variant>
      <vt:variant>
        <vt:i4>0</vt:i4>
      </vt:variant>
      <vt:variant>
        <vt:i4>5</vt:i4>
      </vt:variant>
      <vt:variant>
        <vt:lpwstr>https://www.faz.net/aktuell/politik/inland/polizei-in-nrw-nazi-symbole-und-menschenverachtung-in-rechtsextremem-chat-19078319.html</vt:lpwstr>
      </vt:variant>
      <vt:variant>
        <vt:lpwstr/>
      </vt:variant>
      <vt:variant>
        <vt:i4>1704006</vt:i4>
      </vt:variant>
      <vt:variant>
        <vt:i4>135</vt:i4>
      </vt:variant>
      <vt:variant>
        <vt:i4>0</vt:i4>
      </vt:variant>
      <vt:variant>
        <vt:i4>5</vt:i4>
      </vt:variant>
      <vt:variant>
        <vt:lpwstr>https://www.swr.de/swraktuell/baden-wuerttemberg/polizisten-volksverhetzung-100.html</vt:lpwstr>
      </vt:variant>
      <vt:variant>
        <vt:lpwstr/>
      </vt:variant>
      <vt:variant>
        <vt:i4>4063355</vt:i4>
      </vt:variant>
      <vt:variant>
        <vt:i4>132</vt:i4>
      </vt:variant>
      <vt:variant>
        <vt:i4>0</vt:i4>
      </vt:variant>
      <vt:variant>
        <vt:i4>5</vt:i4>
      </vt:variant>
      <vt:variant>
        <vt:lpwstr>https://www.amnesty.de/sites/default/files/2022-05/Amnesty-Stellungnahme-ECRE-Deutschland-sechster-Bericht-Mai-2022.pdf</vt:lpwstr>
      </vt:variant>
      <vt:variant>
        <vt:lpwstr/>
      </vt:variant>
      <vt:variant>
        <vt:i4>851976</vt:i4>
      </vt:variant>
      <vt:variant>
        <vt:i4>129</vt:i4>
      </vt:variant>
      <vt:variant>
        <vt:i4>0</vt:i4>
      </vt:variant>
      <vt:variant>
        <vt:i4>5</vt:i4>
      </vt:variant>
      <vt:variant>
        <vt:lpwstr>https://rm.coe.int/ecri-conclusions-on-the-implementation-of-the-recommendations-in-respe/1680a807d2</vt:lpwstr>
      </vt:variant>
      <vt:variant>
        <vt:lpwstr/>
      </vt:variant>
      <vt:variant>
        <vt:i4>6619193</vt:i4>
      </vt:variant>
      <vt:variant>
        <vt:i4>126</vt:i4>
      </vt:variant>
      <vt:variant>
        <vt:i4>0</vt:i4>
      </vt:variant>
      <vt:variant>
        <vt:i4>5</vt:i4>
      </vt:variant>
      <vt:variant>
        <vt:lpwstr>https://www.amnesty.de/sites/default/files/2021-06/Amnesty-Forderungspapier-Polizei-Rassismus-Juni-2021.pdf</vt:lpwstr>
      </vt:variant>
      <vt:variant>
        <vt:lpwstr/>
      </vt:variant>
      <vt:variant>
        <vt:i4>6291531</vt:i4>
      </vt:variant>
      <vt:variant>
        <vt:i4>123</vt:i4>
      </vt:variant>
      <vt:variant>
        <vt:i4>0</vt:i4>
      </vt:variant>
      <vt:variant>
        <vt:i4>5</vt:i4>
      </vt:variant>
      <vt:variant>
        <vt:lpwstr>https://www.amnesty.de/sites/default/files/2019-03/Amnesty-Positionspapier-Kennzeichnungspflicht-fuer-Polizist_innen-November-2018.pdf</vt:lpwstr>
      </vt:variant>
      <vt:variant>
        <vt:lpwstr/>
      </vt:variant>
      <vt:variant>
        <vt:i4>1966106</vt:i4>
      </vt:variant>
      <vt:variant>
        <vt:i4>120</vt:i4>
      </vt:variant>
      <vt:variant>
        <vt:i4>0</vt:i4>
      </vt:variant>
      <vt:variant>
        <vt:i4>5</vt:i4>
      </vt:variant>
      <vt:variant>
        <vt:lpwstr>https://www.gruene-bundestag.de/themen/innenpolitik/eckpunkte-fuer-bundespolizeibeauftragten-vorgestellt</vt:lpwstr>
      </vt:variant>
      <vt:variant>
        <vt:lpwstr/>
      </vt:variant>
      <vt:variant>
        <vt:i4>917519</vt:i4>
      </vt:variant>
      <vt:variant>
        <vt:i4>117</vt:i4>
      </vt:variant>
      <vt:variant>
        <vt:i4>0</vt:i4>
      </vt:variant>
      <vt:variant>
        <vt:i4>5</vt:i4>
      </vt:variant>
      <vt:variant>
        <vt:lpwstr>https://www.amnesty.de/informieren/positionspapiere/deutschland-amnesty-positionspapier-zu-unabhaengigen</vt:lpwstr>
      </vt:variant>
      <vt:variant>
        <vt:lpwstr/>
      </vt:variant>
      <vt:variant>
        <vt:i4>1179663</vt:i4>
      </vt:variant>
      <vt:variant>
        <vt:i4>114</vt:i4>
      </vt:variant>
      <vt:variant>
        <vt:i4>0</vt:i4>
      </vt:variant>
      <vt:variant>
        <vt:i4>5</vt:i4>
      </vt:variant>
      <vt:variant>
        <vt:lpwstr>https://www.amnesty.org/en/documents/eur23/6481/2023/en/,</vt:lpwstr>
      </vt:variant>
      <vt:variant>
        <vt:lpwstr/>
      </vt:variant>
      <vt:variant>
        <vt:i4>6422640</vt:i4>
      </vt:variant>
      <vt:variant>
        <vt:i4>111</vt:i4>
      </vt:variant>
      <vt:variant>
        <vt:i4>0</vt:i4>
      </vt:variant>
      <vt:variant>
        <vt:i4>5</vt:i4>
      </vt:variant>
      <vt:variant>
        <vt:lpwstr>https://www.bundestag.de/resource/blob/899854/c703911ae8f6e04a16618f8a85727ad3/WD-3-057-22-pdf-data.pdf</vt:lpwstr>
      </vt:variant>
      <vt:variant>
        <vt:lpwstr/>
      </vt:variant>
      <vt:variant>
        <vt:i4>4849688</vt:i4>
      </vt:variant>
      <vt:variant>
        <vt:i4>108</vt:i4>
      </vt:variant>
      <vt:variant>
        <vt:i4>0</vt:i4>
      </vt:variant>
      <vt:variant>
        <vt:i4>5</vt:i4>
      </vt:variant>
      <vt:variant>
        <vt:lpwstr>https://rm.coe.int/mi-germany-eng/1680a23c90</vt:lpwstr>
      </vt:variant>
      <vt:variant>
        <vt:lpwstr/>
      </vt:variant>
      <vt:variant>
        <vt:i4>3342441</vt:i4>
      </vt:variant>
      <vt:variant>
        <vt:i4>105</vt:i4>
      </vt:variant>
      <vt:variant>
        <vt:i4>0</vt:i4>
      </vt:variant>
      <vt:variant>
        <vt:i4>5</vt:i4>
      </vt:variant>
      <vt:variant>
        <vt:lpwstr>https://hudoc.echr.coe.int/eng</vt:lpwstr>
      </vt:variant>
      <vt:variant>
        <vt:lpwstr>{%22itemid%22:[%22001-220007%22]},</vt:lpwstr>
      </vt:variant>
      <vt:variant>
        <vt:i4>393218</vt:i4>
      </vt:variant>
      <vt:variant>
        <vt:i4>102</vt:i4>
      </vt:variant>
      <vt:variant>
        <vt:i4>0</vt:i4>
      </vt:variant>
      <vt:variant>
        <vt:i4>5</vt:i4>
      </vt:variant>
      <vt:variant>
        <vt:lpwstr>https://hudoc.echr.coe.int/eng</vt:lpwstr>
      </vt:variant>
      <vt:variant>
        <vt:lpwstr>{%22appno%22:[%22215/19%22]}</vt:lpwstr>
      </vt:variant>
      <vt:variant>
        <vt:i4>7143507</vt:i4>
      </vt:variant>
      <vt:variant>
        <vt:i4>99</vt:i4>
      </vt:variant>
      <vt:variant>
        <vt:i4>0</vt:i4>
      </vt:variant>
      <vt:variant>
        <vt:i4>5</vt:i4>
      </vt:variant>
      <vt:variant>
        <vt:lpwstr>https://kviapol.uni-frankfurt.de/images/pdf/en/Executive Summary_Gewalt im Amt.pdf</vt:lpwstr>
      </vt:variant>
      <vt:variant>
        <vt:lpwstr/>
      </vt:variant>
      <vt:variant>
        <vt:i4>8323119</vt:i4>
      </vt:variant>
      <vt:variant>
        <vt:i4>96</vt:i4>
      </vt:variant>
      <vt:variant>
        <vt:i4>0</vt:i4>
      </vt:variant>
      <vt:variant>
        <vt:i4>5</vt:i4>
      </vt:variant>
      <vt:variant>
        <vt:lpwstr>https://gesetze.io/gesetze/hb/brempolg</vt:lpwstr>
      </vt:variant>
      <vt:variant>
        <vt:lpwstr/>
      </vt:variant>
      <vt:variant>
        <vt:i4>6094902</vt:i4>
      </vt:variant>
      <vt:variant>
        <vt:i4>93</vt:i4>
      </vt:variant>
      <vt:variant>
        <vt:i4>0</vt:i4>
      </vt:variant>
      <vt:variant>
        <vt:i4>5</vt:i4>
      </vt:variant>
      <vt:variant>
        <vt:lpwstr>https://www.bmi.bund.de/SharedDocs/gesetzgebungsverfahren/DE/Downloads/referentenentwuerfe/B1/ref-neustrukturierung-bundespolizeigesetz.pdf;jsessionid=F73CCB2959273429F790F35BA0436F05.2_cid360?__blob=publicationFile&amp;v=6,</vt:lpwstr>
      </vt:variant>
      <vt:variant>
        <vt:lpwstr/>
      </vt:variant>
      <vt:variant>
        <vt:i4>7012460</vt:i4>
      </vt:variant>
      <vt:variant>
        <vt:i4>90</vt:i4>
      </vt:variant>
      <vt:variant>
        <vt:i4>0</vt:i4>
      </vt:variant>
      <vt:variant>
        <vt:i4>5</vt:i4>
      </vt:variant>
      <vt:variant>
        <vt:lpwstr>https://dserver.bundestag.de/btd/20/049/2004961.pdf</vt:lpwstr>
      </vt:variant>
      <vt:variant>
        <vt:lpwstr/>
      </vt:variant>
      <vt:variant>
        <vt:i4>8323119</vt:i4>
      </vt:variant>
      <vt:variant>
        <vt:i4>87</vt:i4>
      </vt:variant>
      <vt:variant>
        <vt:i4>0</vt:i4>
      </vt:variant>
      <vt:variant>
        <vt:i4>5</vt:i4>
      </vt:variant>
      <vt:variant>
        <vt:lpwstr>https://gesetze.io/gesetze/hb/brempolg</vt:lpwstr>
      </vt:variant>
      <vt:variant>
        <vt:lpwstr/>
      </vt:variant>
      <vt:variant>
        <vt:i4>1114182</vt:i4>
      </vt:variant>
      <vt:variant>
        <vt:i4>84</vt:i4>
      </vt:variant>
      <vt:variant>
        <vt:i4>0</vt:i4>
      </vt:variant>
      <vt:variant>
        <vt:i4>5</vt:i4>
      </vt:variant>
      <vt:variant>
        <vt:lpwstr>https://rm.coe.int/ecri-general-policy-recommendation-no-11-on-combating-racism-and-racia/16808b5adf</vt:lpwstr>
      </vt:variant>
      <vt:variant>
        <vt:lpwstr/>
      </vt:variant>
      <vt:variant>
        <vt:i4>2752579</vt:i4>
      </vt:variant>
      <vt:variant>
        <vt:i4>81</vt:i4>
      </vt:variant>
      <vt:variant>
        <vt:i4>0</vt:i4>
      </vt:variant>
      <vt:variant>
        <vt:i4>5</vt:i4>
      </vt:variant>
      <vt:variant>
        <vt:lpwstr>https://tbinternet.ohchr.org/_layouts/15/treatybodyexternal/Download.aspx?symbolno=CERD%2FC%2FDEU%2F23-26&amp;Lang=en</vt:lpwstr>
      </vt:variant>
      <vt:variant>
        <vt:lpwstr/>
      </vt:variant>
      <vt:variant>
        <vt:i4>1179663</vt:i4>
      </vt:variant>
      <vt:variant>
        <vt:i4>78</vt:i4>
      </vt:variant>
      <vt:variant>
        <vt:i4>0</vt:i4>
      </vt:variant>
      <vt:variant>
        <vt:i4>5</vt:i4>
      </vt:variant>
      <vt:variant>
        <vt:lpwstr>https://www.amnesty.org/en/documents/eur23/6481/2023/en/,</vt:lpwstr>
      </vt:variant>
      <vt:variant>
        <vt:lpwstr/>
      </vt:variant>
      <vt:variant>
        <vt:i4>5177365</vt:i4>
      </vt:variant>
      <vt:variant>
        <vt:i4>75</vt:i4>
      </vt:variant>
      <vt:variant>
        <vt:i4>0</vt:i4>
      </vt:variant>
      <vt:variant>
        <vt:i4>5</vt:i4>
      </vt:variant>
      <vt:variant>
        <vt:lpwstr>https://fra.europa.eu/sites/default/files/fra_uploads/fra-2021-fundamental-rights-survey-police-stops_en.pdf</vt:lpwstr>
      </vt:variant>
      <vt:variant>
        <vt:lpwstr/>
      </vt:variant>
      <vt:variant>
        <vt:i4>5177365</vt:i4>
      </vt:variant>
      <vt:variant>
        <vt:i4>72</vt:i4>
      </vt:variant>
      <vt:variant>
        <vt:i4>0</vt:i4>
      </vt:variant>
      <vt:variant>
        <vt:i4>5</vt:i4>
      </vt:variant>
      <vt:variant>
        <vt:lpwstr>https://fra.europa.eu/sites/default/files/fra_uploads/fra-2021-fundamental-rights-survey-police-stops_en.pdf</vt:lpwstr>
      </vt:variant>
      <vt:variant>
        <vt:lpwstr/>
      </vt:variant>
      <vt:variant>
        <vt:i4>3080241</vt:i4>
      </vt:variant>
      <vt:variant>
        <vt:i4>69</vt:i4>
      </vt:variant>
      <vt:variant>
        <vt:i4>0</vt:i4>
      </vt:variant>
      <vt:variant>
        <vt:i4>5</vt:i4>
      </vt:variant>
      <vt:variant>
        <vt:lpwstr>https://www.coe.int/en/web/european-commission-against-racism-and-intolerance/recommendation-no.11,</vt:lpwstr>
      </vt:variant>
      <vt:variant>
        <vt:lpwstr/>
      </vt:variant>
      <vt:variant>
        <vt:i4>1835018</vt:i4>
      </vt:variant>
      <vt:variant>
        <vt:i4>66</vt:i4>
      </vt:variant>
      <vt:variant>
        <vt:i4>0</vt:i4>
      </vt:variant>
      <vt:variant>
        <vt:i4>5</vt:i4>
      </vt:variant>
      <vt:variant>
        <vt:lpwstr>https://www.amnesty.org/en/documents/EUR23/4112/2016/en/</vt:lpwstr>
      </vt:variant>
      <vt:variant>
        <vt:lpwstr/>
      </vt:variant>
      <vt:variant>
        <vt:i4>2359378</vt:i4>
      </vt:variant>
      <vt:variant>
        <vt:i4>63</vt:i4>
      </vt:variant>
      <vt:variant>
        <vt:i4>0</vt:i4>
      </vt:variant>
      <vt:variant>
        <vt:i4>5</vt:i4>
      </vt:variant>
      <vt:variant>
        <vt:lpwstr>https://mediendienst-integration.de/fileadmin/Dateien/MEDIENDIENST_Expertise_Antislawischer_Rassismus.pdf</vt:lpwstr>
      </vt:variant>
      <vt:variant>
        <vt:lpwstr/>
      </vt:variant>
      <vt:variant>
        <vt:i4>6225923</vt:i4>
      </vt:variant>
      <vt:variant>
        <vt:i4>60</vt:i4>
      </vt:variant>
      <vt:variant>
        <vt:i4>0</vt:i4>
      </vt:variant>
      <vt:variant>
        <vt:i4>5</vt:i4>
      </vt:variant>
      <vt:variant>
        <vt:lpwstr>https://www.korientation.de/projekte/radar/broschuere-anti-asiatischer-rassismus/</vt:lpwstr>
      </vt:variant>
      <vt:variant>
        <vt:lpwstr/>
      </vt:variant>
      <vt:variant>
        <vt:i4>2818103</vt:i4>
      </vt:variant>
      <vt:variant>
        <vt:i4>57</vt:i4>
      </vt:variant>
      <vt:variant>
        <vt:i4>0</vt:i4>
      </vt:variant>
      <vt:variant>
        <vt:i4>5</vt:i4>
      </vt:variant>
      <vt:variant>
        <vt:lpwstr>https://www.antiziganismus-melden.de/2023/09/18/melde-und-informationsstelle-antiziganismus-mia-veroeffentlicht-ersten-jahresbericht-2022-zu-antiziganistischen-vorfaellen-in-deutschland/</vt:lpwstr>
      </vt:variant>
      <vt:variant>
        <vt:lpwstr/>
      </vt:variant>
      <vt:variant>
        <vt:i4>6815806</vt:i4>
      </vt:variant>
      <vt:variant>
        <vt:i4>54</vt:i4>
      </vt:variant>
      <vt:variant>
        <vt:i4>0</vt:i4>
      </vt:variant>
      <vt:variant>
        <vt:i4>5</vt:i4>
      </vt:variant>
      <vt:variant>
        <vt:lpwstr>https://www.claim-allianz.de/aktuelles/news/pressemitteilung-erstes-zivilgesellschaftliches-lagebild-zeigt-mehr-als-zwei-antimuslimische-vorfaelle-pro-tag-in-deutschland/</vt:lpwstr>
      </vt:variant>
      <vt:variant>
        <vt:lpwstr/>
      </vt:variant>
      <vt:variant>
        <vt:i4>2818108</vt:i4>
      </vt:variant>
      <vt:variant>
        <vt:i4>51</vt:i4>
      </vt:variant>
      <vt:variant>
        <vt:i4>0</vt:i4>
      </vt:variant>
      <vt:variant>
        <vt:i4>5</vt:i4>
      </vt:variant>
      <vt:variant>
        <vt:lpwstr>https://www.bmi.bund.de/SharedDocs/pressemitteilungen/DE/2023/06/uem-abschlussbericht.html</vt:lpwstr>
      </vt:variant>
      <vt:variant>
        <vt:lpwstr/>
      </vt:variant>
      <vt:variant>
        <vt:i4>3473454</vt:i4>
      </vt:variant>
      <vt:variant>
        <vt:i4>48</vt:i4>
      </vt:variant>
      <vt:variant>
        <vt:i4>0</vt:i4>
      </vt:variant>
      <vt:variant>
        <vt:i4>5</vt:i4>
      </vt:variant>
      <vt:variant>
        <vt:lpwstr>https://report-antisemitism.de/annuals/</vt:lpwstr>
      </vt:variant>
      <vt:variant>
        <vt:lpwstr/>
      </vt:variant>
      <vt:variant>
        <vt:i4>3473454</vt:i4>
      </vt:variant>
      <vt:variant>
        <vt:i4>45</vt:i4>
      </vt:variant>
      <vt:variant>
        <vt:i4>0</vt:i4>
      </vt:variant>
      <vt:variant>
        <vt:i4>5</vt:i4>
      </vt:variant>
      <vt:variant>
        <vt:lpwstr>https://report-antisemitism.de/annuals/</vt:lpwstr>
      </vt:variant>
      <vt:variant>
        <vt:lpwstr/>
      </vt:variant>
      <vt:variant>
        <vt:i4>3473454</vt:i4>
      </vt:variant>
      <vt:variant>
        <vt:i4>42</vt:i4>
      </vt:variant>
      <vt:variant>
        <vt:i4>0</vt:i4>
      </vt:variant>
      <vt:variant>
        <vt:i4>5</vt:i4>
      </vt:variant>
      <vt:variant>
        <vt:lpwstr>https://report-antisemitism.de/annuals/</vt:lpwstr>
      </vt:variant>
      <vt:variant>
        <vt:lpwstr/>
      </vt:variant>
      <vt:variant>
        <vt:i4>6094917</vt:i4>
      </vt:variant>
      <vt:variant>
        <vt:i4>39</vt:i4>
      </vt:variant>
      <vt:variant>
        <vt:i4>0</vt:i4>
      </vt:variant>
      <vt:variant>
        <vt:i4>5</vt:i4>
      </vt:variant>
      <vt:variant>
        <vt:lpwstr>https://www.bundesregierung.de/breg-de/service/publikationen/zweiter-bericht-des-unabhaengigen-expertenkreises-antisemitismus-735880</vt:lpwstr>
      </vt:variant>
      <vt:variant>
        <vt:lpwstr/>
      </vt:variant>
      <vt:variant>
        <vt:i4>2228275</vt:i4>
      </vt:variant>
      <vt:variant>
        <vt:i4>36</vt:i4>
      </vt:variant>
      <vt:variant>
        <vt:i4>0</vt:i4>
      </vt:variant>
      <vt:variant>
        <vt:i4>5</vt:i4>
      </vt:variant>
      <vt:variant>
        <vt:lpwstr>https://www.antidiskriminierungsstelle.de/SharedDocs/downloads/DE/publikationen/Jahresberichte/2022.html?nn=305458</vt:lpwstr>
      </vt:variant>
      <vt:variant>
        <vt:lpwstr/>
      </vt:variant>
      <vt:variant>
        <vt:i4>3145783</vt:i4>
      </vt:variant>
      <vt:variant>
        <vt:i4>33</vt:i4>
      </vt:variant>
      <vt:variant>
        <vt:i4>0</vt:i4>
      </vt:variant>
      <vt:variant>
        <vt:i4>5</vt:i4>
      </vt:variant>
      <vt:variant>
        <vt:lpwstr>https://www.rassismusmonitor.de/studie-rassistische-realitaeten</vt:lpwstr>
      </vt:variant>
      <vt:variant>
        <vt:lpwstr/>
      </vt:variant>
      <vt:variant>
        <vt:i4>7209012</vt:i4>
      </vt:variant>
      <vt:variant>
        <vt:i4>30</vt:i4>
      </vt:variant>
      <vt:variant>
        <vt:i4>0</vt:i4>
      </vt:variant>
      <vt:variant>
        <vt:i4>5</vt:i4>
      </vt:variant>
      <vt:variant>
        <vt:lpwstr>https://www.auswaertiges-amt.de/en/newsroom/news/-/2561510</vt:lpwstr>
      </vt:variant>
      <vt:variant>
        <vt:lpwstr/>
      </vt:variant>
      <vt:variant>
        <vt:i4>5373955</vt:i4>
      </vt:variant>
      <vt:variant>
        <vt:i4>27</vt:i4>
      </vt:variant>
      <vt:variant>
        <vt:i4>0</vt:i4>
      </vt:variant>
      <vt:variant>
        <vt:i4>5</vt:i4>
      </vt:variant>
      <vt:variant>
        <vt:lpwstr>https://www.bmfsfj.de/resource/blob/116798/5fc38044a1dd8edec34de568ad59e2b9/nationaler-aktionsplan-rassismus-data.pdf</vt:lpwstr>
      </vt:variant>
      <vt:variant>
        <vt:lpwstr/>
      </vt:variant>
      <vt:variant>
        <vt:i4>1572893</vt:i4>
      </vt:variant>
      <vt:variant>
        <vt:i4>24</vt:i4>
      </vt:variant>
      <vt:variant>
        <vt:i4>0</vt:i4>
      </vt:variant>
      <vt:variant>
        <vt:i4>5</vt:i4>
      </vt:variant>
      <vt:variant>
        <vt:lpwstr>https://www.bmfsfj.de/bmfsfj/meta/en/the-ministry/the-ministry-112048</vt:lpwstr>
      </vt:variant>
      <vt:variant>
        <vt:lpwstr/>
      </vt:variant>
      <vt:variant>
        <vt:i4>1179663</vt:i4>
      </vt:variant>
      <vt:variant>
        <vt:i4>21</vt:i4>
      </vt:variant>
      <vt:variant>
        <vt:i4>0</vt:i4>
      </vt:variant>
      <vt:variant>
        <vt:i4>5</vt:i4>
      </vt:variant>
      <vt:variant>
        <vt:lpwstr>https://www.amnesty.org/en/documents/eur23/6481/2023/en/</vt:lpwstr>
      </vt:variant>
      <vt:variant>
        <vt:lpwstr/>
      </vt:variant>
      <vt:variant>
        <vt:i4>7340156</vt:i4>
      </vt:variant>
      <vt:variant>
        <vt:i4>18</vt:i4>
      </vt:variant>
      <vt:variant>
        <vt:i4>0</vt:i4>
      </vt:variant>
      <vt:variant>
        <vt:i4>5</vt:i4>
      </vt:variant>
      <vt:variant>
        <vt:lpwstr>https://www.bmi.bund.de/SharedDocs/pressemitteilungen/DE/2022/03/aktionsplan-rechtsextremismus.html</vt:lpwstr>
      </vt:variant>
      <vt:variant>
        <vt:lpwstr/>
      </vt:variant>
      <vt:variant>
        <vt:i4>6488169</vt:i4>
      </vt:variant>
      <vt:variant>
        <vt:i4>15</vt:i4>
      </vt:variant>
      <vt:variant>
        <vt:i4>0</vt:i4>
      </vt:variant>
      <vt:variant>
        <vt:i4>5</vt:i4>
      </vt:variant>
      <vt:variant>
        <vt:lpwstr>https://www.bmi.bund.de/SharedDocs/downloads/DE/veroeffentlichungen/themen/sicherheit/abschlussbericht-kabinettausschuss-rechtsextremismus.html</vt:lpwstr>
      </vt:variant>
      <vt:variant>
        <vt:lpwstr/>
      </vt:variant>
      <vt:variant>
        <vt:i4>786521</vt:i4>
      </vt:variant>
      <vt:variant>
        <vt:i4>12</vt:i4>
      </vt:variant>
      <vt:variant>
        <vt:i4>0</vt:i4>
      </vt:variant>
      <vt:variant>
        <vt:i4>5</vt:i4>
      </vt:variant>
      <vt:variant>
        <vt:lpwstr>https://www.integrationsbeauftragte.de/ib-de/staatsministerin/expert-innenrat-2194024</vt:lpwstr>
      </vt:variant>
      <vt:variant>
        <vt:lpwstr/>
      </vt:variant>
      <vt:variant>
        <vt:i4>1835018</vt:i4>
      </vt:variant>
      <vt:variant>
        <vt:i4>9</vt:i4>
      </vt:variant>
      <vt:variant>
        <vt:i4>0</vt:i4>
      </vt:variant>
      <vt:variant>
        <vt:i4>5</vt:i4>
      </vt:variant>
      <vt:variant>
        <vt:lpwstr>https://www.amnesty.org/en/documents/EUR23/4112/2016/en/</vt:lpwstr>
      </vt:variant>
      <vt:variant>
        <vt:lpwstr/>
      </vt:variant>
      <vt:variant>
        <vt:i4>196610</vt:i4>
      </vt:variant>
      <vt:variant>
        <vt:i4>6</vt:i4>
      </vt:variant>
      <vt:variant>
        <vt:i4>0</vt:i4>
      </vt:variant>
      <vt:variant>
        <vt:i4>5</vt:i4>
      </vt:variant>
      <vt:variant>
        <vt:lpwstr>https://rm.coe.int/ecri-report-on-germany-sixth-monitoring-cycle-/16809ce4be</vt:lpwstr>
      </vt:variant>
      <vt:variant>
        <vt:lpwstr/>
      </vt:variant>
      <vt:variant>
        <vt:i4>7012394</vt:i4>
      </vt:variant>
      <vt:variant>
        <vt:i4>3</vt:i4>
      </vt:variant>
      <vt:variant>
        <vt:i4>0</vt:i4>
      </vt:variant>
      <vt:variant>
        <vt:i4>5</vt:i4>
      </vt:variant>
      <vt:variant>
        <vt:lpwstr>https://www.integrationsbeauftragte.de/resource/blob/1864320/2157012/77c8d1dddeea760bc13dbd87ee9a415f/lagebericht-rassismus-komplett-data.pdf?download=</vt:lpwstr>
      </vt:variant>
      <vt:variant>
        <vt:lpwstr/>
      </vt:variant>
      <vt:variant>
        <vt:i4>3866645</vt:i4>
      </vt:variant>
      <vt:variant>
        <vt:i4>0</vt:i4>
      </vt:variant>
      <vt:variant>
        <vt:i4>0</vt:i4>
      </vt:variant>
      <vt:variant>
        <vt:i4>5</vt:i4>
      </vt:variant>
      <vt:variant>
        <vt:lpwstr>https://www.bmj.de/SharedDocs/Publikationen/DE/Fachpublikationen/2017_ICERD.pdf?__blob=publicationFile&amp;v=4</vt:lpwstr>
      </vt:variant>
      <vt:variant>
        <vt:lpwstr/>
      </vt:variant>
      <vt:variant>
        <vt:i4>5898314</vt:i4>
      </vt:variant>
      <vt:variant>
        <vt:i4>6</vt:i4>
      </vt:variant>
      <vt:variant>
        <vt:i4>0</vt:i4>
      </vt:variant>
      <vt:variant>
        <vt:i4>5</vt:i4>
      </vt:variant>
      <vt:variant>
        <vt:lpwstr>https://www.amnesty.org/en/about-us/permissions/</vt:lpwstr>
      </vt:variant>
      <vt:variant>
        <vt:lpwstr/>
      </vt:variant>
      <vt:variant>
        <vt:i4>5767253</vt:i4>
      </vt:variant>
      <vt:variant>
        <vt:i4>3</vt:i4>
      </vt:variant>
      <vt:variant>
        <vt:i4>0</vt:i4>
      </vt:variant>
      <vt:variant>
        <vt:i4>5</vt:i4>
      </vt:variant>
      <vt:variant>
        <vt:lpwstr>http://www.facebook.com/AmnestyGlobal</vt:lpwstr>
      </vt:variant>
      <vt:variant>
        <vt:lpwstr/>
      </vt:variant>
      <vt:variant>
        <vt:i4>852001</vt:i4>
      </vt:variant>
      <vt:variant>
        <vt:i4>0</vt:i4>
      </vt:variant>
      <vt:variant>
        <vt:i4>0</vt:i4>
      </vt:variant>
      <vt:variant>
        <vt:i4>5</vt:i4>
      </vt:variant>
      <vt:variant>
        <vt:lpwstr>mailto:info@amnesty.org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
  <dc:description/>
  <cp:lastModifiedBy>Anna-Karin Holmlund</cp:lastModifiedBy>
  <cp:revision>7</cp:revision>
  <cp:lastPrinted>2023-10-25T17:29:00Z</cp:lastPrinted>
  <dcterms:created xsi:type="dcterms:W3CDTF">2023-10-25T17:26:00Z</dcterms:created>
  <dcterms:modified xsi:type="dcterms:W3CDTF">2023-10-25T17:30:00Z</dcterms:modified>
</cp:coreProperties>
</file>