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4C821E" w14:textId="51063C62" w:rsidR="00010EFD" w:rsidRPr="00010EFD" w:rsidRDefault="00010EFD" w:rsidP="00010EFD">
      <w:pPr>
        <w:spacing w:after="0"/>
        <w:rPr>
          <w:b/>
          <w:sz w:val="24"/>
          <w:szCs w:val="24"/>
        </w:rPr>
      </w:pPr>
      <w:r>
        <w:rPr>
          <w:b/>
          <w:noProof/>
          <w:sz w:val="24"/>
          <w:szCs w:val="24"/>
        </w:rPr>
        <w:drawing>
          <wp:anchor distT="0" distB="0" distL="114300" distR="114300" simplePos="0" relativeHeight="251658240" behindDoc="1" locked="0" layoutInCell="1" allowOverlap="1" wp14:anchorId="572417BE" wp14:editId="0E60BE7A">
            <wp:simplePos x="0" y="0"/>
            <wp:positionH relativeFrom="margin">
              <wp:posOffset>6941820</wp:posOffset>
            </wp:positionH>
            <wp:positionV relativeFrom="paragraph">
              <wp:posOffset>-186055</wp:posOffset>
            </wp:positionV>
            <wp:extent cx="1419225" cy="1371600"/>
            <wp:effectExtent l="0" t="0" r="9525"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extLst>
                        <a:ext uri="{28A0092B-C50C-407E-A947-70E740481C1C}">
                          <a14:useLocalDpi xmlns:a14="http://schemas.microsoft.com/office/drawing/2010/main" val="0"/>
                        </a:ext>
                      </a:extLst>
                    </a:blip>
                    <a:srcRect/>
                    <a:stretch>
                      <a:fillRect/>
                    </a:stretch>
                  </pic:blipFill>
                  <pic:spPr>
                    <a:xfrm>
                      <a:off x="0" y="0"/>
                      <a:ext cx="1419225" cy="1371600"/>
                    </a:xfrm>
                    <a:prstGeom prst="rect">
                      <a:avLst/>
                    </a:prstGeom>
                    <a:ln/>
                  </pic:spPr>
                </pic:pic>
              </a:graphicData>
            </a:graphic>
            <wp14:sizeRelH relativeFrom="margin">
              <wp14:pctWidth>0</wp14:pctWidth>
            </wp14:sizeRelH>
            <wp14:sizeRelV relativeFrom="margin">
              <wp14:pctHeight>0</wp14:pctHeight>
            </wp14:sizeRelV>
          </wp:anchor>
        </w:drawing>
      </w:r>
      <w:r w:rsidRPr="000F6FCB">
        <w:rPr>
          <w:rFonts w:ascii="Arial" w:hAnsi="Arial" w:cs="Arial"/>
          <w:sz w:val="20"/>
          <w:szCs w:val="20"/>
        </w:rPr>
        <w:t xml:space="preserve">Bogotá D.C </w:t>
      </w:r>
      <w:r>
        <w:rPr>
          <w:rFonts w:ascii="Arial" w:hAnsi="Arial" w:cs="Arial"/>
          <w:sz w:val="20"/>
          <w:szCs w:val="20"/>
        </w:rPr>
        <w:t>5</w:t>
      </w:r>
      <w:r w:rsidRPr="000F6FCB">
        <w:rPr>
          <w:rFonts w:ascii="Arial" w:hAnsi="Arial" w:cs="Arial"/>
          <w:sz w:val="20"/>
          <w:szCs w:val="20"/>
        </w:rPr>
        <w:t xml:space="preserve"> de </w:t>
      </w:r>
      <w:r>
        <w:rPr>
          <w:rFonts w:ascii="Arial" w:hAnsi="Arial" w:cs="Arial"/>
          <w:sz w:val="20"/>
          <w:szCs w:val="20"/>
        </w:rPr>
        <w:t xml:space="preserve">agosto </w:t>
      </w:r>
      <w:r w:rsidRPr="000F6FCB">
        <w:rPr>
          <w:rFonts w:ascii="Arial" w:hAnsi="Arial" w:cs="Arial"/>
          <w:sz w:val="20"/>
          <w:szCs w:val="20"/>
        </w:rPr>
        <w:t>de 2023</w:t>
      </w:r>
    </w:p>
    <w:p w14:paraId="6B7A158A" w14:textId="7B82937F" w:rsidR="00010EFD" w:rsidRDefault="00010EFD" w:rsidP="00010EFD">
      <w:pPr>
        <w:rPr>
          <w:rFonts w:ascii="Arial" w:hAnsi="Arial" w:cs="Arial"/>
          <w:sz w:val="20"/>
          <w:szCs w:val="20"/>
        </w:rPr>
      </w:pPr>
    </w:p>
    <w:p w14:paraId="45994153" w14:textId="77777777" w:rsidR="00010EFD" w:rsidRPr="000F6FCB" w:rsidRDefault="00010EFD" w:rsidP="00010EFD">
      <w:pPr>
        <w:rPr>
          <w:rFonts w:ascii="Arial" w:hAnsi="Arial" w:cs="Arial"/>
          <w:sz w:val="20"/>
          <w:szCs w:val="20"/>
        </w:rPr>
      </w:pPr>
      <w:r w:rsidRPr="000F6FCB">
        <w:rPr>
          <w:rFonts w:ascii="Arial" w:hAnsi="Arial" w:cs="Arial"/>
          <w:sz w:val="20"/>
          <w:szCs w:val="20"/>
        </w:rPr>
        <w:t>Respetado</w:t>
      </w:r>
      <w:r>
        <w:rPr>
          <w:rFonts w:ascii="Arial" w:hAnsi="Arial" w:cs="Arial"/>
          <w:sz w:val="20"/>
          <w:szCs w:val="20"/>
        </w:rPr>
        <w:t>/as.</w:t>
      </w:r>
    </w:p>
    <w:p w14:paraId="236BE01A" w14:textId="77777777" w:rsidR="00010EFD" w:rsidRDefault="00010EFD" w:rsidP="00010EFD">
      <w:pPr>
        <w:rPr>
          <w:rFonts w:ascii="Arial" w:hAnsi="Arial" w:cs="Arial"/>
          <w:b/>
          <w:bCs/>
          <w:sz w:val="20"/>
          <w:szCs w:val="20"/>
        </w:rPr>
      </w:pPr>
      <w:r>
        <w:rPr>
          <w:rFonts w:ascii="Arial" w:hAnsi="Arial" w:cs="Arial"/>
          <w:b/>
          <w:bCs/>
          <w:sz w:val="20"/>
          <w:szCs w:val="20"/>
        </w:rPr>
        <w:t>Comité de Derechos Económicos, Sociales y Culturales.</w:t>
      </w:r>
    </w:p>
    <w:p w14:paraId="7C80FBD7" w14:textId="77777777" w:rsidR="00010EFD" w:rsidRPr="00474FE3" w:rsidRDefault="00010EFD" w:rsidP="00010EFD">
      <w:pPr>
        <w:rPr>
          <w:rFonts w:ascii="Arial" w:hAnsi="Arial" w:cs="Arial"/>
          <w:sz w:val="20"/>
          <w:szCs w:val="20"/>
        </w:rPr>
      </w:pPr>
      <w:r w:rsidRPr="00474FE3">
        <w:rPr>
          <w:rFonts w:ascii="Arial" w:hAnsi="Arial" w:cs="Arial"/>
          <w:sz w:val="20"/>
          <w:szCs w:val="20"/>
        </w:rPr>
        <w:t>División del Consejo de Derechos Humanos y Mecanismos de Tratados</w:t>
      </w:r>
      <w:r>
        <w:rPr>
          <w:rFonts w:ascii="Arial" w:hAnsi="Arial" w:cs="Arial"/>
          <w:sz w:val="20"/>
          <w:szCs w:val="20"/>
        </w:rPr>
        <w:t>.</w:t>
      </w:r>
    </w:p>
    <w:p w14:paraId="6FAC5BFB" w14:textId="77777777" w:rsidR="00010EFD" w:rsidRPr="000F6FCB" w:rsidRDefault="00010EFD" w:rsidP="00010EFD">
      <w:pPr>
        <w:rPr>
          <w:rFonts w:ascii="Arial" w:hAnsi="Arial" w:cs="Arial"/>
          <w:sz w:val="20"/>
          <w:szCs w:val="20"/>
        </w:rPr>
      </w:pPr>
    </w:p>
    <w:p w14:paraId="42519010" w14:textId="77777777" w:rsidR="00010EFD" w:rsidRPr="000F6FCB" w:rsidRDefault="00010EFD" w:rsidP="00010EFD">
      <w:pPr>
        <w:jc w:val="right"/>
        <w:rPr>
          <w:rFonts w:ascii="Arial" w:hAnsi="Arial" w:cs="Arial"/>
          <w:b/>
          <w:bCs/>
          <w:sz w:val="20"/>
          <w:szCs w:val="20"/>
        </w:rPr>
      </w:pPr>
      <w:r w:rsidRPr="000F6FCB">
        <w:rPr>
          <w:rFonts w:ascii="Arial" w:hAnsi="Arial" w:cs="Arial"/>
          <w:b/>
          <w:bCs/>
          <w:sz w:val="20"/>
          <w:szCs w:val="20"/>
        </w:rPr>
        <w:t xml:space="preserve">Asunto: </w:t>
      </w:r>
      <w:r>
        <w:rPr>
          <w:rFonts w:ascii="Arial" w:hAnsi="Arial" w:cs="Arial"/>
          <w:b/>
          <w:bCs/>
          <w:sz w:val="20"/>
          <w:szCs w:val="20"/>
        </w:rPr>
        <w:t xml:space="preserve">Remisión de </w:t>
      </w:r>
      <w:r w:rsidRPr="00474FE3">
        <w:rPr>
          <w:rFonts w:ascii="Arial" w:hAnsi="Arial" w:cs="Arial"/>
          <w:b/>
          <w:bCs/>
          <w:sz w:val="20"/>
          <w:szCs w:val="20"/>
        </w:rPr>
        <w:t>insumos para la lista de cuestiones de Colombia</w:t>
      </w:r>
      <w:r>
        <w:rPr>
          <w:rFonts w:ascii="Arial" w:hAnsi="Arial" w:cs="Arial"/>
          <w:b/>
          <w:bCs/>
          <w:sz w:val="20"/>
          <w:szCs w:val="20"/>
        </w:rPr>
        <w:t xml:space="preserve"> - </w:t>
      </w:r>
      <w:r w:rsidRPr="00474FE3">
        <w:rPr>
          <w:rFonts w:ascii="Arial" w:hAnsi="Arial" w:cs="Arial"/>
          <w:b/>
          <w:bCs/>
          <w:sz w:val="20"/>
          <w:szCs w:val="20"/>
        </w:rPr>
        <w:t xml:space="preserve">International </w:t>
      </w:r>
      <w:proofErr w:type="spellStart"/>
      <w:r w:rsidRPr="00474FE3">
        <w:rPr>
          <w:rFonts w:ascii="Arial" w:hAnsi="Arial" w:cs="Arial"/>
          <w:b/>
          <w:bCs/>
          <w:sz w:val="20"/>
          <w:szCs w:val="20"/>
        </w:rPr>
        <w:t>Covenant</w:t>
      </w:r>
      <w:proofErr w:type="spellEnd"/>
      <w:r w:rsidRPr="00474FE3">
        <w:rPr>
          <w:rFonts w:ascii="Arial" w:hAnsi="Arial" w:cs="Arial"/>
          <w:b/>
          <w:bCs/>
          <w:sz w:val="20"/>
          <w:szCs w:val="20"/>
        </w:rPr>
        <w:t xml:space="preserve"> on </w:t>
      </w:r>
      <w:proofErr w:type="spellStart"/>
      <w:r w:rsidRPr="00474FE3">
        <w:rPr>
          <w:rFonts w:ascii="Arial" w:hAnsi="Arial" w:cs="Arial"/>
          <w:b/>
          <w:bCs/>
          <w:sz w:val="20"/>
          <w:szCs w:val="20"/>
        </w:rPr>
        <w:t>Economic</w:t>
      </w:r>
      <w:proofErr w:type="spellEnd"/>
      <w:r w:rsidRPr="00474FE3">
        <w:rPr>
          <w:rFonts w:ascii="Arial" w:hAnsi="Arial" w:cs="Arial"/>
          <w:b/>
          <w:bCs/>
          <w:sz w:val="20"/>
          <w:szCs w:val="20"/>
        </w:rPr>
        <w:t>, Social and Cultural Rights</w:t>
      </w:r>
      <w:r>
        <w:rPr>
          <w:rFonts w:ascii="Arial" w:hAnsi="Arial" w:cs="Arial"/>
          <w:b/>
          <w:bCs/>
          <w:sz w:val="20"/>
          <w:szCs w:val="20"/>
        </w:rPr>
        <w:t>.</w:t>
      </w:r>
    </w:p>
    <w:p w14:paraId="4E109499" w14:textId="77777777" w:rsidR="00010EFD" w:rsidRPr="000F6FCB" w:rsidRDefault="00010EFD" w:rsidP="00010EFD">
      <w:pPr>
        <w:jc w:val="right"/>
        <w:rPr>
          <w:rFonts w:ascii="Arial" w:hAnsi="Arial" w:cs="Arial"/>
          <w:sz w:val="20"/>
          <w:szCs w:val="20"/>
        </w:rPr>
      </w:pPr>
    </w:p>
    <w:p w14:paraId="6D2182CD" w14:textId="77777777" w:rsidR="00010EFD" w:rsidRPr="000F6FCB" w:rsidRDefault="00010EFD" w:rsidP="00010EFD">
      <w:pPr>
        <w:jc w:val="both"/>
        <w:rPr>
          <w:rFonts w:ascii="Arial" w:hAnsi="Arial" w:cs="Arial"/>
          <w:sz w:val="20"/>
          <w:szCs w:val="20"/>
        </w:rPr>
      </w:pPr>
      <w:r w:rsidRPr="000F6FCB">
        <w:rPr>
          <w:rFonts w:ascii="Arial" w:hAnsi="Arial" w:cs="Arial"/>
          <w:sz w:val="20"/>
          <w:szCs w:val="20"/>
        </w:rPr>
        <w:t>Respetado</w:t>
      </w:r>
      <w:r>
        <w:rPr>
          <w:rFonts w:ascii="Arial" w:hAnsi="Arial" w:cs="Arial"/>
          <w:sz w:val="20"/>
          <w:szCs w:val="20"/>
        </w:rPr>
        <w:t xml:space="preserve"> Comité de Derechos Económico, Sociales y Culturales – CDESC-</w:t>
      </w:r>
      <w:r w:rsidRPr="000F6FCB">
        <w:rPr>
          <w:rFonts w:ascii="Arial" w:hAnsi="Arial" w:cs="Arial"/>
          <w:sz w:val="20"/>
          <w:szCs w:val="20"/>
        </w:rPr>
        <w:t>, la Plataforma Colombiana de Derechos Humanos, Democracia y Desarrollo -PCDHDD- es una red nacional de más de ciento treinta y cinco (135) organizaciones de todo el país, que, durante más de 30 años, se ha dedicado a la lucha por la defensa de los Derechos Económicos, Sociales, Culturales y Ambientales a través de acciones de incidencia conjunta que se desarrollan a lo largo del territorio nacional.</w:t>
      </w:r>
    </w:p>
    <w:p w14:paraId="39A3EEC8" w14:textId="77777777" w:rsidR="00010EFD" w:rsidRPr="00D94AFA" w:rsidRDefault="00010EFD" w:rsidP="00010EFD">
      <w:pPr>
        <w:jc w:val="both"/>
        <w:rPr>
          <w:rFonts w:ascii="Arial" w:hAnsi="Arial" w:cs="Arial"/>
          <w:sz w:val="20"/>
          <w:szCs w:val="20"/>
        </w:rPr>
      </w:pPr>
      <w:r w:rsidRPr="00D94AFA">
        <w:rPr>
          <w:rFonts w:ascii="Arial" w:hAnsi="Arial" w:cs="Arial"/>
          <w:sz w:val="20"/>
          <w:szCs w:val="20"/>
        </w:rPr>
        <w:t xml:space="preserve">En la presente, remitimos al Comité de Derechos Económicos, Sociales y Culturales (CDESC) una lista de insumos que podrán ser utilizados en los grupos de trabajo previos al periodo de sesiones que se llevará a cabo del 16 de octubre de 2023 al 20 de octubre de 2023, así como en la elaboración de la </w:t>
      </w:r>
      <w:r>
        <w:rPr>
          <w:rFonts w:ascii="Arial" w:hAnsi="Arial" w:cs="Arial"/>
          <w:sz w:val="20"/>
          <w:szCs w:val="20"/>
        </w:rPr>
        <w:t>L</w:t>
      </w:r>
      <w:r w:rsidRPr="00D94AFA">
        <w:rPr>
          <w:rFonts w:ascii="Arial" w:hAnsi="Arial" w:cs="Arial"/>
          <w:sz w:val="20"/>
          <w:szCs w:val="20"/>
        </w:rPr>
        <w:t>ista de cuestiones que el Comité presentará al Estado Colombiano sobre su séptimo informe periódico en virtud de los artículos 16 y 17 del Pacto Internacional de Derechos Económicos, Sociales y Culturales.</w:t>
      </w:r>
    </w:p>
    <w:p w14:paraId="610C2F51" w14:textId="77777777" w:rsidR="00010EFD" w:rsidRPr="00D94AFA" w:rsidRDefault="00010EFD" w:rsidP="00010EFD">
      <w:pPr>
        <w:jc w:val="both"/>
        <w:rPr>
          <w:rFonts w:ascii="Arial" w:hAnsi="Arial" w:cs="Arial"/>
          <w:sz w:val="20"/>
          <w:szCs w:val="20"/>
        </w:rPr>
      </w:pPr>
      <w:r w:rsidRPr="00D94AFA">
        <w:rPr>
          <w:rFonts w:ascii="Arial" w:hAnsi="Arial" w:cs="Arial"/>
          <w:sz w:val="20"/>
          <w:szCs w:val="20"/>
        </w:rPr>
        <w:t>Para la Plataforma, es un grato privilegio poder participar en la elaboración de la lista de cuestiones que será presentada al Estado de Colombia, y esperamos que nuestros insumos puedan ser tenidos en cuenta en el proceso de examen que llevará a cabo Colombia.</w:t>
      </w:r>
    </w:p>
    <w:p w14:paraId="349199F4" w14:textId="77777777" w:rsidR="00010EFD" w:rsidRPr="000F6FCB" w:rsidRDefault="00010EFD" w:rsidP="00010EFD">
      <w:pPr>
        <w:jc w:val="both"/>
        <w:rPr>
          <w:rFonts w:ascii="Arial" w:hAnsi="Arial" w:cs="Arial"/>
          <w:sz w:val="20"/>
          <w:szCs w:val="20"/>
        </w:rPr>
      </w:pPr>
      <w:r w:rsidRPr="000F6FCB">
        <w:rPr>
          <w:rFonts w:ascii="Arial" w:hAnsi="Arial" w:cs="Arial"/>
          <w:sz w:val="20"/>
          <w:szCs w:val="20"/>
        </w:rPr>
        <w:t xml:space="preserve">Agradecemos la atención prestada. </w:t>
      </w:r>
    </w:p>
    <w:p w14:paraId="50CBEB66" w14:textId="77777777" w:rsidR="00010EFD" w:rsidRPr="000F6FCB" w:rsidRDefault="00010EFD" w:rsidP="00010EFD">
      <w:pPr>
        <w:jc w:val="both"/>
        <w:rPr>
          <w:rFonts w:ascii="Arial" w:hAnsi="Arial" w:cs="Arial"/>
          <w:sz w:val="20"/>
          <w:szCs w:val="20"/>
        </w:rPr>
      </w:pPr>
      <w:r w:rsidRPr="000F6FCB">
        <w:rPr>
          <w:rFonts w:ascii="Arial" w:hAnsi="Arial" w:cs="Arial"/>
          <w:sz w:val="20"/>
          <w:szCs w:val="20"/>
        </w:rPr>
        <w:t xml:space="preserve">Atentamente  </w:t>
      </w:r>
    </w:p>
    <w:p w14:paraId="3A128604" w14:textId="77777777" w:rsidR="00010EFD" w:rsidRPr="000F6FCB" w:rsidRDefault="00010EFD" w:rsidP="00010EFD">
      <w:pPr>
        <w:jc w:val="both"/>
        <w:rPr>
          <w:rFonts w:ascii="Arial" w:hAnsi="Arial" w:cs="Arial"/>
          <w:sz w:val="20"/>
          <w:szCs w:val="20"/>
        </w:rPr>
      </w:pPr>
      <w:r w:rsidRPr="000F6FCB">
        <w:rPr>
          <w:rFonts w:ascii="Arial" w:hAnsi="Arial" w:cs="Arial"/>
          <w:sz w:val="20"/>
          <w:szCs w:val="20"/>
        </w:rPr>
        <w:t xml:space="preserve">  </w:t>
      </w:r>
      <w:r w:rsidRPr="000F6FCB">
        <w:rPr>
          <w:rFonts w:ascii="Arial" w:hAnsi="Arial" w:cs="Arial"/>
          <w:noProof/>
          <w:sz w:val="20"/>
          <w:szCs w:val="20"/>
        </w:rPr>
        <w:drawing>
          <wp:inline distT="0" distB="0" distL="0" distR="0" wp14:anchorId="0F61C2F4" wp14:editId="3480C203">
            <wp:extent cx="981307" cy="83820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85672" cy="841928"/>
                    </a:xfrm>
                    <a:prstGeom prst="rect">
                      <a:avLst/>
                    </a:prstGeom>
                    <a:noFill/>
                  </pic:spPr>
                </pic:pic>
              </a:graphicData>
            </a:graphic>
          </wp:inline>
        </w:drawing>
      </w:r>
    </w:p>
    <w:p w14:paraId="55862ADF" w14:textId="00988777" w:rsidR="00010EFD" w:rsidRPr="00010EFD" w:rsidRDefault="00010EFD" w:rsidP="00010EFD">
      <w:pPr>
        <w:rPr>
          <w:rFonts w:ascii="Arial" w:hAnsi="Arial" w:cs="Arial"/>
          <w:sz w:val="20"/>
          <w:szCs w:val="20"/>
        </w:rPr>
      </w:pPr>
      <w:r w:rsidRPr="000F6FCB">
        <w:rPr>
          <w:rFonts w:ascii="Arial" w:hAnsi="Arial" w:cs="Arial"/>
          <w:sz w:val="20"/>
          <w:szCs w:val="20"/>
        </w:rPr>
        <w:t xml:space="preserve">Aura Elizabeth Rodríguez Bonilla </w:t>
      </w:r>
      <w:r>
        <w:rPr>
          <w:rFonts w:ascii="Arial" w:hAnsi="Arial" w:cs="Arial"/>
          <w:sz w:val="20"/>
          <w:szCs w:val="20"/>
        </w:rPr>
        <w:br/>
      </w:r>
      <w:r w:rsidRPr="000F6FCB">
        <w:rPr>
          <w:rFonts w:ascii="Arial" w:hAnsi="Arial" w:cs="Arial"/>
          <w:sz w:val="20"/>
          <w:szCs w:val="20"/>
        </w:rPr>
        <w:t xml:space="preserve">Cel. 3167405749 Secretaría Técnica </w:t>
      </w:r>
      <w:r w:rsidRPr="000F6FCB">
        <w:rPr>
          <w:rFonts w:ascii="Arial" w:hAnsi="Arial" w:cs="Arial"/>
          <w:sz w:val="20"/>
          <w:szCs w:val="20"/>
        </w:rPr>
        <w:br/>
        <w:t>Plataforma Colombiana de Derechos Humanos, Democracia y Desarrollo www.ddhhcolombia.org.co</w:t>
      </w:r>
    </w:p>
    <w:p w14:paraId="06CF15ED" w14:textId="29AC6407" w:rsidR="008A5516" w:rsidRDefault="001A1BE6">
      <w:pPr>
        <w:spacing w:after="0"/>
        <w:jc w:val="center"/>
        <w:rPr>
          <w:b/>
          <w:sz w:val="24"/>
          <w:szCs w:val="24"/>
        </w:rPr>
      </w:pPr>
      <w:r>
        <w:rPr>
          <w:b/>
          <w:sz w:val="24"/>
          <w:szCs w:val="24"/>
        </w:rPr>
        <w:lastRenderedPageBreak/>
        <w:t>S</w:t>
      </w:r>
      <w:r>
        <w:rPr>
          <w:b/>
          <w:sz w:val="24"/>
          <w:szCs w:val="24"/>
        </w:rPr>
        <w:t>éptimo Examen Periódico del Estado Colombiano ante el</w:t>
      </w:r>
    </w:p>
    <w:p w14:paraId="5188D760" w14:textId="77777777" w:rsidR="008A5516" w:rsidRDefault="001A1BE6">
      <w:pPr>
        <w:spacing w:after="0"/>
        <w:jc w:val="center"/>
        <w:rPr>
          <w:b/>
          <w:sz w:val="24"/>
          <w:szCs w:val="24"/>
        </w:rPr>
      </w:pPr>
      <w:r>
        <w:rPr>
          <w:b/>
          <w:sz w:val="24"/>
          <w:szCs w:val="24"/>
        </w:rPr>
        <w:t>Comité de Derechos Humanos de las Naciones Unidas</w:t>
      </w:r>
    </w:p>
    <w:p w14:paraId="09BB5326" w14:textId="77777777" w:rsidR="008A5516" w:rsidRDefault="001A1BE6">
      <w:pPr>
        <w:spacing w:before="240" w:after="240"/>
        <w:jc w:val="center"/>
        <w:rPr>
          <w:b/>
        </w:rPr>
      </w:pPr>
      <w:r>
        <w:rPr>
          <w:b/>
        </w:rPr>
        <w:t>INSUMOS PARA LA LISTA DE CUESTIONES DE COLOMBIA</w:t>
      </w:r>
    </w:p>
    <w:p w14:paraId="7271810A" w14:textId="77777777" w:rsidR="008A5516" w:rsidRDefault="001A1BE6">
      <w:pPr>
        <w:spacing w:before="240" w:after="0"/>
        <w:jc w:val="center"/>
        <w:rPr>
          <w:i/>
        </w:rPr>
      </w:pPr>
      <w:r>
        <w:rPr>
          <w:i/>
        </w:rPr>
        <w:t>Bogotá, Agosto 4 de 2022</w:t>
      </w:r>
    </w:p>
    <w:p w14:paraId="07704B3B" w14:textId="77777777" w:rsidR="008A5516" w:rsidRDefault="008A5516"/>
    <w:p w14:paraId="7A02CDCD" w14:textId="77777777" w:rsidR="008A5516" w:rsidRDefault="001A1BE6">
      <w:pPr>
        <w:jc w:val="both"/>
      </w:pPr>
      <w:r>
        <w:t>INSUMOS PARA LA LISTA DE CUESTIONES DE COLOMBIA</w:t>
      </w:r>
    </w:p>
    <w:p w14:paraId="589E3A97" w14:textId="77777777" w:rsidR="008A5516" w:rsidRDefault="001A1BE6">
      <w:pPr>
        <w:jc w:val="both"/>
      </w:pPr>
      <w:r>
        <w:t>La Plataforma Colombiana de De</w:t>
      </w:r>
      <w:r>
        <w:t>rechos Humanos, Democracia y Desarrollo presenta al Comité de Derechos Humanos sus insumos para la Lista de Cuestiones para el séptimo examen periódico de Colombia.</w:t>
      </w:r>
    </w:p>
    <w:p w14:paraId="493A9C48" w14:textId="77777777" w:rsidR="008A5516" w:rsidRDefault="001A1BE6">
      <w:pPr>
        <w:jc w:val="both"/>
      </w:pPr>
      <w:r>
        <w:t xml:space="preserve">Las propuestas se encuentran agrupadas en una tabla que contiene las siguientes </w:t>
      </w:r>
      <w:r>
        <w:t>categorías, ordenadas por columnas, para facilitar su lectura y su consulta:</w:t>
      </w:r>
    </w:p>
    <w:p w14:paraId="688A3F6F" w14:textId="77777777" w:rsidR="008A5516" w:rsidRDefault="001A1BE6">
      <w:pPr>
        <w:jc w:val="both"/>
      </w:pPr>
      <w:r>
        <w:t>1. Artículo del Pacto de Derechos Económicos, Sociales y Culturales (o derecho) dentro de la cual se enmarca la pregunta. La tabla está construida siguiendo el orden de los artícu</w:t>
      </w:r>
      <w:r>
        <w:t>los del Pacto, aunque no incluye propuestas de preguntas para todos los artículos.</w:t>
      </w:r>
    </w:p>
    <w:p w14:paraId="1AB077E4" w14:textId="77777777" w:rsidR="008A5516" w:rsidRDefault="001A1BE6">
      <w:pPr>
        <w:jc w:val="both"/>
      </w:pPr>
      <w:r>
        <w:t>2. Tema de la situación de los Derechos Económicos, Sociales y Culturales priorizado sobre el cual versará la información y las preguntas formuladas. En algunos casos hay un</w:t>
      </w:r>
      <w:r>
        <w:t xml:space="preserve"> único tema que se aborda por artículo, pero en otros hay varios temas, por lo que puedes encontrar consecutivamente varias filas que hacen referencia al mismo artículo pero que tratan temas diferentes.</w:t>
      </w:r>
    </w:p>
    <w:p w14:paraId="7EF43540" w14:textId="77777777" w:rsidR="008A5516" w:rsidRDefault="001A1BE6">
      <w:pPr>
        <w:jc w:val="both"/>
      </w:pPr>
      <w:r>
        <w:t>3. Número de la Recomendación del Comité de 2017, seg</w:t>
      </w:r>
      <w:r>
        <w:t>ún el documento de Observaciones finales del examen a Colombia, y si el Comité solicitó hacer seguimiento particular a este tema.</w:t>
      </w:r>
    </w:p>
    <w:p w14:paraId="79ABC6C4" w14:textId="77777777" w:rsidR="008A5516" w:rsidRDefault="001A1BE6">
      <w:pPr>
        <w:jc w:val="both"/>
      </w:pPr>
      <w:r>
        <w:t>4. Fundamento de la pregunta con datos relevantes para entenderla. Es una breve información sobre el tema, que permite entende</w:t>
      </w:r>
      <w:r>
        <w:t>r el contexto y las motivaciones de las preguntas que se proponen.</w:t>
      </w:r>
    </w:p>
    <w:p w14:paraId="4DF54A68" w14:textId="77777777" w:rsidR="008A5516" w:rsidRDefault="001A1BE6">
      <w:pPr>
        <w:jc w:val="both"/>
      </w:pPr>
      <w:r>
        <w:t xml:space="preserve">5. Pregunta(s) que sugerimos realizar al Estado colombiano. Esta es la propuesta concreta que le hacemos al Comité para que incluyan en la Lista de Cuestiones. </w:t>
      </w:r>
    </w:p>
    <w:p w14:paraId="563465B3" w14:textId="77777777" w:rsidR="008A5516" w:rsidRDefault="008A5516"/>
    <w:tbl>
      <w:tblPr>
        <w:tblStyle w:val="a0"/>
        <w:tblW w:w="137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0"/>
        <w:gridCol w:w="2040"/>
        <w:gridCol w:w="1185"/>
        <w:gridCol w:w="5790"/>
        <w:gridCol w:w="3735"/>
      </w:tblGrid>
      <w:tr w:rsidR="008A5516" w14:paraId="0E945A2C" w14:textId="77777777">
        <w:trPr>
          <w:tblHeader/>
        </w:trPr>
        <w:tc>
          <w:tcPr>
            <w:tcW w:w="990" w:type="dxa"/>
            <w:vAlign w:val="center"/>
          </w:tcPr>
          <w:p w14:paraId="332E6FC6" w14:textId="77777777" w:rsidR="008A5516" w:rsidRDefault="001A1BE6">
            <w:pPr>
              <w:jc w:val="center"/>
              <w:rPr>
                <w:b/>
                <w:i/>
              </w:rPr>
            </w:pPr>
            <w:r>
              <w:rPr>
                <w:b/>
                <w:i/>
              </w:rPr>
              <w:lastRenderedPageBreak/>
              <w:t>Artículo PIDESC</w:t>
            </w:r>
          </w:p>
        </w:tc>
        <w:tc>
          <w:tcPr>
            <w:tcW w:w="2040" w:type="dxa"/>
            <w:vAlign w:val="center"/>
          </w:tcPr>
          <w:p w14:paraId="1782E06A" w14:textId="77777777" w:rsidR="008A5516" w:rsidRDefault="001A1BE6">
            <w:pPr>
              <w:jc w:val="center"/>
              <w:rPr>
                <w:b/>
                <w:i/>
              </w:rPr>
            </w:pPr>
            <w:r>
              <w:rPr>
                <w:b/>
                <w:i/>
              </w:rPr>
              <w:t>Tema</w:t>
            </w:r>
          </w:p>
        </w:tc>
        <w:tc>
          <w:tcPr>
            <w:tcW w:w="1185" w:type="dxa"/>
            <w:vAlign w:val="center"/>
          </w:tcPr>
          <w:p w14:paraId="12E8020D" w14:textId="77777777" w:rsidR="008A5516" w:rsidRDefault="001A1BE6">
            <w:pPr>
              <w:jc w:val="center"/>
              <w:rPr>
                <w:b/>
                <w:i/>
              </w:rPr>
            </w:pPr>
            <w:r>
              <w:rPr>
                <w:b/>
                <w:i/>
              </w:rPr>
              <w:t>Recome</w:t>
            </w:r>
            <w:r>
              <w:rPr>
                <w:b/>
                <w:i/>
              </w:rPr>
              <w:t>ndación 2017</w:t>
            </w:r>
          </w:p>
        </w:tc>
        <w:tc>
          <w:tcPr>
            <w:tcW w:w="5790" w:type="dxa"/>
            <w:vAlign w:val="center"/>
          </w:tcPr>
          <w:p w14:paraId="69A36165" w14:textId="77777777" w:rsidR="008A5516" w:rsidRDefault="001A1BE6">
            <w:pPr>
              <w:jc w:val="center"/>
              <w:rPr>
                <w:b/>
                <w:i/>
              </w:rPr>
            </w:pPr>
            <w:r>
              <w:rPr>
                <w:b/>
                <w:i/>
              </w:rPr>
              <w:t>Fundamento/Contexto</w:t>
            </w:r>
          </w:p>
        </w:tc>
        <w:tc>
          <w:tcPr>
            <w:tcW w:w="3735" w:type="dxa"/>
            <w:vAlign w:val="center"/>
          </w:tcPr>
          <w:p w14:paraId="3BDC5421" w14:textId="77777777" w:rsidR="008A5516" w:rsidRDefault="001A1BE6">
            <w:pPr>
              <w:jc w:val="center"/>
              <w:rPr>
                <w:b/>
                <w:i/>
              </w:rPr>
            </w:pPr>
            <w:r>
              <w:rPr>
                <w:b/>
                <w:i/>
              </w:rPr>
              <w:t>Propuesta de pregunta</w:t>
            </w:r>
          </w:p>
        </w:tc>
      </w:tr>
      <w:tr w:rsidR="008A5516" w14:paraId="41805CF3" w14:textId="77777777">
        <w:tc>
          <w:tcPr>
            <w:tcW w:w="990" w:type="dxa"/>
          </w:tcPr>
          <w:p w14:paraId="6C53F7D7" w14:textId="77777777" w:rsidR="008A5516" w:rsidRDefault="001A1BE6">
            <w:pPr>
              <w:jc w:val="center"/>
              <w:rPr>
                <w:b/>
              </w:rPr>
            </w:pPr>
            <w:r>
              <w:rPr>
                <w:b/>
              </w:rPr>
              <w:t>1</w:t>
            </w:r>
          </w:p>
        </w:tc>
        <w:tc>
          <w:tcPr>
            <w:tcW w:w="2040" w:type="dxa"/>
          </w:tcPr>
          <w:p w14:paraId="6C57D33C" w14:textId="77777777" w:rsidR="008A5516" w:rsidRDefault="001A1BE6">
            <w:pPr>
              <w:widowControl w:val="0"/>
            </w:pPr>
            <w:r>
              <w:t>Consulta previa y consentimiento libre, previo e informada</w:t>
            </w:r>
          </w:p>
        </w:tc>
        <w:tc>
          <w:tcPr>
            <w:tcW w:w="1185" w:type="dxa"/>
          </w:tcPr>
          <w:p w14:paraId="004FA6CD" w14:textId="77777777" w:rsidR="008A5516" w:rsidRDefault="001A1BE6">
            <w:pPr>
              <w:jc w:val="center"/>
            </w:pPr>
            <w:r>
              <w:t>17 y 18</w:t>
            </w:r>
          </w:p>
        </w:tc>
        <w:tc>
          <w:tcPr>
            <w:tcW w:w="5790" w:type="dxa"/>
          </w:tcPr>
          <w:p w14:paraId="0ABEBFA6" w14:textId="77777777" w:rsidR="008A5516" w:rsidRDefault="001A1BE6">
            <w:pPr>
              <w:spacing w:before="240" w:after="240"/>
              <w:jc w:val="both"/>
            </w:pPr>
            <w:r>
              <w:t xml:space="preserve">En Colombia, pese a haber realizado aproximadamente 14,000 consultas previas, no se ha logrado una correlación con el </w:t>
            </w:r>
            <w:r>
              <w:t>bienestar de la población. Aunque se han llevado a cabo muchas consultas, especialmente en La Guajira, Chocó y Meta, estas han sido más un procedimiento para las empresas que un ejercicio efectivo de participación y consentimiento libre, previo e informado</w:t>
            </w:r>
            <w:r>
              <w:t>. Existe una preocupante asimetría de poder y falta de garantía de información completa para las comunidades, lo que ha convertido a la consulta previa en un escenario nocivo de negociación sobre los impactos de proyectos empresariales y propuestas de miti</w:t>
            </w:r>
            <w:r>
              <w:t>gación y compensación. Además, la falta de reglamentación clara ha impedido garantizar el derecho al consentimiento libre y efectivo</w:t>
            </w:r>
            <w:r>
              <w:rPr>
                <w:sz w:val="20"/>
                <w:szCs w:val="20"/>
              </w:rPr>
              <w:t>.</w:t>
            </w:r>
          </w:p>
        </w:tc>
        <w:tc>
          <w:tcPr>
            <w:tcW w:w="3735" w:type="dxa"/>
          </w:tcPr>
          <w:p w14:paraId="52CAE71F" w14:textId="77777777" w:rsidR="008A5516" w:rsidRDefault="001A1BE6">
            <w:pPr>
              <w:spacing w:before="240" w:after="240"/>
              <w:jc w:val="both"/>
            </w:pPr>
            <w:r>
              <w:t>¿Qué mecanismos está implementando para hacer seguimiento a los funcionarios de la Dirección Nacional de Consulta Previa d</w:t>
            </w:r>
            <w:r>
              <w:t>el Ministerio del Interior, con el objetivo de garantizar que las consultas previas sean realizadas bajo los principios de buena fe, libertad en el tiempo e información?</w:t>
            </w:r>
          </w:p>
          <w:p w14:paraId="4D1171BC" w14:textId="77777777" w:rsidR="008A5516" w:rsidRDefault="008A5516"/>
          <w:p w14:paraId="31450FEA" w14:textId="77777777" w:rsidR="008A5516" w:rsidRDefault="008A5516"/>
        </w:tc>
      </w:tr>
      <w:tr w:rsidR="008A5516" w14:paraId="05D5735F" w14:textId="77777777">
        <w:tc>
          <w:tcPr>
            <w:tcW w:w="990" w:type="dxa"/>
          </w:tcPr>
          <w:p w14:paraId="747AA10E" w14:textId="77777777" w:rsidR="008A5516" w:rsidRDefault="001A1BE6">
            <w:pPr>
              <w:widowControl w:val="0"/>
              <w:rPr>
                <w:b/>
              </w:rPr>
            </w:pPr>
            <w:r>
              <w:rPr>
                <w:rFonts w:ascii="Arial" w:eastAsia="Arial" w:hAnsi="Arial" w:cs="Arial"/>
              </w:rPr>
              <w:t>1</w:t>
            </w:r>
          </w:p>
        </w:tc>
        <w:tc>
          <w:tcPr>
            <w:tcW w:w="2040" w:type="dxa"/>
          </w:tcPr>
          <w:p w14:paraId="1F817A91" w14:textId="374AA162" w:rsidR="008A5516" w:rsidRDefault="00104B18">
            <w:pPr>
              <w:widowControl w:val="0"/>
            </w:pPr>
            <w:r>
              <w:t>Consultas Populares</w:t>
            </w:r>
          </w:p>
        </w:tc>
        <w:tc>
          <w:tcPr>
            <w:tcW w:w="1185" w:type="dxa"/>
          </w:tcPr>
          <w:p w14:paraId="4547D67B" w14:textId="77777777" w:rsidR="008A5516" w:rsidRDefault="001A1BE6">
            <w:pPr>
              <w:widowControl w:val="0"/>
            </w:pPr>
            <w:r>
              <w:t>16</w:t>
            </w:r>
          </w:p>
        </w:tc>
        <w:tc>
          <w:tcPr>
            <w:tcW w:w="5790" w:type="dxa"/>
            <w:shd w:val="clear" w:color="auto" w:fill="auto"/>
            <w:tcMar>
              <w:top w:w="100" w:type="dxa"/>
              <w:left w:w="100" w:type="dxa"/>
              <w:bottom w:w="100" w:type="dxa"/>
              <w:right w:w="100" w:type="dxa"/>
            </w:tcMar>
          </w:tcPr>
          <w:p w14:paraId="6FFC034C" w14:textId="77777777" w:rsidR="008A5516" w:rsidRDefault="001A1BE6">
            <w:pPr>
              <w:jc w:val="both"/>
            </w:pPr>
            <w:r>
              <w:t>Las consultas populares eran mecanismos para fortalecer la</w:t>
            </w:r>
            <w:r>
              <w:t xml:space="preserve"> democracia y permitir la participación ciudadana en decisiones relacionadas con proyectos extractivos. Sin embargo, enfrentaron obstáculos que afectaron su efectividad, como la desfinanciación por parte del Ministerio de Hacienda y un fallo de la Corte Co</w:t>
            </w:r>
            <w:r>
              <w:t>nstitucional a favor de una empresa, limitando el uso de las consultas para decidir sobre el subsuelo nacional y representando una regresión en estos procesos participativos.</w:t>
            </w:r>
          </w:p>
        </w:tc>
        <w:tc>
          <w:tcPr>
            <w:tcW w:w="3735" w:type="dxa"/>
            <w:shd w:val="clear" w:color="auto" w:fill="auto"/>
            <w:tcMar>
              <w:top w:w="100" w:type="dxa"/>
              <w:left w:w="100" w:type="dxa"/>
              <w:bottom w:w="100" w:type="dxa"/>
              <w:right w:w="100" w:type="dxa"/>
            </w:tcMar>
          </w:tcPr>
          <w:p w14:paraId="321779EA" w14:textId="77777777" w:rsidR="008A5516" w:rsidRDefault="001A1BE6">
            <w:pPr>
              <w:widowControl w:val="0"/>
              <w:spacing w:before="240" w:after="240"/>
              <w:jc w:val="both"/>
              <w:rPr>
                <w:highlight w:val="white"/>
              </w:rPr>
            </w:pPr>
            <w:r>
              <w:rPr>
                <w:highlight w:val="white"/>
              </w:rPr>
              <w:t xml:space="preserve">¿Cómo tiene previsto el Estado dar cumplimiento a las consultas </w:t>
            </w:r>
            <w:r>
              <w:rPr>
                <w:highlight w:val="white"/>
              </w:rPr>
              <w:t>populares ya votadas?</w:t>
            </w:r>
          </w:p>
          <w:p w14:paraId="49ACD0DC" w14:textId="77777777" w:rsidR="008A5516" w:rsidRDefault="008A5516">
            <w:pPr>
              <w:widowControl w:val="0"/>
            </w:pPr>
          </w:p>
        </w:tc>
      </w:tr>
      <w:tr w:rsidR="008A5516" w14:paraId="417FA125" w14:textId="77777777">
        <w:tc>
          <w:tcPr>
            <w:tcW w:w="990" w:type="dxa"/>
            <w:shd w:val="clear" w:color="auto" w:fill="auto"/>
            <w:tcMar>
              <w:top w:w="100" w:type="dxa"/>
              <w:left w:w="100" w:type="dxa"/>
              <w:bottom w:w="100" w:type="dxa"/>
              <w:right w:w="100" w:type="dxa"/>
            </w:tcMar>
          </w:tcPr>
          <w:p w14:paraId="68B7C91E" w14:textId="77777777" w:rsidR="008A5516" w:rsidRDefault="001A1BE6">
            <w:pPr>
              <w:widowControl w:val="0"/>
              <w:rPr>
                <w:rFonts w:ascii="Arial" w:eastAsia="Arial" w:hAnsi="Arial" w:cs="Arial"/>
              </w:rPr>
            </w:pPr>
            <w:r>
              <w:rPr>
                <w:rFonts w:ascii="Arial" w:eastAsia="Arial" w:hAnsi="Arial" w:cs="Arial"/>
              </w:rPr>
              <w:t>2</w:t>
            </w:r>
          </w:p>
        </w:tc>
        <w:tc>
          <w:tcPr>
            <w:tcW w:w="2040" w:type="dxa"/>
            <w:shd w:val="clear" w:color="auto" w:fill="auto"/>
            <w:tcMar>
              <w:top w:w="100" w:type="dxa"/>
              <w:left w:w="100" w:type="dxa"/>
              <w:bottom w:w="100" w:type="dxa"/>
              <w:right w:w="100" w:type="dxa"/>
            </w:tcMar>
          </w:tcPr>
          <w:p w14:paraId="6DAB7A48" w14:textId="77777777" w:rsidR="008A5516" w:rsidRDefault="001A1BE6">
            <w:pPr>
              <w:widowControl w:val="0"/>
            </w:pPr>
            <w:r>
              <w:t>Acceso a la tierra</w:t>
            </w:r>
          </w:p>
        </w:tc>
        <w:tc>
          <w:tcPr>
            <w:tcW w:w="1185" w:type="dxa"/>
            <w:shd w:val="clear" w:color="auto" w:fill="auto"/>
            <w:tcMar>
              <w:top w:w="100" w:type="dxa"/>
              <w:left w:w="100" w:type="dxa"/>
              <w:bottom w:w="100" w:type="dxa"/>
              <w:right w:w="100" w:type="dxa"/>
            </w:tcMar>
          </w:tcPr>
          <w:p w14:paraId="667F1C0F" w14:textId="77777777" w:rsidR="008A5516" w:rsidRDefault="001A1BE6">
            <w:r>
              <w:t xml:space="preserve">50 </w:t>
            </w:r>
          </w:p>
        </w:tc>
        <w:tc>
          <w:tcPr>
            <w:tcW w:w="5790" w:type="dxa"/>
            <w:shd w:val="clear" w:color="auto" w:fill="auto"/>
            <w:tcMar>
              <w:top w:w="100" w:type="dxa"/>
              <w:left w:w="100" w:type="dxa"/>
              <w:bottom w:w="100" w:type="dxa"/>
              <w:right w:w="100" w:type="dxa"/>
            </w:tcMar>
          </w:tcPr>
          <w:p w14:paraId="356447B0" w14:textId="59DDF36E" w:rsidR="008A5516" w:rsidRDefault="001A1BE6">
            <w:pPr>
              <w:jc w:val="both"/>
            </w:pPr>
            <w:r>
              <w:t xml:space="preserve">Colombia se sitúa en el primer lugar en el ranking de la desigualdad en la distribución de la tierra en América Latina, pese a </w:t>
            </w:r>
            <w:r w:rsidR="00104B18">
              <w:t>los compromisos</w:t>
            </w:r>
            <w:r>
              <w:t xml:space="preserve"> del Acuerdo de Paz: el 1% de las explotaciones de mayor tamaño s</w:t>
            </w:r>
            <w:r>
              <w:t xml:space="preserve">e hace en más del 80% de la tierra, mientras que el 99% restante se reparte menos del 20% de la </w:t>
            </w:r>
            <w:r w:rsidR="00104B18">
              <w:t>tierra. La</w:t>
            </w:r>
            <w:r>
              <w:t xml:space="preserve"> implementación del punto del Acuerdo de Paz sobre Reforma Rural Integral sigue muy rezagada. </w:t>
            </w:r>
          </w:p>
          <w:p w14:paraId="631EF56A" w14:textId="77777777" w:rsidR="008A5516" w:rsidRDefault="008A5516">
            <w:pPr>
              <w:jc w:val="both"/>
              <w:rPr>
                <w:highlight w:val="yellow"/>
              </w:rPr>
            </w:pPr>
          </w:p>
          <w:p w14:paraId="35B9D27A" w14:textId="77777777" w:rsidR="008A5516" w:rsidRDefault="001A1BE6">
            <w:pPr>
              <w:shd w:val="clear" w:color="auto" w:fill="FFFFFF"/>
              <w:jc w:val="both"/>
            </w:pPr>
            <w:r>
              <w:t xml:space="preserve">Por otro lado, tras diez años de la política de </w:t>
            </w:r>
            <w:r>
              <w:t>restitución de tierras, se han proferido 6.998 sentencias de restitución por la ruta individual en 26 departamentos, y se ha ordenado restituir y/o compensar un total de 183.466 hectáreas. Esta cifra es importante, pero baja frente a los 6 millones de hect</w:t>
            </w:r>
            <w:r>
              <w:t>áreas despojadas durante el conflicto armado. De las 33.999 órdenes de restitución proferidas por los jueces, 19.046 (que corresponden al 56 %) están sin cumplir. Hay muy pocos avances en la justicia frente a hechos de desplazamiento forzado y despojo de t</w:t>
            </w:r>
            <w:r>
              <w:t>ierras.</w:t>
            </w:r>
          </w:p>
          <w:p w14:paraId="34CC6C89" w14:textId="77777777" w:rsidR="008A5516" w:rsidRDefault="008A5516">
            <w:pPr>
              <w:shd w:val="clear" w:color="auto" w:fill="FFFFFF"/>
              <w:jc w:val="both"/>
            </w:pPr>
          </w:p>
          <w:p w14:paraId="216C91EC" w14:textId="77777777" w:rsidR="008A5516" w:rsidRDefault="008A5516">
            <w:pPr>
              <w:widowControl w:val="0"/>
              <w:jc w:val="both"/>
            </w:pPr>
          </w:p>
        </w:tc>
        <w:tc>
          <w:tcPr>
            <w:tcW w:w="3735" w:type="dxa"/>
            <w:shd w:val="clear" w:color="auto" w:fill="auto"/>
            <w:tcMar>
              <w:top w:w="100" w:type="dxa"/>
              <w:left w:w="100" w:type="dxa"/>
              <w:bottom w:w="100" w:type="dxa"/>
              <w:right w:w="100" w:type="dxa"/>
            </w:tcMar>
          </w:tcPr>
          <w:p w14:paraId="5D26CF84" w14:textId="77777777" w:rsidR="008A5516" w:rsidRDefault="001A1BE6">
            <w:pPr>
              <w:jc w:val="both"/>
            </w:pPr>
            <w:r>
              <w:lastRenderedPageBreak/>
              <w:t>¿De qué forma se tiene dispuesto asegurar el acceso seguro, equitativo y sostenible a la tierra para pueblos indígenas, afrodescendientes y campesinos en el marco de la Reforma Agraria?</w:t>
            </w:r>
          </w:p>
          <w:p w14:paraId="34F3F16A" w14:textId="77777777" w:rsidR="008A5516" w:rsidRDefault="008A5516">
            <w:pPr>
              <w:jc w:val="both"/>
            </w:pPr>
          </w:p>
          <w:p w14:paraId="0D815005" w14:textId="77777777" w:rsidR="008A5516" w:rsidRDefault="001A1BE6">
            <w:pPr>
              <w:jc w:val="both"/>
            </w:pPr>
            <w:r>
              <w:lastRenderedPageBreak/>
              <w:t>¿Qué medidas ha tomado el Estado para asegurar el cumplimie</w:t>
            </w:r>
            <w:r>
              <w:t>nto de las órdenes de los jueces de restitución de tierras?</w:t>
            </w:r>
          </w:p>
          <w:p w14:paraId="34E7817F" w14:textId="77777777" w:rsidR="008A5516" w:rsidRDefault="008A5516">
            <w:pPr>
              <w:jc w:val="both"/>
            </w:pPr>
          </w:p>
          <w:p w14:paraId="305FA906" w14:textId="77777777" w:rsidR="008A5516" w:rsidRDefault="001A1BE6">
            <w:pPr>
              <w:jc w:val="both"/>
            </w:pPr>
            <w:r>
              <w:t>¿Qué estrategias está aplicando el Estado para aumentar los resultados de la justicia en materia de desplazamiento forzado y despojo de tierras?</w:t>
            </w:r>
          </w:p>
          <w:p w14:paraId="60E41462" w14:textId="77777777" w:rsidR="008A5516" w:rsidRDefault="008A5516">
            <w:pPr>
              <w:jc w:val="both"/>
            </w:pPr>
          </w:p>
          <w:p w14:paraId="28EEDF33" w14:textId="77777777" w:rsidR="008A5516" w:rsidRDefault="001A1BE6">
            <w:pPr>
              <w:jc w:val="both"/>
            </w:pPr>
            <w:r>
              <w:t xml:space="preserve">¿De qué manera va a asegurar el Estado la pronta </w:t>
            </w:r>
            <w:r>
              <w:t>implementación efectiva del punto del Acuerdo sobre reforma Rural Integral?</w:t>
            </w:r>
          </w:p>
          <w:p w14:paraId="6EF57B12" w14:textId="77777777" w:rsidR="008A5516" w:rsidRDefault="008A5516">
            <w:pPr>
              <w:jc w:val="both"/>
            </w:pPr>
          </w:p>
          <w:p w14:paraId="5A7F4FAF" w14:textId="77777777" w:rsidR="008A5516" w:rsidRDefault="001A1BE6">
            <w:pPr>
              <w:jc w:val="both"/>
            </w:pPr>
            <w:r>
              <w:t>¿Qué medidas se están implementando para superar la inequitativa distribución de derechos de propiedad de las mujeres rurales? ¿Cuáles son las metas en esta cuestión?</w:t>
            </w:r>
          </w:p>
          <w:p w14:paraId="6120C703" w14:textId="77777777" w:rsidR="008A5516" w:rsidRDefault="008A5516">
            <w:pPr>
              <w:widowControl w:val="0"/>
            </w:pPr>
          </w:p>
        </w:tc>
      </w:tr>
      <w:tr w:rsidR="008A5516" w14:paraId="7F40095C" w14:textId="77777777">
        <w:tc>
          <w:tcPr>
            <w:tcW w:w="990" w:type="dxa"/>
            <w:shd w:val="clear" w:color="auto" w:fill="auto"/>
            <w:tcMar>
              <w:top w:w="100" w:type="dxa"/>
              <w:left w:w="100" w:type="dxa"/>
              <w:bottom w:w="100" w:type="dxa"/>
              <w:right w:w="100" w:type="dxa"/>
            </w:tcMar>
          </w:tcPr>
          <w:p w14:paraId="5855E739" w14:textId="77777777" w:rsidR="008A5516" w:rsidRDefault="001A1BE6">
            <w:pPr>
              <w:widowControl w:val="0"/>
              <w:jc w:val="both"/>
              <w:rPr>
                <w:rFonts w:ascii="Arial" w:eastAsia="Arial" w:hAnsi="Arial" w:cs="Arial"/>
              </w:rPr>
            </w:pPr>
            <w:r>
              <w:rPr>
                <w:rFonts w:ascii="Arial" w:eastAsia="Arial" w:hAnsi="Arial" w:cs="Arial"/>
              </w:rPr>
              <w:lastRenderedPageBreak/>
              <w:t>3</w:t>
            </w:r>
          </w:p>
        </w:tc>
        <w:tc>
          <w:tcPr>
            <w:tcW w:w="2040" w:type="dxa"/>
            <w:shd w:val="clear" w:color="auto" w:fill="auto"/>
            <w:tcMar>
              <w:top w:w="100" w:type="dxa"/>
              <w:left w:w="100" w:type="dxa"/>
              <w:bottom w:w="100" w:type="dxa"/>
              <w:right w:w="100" w:type="dxa"/>
            </w:tcMar>
          </w:tcPr>
          <w:p w14:paraId="72946D4A" w14:textId="77777777" w:rsidR="008A5516" w:rsidRDefault="001A1BE6">
            <w:pPr>
              <w:spacing w:line="276" w:lineRule="auto"/>
              <w:jc w:val="both"/>
            </w:pPr>
            <w:r>
              <w:t>Personas defensoras de derechos humanos</w:t>
            </w:r>
          </w:p>
        </w:tc>
        <w:tc>
          <w:tcPr>
            <w:tcW w:w="1185" w:type="dxa"/>
            <w:shd w:val="clear" w:color="auto" w:fill="auto"/>
            <w:tcMar>
              <w:top w:w="100" w:type="dxa"/>
              <w:left w:w="100" w:type="dxa"/>
              <w:bottom w:w="100" w:type="dxa"/>
              <w:right w:w="100" w:type="dxa"/>
            </w:tcMar>
          </w:tcPr>
          <w:p w14:paraId="4331AC30" w14:textId="77777777" w:rsidR="008A5516" w:rsidRDefault="001A1BE6">
            <w:pPr>
              <w:widowControl w:val="0"/>
              <w:jc w:val="both"/>
            </w:pPr>
            <w:r>
              <w:t xml:space="preserve">10 </w:t>
            </w:r>
          </w:p>
        </w:tc>
        <w:tc>
          <w:tcPr>
            <w:tcW w:w="5790" w:type="dxa"/>
            <w:shd w:val="clear" w:color="auto" w:fill="auto"/>
            <w:tcMar>
              <w:top w:w="100" w:type="dxa"/>
              <w:left w:w="100" w:type="dxa"/>
              <w:bottom w:w="100" w:type="dxa"/>
              <w:right w:w="100" w:type="dxa"/>
            </w:tcMar>
          </w:tcPr>
          <w:p w14:paraId="63A79476" w14:textId="77777777" w:rsidR="008A5516" w:rsidRDefault="001A1BE6">
            <w:pPr>
              <w:widowControl w:val="0"/>
              <w:jc w:val="both"/>
            </w:pPr>
            <w:r>
              <w:t>Colombia sigue enfrentando una alarmante situación de violencia contra personas defensoras de derechos humanos, siendo el país con el mayor número de asesinatos y atentados registrados entre 2018 y 2022, con al m</w:t>
            </w:r>
            <w:r>
              <w:t>enos 716 asesinatos y 285 atentados. Especialmente preocupante es el alto número de defensores de la tierra y el medio ambiente asesinados, alcanzando 33 en 2021. La falta de convocatoria de mecanismos de interlocución entre el gobierno y la sociedad civil</w:t>
            </w:r>
            <w:r>
              <w:t xml:space="preserve"> para proteger a los defensores es una preocupación, y aunque se han reiniciado estos espacios bajo el nuevo </w:t>
            </w:r>
            <w:r>
              <w:lastRenderedPageBreak/>
              <w:t>gobierno, las acciones y políticas avanzan lentamente y las medidas de protección siguen siendo insuficientes. Además, la impunidad prevalece en la</w:t>
            </w:r>
            <w:r>
              <w:t xml:space="preserve"> mayoría de los casos, con poca claridad y transparencia en las investigaciones y sanciones limitadas a autores materiales, sin llegar a los responsables intelectuales o las motivaciones detrás de estos crímenes.</w:t>
            </w:r>
          </w:p>
        </w:tc>
        <w:tc>
          <w:tcPr>
            <w:tcW w:w="3735" w:type="dxa"/>
            <w:shd w:val="clear" w:color="auto" w:fill="auto"/>
            <w:tcMar>
              <w:top w:w="100" w:type="dxa"/>
              <w:left w:w="100" w:type="dxa"/>
              <w:bottom w:w="100" w:type="dxa"/>
              <w:right w:w="100" w:type="dxa"/>
            </w:tcMar>
          </w:tcPr>
          <w:p w14:paraId="2EF769B4" w14:textId="600E2DDF" w:rsidR="008A5516" w:rsidRDefault="001A1BE6">
            <w:pPr>
              <w:jc w:val="both"/>
            </w:pPr>
            <w:r>
              <w:lastRenderedPageBreak/>
              <w:t xml:space="preserve">¿Qué medidas ha tomado el Estado </w:t>
            </w:r>
            <w:r w:rsidR="00104B18">
              <w:t>para enfrentar</w:t>
            </w:r>
            <w:r>
              <w:t xml:space="preserve"> la violencia en contra de personas defensoras de la tierra y el ambiente?</w:t>
            </w:r>
          </w:p>
          <w:p w14:paraId="649EFB60" w14:textId="77777777" w:rsidR="008A5516" w:rsidRDefault="008A5516">
            <w:pPr>
              <w:jc w:val="both"/>
            </w:pPr>
          </w:p>
          <w:p w14:paraId="421E7BAD" w14:textId="77777777" w:rsidR="008A5516" w:rsidRDefault="001A1BE6">
            <w:pPr>
              <w:jc w:val="both"/>
            </w:pPr>
            <w:r>
              <w:t>¿De qué manera se ha fortalecido el Programa de protección para brindar protección a mujeres, personas LGBTIQ, líderes de pueblos indígenas y afrocolombianos?</w:t>
            </w:r>
          </w:p>
          <w:p w14:paraId="267B619C" w14:textId="77777777" w:rsidR="008A5516" w:rsidRDefault="008A5516">
            <w:pPr>
              <w:jc w:val="both"/>
            </w:pPr>
          </w:p>
          <w:p w14:paraId="665C5544" w14:textId="77777777" w:rsidR="008A5516" w:rsidRDefault="008A5516">
            <w:pPr>
              <w:widowControl w:val="0"/>
              <w:jc w:val="both"/>
            </w:pPr>
          </w:p>
        </w:tc>
      </w:tr>
      <w:tr w:rsidR="008A5516" w14:paraId="7CBB7260" w14:textId="77777777">
        <w:tc>
          <w:tcPr>
            <w:tcW w:w="990" w:type="dxa"/>
            <w:shd w:val="clear" w:color="auto" w:fill="auto"/>
            <w:tcMar>
              <w:top w:w="100" w:type="dxa"/>
              <w:left w:w="100" w:type="dxa"/>
              <w:bottom w:w="100" w:type="dxa"/>
              <w:right w:w="100" w:type="dxa"/>
            </w:tcMar>
          </w:tcPr>
          <w:p w14:paraId="56B411B2" w14:textId="77777777" w:rsidR="008A5516" w:rsidRDefault="001A1BE6">
            <w:pPr>
              <w:widowControl w:val="0"/>
              <w:jc w:val="both"/>
            </w:pPr>
            <w:r>
              <w:lastRenderedPageBreak/>
              <w:t>3</w:t>
            </w:r>
          </w:p>
        </w:tc>
        <w:tc>
          <w:tcPr>
            <w:tcW w:w="2040" w:type="dxa"/>
            <w:shd w:val="clear" w:color="auto" w:fill="auto"/>
            <w:tcMar>
              <w:top w:w="100" w:type="dxa"/>
              <w:left w:w="100" w:type="dxa"/>
              <w:bottom w:w="100" w:type="dxa"/>
              <w:right w:w="100" w:type="dxa"/>
            </w:tcMar>
          </w:tcPr>
          <w:p w14:paraId="5517BC7E" w14:textId="77777777" w:rsidR="008A5516" w:rsidRDefault="001A1BE6">
            <w:pPr>
              <w:widowControl w:val="0"/>
              <w:jc w:val="both"/>
            </w:pPr>
            <w:r>
              <w:t>Igualdad de derechos de hombres y mujeres</w:t>
            </w:r>
          </w:p>
        </w:tc>
        <w:tc>
          <w:tcPr>
            <w:tcW w:w="1185" w:type="dxa"/>
            <w:shd w:val="clear" w:color="auto" w:fill="auto"/>
            <w:tcMar>
              <w:top w:w="100" w:type="dxa"/>
              <w:left w:w="100" w:type="dxa"/>
              <w:bottom w:w="100" w:type="dxa"/>
              <w:right w:w="100" w:type="dxa"/>
            </w:tcMar>
          </w:tcPr>
          <w:p w14:paraId="0AA71E05" w14:textId="77777777" w:rsidR="008A5516" w:rsidRDefault="001A1BE6">
            <w:pPr>
              <w:widowControl w:val="0"/>
              <w:spacing w:line="276" w:lineRule="auto"/>
              <w:jc w:val="both"/>
            </w:pPr>
            <w:r>
              <w:t xml:space="preserve">26 y 27. </w:t>
            </w:r>
          </w:p>
        </w:tc>
        <w:tc>
          <w:tcPr>
            <w:tcW w:w="5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375D0A" w14:textId="77777777" w:rsidR="008A5516" w:rsidRDefault="001A1BE6">
            <w:pPr>
              <w:widowControl w:val="0"/>
              <w:spacing w:line="276" w:lineRule="auto"/>
              <w:jc w:val="both"/>
            </w:pPr>
            <w:r>
              <w:t>A diciembre de 2022, se evidencia una marcada desigualdad de género en el mercado laboral colombiano. Aunque las mujeres en edad de trabajar superan ligeramente a los hombres en número, su participación e</w:t>
            </w:r>
            <w:r>
              <w:t xml:space="preserve">n el mercado laboral es significativamente menor. Mientras el 75,5% de los hombres en edad de trabajar participa en el mercado laboral, solo el 48,4% de las mujeres lo hace. Además, la participación de las mujeres no se ha recuperado tras la coyuntura del </w:t>
            </w:r>
            <w:r>
              <w:t>2020, y muchas han quedado fuera del mercado laboral. Esta situación se agrava debido a la tendencia de las mujeres a dedicarse a labores del hogar, lo que representa trabajo no remunerado. La violencia y el acoso también afectan a las mujeres en el ámbito</w:t>
            </w:r>
            <w:r>
              <w:t xml:space="preserve"> laboral y están relacionados con dinámicas de poder, roles de género y discriminación presentes en la sociedad en general.</w:t>
            </w:r>
          </w:p>
        </w:tc>
        <w:tc>
          <w:tcPr>
            <w:tcW w:w="3735" w:type="dxa"/>
            <w:shd w:val="clear" w:color="auto" w:fill="auto"/>
            <w:tcMar>
              <w:top w:w="100" w:type="dxa"/>
              <w:left w:w="100" w:type="dxa"/>
              <w:bottom w:w="100" w:type="dxa"/>
              <w:right w:w="100" w:type="dxa"/>
            </w:tcMar>
          </w:tcPr>
          <w:p w14:paraId="0EF91D74" w14:textId="77777777" w:rsidR="008A5516" w:rsidRDefault="001A1BE6">
            <w:pPr>
              <w:widowControl w:val="0"/>
              <w:spacing w:before="240" w:after="240" w:line="276" w:lineRule="auto"/>
              <w:jc w:val="both"/>
            </w:pPr>
            <w:r>
              <w:t>¿Qué medidas de política pública ha adoptado el Estado para garantizar el derecho de las mujeres a la vivienda digna, y en particula</w:t>
            </w:r>
            <w:r>
              <w:t xml:space="preserve">r a aquellas que viven en condiciones de pobreza y a las que están en situación de desplazamiento? </w:t>
            </w:r>
          </w:p>
          <w:p w14:paraId="05EBB64C" w14:textId="77777777" w:rsidR="008A5516" w:rsidRDefault="001A1BE6">
            <w:pPr>
              <w:widowControl w:val="0"/>
              <w:spacing w:before="240" w:after="240" w:line="276" w:lineRule="auto"/>
              <w:jc w:val="both"/>
            </w:pPr>
            <w:r>
              <w:t>¿Qué alternativas de generación de ingresos sostenibles se están fomentando para que las mujeres rurales puedan pagar los créditos mediante los cuales les f</w:t>
            </w:r>
            <w:r>
              <w:t xml:space="preserve">ueron adjudicadas sus tierras? </w:t>
            </w:r>
          </w:p>
          <w:p w14:paraId="3EBD3C34" w14:textId="77777777" w:rsidR="008A5516" w:rsidRDefault="001A1BE6">
            <w:pPr>
              <w:widowControl w:val="0"/>
              <w:spacing w:before="240" w:after="240" w:line="276" w:lineRule="auto"/>
              <w:jc w:val="both"/>
            </w:pPr>
            <w:r>
              <w:br/>
              <w:t xml:space="preserve">¿Qué medidas de política pública se han implementado para fomentar la generación de trabajo permanente, productivo y protegido para las </w:t>
            </w:r>
            <w:r>
              <w:lastRenderedPageBreak/>
              <w:t xml:space="preserve">mujeres? </w:t>
            </w:r>
          </w:p>
        </w:tc>
      </w:tr>
      <w:tr w:rsidR="008A5516" w14:paraId="75093194" w14:textId="77777777">
        <w:tc>
          <w:tcPr>
            <w:tcW w:w="990" w:type="dxa"/>
            <w:shd w:val="clear" w:color="auto" w:fill="auto"/>
            <w:tcMar>
              <w:top w:w="100" w:type="dxa"/>
              <w:left w:w="100" w:type="dxa"/>
              <w:bottom w:w="100" w:type="dxa"/>
              <w:right w:w="100" w:type="dxa"/>
            </w:tcMar>
          </w:tcPr>
          <w:p w14:paraId="3E1FC4C3" w14:textId="77777777" w:rsidR="008A5516" w:rsidRDefault="001A1BE6">
            <w:pPr>
              <w:widowControl w:val="0"/>
              <w:jc w:val="both"/>
            </w:pPr>
            <w:r>
              <w:lastRenderedPageBreak/>
              <w:t>6</w:t>
            </w:r>
          </w:p>
        </w:tc>
        <w:tc>
          <w:tcPr>
            <w:tcW w:w="2040" w:type="dxa"/>
            <w:shd w:val="clear" w:color="auto" w:fill="auto"/>
            <w:tcMar>
              <w:top w:w="100" w:type="dxa"/>
              <w:left w:w="100" w:type="dxa"/>
              <w:bottom w:w="100" w:type="dxa"/>
              <w:right w:w="100" w:type="dxa"/>
            </w:tcMar>
          </w:tcPr>
          <w:p w14:paraId="63CC384A" w14:textId="77777777" w:rsidR="008A5516" w:rsidRDefault="001A1BE6">
            <w:pPr>
              <w:widowControl w:val="0"/>
              <w:jc w:val="both"/>
            </w:pPr>
            <w:r>
              <w:t>Derecho a trabajar</w:t>
            </w:r>
          </w:p>
        </w:tc>
        <w:tc>
          <w:tcPr>
            <w:tcW w:w="1185" w:type="dxa"/>
            <w:shd w:val="clear" w:color="auto" w:fill="auto"/>
            <w:tcMar>
              <w:top w:w="100" w:type="dxa"/>
              <w:left w:w="100" w:type="dxa"/>
              <w:bottom w:w="100" w:type="dxa"/>
              <w:right w:w="100" w:type="dxa"/>
            </w:tcMar>
          </w:tcPr>
          <w:p w14:paraId="2C986BB7" w14:textId="77777777" w:rsidR="008A5516" w:rsidRDefault="001A1BE6">
            <w:pPr>
              <w:widowControl w:val="0"/>
              <w:spacing w:line="276" w:lineRule="auto"/>
              <w:jc w:val="both"/>
            </w:pPr>
            <w:r>
              <w:t xml:space="preserve">29 y 31. </w:t>
            </w:r>
          </w:p>
        </w:tc>
        <w:tc>
          <w:tcPr>
            <w:tcW w:w="5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69167B" w14:textId="77777777" w:rsidR="008A5516" w:rsidRDefault="001A1BE6">
            <w:pPr>
              <w:jc w:val="both"/>
            </w:pPr>
            <w:r>
              <w:t xml:space="preserve">Entre el 2021 y el 2022 se </w:t>
            </w:r>
            <w:r>
              <w:t>recuperaron 1,6 millones de puestos de trabajo, lo que implica un crecimiento en la ocupación del 3%, cifra equivalente a la disminución del desempleo. Sin embargo, esta recuperación es apenas aparente, pues empezamos a acercarnos a la cifra del 2019, prev</w:t>
            </w:r>
            <w:r>
              <w:t>ia a la pandemia, aspecto que afectó de manera importante las cifras de empleo, de ahí que, en el 2019, la tasa de desocupación se ubicó en el 10,5% y en el</w:t>
            </w:r>
            <w:r>
              <w:rPr>
                <w:rFonts w:ascii="Times New Roman" w:eastAsia="Times New Roman" w:hAnsi="Times New Roman" w:cs="Times New Roman"/>
                <w:sz w:val="24"/>
                <w:szCs w:val="24"/>
              </w:rPr>
              <w:t xml:space="preserve"> </w:t>
            </w:r>
            <w:r>
              <w:t>2022 en el 11,2%.</w:t>
            </w:r>
          </w:p>
          <w:p w14:paraId="50906611" w14:textId="77777777" w:rsidR="008A5516" w:rsidRDefault="001A1BE6">
            <w:pPr>
              <w:jc w:val="both"/>
            </w:pPr>
            <w:r>
              <w:t>La informalidad es otro factor estructural en el mercado laboral del país. Tenien</w:t>
            </w:r>
            <w:r>
              <w:t>do en cuenta los criterios de medición de la informalidad laboral en Colombia dados por el DANE en el</w:t>
            </w:r>
            <w:r>
              <w:rPr>
                <w:rFonts w:ascii="Times New Roman" w:eastAsia="Times New Roman" w:hAnsi="Times New Roman" w:cs="Times New Roman"/>
                <w:sz w:val="24"/>
                <w:szCs w:val="24"/>
              </w:rPr>
              <w:t xml:space="preserve"> </w:t>
            </w:r>
            <w:r>
              <w:t>primer trimestre del año 2023, Colombia registró una tasa del 57,9% de trabajadores informales, lo que supone que seis de cada</w:t>
            </w:r>
            <w:r>
              <w:rPr>
                <w:rFonts w:ascii="Times New Roman" w:eastAsia="Times New Roman" w:hAnsi="Times New Roman" w:cs="Times New Roman"/>
                <w:sz w:val="24"/>
                <w:szCs w:val="24"/>
              </w:rPr>
              <w:t xml:space="preserve"> </w:t>
            </w:r>
            <w:r>
              <w:t>10 trabajadores(as) en el p</w:t>
            </w:r>
            <w:r>
              <w:t>aís no tienen un contrato formal de empleo, y que la gran mayoría de estos no cotiza a salud, pensión,</w:t>
            </w:r>
            <w:r>
              <w:rPr>
                <w:rFonts w:ascii="Times New Roman" w:eastAsia="Times New Roman" w:hAnsi="Times New Roman" w:cs="Times New Roman"/>
                <w:sz w:val="24"/>
                <w:szCs w:val="24"/>
              </w:rPr>
              <w:t xml:space="preserve"> </w:t>
            </w:r>
            <w:r>
              <w:t>riesgos laborales ni cesantías.</w:t>
            </w:r>
          </w:p>
        </w:tc>
        <w:tc>
          <w:tcPr>
            <w:tcW w:w="3735" w:type="dxa"/>
            <w:shd w:val="clear" w:color="auto" w:fill="auto"/>
            <w:tcMar>
              <w:top w:w="100" w:type="dxa"/>
              <w:left w:w="100" w:type="dxa"/>
              <w:bottom w:w="100" w:type="dxa"/>
              <w:right w:w="100" w:type="dxa"/>
            </w:tcMar>
          </w:tcPr>
          <w:p w14:paraId="4EA87DE8" w14:textId="77777777" w:rsidR="008A5516" w:rsidRDefault="001A1BE6">
            <w:pPr>
              <w:widowControl w:val="0"/>
              <w:spacing w:before="240" w:after="240" w:line="276" w:lineRule="auto"/>
              <w:jc w:val="both"/>
            </w:pPr>
            <w:r>
              <w:t>¿Qué medidas ha adoptado el Estado colombiano para disminuir los índices de informalidad laboral y desempleo?</w:t>
            </w:r>
          </w:p>
          <w:p w14:paraId="30F2FE0E" w14:textId="77777777" w:rsidR="008A5516" w:rsidRDefault="001A1BE6">
            <w:pPr>
              <w:widowControl w:val="0"/>
              <w:spacing w:before="240" w:after="240" w:line="276" w:lineRule="auto"/>
              <w:jc w:val="both"/>
            </w:pPr>
            <w:r>
              <w:t>¿Cuáles políticas y medidas han sido implementadas por parte del Estado para avanzar en materia de formalización laboral y la garantía de derechos a los trabajadores/as y empleados/as?</w:t>
            </w:r>
          </w:p>
        </w:tc>
      </w:tr>
      <w:tr w:rsidR="008A5516" w14:paraId="5ABC5258" w14:textId="77777777">
        <w:tc>
          <w:tcPr>
            <w:tcW w:w="990" w:type="dxa"/>
            <w:shd w:val="clear" w:color="auto" w:fill="auto"/>
            <w:tcMar>
              <w:top w:w="100" w:type="dxa"/>
              <w:left w:w="100" w:type="dxa"/>
              <w:bottom w:w="100" w:type="dxa"/>
              <w:right w:w="100" w:type="dxa"/>
            </w:tcMar>
          </w:tcPr>
          <w:p w14:paraId="7CBFFA71" w14:textId="77777777" w:rsidR="008A5516" w:rsidRDefault="001A1BE6">
            <w:pPr>
              <w:widowControl w:val="0"/>
              <w:rPr>
                <w:rFonts w:ascii="Arial" w:eastAsia="Arial" w:hAnsi="Arial" w:cs="Arial"/>
              </w:rPr>
            </w:pPr>
            <w:r>
              <w:rPr>
                <w:rFonts w:ascii="Arial" w:eastAsia="Arial" w:hAnsi="Arial" w:cs="Arial"/>
              </w:rPr>
              <w:t>7</w:t>
            </w:r>
          </w:p>
        </w:tc>
        <w:tc>
          <w:tcPr>
            <w:tcW w:w="2040" w:type="dxa"/>
            <w:shd w:val="clear" w:color="auto" w:fill="auto"/>
            <w:tcMar>
              <w:top w:w="100" w:type="dxa"/>
              <w:left w:w="100" w:type="dxa"/>
              <w:bottom w:w="100" w:type="dxa"/>
              <w:right w:w="100" w:type="dxa"/>
            </w:tcMar>
          </w:tcPr>
          <w:p w14:paraId="6BF7AEAB" w14:textId="77777777" w:rsidR="008A5516" w:rsidRDefault="001A1BE6">
            <w:pPr>
              <w:widowControl w:val="0"/>
            </w:pPr>
            <w:r>
              <w:t>Trabajadores en el sector agrícola</w:t>
            </w:r>
          </w:p>
        </w:tc>
        <w:tc>
          <w:tcPr>
            <w:tcW w:w="1185" w:type="dxa"/>
            <w:shd w:val="clear" w:color="auto" w:fill="auto"/>
            <w:tcMar>
              <w:top w:w="100" w:type="dxa"/>
              <w:left w:w="100" w:type="dxa"/>
              <w:bottom w:w="100" w:type="dxa"/>
              <w:right w:w="100" w:type="dxa"/>
            </w:tcMar>
          </w:tcPr>
          <w:p w14:paraId="17F4CC70" w14:textId="77777777" w:rsidR="008A5516" w:rsidRDefault="001A1BE6">
            <w:pPr>
              <w:widowControl w:val="0"/>
              <w:jc w:val="both"/>
            </w:pPr>
            <w:r>
              <w:t>37</w:t>
            </w:r>
          </w:p>
        </w:tc>
        <w:tc>
          <w:tcPr>
            <w:tcW w:w="5790" w:type="dxa"/>
            <w:shd w:val="clear" w:color="auto" w:fill="auto"/>
            <w:tcMar>
              <w:top w:w="100" w:type="dxa"/>
              <w:left w:w="100" w:type="dxa"/>
              <w:bottom w:w="100" w:type="dxa"/>
              <w:right w:w="100" w:type="dxa"/>
            </w:tcMar>
          </w:tcPr>
          <w:p w14:paraId="255390F9" w14:textId="22607CFB" w:rsidR="008A5516" w:rsidRDefault="001A1BE6">
            <w:pPr>
              <w:widowControl w:val="0"/>
              <w:jc w:val="both"/>
            </w:pPr>
            <w:r>
              <w:t>El Comité recomienda al Estado</w:t>
            </w:r>
            <w:r>
              <w:t xml:space="preserve"> que redoble sus esfuerzos para garantizar que todos los trabajadores en el sector agrícola cuenten tanto en la ley como en la práctica con condiciones laborales justas y satisfactorias, incluyendo una remuneración que les proporcione condiciones de existe</w:t>
            </w:r>
            <w:r>
              <w:t xml:space="preserve">ncia dignas para ellos y sus familias. Asimismo, le recomienda que redoble sus esfuerzos a fin de garantizar las condiciones de seguridad en el trabajo, </w:t>
            </w:r>
            <w:r w:rsidR="00104B18">
              <w:t>de acuerdo con</w:t>
            </w:r>
            <w:r>
              <w:t xml:space="preserve"> los estándares internacionales, de todas las personas, especialmente civiles, que partic</w:t>
            </w:r>
            <w:r>
              <w:t>ipan en la erradicación manual de cultivos ilícitos y adopte las medidas necesarias para favorecer la creación de empleos con condiciones adecuadas.</w:t>
            </w:r>
          </w:p>
        </w:tc>
        <w:tc>
          <w:tcPr>
            <w:tcW w:w="3735" w:type="dxa"/>
            <w:shd w:val="clear" w:color="auto" w:fill="auto"/>
            <w:tcMar>
              <w:top w:w="100" w:type="dxa"/>
              <w:left w:w="100" w:type="dxa"/>
              <w:bottom w:w="100" w:type="dxa"/>
              <w:right w:w="100" w:type="dxa"/>
            </w:tcMar>
          </w:tcPr>
          <w:p w14:paraId="11ED6159" w14:textId="73A03B37" w:rsidR="008A5516" w:rsidRDefault="001A1BE6">
            <w:pPr>
              <w:widowControl w:val="0"/>
            </w:pPr>
            <w:r>
              <w:t>¿Cuál es el estado actual de la implementación de la política pública de trabajo decente en el sector rural</w:t>
            </w:r>
            <w:r>
              <w:t xml:space="preserve"> de Colombia, en términos de impacto en la formalización laboral, respeto de los derechos fundamentales en el trabajo y la protección social de </w:t>
            </w:r>
            <w:r w:rsidR="00104B18">
              <w:t>los trabajadores</w:t>
            </w:r>
            <w:r>
              <w:t xml:space="preserve"> rurales?</w:t>
            </w:r>
          </w:p>
        </w:tc>
      </w:tr>
      <w:tr w:rsidR="008A5516" w14:paraId="1575D0F7" w14:textId="77777777">
        <w:tc>
          <w:tcPr>
            <w:tcW w:w="990" w:type="dxa"/>
            <w:shd w:val="clear" w:color="auto" w:fill="auto"/>
            <w:tcMar>
              <w:top w:w="100" w:type="dxa"/>
              <w:left w:w="100" w:type="dxa"/>
              <w:bottom w:w="100" w:type="dxa"/>
              <w:right w:w="100" w:type="dxa"/>
            </w:tcMar>
          </w:tcPr>
          <w:p w14:paraId="05AFF0F5" w14:textId="77777777" w:rsidR="008A5516" w:rsidRDefault="001A1BE6">
            <w:pPr>
              <w:widowControl w:val="0"/>
              <w:jc w:val="both"/>
              <w:rPr>
                <w:rFonts w:ascii="Arial" w:eastAsia="Arial" w:hAnsi="Arial" w:cs="Arial"/>
              </w:rPr>
            </w:pPr>
            <w:r>
              <w:rPr>
                <w:rFonts w:ascii="Arial" w:eastAsia="Arial" w:hAnsi="Arial" w:cs="Arial"/>
              </w:rPr>
              <w:lastRenderedPageBreak/>
              <w:t>8</w:t>
            </w:r>
          </w:p>
        </w:tc>
        <w:tc>
          <w:tcPr>
            <w:tcW w:w="2040" w:type="dxa"/>
            <w:shd w:val="clear" w:color="auto" w:fill="auto"/>
            <w:tcMar>
              <w:top w:w="100" w:type="dxa"/>
              <w:left w:w="100" w:type="dxa"/>
              <w:bottom w:w="100" w:type="dxa"/>
              <w:right w:w="100" w:type="dxa"/>
            </w:tcMar>
          </w:tcPr>
          <w:p w14:paraId="49BBAB90" w14:textId="77777777" w:rsidR="008A5516" w:rsidRDefault="001A1BE6">
            <w:pPr>
              <w:widowControl w:val="0"/>
              <w:jc w:val="both"/>
            </w:pPr>
            <w:r>
              <w:t>Derechos sindicales</w:t>
            </w:r>
          </w:p>
        </w:tc>
        <w:tc>
          <w:tcPr>
            <w:tcW w:w="1185" w:type="dxa"/>
            <w:shd w:val="clear" w:color="auto" w:fill="auto"/>
            <w:tcMar>
              <w:top w:w="100" w:type="dxa"/>
              <w:left w:w="100" w:type="dxa"/>
              <w:bottom w:w="100" w:type="dxa"/>
              <w:right w:w="100" w:type="dxa"/>
            </w:tcMar>
          </w:tcPr>
          <w:p w14:paraId="3FB194DF" w14:textId="77777777" w:rsidR="008A5516" w:rsidRDefault="001A1BE6">
            <w:pPr>
              <w:jc w:val="both"/>
            </w:pPr>
            <w:r>
              <w:rPr>
                <w:rFonts w:ascii="Arial" w:eastAsia="Arial" w:hAnsi="Arial" w:cs="Arial"/>
              </w:rPr>
              <w:t xml:space="preserve">40. </w:t>
            </w:r>
          </w:p>
        </w:tc>
        <w:tc>
          <w:tcPr>
            <w:tcW w:w="5790" w:type="dxa"/>
            <w:shd w:val="clear" w:color="auto" w:fill="auto"/>
            <w:tcMar>
              <w:top w:w="100" w:type="dxa"/>
              <w:left w:w="100" w:type="dxa"/>
              <w:bottom w:w="100" w:type="dxa"/>
              <w:right w:w="100" w:type="dxa"/>
            </w:tcMar>
          </w:tcPr>
          <w:p w14:paraId="1AA8F586" w14:textId="77777777" w:rsidR="008A5516" w:rsidRDefault="001A1BE6">
            <w:pPr>
              <w:jc w:val="both"/>
            </w:pPr>
            <w:r>
              <w:t xml:space="preserve">En Colombia, la afiliación sindical sigue siendo </w:t>
            </w:r>
            <w:r>
              <w:t>baja, con una ligera disminución del 4,63 % en 2016 al 4,60 % en 2017, sumando un total de 1.028.764 afiliados. Entre enero de 2017 y junio de 2023, se han reportado 1.260 casos de violencia contra sindicalistas, afectando a hombres (1.011 casos) y mujeres</w:t>
            </w:r>
            <w:r>
              <w:t xml:space="preserve"> (249 casos). Durante el 2021, las protestas masivas conocidas como el estallido social resultaron en unos 3.486 casos de violencia policial y alrededor de 39 casos de violencia específica contra sindicalistas. La persistente violencia dificulta la defensa</w:t>
            </w:r>
            <w:r>
              <w:t xml:space="preserve"> de los derechos laborales, la paz y las garantías democráticas para los defensores sindicales. Además, preocupa la alta impunidad en estos casos, con un promedio del 93,3 % de delitos relacionados con graves violaciones a los derechos humanos que aún no h</w:t>
            </w:r>
            <w:r>
              <w:t>an sido debidamente investigados en 2021, lo que plantea desafíos para el ejercicio efectivo de las libertades sindicales y la protección de los derechos humanos en el país.</w:t>
            </w:r>
          </w:p>
        </w:tc>
        <w:tc>
          <w:tcPr>
            <w:tcW w:w="3735" w:type="dxa"/>
            <w:shd w:val="clear" w:color="auto" w:fill="auto"/>
            <w:tcMar>
              <w:top w:w="100" w:type="dxa"/>
              <w:left w:w="100" w:type="dxa"/>
              <w:bottom w:w="100" w:type="dxa"/>
              <w:right w:w="100" w:type="dxa"/>
            </w:tcMar>
          </w:tcPr>
          <w:p w14:paraId="5EDFC63B" w14:textId="77777777" w:rsidR="008A5516" w:rsidRDefault="001A1BE6">
            <w:pPr>
              <w:widowControl w:val="0"/>
              <w:jc w:val="both"/>
            </w:pPr>
            <w:r>
              <w:t>¿Cuáles son los arreglos institucionales relacionados con la negociación colectiva</w:t>
            </w:r>
            <w:r>
              <w:t>?</w:t>
            </w:r>
          </w:p>
          <w:p w14:paraId="49C4BA3F" w14:textId="77777777" w:rsidR="008A5516" w:rsidRDefault="001A1BE6">
            <w:pPr>
              <w:widowControl w:val="0"/>
              <w:jc w:val="both"/>
            </w:pPr>
            <w:r>
              <w:t xml:space="preserve">¿Qué políticas se han implementado para proteger y promover el derecho de asociación sindical? </w:t>
            </w:r>
            <w:r>
              <w:br/>
            </w:r>
          </w:p>
          <w:p w14:paraId="1B29E38C" w14:textId="77777777" w:rsidR="008A5516" w:rsidRDefault="001A1BE6">
            <w:pPr>
              <w:widowControl w:val="0"/>
              <w:jc w:val="both"/>
            </w:pPr>
            <w:r>
              <w:t xml:space="preserve">¿Qué medidas ha adoptado el Estado colombiano para detener la violencia contra trabajadores sindicalizados? </w:t>
            </w:r>
            <w:r>
              <w:br/>
            </w:r>
          </w:p>
          <w:p w14:paraId="310B317A" w14:textId="77777777" w:rsidR="008A5516" w:rsidRDefault="001A1BE6">
            <w:pPr>
              <w:widowControl w:val="0"/>
              <w:jc w:val="both"/>
            </w:pPr>
            <w:r>
              <w:t>¿Qué medidas se han tomado para superar la impu</w:t>
            </w:r>
            <w:r>
              <w:t>nidad en relación con los casos de violencia antisindical?</w:t>
            </w:r>
          </w:p>
        </w:tc>
      </w:tr>
      <w:tr w:rsidR="008A5516" w14:paraId="414B3514" w14:textId="77777777">
        <w:tc>
          <w:tcPr>
            <w:tcW w:w="990" w:type="dxa"/>
            <w:shd w:val="clear" w:color="auto" w:fill="auto"/>
            <w:tcMar>
              <w:top w:w="100" w:type="dxa"/>
              <w:left w:w="100" w:type="dxa"/>
              <w:bottom w:w="100" w:type="dxa"/>
              <w:right w:w="100" w:type="dxa"/>
            </w:tcMar>
          </w:tcPr>
          <w:p w14:paraId="63DE5DAF" w14:textId="77777777" w:rsidR="008A5516" w:rsidRDefault="001A1BE6">
            <w:pPr>
              <w:widowControl w:val="0"/>
              <w:jc w:val="both"/>
              <w:rPr>
                <w:rFonts w:ascii="Arial" w:eastAsia="Arial" w:hAnsi="Arial" w:cs="Arial"/>
              </w:rPr>
            </w:pPr>
            <w:r>
              <w:rPr>
                <w:rFonts w:ascii="Arial" w:eastAsia="Arial" w:hAnsi="Arial" w:cs="Arial"/>
              </w:rPr>
              <w:t>10</w:t>
            </w:r>
          </w:p>
        </w:tc>
        <w:tc>
          <w:tcPr>
            <w:tcW w:w="2040" w:type="dxa"/>
            <w:shd w:val="clear" w:color="auto" w:fill="auto"/>
            <w:tcMar>
              <w:top w:w="100" w:type="dxa"/>
              <w:left w:w="100" w:type="dxa"/>
              <w:bottom w:w="100" w:type="dxa"/>
              <w:right w:w="100" w:type="dxa"/>
            </w:tcMar>
          </w:tcPr>
          <w:p w14:paraId="64BCE720" w14:textId="307F8B4A" w:rsidR="008A5516" w:rsidRDefault="001A1BE6">
            <w:pPr>
              <w:widowControl w:val="0"/>
              <w:jc w:val="both"/>
            </w:pPr>
            <w:r>
              <w:t xml:space="preserve">Protección de la familia, madres, </w:t>
            </w:r>
            <w:r w:rsidR="00104B18">
              <w:t>niños</w:t>
            </w:r>
          </w:p>
        </w:tc>
        <w:tc>
          <w:tcPr>
            <w:tcW w:w="1185" w:type="dxa"/>
            <w:shd w:val="clear" w:color="auto" w:fill="auto"/>
            <w:tcMar>
              <w:top w:w="100" w:type="dxa"/>
              <w:left w:w="100" w:type="dxa"/>
              <w:bottom w:w="100" w:type="dxa"/>
              <w:right w:w="100" w:type="dxa"/>
            </w:tcMar>
          </w:tcPr>
          <w:p w14:paraId="3DFBADB0" w14:textId="77777777" w:rsidR="008A5516" w:rsidRDefault="001A1BE6">
            <w:pPr>
              <w:jc w:val="both"/>
            </w:pPr>
            <w:r>
              <w:t xml:space="preserve">44.  </w:t>
            </w:r>
          </w:p>
        </w:tc>
        <w:tc>
          <w:tcPr>
            <w:tcW w:w="5790" w:type="dxa"/>
            <w:shd w:val="clear" w:color="auto" w:fill="auto"/>
            <w:tcMar>
              <w:top w:w="100" w:type="dxa"/>
              <w:left w:w="100" w:type="dxa"/>
              <w:bottom w:w="100" w:type="dxa"/>
              <w:right w:w="100" w:type="dxa"/>
            </w:tcMar>
          </w:tcPr>
          <w:p w14:paraId="7B430476" w14:textId="15BC4405" w:rsidR="008A5516" w:rsidRDefault="001A1BE6">
            <w:pPr>
              <w:spacing w:before="240" w:after="240"/>
              <w:jc w:val="both"/>
            </w:pPr>
            <w:r>
              <w:t xml:space="preserve">La cifra de reclutamiento de menores de edad para 2020 y 2022 fue de 155 casos para 2022 fueron 30 los casos reportados. Cerca de 8.942 personas víctimas se unieron a grupos al margen de la ley mientras eran niño o </w:t>
            </w:r>
            <w:r w:rsidR="00104B18">
              <w:t>adolescentes</w:t>
            </w:r>
            <w:r>
              <w:t xml:space="preserve">.  </w:t>
            </w:r>
          </w:p>
        </w:tc>
        <w:tc>
          <w:tcPr>
            <w:tcW w:w="3735" w:type="dxa"/>
            <w:shd w:val="clear" w:color="auto" w:fill="auto"/>
            <w:tcMar>
              <w:top w:w="100" w:type="dxa"/>
              <w:left w:w="100" w:type="dxa"/>
              <w:bottom w:w="100" w:type="dxa"/>
              <w:right w:w="100" w:type="dxa"/>
            </w:tcMar>
          </w:tcPr>
          <w:p w14:paraId="550F26AA" w14:textId="3D288AD8" w:rsidR="008A5516" w:rsidRDefault="001A1BE6">
            <w:pPr>
              <w:spacing w:before="240" w:after="240"/>
              <w:jc w:val="both"/>
            </w:pPr>
            <w:r>
              <w:t xml:space="preserve">¿Qué medidas ha adoptado </w:t>
            </w:r>
            <w:r>
              <w:t xml:space="preserve">el Estado colombiano para detener el reclutamiento de </w:t>
            </w:r>
            <w:r w:rsidR="00104B18">
              <w:t>niños</w:t>
            </w:r>
            <w:r>
              <w:t xml:space="preserve"> en el marco del conflicto armado, así como para desvincular a quienes ya hacen parte de grupos armados ilegales? </w:t>
            </w:r>
          </w:p>
        </w:tc>
      </w:tr>
      <w:tr w:rsidR="008A5516" w14:paraId="755FC951" w14:textId="77777777">
        <w:tc>
          <w:tcPr>
            <w:tcW w:w="990" w:type="dxa"/>
            <w:shd w:val="clear" w:color="auto" w:fill="auto"/>
            <w:tcMar>
              <w:top w:w="100" w:type="dxa"/>
              <w:left w:w="100" w:type="dxa"/>
              <w:bottom w:w="100" w:type="dxa"/>
              <w:right w:w="100" w:type="dxa"/>
            </w:tcMar>
          </w:tcPr>
          <w:p w14:paraId="7D401AA0" w14:textId="77777777" w:rsidR="008A5516" w:rsidRDefault="001A1BE6">
            <w:pPr>
              <w:widowControl w:val="0"/>
              <w:jc w:val="both"/>
            </w:pPr>
            <w:r>
              <w:t>11</w:t>
            </w:r>
          </w:p>
        </w:tc>
        <w:tc>
          <w:tcPr>
            <w:tcW w:w="2040" w:type="dxa"/>
            <w:shd w:val="clear" w:color="auto" w:fill="auto"/>
            <w:tcMar>
              <w:top w:w="100" w:type="dxa"/>
              <w:left w:w="100" w:type="dxa"/>
              <w:bottom w:w="100" w:type="dxa"/>
              <w:right w:w="100" w:type="dxa"/>
            </w:tcMar>
          </w:tcPr>
          <w:p w14:paraId="1F4A6E94" w14:textId="77777777" w:rsidR="008A5516" w:rsidRDefault="001A1BE6">
            <w:pPr>
              <w:widowControl w:val="0"/>
              <w:jc w:val="both"/>
            </w:pPr>
            <w:r>
              <w:t>Derecho a la alimentación</w:t>
            </w:r>
          </w:p>
        </w:tc>
        <w:tc>
          <w:tcPr>
            <w:tcW w:w="1185" w:type="dxa"/>
            <w:shd w:val="clear" w:color="auto" w:fill="auto"/>
            <w:tcMar>
              <w:top w:w="100" w:type="dxa"/>
              <w:left w:w="100" w:type="dxa"/>
              <w:bottom w:w="100" w:type="dxa"/>
              <w:right w:w="100" w:type="dxa"/>
            </w:tcMar>
          </w:tcPr>
          <w:p w14:paraId="0580E063" w14:textId="77777777" w:rsidR="008A5516" w:rsidRDefault="001A1BE6">
            <w:pPr>
              <w:widowControl w:val="0"/>
              <w:spacing w:line="276" w:lineRule="auto"/>
              <w:jc w:val="both"/>
            </w:pPr>
            <w:r>
              <w:t xml:space="preserve">58. </w:t>
            </w:r>
          </w:p>
        </w:tc>
        <w:tc>
          <w:tcPr>
            <w:tcW w:w="5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2CE76B" w14:textId="77777777" w:rsidR="008A5516" w:rsidRDefault="001A1BE6">
            <w:pPr>
              <w:widowControl w:val="0"/>
              <w:spacing w:line="276" w:lineRule="auto"/>
              <w:jc w:val="both"/>
            </w:pPr>
            <w:r>
              <w:t>Colombia enfrenta serias deficiencias en su pol</w:t>
            </w:r>
            <w:r>
              <w:t xml:space="preserve">ítica alimentaria y nutricional, ya que la Política Nacional de Seguridad Alimentaria y Nutricional y su plan asociado han expirado sin ser reemplazados. Es fundamental que el país adopte un </w:t>
            </w:r>
            <w:r>
              <w:lastRenderedPageBreak/>
              <w:t>enfoque centrado en el derecho a la alimentación, tal como se aco</w:t>
            </w:r>
            <w:r>
              <w:t>rdó en el punto uno del acuerdo de paz, y en línea con las obligaciones establecidas en el PIDESC y la Observación General No. 12 del Comité de Derechos Económicos, Sociales y Culturales. Sin una política actualizada y con enfoque en derechos humanos, se d</w:t>
            </w:r>
            <w:r>
              <w:t>ificulta garantizar la seguridad alimentaria de la población.</w:t>
            </w:r>
          </w:p>
          <w:p w14:paraId="21B6C937" w14:textId="77777777" w:rsidR="008A5516" w:rsidRDefault="008A5516">
            <w:pPr>
              <w:widowControl w:val="0"/>
              <w:spacing w:line="276" w:lineRule="auto"/>
              <w:jc w:val="both"/>
            </w:pPr>
          </w:p>
          <w:p w14:paraId="7C52188C" w14:textId="77777777" w:rsidR="008A5516" w:rsidRDefault="001A1BE6">
            <w:pPr>
              <w:widowControl w:val="0"/>
              <w:spacing w:line="276" w:lineRule="auto"/>
              <w:jc w:val="both"/>
            </w:pPr>
            <w:r>
              <w:t xml:space="preserve">La falta de una encuesta nacional y territorial sobre la situación alimentaria desde 2015 es preocupante. Sin datos actualizados sobre inseguridad alimentaria y problemas de </w:t>
            </w:r>
            <w:r>
              <w:t>malnutrición, resulta complicado diseñar políticas efectivas para abordar estos desafíos. Según cifras del Programa Mundial de Alimentos, alrededor del 30% de la población colombiana, es decir, 15.5 millones de personas, se encuentra en inseguridad aliment</w:t>
            </w:r>
            <w:r>
              <w:t>aria moderada o severa. Esta situación requiere acciones urgentes y políticas basadas en información precisa y actualizada.</w:t>
            </w:r>
          </w:p>
          <w:p w14:paraId="74849D54" w14:textId="77777777" w:rsidR="008A5516" w:rsidRDefault="008A5516">
            <w:pPr>
              <w:widowControl w:val="0"/>
              <w:spacing w:line="276" w:lineRule="auto"/>
              <w:jc w:val="both"/>
            </w:pPr>
          </w:p>
          <w:p w14:paraId="1E94A411" w14:textId="77777777" w:rsidR="008A5516" w:rsidRDefault="001A1BE6">
            <w:pPr>
              <w:widowControl w:val="0"/>
              <w:spacing w:line="276" w:lineRule="auto"/>
              <w:jc w:val="both"/>
            </w:pPr>
            <w:r>
              <w:t>La interferencia de la industria en la formulación de políticas públicas relacionadas con una alimentación saludable es otro factor</w:t>
            </w:r>
            <w:r>
              <w:t xml:space="preserve"> preocupante. La falta de normas efectivas que prohíban esta interferencia puede afectar negativamente las decisiones del Estado y obstaculizar la promoción de hábitos alimentarios más saludables para la población. En general, Colombia necesita una polític</w:t>
            </w:r>
            <w:r>
              <w:t xml:space="preserve">a alimentaria clara y coherente que fomente la producción de alimentos estratégicos para el </w:t>
            </w:r>
            <w:r>
              <w:lastRenderedPageBreak/>
              <w:t xml:space="preserve">consumo interno, basada en la soberanía alimentaria, y que aborde el hambre, la dependencia alimentaria y las crisis derivadas de desastres naturales o antrópicos. </w:t>
            </w:r>
            <w:r>
              <w:t>Esta política debe ser enmarcada en el respeto a los derechos humanos y garantizar el acceso a una alimentación adecuada y saludable para toda la población.</w:t>
            </w:r>
          </w:p>
        </w:tc>
        <w:tc>
          <w:tcPr>
            <w:tcW w:w="3735" w:type="dxa"/>
            <w:shd w:val="clear" w:color="auto" w:fill="auto"/>
            <w:tcMar>
              <w:top w:w="100" w:type="dxa"/>
              <w:left w:w="100" w:type="dxa"/>
              <w:bottom w:w="100" w:type="dxa"/>
              <w:right w:w="100" w:type="dxa"/>
            </w:tcMar>
          </w:tcPr>
          <w:p w14:paraId="4766E017" w14:textId="77777777" w:rsidR="008A5516" w:rsidRDefault="001A1BE6">
            <w:pPr>
              <w:widowControl w:val="0"/>
              <w:spacing w:line="276" w:lineRule="auto"/>
              <w:jc w:val="both"/>
            </w:pPr>
            <w:r>
              <w:lastRenderedPageBreak/>
              <w:t>¿Cuáles son las razones para la ausencia de una política pública marco que garantice progresivament</w:t>
            </w:r>
            <w:r>
              <w:t xml:space="preserve">e el derecho a la alimentación en Colombia y qué </w:t>
            </w:r>
            <w:r>
              <w:lastRenderedPageBreak/>
              <w:t>pasos ha dado el Estado para legislar y poner en marcha prontamente el Sistema para esta garantía, como se acordó en el punto 1 del Acuerdo de Paz?</w:t>
            </w:r>
          </w:p>
          <w:p w14:paraId="50AFA9DF" w14:textId="77777777" w:rsidR="008A5516" w:rsidRDefault="008A5516">
            <w:pPr>
              <w:widowControl w:val="0"/>
              <w:spacing w:line="276" w:lineRule="auto"/>
              <w:jc w:val="both"/>
            </w:pPr>
          </w:p>
          <w:p w14:paraId="7E14AFD7" w14:textId="77777777" w:rsidR="008A5516" w:rsidRDefault="001A1BE6">
            <w:pPr>
              <w:widowControl w:val="0"/>
              <w:spacing w:line="276" w:lineRule="auto"/>
              <w:jc w:val="both"/>
            </w:pPr>
            <w:r>
              <w:t>¿Qué acciones normativas y legales ha emprendido el Estado</w:t>
            </w:r>
            <w:r>
              <w:t xml:space="preserve"> colombiano para evitar la interferencia de la industria y otros poderosos actores en la política alimentaria del país?</w:t>
            </w:r>
          </w:p>
          <w:p w14:paraId="7AAAD785" w14:textId="77777777" w:rsidR="008A5516" w:rsidRDefault="008A5516">
            <w:pPr>
              <w:widowControl w:val="0"/>
              <w:spacing w:line="276" w:lineRule="auto"/>
              <w:jc w:val="both"/>
            </w:pPr>
          </w:p>
          <w:p w14:paraId="071AF272" w14:textId="190C9E07" w:rsidR="008A5516" w:rsidRDefault="001A1BE6">
            <w:pPr>
              <w:widowControl w:val="0"/>
              <w:spacing w:line="276" w:lineRule="auto"/>
              <w:jc w:val="both"/>
            </w:pPr>
            <w:r>
              <w:t>¿Cuáles son las medidas de política implementadas para fomentar la producción agroecológica y el consumo interno de alimentos reales, r</w:t>
            </w:r>
            <w:r>
              <w:t xml:space="preserve">estringir la publicidad y consumo de productos </w:t>
            </w:r>
            <w:r w:rsidR="00104B18">
              <w:t>ultra procesados</w:t>
            </w:r>
            <w:r>
              <w:t xml:space="preserve">, reducir la dependencia alimentaria y superar el hambre? </w:t>
            </w:r>
          </w:p>
          <w:p w14:paraId="2FD3ACE6" w14:textId="77777777" w:rsidR="008A5516" w:rsidRDefault="008A5516">
            <w:pPr>
              <w:widowControl w:val="0"/>
              <w:spacing w:line="276" w:lineRule="auto"/>
              <w:jc w:val="both"/>
            </w:pPr>
          </w:p>
          <w:p w14:paraId="669CB0D8" w14:textId="77777777" w:rsidR="008A5516" w:rsidRDefault="001A1BE6">
            <w:pPr>
              <w:widowControl w:val="0"/>
              <w:spacing w:line="276" w:lineRule="auto"/>
              <w:jc w:val="both"/>
            </w:pPr>
            <w:r>
              <w:t xml:space="preserve">¿Cuáles fueron los resultados de la implementación del Plan Nacional de Alimentación y Nutrición (PNAN) en términos </w:t>
            </w:r>
            <w:r>
              <w:t>cuantitativos y cualitativos?</w:t>
            </w:r>
          </w:p>
          <w:p w14:paraId="24393EA3" w14:textId="77777777" w:rsidR="008A5516" w:rsidRDefault="008A5516">
            <w:pPr>
              <w:widowControl w:val="0"/>
              <w:spacing w:line="276" w:lineRule="auto"/>
              <w:jc w:val="both"/>
            </w:pPr>
          </w:p>
          <w:p w14:paraId="4324C9D5" w14:textId="77777777" w:rsidR="008A5516" w:rsidRDefault="001A1BE6">
            <w:pPr>
              <w:widowControl w:val="0"/>
              <w:spacing w:line="276" w:lineRule="auto"/>
              <w:jc w:val="both"/>
            </w:pPr>
            <w:r>
              <w:t xml:space="preserve">¿Qué medidas ha adoptado el Estado </w:t>
            </w:r>
            <w:r>
              <w:lastRenderedPageBreak/>
              <w:t>para controlar la publicidad agresiva en los medios que afecta los hábitos alimentarios, especialmente entre los niños?</w:t>
            </w:r>
          </w:p>
        </w:tc>
      </w:tr>
      <w:tr w:rsidR="008A5516" w14:paraId="03E0DB24" w14:textId="77777777">
        <w:tc>
          <w:tcPr>
            <w:tcW w:w="990" w:type="dxa"/>
            <w:shd w:val="clear" w:color="auto" w:fill="auto"/>
            <w:tcMar>
              <w:top w:w="100" w:type="dxa"/>
              <w:left w:w="100" w:type="dxa"/>
              <w:bottom w:w="100" w:type="dxa"/>
              <w:right w:w="100" w:type="dxa"/>
            </w:tcMar>
          </w:tcPr>
          <w:p w14:paraId="76BB1991" w14:textId="77777777" w:rsidR="008A5516" w:rsidRDefault="001A1BE6">
            <w:pPr>
              <w:widowControl w:val="0"/>
              <w:jc w:val="both"/>
            </w:pPr>
            <w:r>
              <w:lastRenderedPageBreak/>
              <w:t>12</w:t>
            </w:r>
          </w:p>
        </w:tc>
        <w:tc>
          <w:tcPr>
            <w:tcW w:w="2040" w:type="dxa"/>
            <w:shd w:val="clear" w:color="auto" w:fill="auto"/>
            <w:tcMar>
              <w:top w:w="100" w:type="dxa"/>
              <w:left w:w="100" w:type="dxa"/>
              <w:bottom w:w="100" w:type="dxa"/>
              <w:right w:w="100" w:type="dxa"/>
            </w:tcMar>
          </w:tcPr>
          <w:p w14:paraId="02D0B44F" w14:textId="77777777" w:rsidR="008A5516" w:rsidRDefault="001A1BE6">
            <w:pPr>
              <w:widowControl w:val="0"/>
              <w:jc w:val="both"/>
            </w:pPr>
            <w:r>
              <w:t>Derecho a la salud física y mental</w:t>
            </w:r>
          </w:p>
        </w:tc>
        <w:tc>
          <w:tcPr>
            <w:tcW w:w="1185" w:type="dxa"/>
            <w:shd w:val="clear" w:color="auto" w:fill="auto"/>
            <w:tcMar>
              <w:top w:w="100" w:type="dxa"/>
              <w:left w:w="100" w:type="dxa"/>
              <w:bottom w:w="100" w:type="dxa"/>
              <w:right w:w="100" w:type="dxa"/>
            </w:tcMar>
          </w:tcPr>
          <w:p w14:paraId="1BA1EC14" w14:textId="77777777" w:rsidR="008A5516" w:rsidRDefault="001A1BE6">
            <w:pPr>
              <w:widowControl w:val="0"/>
              <w:spacing w:line="276" w:lineRule="auto"/>
              <w:jc w:val="both"/>
            </w:pPr>
            <w:r>
              <w:t xml:space="preserve">62. </w:t>
            </w:r>
          </w:p>
        </w:tc>
        <w:tc>
          <w:tcPr>
            <w:tcW w:w="5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EA89A5" w14:textId="77777777" w:rsidR="008A5516" w:rsidRDefault="001A1BE6">
            <w:pPr>
              <w:widowControl w:val="0"/>
              <w:spacing w:line="276" w:lineRule="auto"/>
              <w:jc w:val="both"/>
            </w:pPr>
            <w:r>
              <w:t xml:space="preserve">En Colombia, las </w:t>
            </w:r>
            <w:r>
              <w:t>muertes maternas están más concentradas en las regiones del norte, occidente y centro del país, donde se presume que hay mayor acceso a servicios de salud. Durante el año 2020, se registró una mayor incidencia de muertes maternas en departamentos como La G</w:t>
            </w:r>
            <w:r>
              <w:t xml:space="preserve">uajira, Antioquia, Atlántico, Magdalena, Cundinamarca, Bolívar, Bogotá, Córdoba y Valle del Cauca. Además, los datos de la Encuesta Nacional de Calidad de Vida (ENCV) muestran un aumento en el porcentaje de población que no busca atención médica cuando la </w:t>
            </w:r>
            <w:r>
              <w:t>necesita, atribuido en parte a los altos tiempos de espera y trámites burocráticos en el sistema de salud, que han incrementado en los últimos años.</w:t>
            </w:r>
          </w:p>
          <w:p w14:paraId="19AF4946" w14:textId="77777777" w:rsidR="008A5516" w:rsidRDefault="008A5516">
            <w:pPr>
              <w:widowControl w:val="0"/>
              <w:spacing w:line="276" w:lineRule="auto"/>
              <w:ind w:left="425" w:hanging="360"/>
              <w:jc w:val="both"/>
            </w:pPr>
          </w:p>
          <w:p w14:paraId="749ABD18" w14:textId="77777777" w:rsidR="008A5516" w:rsidRDefault="001A1BE6">
            <w:pPr>
              <w:widowControl w:val="0"/>
              <w:spacing w:line="276" w:lineRule="auto"/>
              <w:jc w:val="both"/>
            </w:pPr>
            <w:r>
              <w:t xml:space="preserve">En cuanto a la infraestructura de atención médica, la disponibilidad de prestadores de servicios de salud </w:t>
            </w:r>
            <w:r>
              <w:t>varía significativamente según el nivel de desarrollo de los departamentos. Departamentos con un nivel de desarrollo robusto tienen una razón de prestadores de 1.3 por cada 1,000 habitantes, mientras que en departamentos con nivel de desarrollo temprano es</w:t>
            </w:r>
            <w:r>
              <w:t xml:space="preserve">ta razón es de 0.5 prestadores por 1,000 </w:t>
            </w:r>
            <w:r>
              <w:lastRenderedPageBreak/>
              <w:t>habitantes. A nivel nacional, hay un total de 20,312 Instituciones Prestadoras de Salud (IPS), pero existen marcadas diferencias regionales, especialmente en las zonas rurales, donde no se cuenta con suficiente infr</w:t>
            </w:r>
            <w:r>
              <w:t>aestructura en cantidad, distribución y calidad, siendo 630 municipios sin sedes y 492 municipios con una sola sede. Esta brecha en la infraestructura afecta en mayor medida a las regiones con mayores niveles de rezago social. Las mayores concentraciones d</w:t>
            </w:r>
            <w:r>
              <w:t>e sedes de IPS se encuentran en las ciudades principales como Bogotá, Medellín, Cali, Barranquilla y Bucaramanga.</w:t>
            </w:r>
          </w:p>
        </w:tc>
        <w:tc>
          <w:tcPr>
            <w:tcW w:w="3735" w:type="dxa"/>
            <w:shd w:val="clear" w:color="auto" w:fill="auto"/>
            <w:tcMar>
              <w:top w:w="100" w:type="dxa"/>
              <w:left w:w="100" w:type="dxa"/>
              <w:bottom w:w="100" w:type="dxa"/>
              <w:right w:w="100" w:type="dxa"/>
            </w:tcMar>
          </w:tcPr>
          <w:p w14:paraId="6F554A89" w14:textId="77777777" w:rsidR="008A5516" w:rsidRDefault="001A1BE6">
            <w:pPr>
              <w:widowControl w:val="0"/>
              <w:spacing w:before="240" w:after="240" w:line="276" w:lineRule="auto"/>
              <w:jc w:val="both"/>
            </w:pPr>
            <w:r>
              <w:lastRenderedPageBreak/>
              <w:t xml:space="preserve">¿Qué medidas adoptó el Estado para cerrar las brechas de acceso a los servicios de salud en zonas alejadas a las principales </w:t>
            </w:r>
            <w:r>
              <w:t>ciudades?</w:t>
            </w:r>
          </w:p>
          <w:p w14:paraId="36195DAF" w14:textId="77777777" w:rsidR="008A5516" w:rsidRDefault="001A1BE6">
            <w:pPr>
              <w:widowControl w:val="0"/>
              <w:spacing w:before="240" w:after="240" w:line="276" w:lineRule="auto"/>
              <w:jc w:val="both"/>
            </w:pPr>
            <w:r>
              <w:t>¿Cuáles son los avances en la construcción de nueva infraestructura pública hospitalaria?</w:t>
            </w:r>
          </w:p>
          <w:p w14:paraId="062BDC6B" w14:textId="77777777" w:rsidR="008A5516" w:rsidRDefault="001A1BE6">
            <w:pPr>
              <w:widowControl w:val="0"/>
              <w:spacing w:before="240" w:after="240" w:line="276" w:lineRule="auto"/>
              <w:jc w:val="both"/>
            </w:pPr>
            <w:r>
              <w:t xml:space="preserve">¿Cuáles son las medidas que se han implementado para cerrar la brecha de salario entre hombres y mujeres trabajadores de salud? </w:t>
            </w:r>
          </w:p>
          <w:p w14:paraId="5BB3A02E" w14:textId="77777777" w:rsidR="008A5516" w:rsidRDefault="001A1BE6">
            <w:pPr>
              <w:widowControl w:val="0"/>
              <w:spacing w:before="240" w:after="240" w:line="276" w:lineRule="auto"/>
              <w:jc w:val="both"/>
            </w:pPr>
            <w:r>
              <w:t>¿Qué medidas legales ha imp</w:t>
            </w:r>
            <w:r>
              <w:t>lementado para la vigilancia de los dineros destinados al servicio de salud?</w:t>
            </w:r>
          </w:p>
          <w:p w14:paraId="1514DE1A" w14:textId="77777777" w:rsidR="008A5516" w:rsidRDefault="001A1BE6">
            <w:pPr>
              <w:widowControl w:val="0"/>
              <w:spacing w:before="240" w:after="240" w:line="276" w:lineRule="auto"/>
              <w:jc w:val="both"/>
            </w:pPr>
            <w:r>
              <w:t xml:space="preserve">¿Qué medidas ha tomado el Estado para aumentar los índices de acceso al </w:t>
            </w:r>
            <w:r>
              <w:lastRenderedPageBreak/>
              <w:t>sistema de salud?</w:t>
            </w:r>
          </w:p>
          <w:p w14:paraId="5C9959AB" w14:textId="77777777" w:rsidR="008A5516" w:rsidRDefault="001A1BE6">
            <w:pPr>
              <w:widowControl w:val="0"/>
              <w:spacing w:before="240" w:after="240" w:line="276" w:lineRule="auto"/>
              <w:jc w:val="both"/>
            </w:pPr>
            <w:r>
              <w:t>¿Qué medidas ha tomado para brindar estabilidad laboral a los y las trabajadoras del sect</w:t>
            </w:r>
            <w:r>
              <w:t>or salud que se encuentran en precariedad laboral?</w:t>
            </w:r>
          </w:p>
          <w:p w14:paraId="0211E73E" w14:textId="77777777" w:rsidR="008A5516" w:rsidRDefault="001A1BE6">
            <w:pPr>
              <w:widowControl w:val="0"/>
              <w:spacing w:before="240" w:after="240" w:line="276" w:lineRule="auto"/>
              <w:jc w:val="both"/>
            </w:pPr>
            <w:r>
              <w:t>¿Qué medidas ha tomado para cerrar la brecha de acceso efectivo a servicios de salud en personas con altos y bajos ingresos?</w:t>
            </w:r>
          </w:p>
        </w:tc>
      </w:tr>
      <w:tr w:rsidR="008A5516" w14:paraId="32867ABF" w14:textId="77777777">
        <w:tc>
          <w:tcPr>
            <w:tcW w:w="990" w:type="dxa"/>
          </w:tcPr>
          <w:p w14:paraId="6443AE99" w14:textId="77777777" w:rsidR="008A5516" w:rsidRDefault="001A1BE6">
            <w:pPr>
              <w:jc w:val="center"/>
              <w:rPr>
                <w:b/>
              </w:rPr>
            </w:pPr>
            <w:r>
              <w:rPr>
                <w:b/>
              </w:rPr>
              <w:lastRenderedPageBreak/>
              <w:t>12</w:t>
            </w:r>
          </w:p>
        </w:tc>
        <w:tc>
          <w:tcPr>
            <w:tcW w:w="2040" w:type="dxa"/>
          </w:tcPr>
          <w:p w14:paraId="138E0F19" w14:textId="77777777" w:rsidR="008A5516" w:rsidRDefault="001A1BE6">
            <w:r>
              <w:t>Agua y Saneamiento Básico</w:t>
            </w:r>
          </w:p>
        </w:tc>
        <w:tc>
          <w:tcPr>
            <w:tcW w:w="1185" w:type="dxa"/>
          </w:tcPr>
          <w:p w14:paraId="4BE5EF5F" w14:textId="77777777" w:rsidR="008A5516" w:rsidRDefault="001A1BE6">
            <w:pPr>
              <w:jc w:val="center"/>
            </w:pPr>
            <w:r>
              <w:t>60</w:t>
            </w:r>
          </w:p>
        </w:tc>
        <w:tc>
          <w:tcPr>
            <w:tcW w:w="5790" w:type="dxa"/>
          </w:tcPr>
          <w:p w14:paraId="4F1CFFAE" w14:textId="77777777" w:rsidR="008A5516" w:rsidRDefault="001A1BE6">
            <w:pPr>
              <w:jc w:val="both"/>
            </w:pPr>
            <w:r>
              <w:t xml:space="preserve">En 2016, Postobón utilizó un total de </w:t>
            </w:r>
            <w:r>
              <w:t>7.566.435 metros cúbicos de agua en sus 21 plantas de producción, obteniendo el recurso de diversas fuentes como aguas subterráneas, aguas superficiales y acueductos municipales. Durante ese mismo año, el índice de consumo de agua por litro de bebida fue d</w:t>
            </w:r>
            <w:r>
              <w:t>e 3,21 litros, mostrando un incremento con respecto al año anterior, en el cual se consumieron en promedio 3,17 litros de agua por litro de bebida. Asimismo, la empresa presentó un promedio de vertimientos de 2,16 litros de agua por litro de bebida.</w:t>
            </w:r>
          </w:p>
          <w:p w14:paraId="26898CD4" w14:textId="77777777" w:rsidR="008A5516" w:rsidRDefault="008A5516">
            <w:pPr>
              <w:jc w:val="both"/>
            </w:pPr>
          </w:p>
          <w:p w14:paraId="05EC79F6" w14:textId="77777777" w:rsidR="008A5516" w:rsidRDefault="001A1BE6">
            <w:pPr>
              <w:jc w:val="both"/>
            </w:pPr>
            <w:r>
              <w:t>En la</w:t>
            </w:r>
            <w:r>
              <w:t>s zonas rurales colombianas existen cerca de 12.000 acueductos comunitarios, que luchan por defender con sus organizaciones comunitarias para que esta agua sea para beneficio común y no para beneficios privados y negocios.</w:t>
            </w:r>
          </w:p>
        </w:tc>
        <w:tc>
          <w:tcPr>
            <w:tcW w:w="3735" w:type="dxa"/>
          </w:tcPr>
          <w:p w14:paraId="5C0F76C8" w14:textId="77777777" w:rsidR="008A5516" w:rsidRDefault="001A1BE6">
            <w:r>
              <w:t>¿Cuántas fuentes hídricas se encu</w:t>
            </w:r>
            <w:r>
              <w:t>entran contaminadas por sectores como la minería?</w:t>
            </w:r>
          </w:p>
          <w:p w14:paraId="584CBB22" w14:textId="77777777" w:rsidR="008A5516" w:rsidRDefault="008A5516"/>
          <w:p w14:paraId="12B3F773" w14:textId="77777777" w:rsidR="008A5516" w:rsidRDefault="001A1BE6">
            <w:r>
              <w:t>¿Qué medidas está tomando el Estado para el fortalecimiento de los acueductos comunitarios?</w:t>
            </w:r>
          </w:p>
          <w:p w14:paraId="1D28A011" w14:textId="77777777" w:rsidR="008A5516" w:rsidRDefault="008A5516"/>
          <w:p w14:paraId="3A9162E0" w14:textId="77777777" w:rsidR="008A5516" w:rsidRDefault="001A1BE6">
            <w:r>
              <w:t xml:space="preserve">¿Cómo controla el Estado el uso del agua y la contaminación causada por las empresas de bebidas azucaradas? </w:t>
            </w:r>
          </w:p>
          <w:p w14:paraId="768AF5C7" w14:textId="77777777" w:rsidR="008A5516" w:rsidRDefault="008A5516"/>
          <w:p w14:paraId="4C03BB4B" w14:textId="77777777" w:rsidR="008A5516" w:rsidRDefault="001A1BE6">
            <w:r>
              <w:t>¿C</w:t>
            </w:r>
            <w:r>
              <w:t>uántas medidas ha desplegado el Estado para tratar el acceso de la población al agua potable?</w:t>
            </w:r>
          </w:p>
          <w:p w14:paraId="46350A95" w14:textId="77777777" w:rsidR="008A5516" w:rsidRDefault="008A5516"/>
          <w:p w14:paraId="7BE3C3E7" w14:textId="77777777" w:rsidR="008A5516" w:rsidRDefault="001A1BE6">
            <w:r>
              <w:lastRenderedPageBreak/>
              <w:t xml:space="preserve"> ¿Qué recomendaciones ha tenido en cuenta el Estado en temas de agua que hayan sido realizadas por el comité?</w:t>
            </w:r>
          </w:p>
          <w:p w14:paraId="6BDF6396" w14:textId="77777777" w:rsidR="008A5516" w:rsidRDefault="008A5516"/>
          <w:p w14:paraId="73FC5645" w14:textId="77777777" w:rsidR="008A5516" w:rsidRDefault="001A1BE6">
            <w:r>
              <w:t>¿Cuál fue el enfoque y las acciones tomadas por el</w:t>
            </w:r>
            <w:r>
              <w:t xml:space="preserve"> Estado Colombiano para garantizar el acceso equitativo y sostenible al agua potable y saneamiento, en cumplimiento de los derechos económicos, sociales y culturales (PIDESC) de la población?</w:t>
            </w:r>
          </w:p>
        </w:tc>
      </w:tr>
      <w:tr w:rsidR="008A5516" w14:paraId="65789C04" w14:textId="77777777">
        <w:tc>
          <w:tcPr>
            <w:tcW w:w="990" w:type="dxa"/>
            <w:shd w:val="clear" w:color="auto" w:fill="auto"/>
            <w:tcMar>
              <w:top w:w="100" w:type="dxa"/>
              <w:left w:w="100" w:type="dxa"/>
              <w:bottom w:w="100" w:type="dxa"/>
              <w:right w:w="100" w:type="dxa"/>
            </w:tcMar>
          </w:tcPr>
          <w:p w14:paraId="6C1FB798" w14:textId="77777777" w:rsidR="008A5516" w:rsidRDefault="001A1BE6">
            <w:pPr>
              <w:widowControl w:val="0"/>
              <w:jc w:val="both"/>
            </w:pPr>
            <w:r>
              <w:lastRenderedPageBreak/>
              <w:t>13</w:t>
            </w:r>
          </w:p>
        </w:tc>
        <w:tc>
          <w:tcPr>
            <w:tcW w:w="2040" w:type="dxa"/>
            <w:shd w:val="clear" w:color="auto" w:fill="auto"/>
            <w:tcMar>
              <w:top w:w="100" w:type="dxa"/>
              <w:left w:w="100" w:type="dxa"/>
              <w:bottom w:w="100" w:type="dxa"/>
              <w:right w:w="100" w:type="dxa"/>
            </w:tcMar>
          </w:tcPr>
          <w:p w14:paraId="17D323A1" w14:textId="77777777" w:rsidR="008A5516" w:rsidRDefault="001A1BE6">
            <w:pPr>
              <w:widowControl w:val="0"/>
              <w:jc w:val="both"/>
            </w:pPr>
            <w:r>
              <w:t>Educación superior</w:t>
            </w:r>
          </w:p>
        </w:tc>
        <w:tc>
          <w:tcPr>
            <w:tcW w:w="1185" w:type="dxa"/>
            <w:shd w:val="clear" w:color="auto" w:fill="auto"/>
            <w:tcMar>
              <w:top w:w="100" w:type="dxa"/>
              <w:left w:w="100" w:type="dxa"/>
              <w:bottom w:w="100" w:type="dxa"/>
              <w:right w:w="100" w:type="dxa"/>
            </w:tcMar>
          </w:tcPr>
          <w:p w14:paraId="1A0A9010" w14:textId="77777777" w:rsidR="008A5516" w:rsidRDefault="001A1BE6">
            <w:pPr>
              <w:widowControl w:val="0"/>
              <w:spacing w:line="276" w:lineRule="auto"/>
              <w:jc w:val="center"/>
            </w:pPr>
            <w:r>
              <w:t>64</w:t>
            </w:r>
          </w:p>
        </w:tc>
        <w:tc>
          <w:tcPr>
            <w:tcW w:w="5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456E9C" w14:textId="77777777" w:rsidR="008A5516" w:rsidRDefault="001A1BE6">
            <w:pPr>
              <w:widowControl w:val="0"/>
              <w:spacing w:line="276" w:lineRule="auto"/>
              <w:jc w:val="both"/>
              <w:rPr>
                <w:color w:val="212529"/>
                <w:highlight w:val="white"/>
              </w:rPr>
            </w:pPr>
            <w:r>
              <w:t>En Colombia, la accesibilidad a la educación superior sigue siendo un desafío significativo, ya que seis de cada 10 jóvenes enfrentan obstáculos para acceder a este nivel educativo. Esta disparidad se agudiza aún más al observar que la mayoría de los estud</w:t>
            </w:r>
            <w:r>
              <w:t xml:space="preserve">iantes que logran acceder a la universidad provienen de colegios privados ubicados en las principales ciudades del país. Según cifras del Sistema de Información del Ministerio de Educación, de cada 100 jóvenes en Colombia, solo 52 tienen la posibilidad de </w:t>
            </w:r>
            <w:r>
              <w:t xml:space="preserve">acceder a la Educación Superior, ya sea a través de estudios técnicos, tecnológicos o universitarios. De ese grupo de 52, aproximadamente 30 logran ingresar a una universidad, repartiéndose en 15 estudiantes que optan por instituciones públicas y otros 15 </w:t>
            </w:r>
            <w:r>
              <w:t>que eligen instituciones privadas. Sin embargo, la brecha persiste, ya que solo 8 de estos jóvenes se graduarán de universidades públicas, mientras que otros 8 lo harán de instituciones privadas. Además, únicamente 5 de los graduados conseguirán empleo, lo</w:t>
            </w:r>
            <w:r>
              <w:t xml:space="preserve"> que </w:t>
            </w:r>
            <w:r>
              <w:lastRenderedPageBreak/>
              <w:t>representa un reto adicional en un contexto donde las oportunidades laborales para los egresados universitarios son limitadas, y apenas 1 de cada 100 jóvenes llegará a alcanzar una pensión. Estos datos evidencian la necesidad urgente de implementar po</w:t>
            </w:r>
            <w:r>
              <w:t xml:space="preserve">líticas y estrategias efectivas que garanticen una mayor equidad y acceso a la educación superior en Colombia, para que más jóvenes puedan acceder a oportunidades de desarrollo y progreso personal y contribuir así al crecimiento y bienestar de la sociedad </w:t>
            </w:r>
            <w:r>
              <w:t>en su conjunto.</w:t>
            </w:r>
          </w:p>
          <w:p w14:paraId="5CB1245F" w14:textId="77777777" w:rsidR="008A5516" w:rsidRDefault="008A5516">
            <w:pPr>
              <w:widowControl w:val="0"/>
              <w:spacing w:line="276" w:lineRule="auto"/>
              <w:jc w:val="both"/>
              <w:rPr>
                <w:color w:val="212529"/>
                <w:highlight w:val="white"/>
              </w:rPr>
            </w:pPr>
          </w:p>
        </w:tc>
        <w:tc>
          <w:tcPr>
            <w:tcW w:w="3735" w:type="dxa"/>
            <w:shd w:val="clear" w:color="auto" w:fill="auto"/>
            <w:tcMar>
              <w:top w:w="100" w:type="dxa"/>
              <w:left w:w="100" w:type="dxa"/>
              <w:bottom w:w="100" w:type="dxa"/>
              <w:right w:w="100" w:type="dxa"/>
            </w:tcMar>
          </w:tcPr>
          <w:p w14:paraId="12CD3837" w14:textId="77777777" w:rsidR="008A5516" w:rsidRDefault="001A1BE6">
            <w:pPr>
              <w:widowControl w:val="0"/>
              <w:spacing w:before="240" w:after="240" w:line="276" w:lineRule="auto"/>
              <w:jc w:val="both"/>
            </w:pPr>
            <w:r>
              <w:lastRenderedPageBreak/>
              <w:t>¿Cuántos cupos nuevos se han abierto a sectores menos favorecidos o personas que vivan en municipios periféricos del país?</w:t>
            </w:r>
          </w:p>
          <w:p w14:paraId="65F25871" w14:textId="57F7B587" w:rsidR="008A5516" w:rsidRDefault="001A1BE6">
            <w:pPr>
              <w:widowControl w:val="0"/>
              <w:spacing w:before="240" w:after="240" w:line="276" w:lineRule="auto"/>
              <w:jc w:val="both"/>
            </w:pPr>
            <w:r>
              <w:t xml:space="preserve">¿Desde el último examen que </w:t>
            </w:r>
            <w:r w:rsidR="00104B18">
              <w:t>porcentaje del</w:t>
            </w:r>
            <w:r>
              <w:t xml:space="preserve"> déficit de las universidades públicas ha sido zanjado? </w:t>
            </w:r>
          </w:p>
          <w:p w14:paraId="1D37C550" w14:textId="77777777" w:rsidR="008A5516" w:rsidRDefault="001A1BE6">
            <w:pPr>
              <w:widowControl w:val="0"/>
              <w:spacing w:before="240" w:after="240" w:line="276" w:lineRule="auto"/>
              <w:jc w:val="both"/>
            </w:pPr>
            <w:r>
              <w:t>¿Qué porcentaje d</w:t>
            </w:r>
            <w:r>
              <w:t>e personas se encuentran en proceso de mora por créditos brindados por el Estado para acceder a la educación superior?</w:t>
            </w:r>
          </w:p>
          <w:p w14:paraId="7F9954DE" w14:textId="77777777" w:rsidR="008A5516" w:rsidRDefault="001A1BE6">
            <w:pPr>
              <w:widowControl w:val="0"/>
              <w:spacing w:before="240" w:after="240" w:line="276" w:lineRule="auto"/>
              <w:jc w:val="both"/>
            </w:pPr>
            <w:r>
              <w:t xml:space="preserve">¿Qué medidas específicas se están implementando para fomentar la inclusión de jóvenes con discapacidad </w:t>
            </w:r>
            <w:r>
              <w:lastRenderedPageBreak/>
              <w:t>en la educación superior y garanti</w:t>
            </w:r>
            <w:r>
              <w:t>zar un acceso adecuado y equitativo a las instituciones educativas?</w:t>
            </w:r>
          </w:p>
          <w:p w14:paraId="3859BB70" w14:textId="77777777" w:rsidR="008A5516" w:rsidRDefault="001A1BE6">
            <w:pPr>
              <w:widowControl w:val="0"/>
              <w:spacing w:before="240" w:after="240" w:line="276" w:lineRule="auto"/>
              <w:jc w:val="both"/>
            </w:pPr>
            <w:r>
              <w:t>¿Qué políticas y programas se están implementando para fomentar el emprendimiento y la creación de nuevos negocios como una opción viable para los jóvenes egresados?</w:t>
            </w:r>
          </w:p>
        </w:tc>
      </w:tr>
      <w:tr w:rsidR="008A5516" w14:paraId="35F33C69" w14:textId="77777777">
        <w:tc>
          <w:tcPr>
            <w:tcW w:w="990" w:type="dxa"/>
            <w:shd w:val="clear" w:color="auto" w:fill="auto"/>
            <w:tcMar>
              <w:top w:w="100" w:type="dxa"/>
              <w:left w:w="100" w:type="dxa"/>
              <w:bottom w:w="100" w:type="dxa"/>
              <w:right w:w="100" w:type="dxa"/>
            </w:tcMar>
          </w:tcPr>
          <w:p w14:paraId="5F06279C" w14:textId="77777777" w:rsidR="008A5516" w:rsidRDefault="001A1BE6">
            <w:pPr>
              <w:widowControl w:val="0"/>
              <w:jc w:val="both"/>
            </w:pPr>
            <w:r>
              <w:lastRenderedPageBreak/>
              <w:t xml:space="preserve">13 </w:t>
            </w:r>
          </w:p>
        </w:tc>
        <w:tc>
          <w:tcPr>
            <w:tcW w:w="2040" w:type="dxa"/>
            <w:shd w:val="clear" w:color="auto" w:fill="auto"/>
            <w:tcMar>
              <w:top w:w="100" w:type="dxa"/>
              <w:left w:w="100" w:type="dxa"/>
              <w:bottom w:w="100" w:type="dxa"/>
              <w:right w:w="100" w:type="dxa"/>
            </w:tcMar>
          </w:tcPr>
          <w:p w14:paraId="0A2A6391" w14:textId="77777777" w:rsidR="008A5516" w:rsidRDefault="001A1BE6">
            <w:pPr>
              <w:widowControl w:val="0"/>
              <w:jc w:val="both"/>
            </w:pPr>
            <w:r>
              <w:t xml:space="preserve">Derecho a la </w:t>
            </w:r>
            <w:r>
              <w:t>educación</w:t>
            </w:r>
          </w:p>
        </w:tc>
        <w:tc>
          <w:tcPr>
            <w:tcW w:w="1185" w:type="dxa"/>
            <w:shd w:val="clear" w:color="auto" w:fill="auto"/>
            <w:tcMar>
              <w:top w:w="100" w:type="dxa"/>
              <w:left w:w="100" w:type="dxa"/>
              <w:bottom w:w="100" w:type="dxa"/>
              <w:right w:w="100" w:type="dxa"/>
            </w:tcMar>
          </w:tcPr>
          <w:p w14:paraId="173A67A1" w14:textId="77777777" w:rsidR="008A5516" w:rsidRDefault="001A1BE6">
            <w:pPr>
              <w:widowControl w:val="0"/>
              <w:spacing w:line="276" w:lineRule="auto"/>
              <w:jc w:val="center"/>
            </w:pPr>
            <w:r>
              <w:t xml:space="preserve">64. </w:t>
            </w:r>
          </w:p>
          <w:p w14:paraId="36A63693" w14:textId="77777777" w:rsidR="008A5516" w:rsidRDefault="008A5516">
            <w:pPr>
              <w:widowControl w:val="0"/>
              <w:spacing w:line="276" w:lineRule="auto"/>
              <w:jc w:val="both"/>
            </w:pPr>
          </w:p>
        </w:tc>
        <w:tc>
          <w:tcPr>
            <w:tcW w:w="5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8869E4" w14:textId="77777777" w:rsidR="008A5516" w:rsidRDefault="001A1BE6">
            <w:pPr>
              <w:widowControl w:val="0"/>
              <w:spacing w:line="276" w:lineRule="auto"/>
              <w:jc w:val="both"/>
            </w:pPr>
            <w:r>
              <w:t xml:space="preserve">El informe "Colegios de la guerra: otras víctimas del conflicto", publicado en el portal periodístico Rutas del Conflicto, identificó 331 casos registrados entre 1990 y 2020, en los cuales instituciones educativas fueron objeto de </w:t>
            </w:r>
            <w:r>
              <w:t>tomas o ataques violentos perpetrados por guerrillas, paramilitares y fuerzas del Estado.</w:t>
            </w:r>
            <w:r>
              <w:br/>
            </w:r>
          </w:p>
          <w:p w14:paraId="0953040F" w14:textId="77777777" w:rsidR="008A5516" w:rsidRDefault="001A1BE6">
            <w:pPr>
              <w:widowControl w:val="0"/>
              <w:spacing w:line="276" w:lineRule="auto"/>
              <w:jc w:val="both"/>
            </w:pPr>
            <w:r>
              <w:t>Según datos recientes del Ministerio de Educación y el Laboratorio de Economía de la Educación (LEE) de la Pontificia Universidad Javeriana, sólo el 17% de los 2,400</w:t>
            </w:r>
            <w:r>
              <w:t xml:space="preserve">,000 estudiantes de escuelas rurales en Colombia tienen acceso a Internet. Además, el censo educativo realizado por el DANE en 2017 muestra que el 70% de los niños y jóvenes que no tienen acceso a la educación en el país provienen de áreas rurales y zonas </w:t>
            </w:r>
            <w:r>
              <w:t>alejadas del centro del país.</w:t>
            </w:r>
          </w:p>
        </w:tc>
        <w:tc>
          <w:tcPr>
            <w:tcW w:w="3735" w:type="dxa"/>
            <w:shd w:val="clear" w:color="auto" w:fill="auto"/>
            <w:tcMar>
              <w:top w:w="100" w:type="dxa"/>
              <w:left w:w="100" w:type="dxa"/>
              <w:bottom w:w="100" w:type="dxa"/>
              <w:right w:w="100" w:type="dxa"/>
            </w:tcMar>
          </w:tcPr>
          <w:p w14:paraId="50CF57B7" w14:textId="77777777" w:rsidR="008A5516" w:rsidRDefault="001A1BE6">
            <w:pPr>
              <w:widowControl w:val="0"/>
              <w:spacing w:before="240" w:after="240" w:line="276" w:lineRule="auto"/>
              <w:jc w:val="both"/>
            </w:pPr>
            <w:r>
              <w:t>¿Qué medidas han sido adoptadas por el Estado colombiano para garantizar el respeto y la protección de las comunidades educativas en el contexto de la violencia sociopolítica?</w:t>
            </w:r>
          </w:p>
          <w:p w14:paraId="3D64DE06" w14:textId="77777777" w:rsidR="008A5516" w:rsidRDefault="001A1BE6">
            <w:pPr>
              <w:widowControl w:val="0"/>
              <w:spacing w:before="240" w:after="240" w:line="276" w:lineRule="auto"/>
              <w:jc w:val="both"/>
            </w:pPr>
            <w:r>
              <w:t>¿Cómo se ha incentivado la movilidad de docentes a</w:t>
            </w:r>
            <w:r>
              <w:t xml:space="preserve"> zonas rurales del país?</w:t>
            </w:r>
          </w:p>
          <w:p w14:paraId="61A65E26" w14:textId="77777777" w:rsidR="008A5516" w:rsidRDefault="001A1BE6">
            <w:pPr>
              <w:widowControl w:val="0"/>
              <w:spacing w:before="240" w:after="240" w:line="276" w:lineRule="auto"/>
              <w:jc w:val="both"/>
            </w:pPr>
            <w:r>
              <w:t>¿Qué avance tienen los entes de control y vigilancia frente a los hechos de corrupción generado con dinero que iba destinados a la conectividad de colegios?</w:t>
            </w:r>
          </w:p>
          <w:p w14:paraId="4676CD11" w14:textId="77777777" w:rsidR="008A5516" w:rsidRDefault="001A1BE6">
            <w:pPr>
              <w:widowControl w:val="0"/>
              <w:spacing w:before="240" w:after="240" w:line="276" w:lineRule="auto"/>
              <w:jc w:val="both"/>
            </w:pPr>
            <w:r>
              <w:t xml:space="preserve">¿Qué estrategias se están desarrollando </w:t>
            </w:r>
            <w:r>
              <w:lastRenderedPageBreak/>
              <w:t>para mejorar la calidad de la educ</w:t>
            </w:r>
            <w:r>
              <w:t>ación en áreas rurales, incluyendo el fortalecimiento de la formación y capacitación de maestros, así como la infraestructura y recursos educativos disponibles?</w:t>
            </w:r>
          </w:p>
          <w:p w14:paraId="56A5E947" w14:textId="77777777" w:rsidR="008A5516" w:rsidRDefault="001A1BE6">
            <w:pPr>
              <w:widowControl w:val="0"/>
              <w:spacing w:before="240" w:after="240" w:line="276" w:lineRule="auto"/>
              <w:jc w:val="both"/>
            </w:pPr>
            <w:r>
              <w:t>¿Cómo se está asegurando la participación y consulta efectiva de las comunidades educativas, in</w:t>
            </w:r>
            <w:r>
              <w:t>cluyendo a los estudiantes y sus familias, en la formulación e implementación de políticas y programas que afecten directamente a la educación en áreas rurales?</w:t>
            </w:r>
          </w:p>
        </w:tc>
      </w:tr>
      <w:tr w:rsidR="008A5516" w14:paraId="1C19EED3" w14:textId="77777777">
        <w:tc>
          <w:tcPr>
            <w:tcW w:w="990" w:type="dxa"/>
          </w:tcPr>
          <w:p w14:paraId="4F614609" w14:textId="77777777" w:rsidR="008A5516" w:rsidRDefault="008A5516">
            <w:pPr>
              <w:jc w:val="center"/>
              <w:rPr>
                <w:b/>
              </w:rPr>
            </w:pPr>
          </w:p>
        </w:tc>
        <w:tc>
          <w:tcPr>
            <w:tcW w:w="2040" w:type="dxa"/>
            <w:shd w:val="clear" w:color="auto" w:fill="auto"/>
            <w:tcMar>
              <w:top w:w="100" w:type="dxa"/>
              <w:left w:w="100" w:type="dxa"/>
              <w:bottom w:w="100" w:type="dxa"/>
              <w:right w:w="100" w:type="dxa"/>
            </w:tcMar>
          </w:tcPr>
          <w:p w14:paraId="61C8A275" w14:textId="77777777" w:rsidR="008A5516" w:rsidRDefault="001A1BE6">
            <w:pPr>
              <w:widowControl w:val="0"/>
            </w:pPr>
            <w:r>
              <w:t>Empresas y DDHH, y debida diligencia</w:t>
            </w:r>
          </w:p>
        </w:tc>
        <w:tc>
          <w:tcPr>
            <w:tcW w:w="1185" w:type="dxa"/>
            <w:shd w:val="clear" w:color="auto" w:fill="auto"/>
            <w:tcMar>
              <w:top w:w="100" w:type="dxa"/>
              <w:left w:w="100" w:type="dxa"/>
              <w:bottom w:w="100" w:type="dxa"/>
              <w:right w:w="100" w:type="dxa"/>
            </w:tcMar>
          </w:tcPr>
          <w:p w14:paraId="690D3E83" w14:textId="77777777" w:rsidR="008A5516" w:rsidRDefault="001A1BE6">
            <w:pPr>
              <w:jc w:val="both"/>
            </w:pPr>
            <w:r>
              <w:t>12 y 13</w:t>
            </w:r>
          </w:p>
        </w:tc>
        <w:tc>
          <w:tcPr>
            <w:tcW w:w="5790" w:type="dxa"/>
            <w:shd w:val="clear" w:color="auto" w:fill="auto"/>
            <w:tcMar>
              <w:top w:w="100" w:type="dxa"/>
              <w:left w:w="100" w:type="dxa"/>
              <w:bottom w:w="100" w:type="dxa"/>
              <w:right w:w="100" w:type="dxa"/>
            </w:tcMar>
          </w:tcPr>
          <w:p w14:paraId="3C2429E4" w14:textId="77777777" w:rsidR="008A5516" w:rsidRDefault="001A1BE6">
            <w:pPr>
              <w:jc w:val="both"/>
            </w:pPr>
            <w:r>
              <w:t>En las últimas décadas, los conflictos ambientales en Colombia han aumentado significativamente debido a actividades como la deforestación, la minería, las hidroeléctricas, la agroindustria y la privatización de la tierra. Estas actividades han generado da</w:t>
            </w:r>
            <w:r>
              <w:t>ños particulares en las comunidades indígenas, campesinas y afrodescendientes, y se han relacionado directamente con actores empresariales interesados en proyectos de desarrollo. A pesar de la normativa internacional en materia de empresas y derechos human</w:t>
            </w:r>
            <w:r>
              <w:t xml:space="preserve">os, la violencia ha sido el mecanismo prevalente para resolver controversias, lo que ha llevado a un preocupante aumento de asesinatos a líderes sociales y ambientales en el país. En este contexto, el Plan Nacional de Acción de Empresas y Derechos Humanos </w:t>
            </w:r>
            <w:r>
              <w:t xml:space="preserve">presenta retos para </w:t>
            </w:r>
            <w:r>
              <w:lastRenderedPageBreak/>
              <w:t>garantizar la protección de derechos humanos en el contexto de la reactivación económica por la pandemia y el acceso a mecanismos de reparación, entre otros aspectos. Además, se ha destacado la necesidad de llevar a cabo evaluaciones de</w:t>
            </w:r>
            <w:r>
              <w:t xml:space="preserve"> impacto de acuerdos internacionales de inversión sobre derechos humanos y medio ambiente, así como implementar medidas para garantizar la responsabilidad de las empresas en el extranjero.</w:t>
            </w:r>
          </w:p>
          <w:p w14:paraId="5267E4CC" w14:textId="77777777" w:rsidR="008A5516" w:rsidRDefault="008A5516">
            <w:pPr>
              <w:jc w:val="both"/>
            </w:pPr>
          </w:p>
          <w:p w14:paraId="76C13F32" w14:textId="77777777" w:rsidR="008A5516" w:rsidRDefault="001A1BE6">
            <w:pPr>
              <w:jc w:val="both"/>
            </w:pPr>
            <w:r>
              <w:t>En este contexto de conflictividad y violaciones a los derechos hu</w:t>
            </w:r>
            <w:r>
              <w:t xml:space="preserve">manos relacionados con actividades empresariales, se ha observado una asimetría de poder entre las comunidades y los actores empresariales, lo que ha llevado a amenazas y hostigamiento a defensores del ambiente y territorio. En particular, se han señalado </w:t>
            </w:r>
            <w:r>
              <w:t>impactos en la salud, el agua, el medio ambiente y los derechos de información y participación debido a la actuación de empresas en territorios como La Guajira. A pesar de la concentración de recursos y bienes naturales por parte de los actores empresarial</w:t>
            </w:r>
            <w:r>
              <w:t>es, las comunidades no han experimentado beneficios significativos de sus actividades económicas. Se destaca la necesidad de garantizar un proceso de reparación efectivo y una participación adecuada de las comunidades en las soluciones frente a estas viola</w:t>
            </w:r>
            <w:r>
              <w:t>ciones de derechos humanos, con énfasis en la responsabilidad principal del Estado en garantizar los derechos económicos, sociales, culturales y ambientales de la población afectada.</w:t>
            </w:r>
          </w:p>
          <w:p w14:paraId="6EA2603D" w14:textId="77777777" w:rsidR="008A5516" w:rsidRDefault="008A5516">
            <w:pPr>
              <w:jc w:val="both"/>
            </w:pPr>
          </w:p>
          <w:p w14:paraId="665306C2" w14:textId="6068014F" w:rsidR="008A5516" w:rsidRDefault="001A1BE6">
            <w:pPr>
              <w:jc w:val="both"/>
            </w:pPr>
            <w:r>
              <w:t>En resumen, Colombia enfrenta desafíos significativos en materia de conf</w:t>
            </w:r>
            <w:r>
              <w:t xml:space="preserve">lictos ambientales y violaciones de derechos humanos relacionadas con actividades empresariales. Se </w:t>
            </w:r>
            <w:r>
              <w:lastRenderedPageBreak/>
              <w:t>requiere una respuesta integral y efectiva por parte del Estado para garantizar la protección de los derechos humanos de las comunidades afectadas, implemen</w:t>
            </w:r>
            <w:r>
              <w:t xml:space="preserve">tar medidas de reparación y responsabilizar a las empresas por sus acciones, tanto en el territorio nacional como en el extranjero. Todo ello, con la </w:t>
            </w:r>
            <w:r w:rsidR="00104B18">
              <w:t>participación</w:t>
            </w:r>
            <w:r>
              <w:t xml:space="preserve"> de las comunidades afectadas y una mayor coherencia en las políticas públicas para enfrentar</w:t>
            </w:r>
            <w:r>
              <w:t xml:space="preserve"> esta compleja situación.</w:t>
            </w:r>
          </w:p>
        </w:tc>
        <w:tc>
          <w:tcPr>
            <w:tcW w:w="3735" w:type="dxa"/>
            <w:shd w:val="clear" w:color="auto" w:fill="auto"/>
            <w:tcMar>
              <w:top w:w="100" w:type="dxa"/>
              <w:left w:w="100" w:type="dxa"/>
              <w:bottom w:w="100" w:type="dxa"/>
              <w:right w:w="100" w:type="dxa"/>
            </w:tcMar>
          </w:tcPr>
          <w:p w14:paraId="1A373165" w14:textId="77777777" w:rsidR="008A5516" w:rsidRDefault="001A1BE6">
            <w:pPr>
              <w:jc w:val="both"/>
            </w:pPr>
            <w:r>
              <w:lastRenderedPageBreak/>
              <w:t>¿Cuáles han sido las acciones que ha implementado el Estado para que las empresas cumplan con la identificación, prevención y mitigación de los efectos de las actividades empresariales de los derechos humanos?</w:t>
            </w:r>
          </w:p>
          <w:p w14:paraId="526EBF44" w14:textId="77777777" w:rsidR="008A5516" w:rsidRDefault="008A5516">
            <w:pPr>
              <w:jc w:val="both"/>
            </w:pPr>
          </w:p>
          <w:p w14:paraId="7DAC69CB" w14:textId="77777777" w:rsidR="008A5516" w:rsidRDefault="001A1BE6">
            <w:pPr>
              <w:jc w:val="both"/>
            </w:pPr>
            <w:r>
              <w:t>¿Qué instrumentos t</w:t>
            </w:r>
            <w:r>
              <w:t xml:space="preserve">iene para verificar el cumplimiento de la debida diligencia por parte del estado y las empresas? </w:t>
            </w:r>
          </w:p>
          <w:p w14:paraId="5A6385A2" w14:textId="77777777" w:rsidR="008A5516" w:rsidRDefault="008A5516">
            <w:pPr>
              <w:jc w:val="both"/>
            </w:pPr>
          </w:p>
          <w:p w14:paraId="370A7F7A" w14:textId="77777777" w:rsidR="008A5516" w:rsidRDefault="001A1BE6">
            <w:pPr>
              <w:jc w:val="both"/>
            </w:pPr>
            <w:r>
              <w:t xml:space="preserve">¿Cuáles son las medidas, procesos o políticas implementadas para </w:t>
            </w:r>
            <w:r>
              <w:lastRenderedPageBreak/>
              <w:t>garantizar que las empresas que emprenden nuevos proyectos o inversiones identifiquen y eval</w:t>
            </w:r>
            <w:r>
              <w:t xml:space="preserve">úen riesgos tanto en el contexto geográfico, el sector y la cadena de valor de las empresas matrices y subsidiarias? </w:t>
            </w:r>
          </w:p>
          <w:p w14:paraId="28C94D2E" w14:textId="77777777" w:rsidR="008A5516" w:rsidRDefault="008A5516">
            <w:pPr>
              <w:jc w:val="both"/>
            </w:pPr>
          </w:p>
          <w:p w14:paraId="4DA299BA" w14:textId="77777777" w:rsidR="008A5516" w:rsidRDefault="001A1BE6">
            <w:pPr>
              <w:jc w:val="both"/>
            </w:pPr>
            <w:r>
              <w:t xml:space="preserve">¿Cuáles son las medidas que ha adoptado el Estado colombiano para garantizar que las empresas involucradas en proyectos extractivos o de </w:t>
            </w:r>
            <w:r>
              <w:t>desarrollo evalúen adecuadamente los impactos ambientales y sociales de sus actividades, especialmente en territorios habitados por comunidades indígenas, campesinas y afrodescendientes?</w:t>
            </w:r>
          </w:p>
          <w:p w14:paraId="71F0615D" w14:textId="77777777" w:rsidR="008A5516" w:rsidRDefault="008A5516">
            <w:pPr>
              <w:jc w:val="both"/>
            </w:pPr>
          </w:p>
          <w:p w14:paraId="2DD42319" w14:textId="77777777" w:rsidR="008A5516" w:rsidRDefault="001A1BE6">
            <w:pPr>
              <w:jc w:val="both"/>
            </w:pPr>
            <w:r>
              <w:t xml:space="preserve">¿Cuál es el enfoque y las estrategias que el Estado ha implementado </w:t>
            </w:r>
            <w:r>
              <w:t>para comunicar de manera efectiva a las personas y comunidades afectadas por empresas y sus actividades, las políticas y procesos implementados para identificar, prevenir y mitigar los daños ambientales y de derechos humanos que puedan surgir como consecue</w:t>
            </w:r>
            <w:r>
              <w:t>ncia de dichas actividades?</w:t>
            </w:r>
          </w:p>
          <w:p w14:paraId="3E5348BA" w14:textId="77777777" w:rsidR="008A5516" w:rsidRDefault="008A5516">
            <w:pPr>
              <w:jc w:val="both"/>
            </w:pPr>
          </w:p>
        </w:tc>
      </w:tr>
    </w:tbl>
    <w:p w14:paraId="29EBD3AB" w14:textId="77777777" w:rsidR="008A5516" w:rsidRDefault="008A5516"/>
    <w:sectPr w:rsidR="008A5516">
      <w:footerReference w:type="default" r:id="rId9"/>
      <w:headerReference w:type="first" r:id="rId10"/>
      <w:pgSz w:w="15840" w:h="12240" w:orient="landscape"/>
      <w:pgMar w:top="1418" w:right="1134" w:bottom="1247" w:left="1134" w:header="709" w:footer="68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279C33" w14:textId="77777777" w:rsidR="00E40F2C" w:rsidRDefault="00E40F2C">
      <w:pPr>
        <w:spacing w:after="0" w:line="240" w:lineRule="auto"/>
      </w:pPr>
      <w:r>
        <w:separator/>
      </w:r>
    </w:p>
  </w:endnote>
  <w:endnote w:type="continuationSeparator" w:id="0">
    <w:p w14:paraId="442DBBDF" w14:textId="77777777" w:rsidR="00E40F2C" w:rsidRDefault="00E40F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28DFA" w14:textId="77777777" w:rsidR="008A5516" w:rsidRDefault="001A1BE6">
    <w:pPr>
      <w:pBdr>
        <w:top w:val="nil"/>
        <w:left w:val="nil"/>
        <w:bottom w:val="nil"/>
        <w:right w:val="nil"/>
        <w:between w:val="nil"/>
      </w:pBdr>
      <w:tabs>
        <w:tab w:val="center" w:pos="4419"/>
        <w:tab w:val="right" w:pos="8838"/>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104B18">
      <w:rPr>
        <w:noProof/>
        <w:color w:val="000000"/>
      </w:rPr>
      <w:t>2</w:t>
    </w:r>
    <w:r>
      <w:rPr>
        <w:color w:val="000000"/>
      </w:rPr>
      <w:fldChar w:fldCharType="end"/>
    </w:r>
  </w:p>
  <w:p w14:paraId="54ADA6E1" w14:textId="77777777" w:rsidR="008A5516" w:rsidRDefault="008A5516">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10678" w14:textId="77777777" w:rsidR="00E40F2C" w:rsidRDefault="00E40F2C">
      <w:pPr>
        <w:spacing w:after="0" w:line="240" w:lineRule="auto"/>
      </w:pPr>
      <w:r>
        <w:separator/>
      </w:r>
    </w:p>
  </w:footnote>
  <w:footnote w:type="continuationSeparator" w:id="0">
    <w:p w14:paraId="27988F14" w14:textId="77777777" w:rsidR="00E40F2C" w:rsidRDefault="00E40F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698CB" w14:textId="77777777" w:rsidR="008A5516" w:rsidRDefault="008A5516">
    <w:pPr>
      <w:pBdr>
        <w:top w:val="nil"/>
        <w:left w:val="nil"/>
        <w:bottom w:val="nil"/>
        <w:right w:val="nil"/>
        <w:between w:val="nil"/>
      </w:pBdr>
      <w:tabs>
        <w:tab w:val="center" w:pos="4419"/>
        <w:tab w:val="right" w:pos="8838"/>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5516"/>
    <w:rsid w:val="00010EFD"/>
    <w:rsid w:val="00104B18"/>
    <w:rsid w:val="001A1BE6"/>
    <w:rsid w:val="008A5516"/>
    <w:rsid w:val="00A20864"/>
    <w:rsid w:val="00E40F2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532C9"/>
  <w15:docId w15:val="{2D837013-41F7-4B9C-9F1D-10750BBFC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table" w:styleId="TableGrid">
    <w:name w:val="Table Grid"/>
    <w:basedOn w:val="TableNormal"/>
    <w:uiPriority w:val="39"/>
    <w:rsid w:val="00897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2"/>
    <w:pPr>
      <w:spacing w:after="0" w:line="240" w:lineRule="auto"/>
    </w:pPr>
    <w:tblPr>
      <w:tblStyleRowBandSize w:val="1"/>
      <w:tblStyleColBandSize w:val="1"/>
      <w:tblCellMar>
        <w:left w:w="108" w:type="dxa"/>
        <w:right w:w="108" w:type="dxa"/>
      </w:tblCellMar>
    </w:tblPr>
  </w:style>
  <w:style w:type="character" w:styleId="Hyperlink">
    <w:name w:val="Hyperlink"/>
    <w:basedOn w:val="DefaultParagraphFont"/>
    <w:uiPriority w:val="99"/>
    <w:unhideWhenUsed/>
    <w:rsid w:val="00C5513E"/>
    <w:rPr>
      <w:color w:val="0563C1" w:themeColor="hyperlink"/>
      <w:u w:val="single"/>
    </w:rPr>
  </w:style>
  <w:style w:type="character" w:styleId="UnresolvedMention">
    <w:name w:val="Unresolved Mention"/>
    <w:basedOn w:val="DefaultParagraphFont"/>
    <w:uiPriority w:val="99"/>
    <w:semiHidden/>
    <w:unhideWhenUsed/>
    <w:rsid w:val="00C5513E"/>
    <w:rPr>
      <w:color w:val="605E5C"/>
      <w:shd w:val="clear" w:color="auto" w:fill="E1DFDD"/>
    </w:rPr>
  </w:style>
  <w:style w:type="paragraph" w:styleId="Header">
    <w:name w:val="header"/>
    <w:basedOn w:val="Normal"/>
    <w:link w:val="HeaderChar"/>
    <w:uiPriority w:val="99"/>
    <w:unhideWhenUsed/>
    <w:rsid w:val="00C5513E"/>
    <w:pPr>
      <w:tabs>
        <w:tab w:val="center" w:pos="4419"/>
        <w:tab w:val="right" w:pos="8838"/>
      </w:tabs>
      <w:spacing w:after="0" w:line="240" w:lineRule="auto"/>
    </w:pPr>
  </w:style>
  <w:style w:type="character" w:customStyle="1" w:styleId="HeaderChar">
    <w:name w:val="Header Char"/>
    <w:basedOn w:val="DefaultParagraphFont"/>
    <w:link w:val="Header"/>
    <w:uiPriority w:val="99"/>
    <w:rsid w:val="00C5513E"/>
  </w:style>
  <w:style w:type="paragraph" w:styleId="Footer">
    <w:name w:val="footer"/>
    <w:basedOn w:val="Normal"/>
    <w:link w:val="FooterChar"/>
    <w:uiPriority w:val="99"/>
    <w:unhideWhenUsed/>
    <w:rsid w:val="00C5513E"/>
    <w:pPr>
      <w:tabs>
        <w:tab w:val="center" w:pos="4419"/>
        <w:tab w:val="right" w:pos="8838"/>
      </w:tabs>
      <w:spacing w:after="0" w:line="240" w:lineRule="auto"/>
    </w:pPr>
  </w:style>
  <w:style w:type="character" w:customStyle="1" w:styleId="FooterChar">
    <w:name w:val="Footer Char"/>
    <w:basedOn w:val="DefaultParagraphFont"/>
    <w:link w:val="Footer"/>
    <w:uiPriority w:val="99"/>
    <w:rsid w:val="00C5513E"/>
  </w:style>
  <w:style w:type="paragraph" w:styleId="BalloonText">
    <w:name w:val="Balloon Text"/>
    <w:basedOn w:val="Normal"/>
    <w:link w:val="BalloonTextChar"/>
    <w:uiPriority w:val="99"/>
    <w:semiHidden/>
    <w:unhideWhenUsed/>
    <w:rsid w:val="00043B85"/>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43B85"/>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043B85"/>
    <w:rPr>
      <w:sz w:val="16"/>
      <w:szCs w:val="16"/>
    </w:rPr>
  </w:style>
  <w:style w:type="paragraph" w:styleId="CommentText">
    <w:name w:val="annotation text"/>
    <w:basedOn w:val="Normal"/>
    <w:link w:val="CommentTextChar"/>
    <w:uiPriority w:val="99"/>
    <w:semiHidden/>
    <w:unhideWhenUsed/>
    <w:rsid w:val="00043B85"/>
    <w:pPr>
      <w:spacing w:line="240" w:lineRule="auto"/>
    </w:pPr>
    <w:rPr>
      <w:sz w:val="20"/>
      <w:szCs w:val="20"/>
    </w:rPr>
  </w:style>
  <w:style w:type="character" w:customStyle="1" w:styleId="CommentTextChar">
    <w:name w:val="Comment Text Char"/>
    <w:basedOn w:val="DefaultParagraphFont"/>
    <w:link w:val="CommentText"/>
    <w:uiPriority w:val="99"/>
    <w:semiHidden/>
    <w:rsid w:val="00043B85"/>
    <w:rPr>
      <w:sz w:val="20"/>
      <w:szCs w:val="20"/>
    </w:rPr>
  </w:style>
  <w:style w:type="paragraph" w:styleId="CommentSubject">
    <w:name w:val="annotation subject"/>
    <w:basedOn w:val="CommentText"/>
    <w:next w:val="CommentText"/>
    <w:link w:val="CommentSubjectChar"/>
    <w:uiPriority w:val="99"/>
    <w:semiHidden/>
    <w:unhideWhenUsed/>
    <w:rsid w:val="00043B85"/>
    <w:rPr>
      <w:b/>
      <w:bCs/>
    </w:rPr>
  </w:style>
  <w:style w:type="character" w:customStyle="1" w:styleId="CommentSubjectChar">
    <w:name w:val="Comment Subject Char"/>
    <w:basedOn w:val="CommentTextChar"/>
    <w:link w:val="CommentSubject"/>
    <w:uiPriority w:val="99"/>
    <w:semiHidden/>
    <w:rsid w:val="00043B85"/>
    <w:rPr>
      <w:b/>
      <w:bCs/>
      <w:sz w:val="20"/>
      <w:szCs w:val="20"/>
    </w:rPr>
  </w:style>
  <w:style w:type="paragraph" w:styleId="FootnoteText">
    <w:name w:val="footnote text"/>
    <w:basedOn w:val="Normal"/>
    <w:link w:val="FootnoteTextChar"/>
    <w:uiPriority w:val="99"/>
    <w:semiHidden/>
    <w:unhideWhenUsed/>
    <w:rsid w:val="0093452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34529"/>
    <w:rPr>
      <w:sz w:val="20"/>
      <w:szCs w:val="20"/>
    </w:rPr>
  </w:style>
  <w:style w:type="character" w:styleId="FootnoteReference">
    <w:name w:val="footnote reference"/>
    <w:basedOn w:val="DefaultParagraphFont"/>
    <w:uiPriority w:val="99"/>
    <w:semiHidden/>
    <w:unhideWhenUsed/>
    <w:rsid w:val="00934529"/>
    <w:rPr>
      <w:vertAlign w:val="superscript"/>
    </w:rPr>
  </w:style>
  <w:style w:type="paragraph" w:styleId="NormalWeb">
    <w:name w:val="Normal (Web)"/>
    <w:basedOn w:val="Normal"/>
    <w:uiPriority w:val="99"/>
    <w:semiHidden/>
    <w:unhideWhenUsed/>
    <w:rsid w:val="0012773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127730"/>
  </w:style>
  <w:style w:type="table" w:customStyle="1" w:styleId="a0">
    <w:basedOn w:val="TableNormal2"/>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yiuQyEbc5PsMkRR7b8E3oC5T3Q==">CgMxLjA4AHIhMWtPZU1lUTJidm5uV0UyVFlwZVZyNDRyMjZMMXY5djJm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4552</Words>
  <Characters>24723</Characters>
  <Application>Microsoft Office Word</Application>
  <DocSecurity>0</DocSecurity>
  <Lines>706</Lines>
  <Paragraphs>176</Paragraphs>
  <ScaleCrop>false</ScaleCrop>
  <Company/>
  <LinksUpToDate>false</LinksUpToDate>
  <CharactersWithSpaces>29099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webinar4</dc:creator>
  <cp:lastModifiedBy>Celine Reynaud</cp:lastModifiedBy>
  <cp:revision>2</cp:revision>
  <cp:lastPrinted>2023-08-06T14:53:00Z</cp:lastPrinted>
  <dcterms:created xsi:type="dcterms:W3CDTF">2023-08-11T16:16:00Z</dcterms:created>
  <dcterms:modified xsi:type="dcterms:W3CDTF">2023-08-11T16:16:00Z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f1d88d264f22d4798fd061766c6fb4c8cf9461793a20cc129a57bf19f555a671</vt:lpwstr>
  </property>
</Properties>
</file>