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Source Sans 3" w:cs="Source Sans 3" w:eastAsia="Source Sans 3" w:hAnsi="Source Sans 3"/>
          <w:sz w:val="24"/>
          <w:szCs w:val="24"/>
        </w:rPr>
      </w:pPr>
      <w:r w:rsidDel="00000000" w:rsidR="00000000" w:rsidRPr="00000000">
        <w:rPr>
          <w:rFonts w:ascii="Source Sans 3" w:cs="Source Sans 3" w:eastAsia="Source Sans 3" w:hAnsi="Source Sans 3"/>
        </w:rPr>
        <w:drawing>
          <wp:inline distB="114300" distT="114300" distL="114300" distR="114300">
            <wp:extent cx="1971675" cy="6858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71675" cy="685800"/>
                    </a:xfrm>
                    <a:prstGeom prst="rect"/>
                    <a:ln/>
                  </pic:spPr>
                </pic:pic>
              </a:graphicData>
            </a:graphic>
          </wp:inline>
        </w:drawing>
      </w:r>
      <w:r w:rsidDel="00000000" w:rsidR="00000000" w:rsidRPr="00000000">
        <w:rPr>
          <w:rFonts w:ascii="Source Sans 3" w:cs="Source Sans 3" w:eastAsia="Source Sans 3" w:hAnsi="Source Sans 3"/>
          <w:rtl w:val="0"/>
        </w:rPr>
        <w:t xml:space="preserve">                   </w:t>
      </w:r>
      <w:r w:rsidDel="00000000" w:rsidR="00000000" w:rsidRPr="00000000">
        <w:rPr>
          <w:rFonts w:ascii="Source Sans 3" w:cs="Source Sans 3" w:eastAsia="Source Sans 3" w:hAnsi="Source Sans 3"/>
        </w:rPr>
        <w:drawing>
          <wp:inline distB="114300" distT="114300" distL="114300" distR="114300">
            <wp:extent cx="1085170" cy="1519238"/>
            <wp:effectExtent b="0" l="0" r="0" t="0"/>
            <wp:docPr id="1"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1085170" cy="151923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03">
      <w:pPr>
        <w:jc w:val="center"/>
        <w:rPr>
          <w:rFonts w:ascii="Source Sans 3" w:cs="Source Sans 3" w:eastAsia="Source Sans 3" w:hAnsi="Source Sans 3"/>
          <w:b w:val="1"/>
          <w:bCs w:val="1"/>
          <w:sz w:val="26"/>
          <w:szCs w:val="26"/>
        </w:rPr>
      </w:pPr>
      <w:r w:rsidDel="00000000" w:rsidR="00000000" w:rsidRPr="00000000">
        <w:rPr>
          <w:rtl w:val="0"/>
        </w:rPr>
      </w:r>
    </w:p>
    <w:p w:rsidR="00000000" w:rsidDel="00000000" w:rsidP="00000000" w:rsidRDefault="00000000" w:rsidRPr="00000000" w14:paraId="00000004">
      <w:pPr>
        <w:jc w:val="center"/>
        <w:rPr>
          <w:rFonts w:ascii="Source Sans 3" w:cs="Source Sans 3" w:eastAsia="Source Sans 3" w:hAnsi="Source Sans 3"/>
          <w:b w:val="1"/>
          <w:bCs w:val="1"/>
          <w:sz w:val="26"/>
          <w:szCs w:val="26"/>
        </w:rPr>
      </w:pPr>
      <w:r w:rsidDel="00000000" w:rsidR="00000000" w:rsidRPr="00000000">
        <w:rPr>
          <w:rFonts w:ascii="Source Sans 3" w:cs="Source Sans 3" w:eastAsia="Source Sans 3" w:hAnsi="Source Sans 3"/>
          <w:b w:val="1"/>
          <w:bCs w:val="1"/>
          <w:sz w:val="26"/>
          <w:szCs w:val="26"/>
          <w:rtl w:val="0"/>
        </w:rPr>
        <w:t xml:space="preserve">Submission to the Human Rights Committee on the follow-up to the Concluding Observations on Uruguay’s sixth periodic report</w:t>
      </w:r>
    </w:p>
    <w:p w:rsidR="00000000" w:rsidDel="00000000" w:rsidP="00000000" w:rsidRDefault="00000000" w:rsidRPr="00000000" w14:paraId="00000005">
      <w:pPr>
        <w:ind w:left="270" w:firstLine="0"/>
        <w:jc w:val="center"/>
        <w:rPr>
          <w:rFonts w:ascii="Source Sans 3" w:cs="Source Sans 3" w:eastAsia="Source Sans 3" w:hAnsi="Source Sans 3"/>
          <w:b w:val="1"/>
          <w:bCs w:val="1"/>
          <w:sz w:val="26"/>
          <w:szCs w:val="26"/>
        </w:rPr>
      </w:pPr>
      <w:r w:rsidDel="00000000" w:rsidR="00000000" w:rsidRPr="00000000">
        <w:rPr>
          <w:rtl w:val="0"/>
        </w:rPr>
      </w:r>
    </w:p>
    <w:p w:rsidR="00000000" w:rsidDel="00000000" w:rsidP="00000000" w:rsidRDefault="00000000" w:rsidRPr="00000000" w14:paraId="00000006">
      <w:pPr>
        <w:spacing w:after="240" w:before="240" w:lineRule="auto"/>
        <w:ind w:firstLine="810"/>
        <w:rPr>
          <w:rFonts w:ascii="Source Sans 3" w:cs="Source Sans 3" w:eastAsia="Source Sans 3" w:hAnsi="Source Sans 3"/>
          <w:sz w:val="24"/>
          <w:szCs w:val="24"/>
        </w:rPr>
      </w:pPr>
      <w:r w:rsidDel="00000000" w:rsidR="00000000" w:rsidRPr="00000000">
        <w:rPr>
          <w:rFonts w:ascii="Source Sans 3" w:cs="Source Sans 3" w:eastAsia="Source Sans 3" w:hAnsi="Source Sans 3"/>
          <w:b w:val="1"/>
          <w:bCs w:val="1"/>
          <w:sz w:val="24"/>
          <w:szCs w:val="24"/>
          <w:rtl w:val="0"/>
        </w:rPr>
        <w:t xml:space="preserve">I. Introduction</w:t>
      </w:r>
      <w:r w:rsidDel="00000000" w:rsidR="00000000" w:rsidRPr="00000000">
        <w:rPr>
          <w:rFonts w:ascii="Source Sans 3" w:cs="Source Sans 3" w:eastAsia="Source Sans 3" w:hAnsi="Source Sans 3"/>
          <w:sz w:val="24"/>
          <w:szCs w:val="24"/>
          <w:rtl w:val="0"/>
        </w:rPr>
        <w:t xml:space="preserve"> ........................................................................ 1</w:t>
      </w:r>
    </w:p>
    <w:p w:rsidR="00000000" w:rsidDel="00000000" w:rsidP="00000000" w:rsidRDefault="00000000" w:rsidRPr="00000000" w14:paraId="00000007">
      <w:pPr>
        <w:spacing w:after="240" w:before="240" w:lineRule="auto"/>
        <w:ind w:firstLine="810"/>
        <w:rPr>
          <w:rFonts w:ascii="Source Sans 3" w:cs="Source Sans 3" w:eastAsia="Source Sans 3" w:hAnsi="Source Sans 3"/>
          <w:sz w:val="24"/>
          <w:szCs w:val="24"/>
        </w:rPr>
      </w:pPr>
      <w:r w:rsidDel="00000000" w:rsidR="00000000" w:rsidRPr="00000000">
        <w:rPr>
          <w:rFonts w:ascii="Source Sans 3" w:cs="Source Sans 3" w:eastAsia="Source Sans 3" w:hAnsi="Source Sans 3"/>
          <w:b w:val="1"/>
          <w:bCs w:val="1"/>
          <w:sz w:val="24"/>
          <w:szCs w:val="24"/>
          <w:rtl w:val="0"/>
        </w:rPr>
        <w:t xml:space="preserve">II. Follow-up information</w:t>
      </w:r>
      <w:r w:rsidDel="00000000" w:rsidR="00000000" w:rsidRPr="00000000">
        <w:rPr>
          <w:rFonts w:ascii="Source Sans 3" w:cs="Source Sans 3" w:eastAsia="Source Sans 3" w:hAnsi="Source Sans 3"/>
          <w:sz w:val="24"/>
          <w:szCs w:val="24"/>
          <w:rtl w:val="0"/>
        </w:rPr>
        <w:t xml:space="preserve"> ............................................. 2</w:t>
        <w:br w:type="textWrapping"/>
        <w:t xml:space="preserve">   </w:t>
        <w:tab/>
        <w:t xml:space="preserve">   a. Prevention, investigation and punishment of gender-based violence ........ 2</w:t>
        <w:br w:type="textWrapping"/>
        <w:tab/>
        <w:t xml:space="preserve">  b. Legislative  challenges relating to sexual violence ..................... 4</w:t>
        <w:br w:type="textWrapping"/>
        <w:t xml:space="preserve">     </w:t>
        <w:tab/>
        <w:t xml:space="preserve">  c. Sexual violence against children and adolescents .................... 5</w:t>
        <w:br w:type="textWrapping"/>
        <w:t xml:space="preserve">  </w:t>
        <w:tab/>
        <w:t xml:space="preserve">  d. Monitoring system .............................................................. 6</w:t>
      </w:r>
    </w:p>
    <w:p w:rsidR="00000000" w:rsidDel="00000000" w:rsidP="00000000" w:rsidRDefault="00000000" w:rsidRPr="00000000" w14:paraId="00000008">
      <w:pPr>
        <w:spacing w:after="240" w:before="240" w:lineRule="auto"/>
        <w:ind w:firstLine="810"/>
        <w:rPr>
          <w:rFonts w:ascii="Source Sans 3" w:cs="Source Sans 3" w:eastAsia="Source Sans 3" w:hAnsi="Source Sans 3"/>
          <w:sz w:val="24"/>
          <w:szCs w:val="24"/>
        </w:rPr>
      </w:pPr>
      <w:r w:rsidDel="00000000" w:rsidR="00000000" w:rsidRPr="00000000">
        <w:rPr>
          <w:rFonts w:ascii="Source Sans 3" w:cs="Source Sans 3" w:eastAsia="Source Sans 3" w:hAnsi="Source Sans 3"/>
          <w:b w:val="1"/>
          <w:bCs w:val="1"/>
          <w:sz w:val="24"/>
          <w:szCs w:val="24"/>
          <w:rtl w:val="0"/>
        </w:rPr>
        <w:t xml:space="preserve">III. Recommendations</w:t>
      </w:r>
      <w:r w:rsidDel="00000000" w:rsidR="00000000" w:rsidRPr="00000000">
        <w:rPr>
          <w:rFonts w:ascii="Source Sans 3" w:cs="Source Sans 3" w:eastAsia="Source Sans 3" w:hAnsi="Source Sans 3"/>
          <w:sz w:val="24"/>
          <w:szCs w:val="24"/>
          <w:rtl w:val="0"/>
        </w:rPr>
        <w:t xml:space="preserve"> .......................................................... 7</w:t>
        <w:br w:type="textWrapping"/>
        <w:t xml:space="preserve">    </w:t>
        <w:tab/>
        <w:t xml:space="preserve">   a. Regulatory framework ................................................................. 7</w:t>
        <w:br w:type="textWrapping"/>
        <w:t xml:space="preserve">   </w:t>
        <w:tab/>
        <w:t xml:space="preserve">   b. Due diligence, training and information systems ................... 8</w:t>
        <w:br w:type="textWrapping"/>
        <w:t xml:space="preserve">     </w:t>
        <w:tab/>
        <w:t xml:space="preserve">   c. Elimination of stereotypes and an intersectional approach .............. 8</w:t>
      </w:r>
    </w:p>
    <w:p w:rsidR="00000000" w:rsidDel="00000000" w:rsidP="00000000" w:rsidRDefault="00000000" w:rsidRPr="00000000" w14:paraId="00000009">
      <w:pPr>
        <w:spacing w:after="240" w:before="240" w:lineRule="auto"/>
        <w:ind w:firstLine="810"/>
        <w:rPr>
          <w:rFonts w:ascii="Source Sans 3" w:cs="Source Sans 3" w:eastAsia="Source Sans 3" w:hAnsi="Source Sans 3"/>
          <w:sz w:val="24"/>
          <w:szCs w:val="24"/>
        </w:rPr>
      </w:pPr>
      <w:r w:rsidDel="00000000" w:rsidR="00000000" w:rsidRPr="00000000">
        <w:rPr>
          <w:rFonts w:ascii="Source Sans 3" w:cs="Source Sans 3" w:eastAsia="Source Sans 3" w:hAnsi="Source Sans 3"/>
          <w:b w:val="1"/>
          <w:bCs w:val="1"/>
          <w:sz w:val="24"/>
          <w:szCs w:val="24"/>
          <w:rtl w:val="0"/>
        </w:rPr>
        <w:t xml:space="preserve">Annex I – Signatory organisations</w:t>
      </w:r>
      <w:r w:rsidDel="00000000" w:rsidR="00000000" w:rsidRPr="00000000">
        <w:rPr>
          <w:rFonts w:ascii="Source Sans 3" w:cs="Source Sans 3" w:eastAsia="Source Sans 3" w:hAnsi="Source Sans 3"/>
          <w:sz w:val="24"/>
          <w:szCs w:val="24"/>
          <w:rtl w:val="0"/>
        </w:rPr>
        <w:t xml:space="preserve"> .................................. 9</w:t>
      </w:r>
    </w:p>
    <w:p w:rsidR="00000000" w:rsidDel="00000000" w:rsidP="00000000" w:rsidRDefault="00000000" w:rsidRPr="00000000" w14:paraId="0000000A">
      <w:pPr>
        <w:jc w:val="both"/>
        <w:rPr>
          <w:rFonts w:ascii="Source Sans 3" w:cs="Source Sans 3" w:eastAsia="Source Sans 3" w:hAnsi="Source Sans 3"/>
          <w:b w:val="1"/>
          <w:bCs w:val="1"/>
          <w:sz w:val="24"/>
          <w:szCs w:val="24"/>
        </w:rPr>
      </w:pPr>
      <w:r w:rsidDel="00000000" w:rsidR="00000000" w:rsidRPr="00000000">
        <w:rPr>
          <w:rtl w:val="0"/>
        </w:rPr>
      </w:r>
    </w:p>
    <w:p w:rsidR="00000000" w:rsidDel="00000000" w:rsidP="00000000" w:rsidRDefault="00000000" w:rsidRPr="00000000" w14:paraId="0000000B">
      <w:pPr>
        <w:jc w:val="both"/>
        <w:rPr>
          <w:rFonts w:ascii="Source Sans 3" w:cs="Source Sans 3" w:eastAsia="Source Sans 3" w:hAnsi="Source Sans 3"/>
          <w:b w:val="1"/>
          <w:bCs w:val="1"/>
          <w:sz w:val="24"/>
          <w:szCs w:val="24"/>
        </w:rPr>
      </w:pPr>
      <w:r w:rsidDel="00000000" w:rsidR="00000000" w:rsidRPr="00000000">
        <w:rPr>
          <w:rtl w:val="0"/>
        </w:rPr>
      </w:r>
    </w:p>
    <w:p w:rsidR="00000000" w:rsidDel="00000000" w:rsidP="00000000" w:rsidRDefault="00000000" w:rsidRPr="00000000" w14:paraId="0000000C">
      <w:pPr>
        <w:jc w:val="both"/>
        <w:rPr>
          <w:rFonts w:ascii="Source Sans 3" w:cs="Source Sans 3" w:eastAsia="Source Sans 3" w:hAnsi="Source Sans 3"/>
          <w:b w:val="1"/>
          <w:bCs w:val="1"/>
          <w:sz w:val="24"/>
          <w:szCs w:val="24"/>
        </w:rPr>
      </w:pPr>
      <w:r w:rsidDel="00000000" w:rsidR="00000000" w:rsidRPr="00000000">
        <w:rPr>
          <w:rtl w:val="0"/>
        </w:rPr>
      </w:r>
    </w:p>
    <w:p w:rsidR="00000000" w:rsidDel="00000000" w:rsidP="00000000" w:rsidRDefault="00000000" w:rsidRPr="00000000" w14:paraId="0000000D">
      <w:pPr>
        <w:jc w:val="both"/>
        <w:rPr>
          <w:rFonts w:ascii="Source Sans 3" w:cs="Source Sans 3" w:eastAsia="Source Sans 3" w:hAnsi="Source Sans 3"/>
          <w:b w:val="1"/>
          <w:bCs w:val="1"/>
          <w:sz w:val="24"/>
          <w:szCs w:val="24"/>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center"/>
        <w:rPr>
          <w:rFonts w:ascii="Source Sans 3" w:cs="Source Sans 3" w:eastAsia="Source Sans 3" w:hAnsi="Source Sans 3"/>
          <w:b w:val="1"/>
          <w:bCs w:val="1"/>
          <w:sz w:val="26"/>
          <w:szCs w:val="26"/>
        </w:rPr>
      </w:pPr>
      <w:r w:rsidDel="00000000" w:rsidR="00000000" w:rsidRPr="00000000">
        <w:rPr>
          <w:rFonts w:ascii="Source Sans 3" w:cs="Source Sans 3" w:eastAsia="Source Sans 3" w:hAnsi="Source Sans 3"/>
          <w:b w:val="1"/>
          <w:bCs w:val="1"/>
          <w:sz w:val="26"/>
          <w:szCs w:val="26"/>
          <w:rtl w:val="0"/>
        </w:rPr>
        <w:t xml:space="preserve">I. Introduction</w:t>
      </w:r>
    </w:p>
    <w:p w:rsidR="00000000" w:rsidDel="00000000" w:rsidP="00000000" w:rsidRDefault="00000000" w:rsidRPr="00000000" w14:paraId="00000016">
      <w:pPr>
        <w:numPr>
          <w:ilvl w:val="0"/>
          <w:numId w:val="1"/>
        </w:numPr>
        <w:spacing w:before="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In its concluding observations on Uruguay’s sixth periodic report, the Human Rights Committee (hereinafter, the Committee) expressed concern at the persistence of violence against women, girls and adolescents and at the difficulties in ensuring the effective implementation of Act No. 19.580.</w:t>
      </w:r>
      <w:r w:rsidDel="00000000" w:rsidR="00000000" w:rsidRPr="00000000">
        <w:rPr>
          <w:rFonts w:ascii="Source Sans 3" w:cs="Source Sans 3" w:eastAsia="Source Sans 3" w:hAnsi="Source Sans 3"/>
          <w:sz w:val="24"/>
          <w:szCs w:val="24"/>
          <w:vertAlign w:val="superscript"/>
        </w:rPr>
        <w:footnoteReference w:customMarkFollows="0" w:id="0"/>
      </w:r>
      <w:r w:rsidDel="00000000" w:rsidR="00000000" w:rsidRPr="00000000">
        <w:rPr>
          <w:rFonts w:ascii="Source Sans 3" w:cs="Source Sans 3" w:eastAsia="Source Sans 3" w:hAnsi="Source Sans 3"/>
          <w:sz w:val="24"/>
          <w:szCs w:val="24"/>
          <w:vertAlign w:val="superscript"/>
        </w:rPr>
        <w:footnoteReference w:customMarkFollows="0" w:id="1"/>
      </w:r>
      <w:r w:rsidDel="00000000" w:rsidR="00000000" w:rsidRPr="00000000">
        <w:rPr>
          <w:rFonts w:ascii="Source Sans 3" w:cs="Source Sans 3" w:eastAsia="Source Sans 3" w:hAnsi="Source Sans 3"/>
          <w:sz w:val="24"/>
          <w:szCs w:val="24"/>
          <w:rtl w:val="0"/>
        </w:rPr>
        <w:t xml:space="preserve"> The Committee highlighted shortcomings in the availability of resources, the training of practitioners, access to justice, the effective investigation of cases and the guarantee of comprehensive redress for victims.</w:t>
      </w:r>
    </w:p>
    <w:p w:rsidR="00000000" w:rsidDel="00000000" w:rsidP="00000000" w:rsidRDefault="00000000" w:rsidRPr="00000000" w14:paraId="00000017">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Within the framework of the follow-up procedure provided for in Article 75, paragraph 1, of its rules of procedure, the Committee requested information on the implementation of the recommendations it considered to be priorities. These included those contained in paragraphs 15 (violence against women and domestic violence) and 25 (access to justice, judicial independence and the right to a fair trial). Equality Now and </w:t>
      </w:r>
      <w:r w:rsidDel="00000000" w:rsidR="00000000" w:rsidRPr="00000000">
        <w:rPr>
          <w:rFonts w:ascii="Source Sans 3" w:cs="Source Sans 3" w:eastAsia="Source Sans 3" w:hAnsi="Source Sans 3"/>
          <w:sz w:val="24"/>
          <w:szCs w:val="24"/>
          <w:rtl w:val="0"/>
        </w:rPr>
        <w:t xml:space="preserve">Cladem</w:t>
      </w:r>
      <w:r w:rsidDel="00000000" w:rsidR="00000000" w:rsidRPr="00000000">
        <w:rPr>
          <w:rFonts w:ascii="Source Sans 3" w:cs="Source Sans 3" w:eastAsia="Source Sans 3" w:hAnsi="Source Sans 3"/>
          <w:sz w:val="24"/>
          <w:szCs w:val="24"/>
          <w:rtl w:val="0"/>
        </w:rPr>
        <w:t xml:space="preserve"> present this submission to provide the Committee with </w:t>
      </w:r>
      <w:r w:rsidDel="00000000" w:rsidR="00000000" w:rsidRPr="00000000">
        <w:rPr>
          <w:rFonts w:ascii="Source Sans 3" w:cs="Source Sans 3" w:eastAsia="Source Sans 3" w:hAnsi="Source Sans 3"/>
          <w:sz w:val="24"/>
          <w:szCs w:val="24"/>
          <w:rtl w:val="0"/>
        </w:rPr>
        <w:t xml:space="preserve">an </w:t>
      </w:r>
      <w:r w:rsidDel="00000000" w:rsidR="00000000" w:rsidRPr="00000000">
        <w:rPr>
          <w:rFonts w:ascii="Source Sans 3" w:cs="Source Sans 3" w:eastAsia="Source Sans 3" w:hAnsi="Source Sans 3"/>
          <w:sz w:val="24"/>
          <w:szCs w:val="24"/>
          <w:rtl w:val="0"/>
        </w:rPr>
        <w:t xml:space="preserve">analysis </w:t>
      </w:r>
      <w:r w:rsidDel="00000000" w:rsidR="00000000" w:rsidRPr="00000000">
        <w:rPr>
          <w:rFonts w:ascii="Source Sans 3" w:cs="Source Sans 3" w:eastAsia="Source Sans 3" w:hAnsi="Source Sans 3"/>
          <w:sz w:val="24"/>
          <w:szCs w:val="24"/>
          <w:rtl w:val="0"/>
        </w:rPr>
        <w:t xml:space="preserve">of</w:t>
      </w:r>
      <w:r w:rsidDel="00000000" w:rsidR="00000000" w:rsidRPr="00000000">
        <w:rPr>
          <w:rFonts w:ascii="Source Sans 3" w:cs="Source Sans 3" w:eastAsia="Source Sans 3" w:hAnsi="Source Sans 3"/>
          <w:sz w:val="24"/>
          <w:szCs w:val="24"/>
          <w:rtl w:val="0"/>
        </w:rPr>
        <w:t xml:space="preserve"> the level of implementation of the concluding observations in relation to the above focus areas. </w:t>
      </w:r>
    </w:p>
    <w:p w:rsidR="00000000" w:rsidDel="00000000" w:rsidP="00000000" w:rsidRDefault="00000000" w:rsidRPr="00000000" w14:paraId="00000018">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In this regard, in its follow-up report, the State highlighted progress in strengthening protection services, expanding inter-institutional coordination, creating specialised courts and public prosecutors’ offices, and implementing various measures aimed at improving access to justice for victims and survivors.</w:t>
      </w:r>
      <w:r w:rsidDel="00000000" w:rsidR="00000000" w:rsidRPr="00000000">
        <w:rPr>
          <w:rFonts w:ascii="Source Sans 3" w:cs="Source Sans 3" w:eastAsia="Source Sans 3" w:hAnsi="Source Sans 3"/>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19">
      <w:pPr>
        <w:numPr>
          <w:ilvl w:val="0"/>
          <w:numId w:val="1"/>
        </w:numPr>
        <w:spacing w:after="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Notwithstanding this progress, structural gaps remain that limit the effective implementation of the Committee’s recommendations. This report identifies the persistent challenges and sets out proposals aimed at strengthening the State’s response to violence against women, girls and adolescents.</w:t>
      </w:r>
    </w:p>
    <w:p w:rsidR="00000000" w:rsidDel="00000000" w:rsidP="00000000" w:rsidRDefault="00000000" w:rsidRPr="00000000" w14:paraId="0000001A">
      <w:pPr>
        <w:spacing w:after="240" w:before="240" w:lineRule="auto"/>
        <w:jc w:val="both"/>
        <w:rPr>
          <w:rFonts w:ascii="Source Sans 3" w:cs="Source Sans 3" w:eastAsia="Source Sans 3" w:hAnsi="Source Sans 3"/>
          <w:sz w:val="24"/>
          <w:szCs w:val="24"/>
        </w:rPr>
      </w:pPr>
      <w:r w:rsidDel="00000000" w:rsidR="00000000" w:rsidRPr="00000000">
        <w:rPr>
          <w:rtl w:val="0"/>
        </w:rPr>
      </w:r>
    </w:p>
    <w:p w:rsidR="00000000" w:rsidDel="00000000" w:rsidP="00000000" w:rsidRDefault="00000000" w:rsidRPr="00000000" w14:paraId="0000001B">
      <w:pPr>
        <w:spacing w:after="240" w:before="240" w:lineRule="auto"/>
        <w:jc w:val="both"/>
        <w:rPr>
          <w:rFonts w:ascii="Source Sans 3" w:cs="Source Sans 3" w:eastAsia="Source Sans 3" w:hAnsi="Source Sans 3"/>
          <w:sz w:val="24"/>
          <w:szCs w:val="24"/>
        </w:rPr>
      </w:pPr>
      <w:r w:rsidDel="00000000" w:rsidR="00000000" w:rsidRPr="00000000">
        <w:rPr>
          <w:rtl w:val="0"/>
        </w:rPr>
      </w:r>
    </w:p>
    <w:p w:rsidR="00000000" w:rsidDel="00000000" w:rsidP="00000000" w:rsidRDefault="00000000" w:rsidRPr="00000000" w14:paraId="0000001C">
      <w:pPr>
        <w:spacing w:after="240" w:before="240" w:lineRule="auto"/>
        <w:jc w:val="both"/>
        <w:rPr>
          <w:rFonts w:ascii="Source Sans 3" w:cs="Source Sans 3" w:eastAsia="Source Sans 3" w:hAnsi="Source Sans 3"/>
          <w:sz w:val="24"/>
          <w:szCs w:val="24"/>
        </w:rPr>
      </w:pPr>
      <w:r w:rsidDel="00000000" w:rsidR="00000000" w:rsidRPr="00000000">
        <w:rPr>
          <w:rtl w:val="0"/>
        </w:rPr>
      </w:r>
    </w:p>
    <w:p w:rsidR="00000000" w:rsidDel="00000000" w:rsidP="00000000" w:rsidRDefault="00000000" w:rsidRPr="00000000" w14:paraId="0000001D">
      <w:pPr>
        <w:spacing w:after="240" w:before="240" w:lineRule="auto"/>
        <w:jc w:val="both"/>
        <w:rPr>
          <w:rFonts w:ascii="Source Sans 3" w:cs="Source Sans 3" w:eastAsia="Source Sans 3" w:hAnsi="Source Sans 3"/>
          <w:sz w:val="24"/>
          <w:szCs w:val="24"/>
        </w:rPr>
      </w:pPr>
      <w:r w:rsidDel="00000000" w:rsidR="00000000" w:rsidRPr="00000000">
        <w:rPr>
          <w:rtl w:val="0"/>
        </w:rPr>
      </w:r>
    </w:p>
    <w:p w:rsidR="00000000" w:rsidDel="00000000" w:rsidP="00000000" w:rsidRDefault="00000000" w:rsidRPr="00000000" w14:paraId="0000001E">
      <w:pPr>
        <w:spacing w:after="240" w:before="240" w:lineRule="auto"/>
        <w:ind w:hanging="360"/>
        <w:jc w:val="center"/>
        <w:rPr>
          <w:rFonts w:ascii="Source Sans 3" w:cs="Source Sans 3" w:eastAsia="Source Sans 3" w:hAnsi="Source Sans 3"/>
          <w:b w:val="1"/>
          <w:bCs w:val="1"/>
          <w:color w:val="000000"/>
          <w:sz w:val="26"/>
          <w:szCs w:val="26"/>
        </w:rPr>
      </w:pPr>
      <w:r w:rsidDel="00000000" w:rsidR="00000000" w:rsidRPr="00000000">
        <w:rPr>
          <w:rFonts w:ascii="Source Sans 3" w:cs="Source Sans 3" w:eastAsia="Source Sans 3" w:hAnsi="Source Sans 3"/>
          <w:b w:val="1"/>
          <w:bCs w:val="1"/>
          <w:color w:val="000000"/>
          <w:sz w:val="26"/>
          <w:szCs w:val="26"/>
          <w:rtl w:val="0"/>
        </w:rPr>
        <w:t xml:space="preserve">II. Follow-up information</w:t>
      </w:r>
    </w:p>
    <w:p w:rsidR="00000000" w:rsidDel="00000000" w:rsidP="00000000" w:rsidRDefault="00000000" w:rsidRPr="00000000" w14:paraId="0000001F">
      <w:pPr>
        <w:pStyle w:val="Heading3"/>
        <w:keepNext w:val="0"/>
        <w:keepLines w:val="0"/>
        <w:spacing w:before="280" w:lineRule="auto"/>
        <w:ind w:hanging="360"/>
        <w:jc w:val="both"/>
        <w:rPr>
          <w:rFonts w:ascii="Source Sans 3" w:cs="Source Sans 3" w:eastAsia="Source Sans 3" w:hAnsi="Source Sans 3"/>
          <w:b w:val="1"/>
          <w:bCs w:val="1"/>
          <w:color w:val="000000"/>
          <w:sz w:val="22"/>
          <w:szCs w:val="22"/>
        </w:rPr>
      </w:pPr>
      <w:bookmarkStart w:colFirst="0" w:colLast="0" w:name="_heading=h.1k9d1jjx7kb6" w:id="0"/>
      <w:bookmarkEnd w:id="0"/>
      <w:r w:rsidDel="00000000" w:rsidR="00000000" w:rsidRPr="00000000">
        <w:rPr>
          <w:rFonts w:ascii="Source Sans 3" w:cs="Source Sans 3" w:eastAsia="Source Sans 3" w:hAnsi="Source Sans 3"/>
          <w:b w:val="1"/>
          <w:bCs w:val="1"/>
          <w:color w:val="000000"/>
          <w:sz w:val="24"/>
          <w:szCs w:val="24"/>
          <w:rtl w:val="0"/>
        </w:rPr>
        <w:t xml:space="preserve">II.a. Prevention, investigation and punishment of gender-based violence </w:t>
      </w:r>
      <w:r w:rsidDel="00000000" w:rsidR="00000000" w:rsidRPr="00000000">
        <w:rPr>
          <w:rtl w:val="0"/>
        </w:rPr>
      </w:r>
    </w:p>
    <w:p w:rsidR="00000000" w:rsidDel="00000000" w:rsidP="00000000" w:rsidRDefault="00000000" w:rsidRPr="00000000" w14:paraId="00000020">
      <w:pPr>
        <w:numPr>
          <w:ilvl w:val="0"/>
          <w:numId w:val="1"/>
        </w:numPr>
        <w:spacing w:before="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The scale of gender-based violence in Uruguay is alarming. According to the Second National Prevalence Survey on Gender-Based and Intergenerational Violence, 76.7 per cent of women aged 15 and over residing in the country reported having experienced, at some point in their lives, at least one instance of gender-based violence in any of the areas covered by the survey.</w:t>
      </w:r>
      <w:r w:rsidDel="00000000" w:rsidR="00000000" w:rsidRPr="00000000">
        <w:rPr>
          <w:rFonts w:ascii="Source Sans 3" w:cs="Source Sans 3" w:eastAsia="Source Sans 3" w:hAnsi="Source Sans 3"/>
          <w:sz w:val="24"/>
          <w:szCs w:val="24"/>
          <w:vertAlign w:val="superscript"/>
        </w:rPr>
        <w:footnoteReference w:customMarkFollows="0" w:id="3"/>
      </w:r>
      <w:r w:rsidDel="00000000" w:rsidR="00000000" w:rsidRPr="00000000">
        <w:rPr>
          <w:rFonts w:ascii="Source Sans 3" w:cs="Source Sans 3" w:eastAsia="Source Sans 3" w:hAnsi="Source Sans 3"/>
          <w:sz w:val="24"/>
          <w:szCs w:val="24"/>
          <w:rtl w:val="0"/>
        </w:rPr>
        <w:t xml:space="preserve"> Furthermore, reports of domestic violence exceed 40,000 per year, making this the second most commonly reported crime in the country, after theft.</w:t>
      </w:r>
      <w:r w:rsidDel="00000000" w:rsidR="00000000" w:rsidRPr="00000000">
        <w:rPr>
          <w:rFonts w:ascii="Source Sans 3" w:cs="Source Sans 3" w:eastAsia="Source Sans 3" w:hAnsi="Source Sans 3"/>
          <w:sz w:val="24"/>
          <w:szCs w:val="24"/>
          <w:vertAlign w:val="superscript"/>
        </w:rPr>
        <w:footnoteReference w:customMarkFollows="0" w:id="4"/>
      </w:r>
      <w:r w:rsidDel="00000000" w:rsidR="00000000" w:rsidRPr="00000000">
        <w:rPr>
          <w:rFonts w:ascii="Source Sans 3" w:cs="Source Sans 3" w:eastAsia="Source Sans 3" w:hAnsi="Source Sans 3"/>
          <w:sz w:val="24"/>
          <w:szCs w:val="24"/>
          <w:rtl w:val="0"/>
        </w:rPr>
        <w:t xml:space="preserve"> Similarly, UN Women’s recent </w:t>
      </w:r>
      <w:r w:rsidDel="00000000" w:rsidR="00000000" w:rsidRPr="00000000">
        <w:rPr>
          <w:rFonts w:ascii="Source Sans 3" w:cs="Source Sans 3" w:eastAsia="Source Sans 3" w:hAnsi="Source Sans 3"/>
          <w:i w:val="1"/>
          <w:iCs w:val="1"/>
          <w:sz w:val="24"/>
          <w:szCs w:val="24"/>
          <w:rtl w:val="0"/>
        </w:rPr>
        <w:t xml:space="preserve">‘Gender and Generations Profile of Uruguay’ </w:t>
      </w:r>
      <w:r w:rsidDel="00000000" w:rsidR="00000000" w:rsidRPr="00000000">
        <w:rPr>
          <w:rFonts w:ascii="Source Sans 3" w:cs="Source Sans 3" w:eastAsia="Source Sans 3" w:hAnsi="Source Sans 3"/>
          <w:sz w:val="24"/>
          <w:szCs w:val="24"/>
          <w:rtl w:val="0"/>
        </w:rPr>
        <w:t xml:space="preserve">identifies Target 5.2 of the Sustainable Development Goals, relating to the elimination of gender-based violence, as the one with the poorest performance in the country, highlighting the difficulties in preventing and eradicating this form of violence.</w:t>
      </w:r>
      <w:r w:rsidDel="00000000" w:rsidR="00000000" w:rsidRPr="00000000">
        <w:rPr>
          <w:rFonts w:ascii="Source Sans 3" w:cs="Source Sans 3" w:eastAsia="Source Sans 3" w:hAnsi="Source Sans 3"/>
          <w:sz w:val="24"/>
          <w:szCs w:val="24"/>
          <w:vertAlign w:val="superscript"/>
        </w:rPr>
        <w:footnoteReference w:customMarkFollows="0" w:id="5"/>
      </w:r>
      <w:r w:rsidDel="00000000" w:rsidR="00000000" w:rsidRPr="00000000">
        <w:rPr>
          <w:rFonts w:ascii="Source Sans 3" w:cs="Source Sans 3" w:eastAsia="Source Sans 3" w:hAnsi="Source Sans 3"/>
          <w:sz w:val="24"/>
          <w:szCs w:val="24"/>
          <w:rtl w:val="0"/>
        </w:rPr>
        <w:t xml:space="preserve">  </w:t>
      </w:r>
    </w:p>
    <w:p w:rsidR="00000000" w:rsidDel="00000000" w:rsidP="00000000" w:rsidRDefault="00000000" w:rsidRPr="00000000" w14:paraId="00000021">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Against this backdrop, significant structural shortcomings persist in the allocation of financial, technical and human resources intended to prevent, investigate and punish violence against women, girls and adolescents in Uruguay. The lack of political will to prioritise public policies in this area in the budget and the persistence of gender stereotypes in various spheres of the State continue to limit the capacity for an institutional response. </w:t>
      </w:r>
    </w:p>
    <w:p w:rsidR="00000000" w:rsidDel="00000000" w:rsidP="00000000" w:rsidRDefault="00000000" w:rsidRPr="00000000" w14:paraId="00000022">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Although the Office of the Attorney General has received increased funding in recent years, the implementation of Act No. 19,580 continues to face significant budgetary constraints. In the 2025–2029 budgetary process, the judiciary allocated nearly 30 per cent of its budget request to strengthening the response to gender-based violence, including the specialisation of services, their territorial expansion, the creation of posts and training with a gender perspective.</w:t>
      </w:r>
      <w:r w:rsidDel="00000000" w:rsidR="00000000" w:rsidRPr="00000000">
        <w:rPr>
          <w:rFonts w:ascii="Source Sans 3" w:cs="Source Sans 3" w:eastAsia="Source Sans 3" w:hAnsi="Source Sans 3"/>
          <w:sz w:val="24"/>
          <w:szCs w:val="24"/>
          <w:vertAlign w:val="superscript"/>
        </w:rPr>
        <w:footnoteReference w:customMarkFollows="0" w:id="6"/>
      </w:r>
      <w:r w:rsidDel="00000000" w:rsidR="00000000" w:rsidRPr="00000000">
        <w:rPr>
          <w:rFonts w:ascii="Source Sans 3" w:cs="Source Sans 3" w:eastAsia="Source Sans 3" w:hAnsi="Source Sans 3"/>
          <w:sz w:val="24"/>
          <w:szCs w:val="24"/>
          <w:rtl w:val="0"/>
        </w:rPr>
        <w:t xml:space="preserve"> However, Parliament approved only around 7 per cent of the resources requested for these purposes. Nor does the current budget include the resources required to take these measures forward, providing for only an annual allocation of $300,000 from 2027 onwards for training—an amount insufficient to meet the identified needs. </w:t>
      </w:r>
    </w:p>
    <w:p w:rsidR="00000000" w:rsidDel="00000000" w:rsidP="00000000" w:rsidRDefault="00000000" w:rsidRPr="00000000" w14:paraId="00000023">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These limitations are reflected in the insufficient coverage of specialised services, particularly outside the capital. Montevideo has 12 courts specialising in domestic and gender-based violence — with jurisdiction over civil matters — whilst only Rivera, Salto and Maldonado have courts specialising in sexual violence. Consequently, despite the provisions of Law No. 19.580, most of the country’s departments still lack this specialisation.</w:t>
      </w:r>
    </w:p>
    <w:p w:rsidR="00000000" w:rsidDel="00000000" w:rsidP="00000000" w:rsidRDefault="00000000" w:rsidRPr="00000000" w14:paraId="00000024">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Although the regulatory framework recognises victims’ right to access medical, psychological and social care, as well as counselling and housing support, the state’s response still fails to ensure adequate coverage for all forms of gender-based violence, in particular sexual violence</w:t>
      </w:r>
      <w:r w:rsidDel="00000000" w:rsidR="00000000" w:rsidRPr="00000000">
        <w:rPr>
          <w:rFonts w:ascii="Source Sans 3" w:cs="Source Sans 3" w:eastAsia="Source Sans 3" w:hAnsi="Source Sans 3"/>
          <w:sz w:val="24"/>
          <w:szCs w:val="24"/>
          <w:vertAlign w:val="superscript"/>
        </w:rPr>
        <w:footnoteReference w:customMarkFollows="0" w:id="7"/>
      </w:r>
      <w:r w:rsidDel="00000000" w:rsidR="00000000" w:rsidRPr="00000000">
        <w:rPr>
          <w:rFonts w:ascii="Source Sans 3" w:cs="Source Sans 3" w:eastAsia="Source Sans 3" w:hAnsi="Source Sans 3"/>
          <w:sz w:val="24"/>
          <w:szCs w:val="24"/>
          <w:rtl w:val="0"/>
        </w:rPr>
        <w:t xml:space="preserve">.</w:t>
      </w:r>
    </w:p>
    <w:p w:rsidR="00000000" w:rsidDel="00000000" w:rsidP="00000000" w:rsidRDefault="00000000" w:rsidRPr="00000000" w14:paraId="00000025">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In the field of investigation, obstacles remain due to the evidential difficulties inherent in these offences, unequal access to technical resources and the limited availability of information on forensic protocols. Traditional approaches to assessing evidence, aimed at questioning the credibility of victims, also persist. This is reflected in a persistent gap between the rise in reports of sexual offences and the proportion of cases that result in a conviction. Furthermore, there are continuing shortcomings in communication with survivors, who in many cases do not receive clear, timely and comprehensible information on the status and progress of their cases.</w:t>
      </w:r>
    </w:p>
    <w:p w:rsidR="00000000" w:rsidDel="00000000" w:rsidP="00000000" w:rsidRDefault="00000000" w:rsidRPr="00000000" w14:paraId="00000026">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The insufficient training of staff to conduct investigations from a gender perspective is reflected in the persistence of revictimising practices, such as requiring victims to provide their testimony on multiple occasions, despite the existence of procedural mechanisms such as advance statements. Similarly, difficulties continue to be encountered in the effective implementation of the protection measures provided for in Law No. 19.580, in particular those aimed at preventing contact between the victim and the perpetrator.</w:t>
      </w:r>
      <w:r w:rsidDel="00000000" w:rsidR="00000000" w:rsidRPr="00000000">
        <w:rPr>
          <w:rFonts w:ascii="Source Sans 3" w:cs="Source Sans 3" w:eastAsia="Source Sans 3" w:hAnsi="Source Sans 3"/>
          <w:sz w:val="24"/>
          <w:szCs w:val="24"/>
          <w:vertAlign w:val="superscript"/>
        </w:rPr>
        <w:footnoteReference w:customMarkFollows="0" w:id="8"/>
      </w:r>
      <w:r w:rsidDel="00000000" w:rsidR="00000000" w:rsidRPr="00000000">
        <w:rPr>
          <w:rFonts w:ascii="Source Sans 3" w:cs="Source Sans 3" w:eastAsia="Source Sans 3" w:hAnsi="Source Sans 3"/>
          <w:sz w:val="24"/>
          <w:szCs w:val="24"/>
          <w:rtl w:val="0"/>
        </w:rPr>
        <w:t xml:space="preserve"> </w:t>
      </w:r>
    </w:p>
    <w:p w:rsidR="00000000" w:rsidDel="00000000" w:rsidP="00000000" w:rsidRDefault="00000000" w:rsidRPr="00000000" w14:paraId="00000027">
      <w:pPr>
        <w:numPr>
          <w:ilvl w:val="0"/>
          <w:numId w:val="1"/>
        </w:numPr>
        <w:spacing w:after="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Furthermore, judicial delays, the persistence of stereotypes that undermine victims’ credibility, and the lack of sufficiently disaggregated data to assess the functioning of the justice system and identify regional gaps continue to undermine effective access to justice.</w:t>
      </w:r>
    </w:p>
    <w:p w:rsidR="00000000" w:rsidDel="00000000" w:rsidP="00000000" w:rsidRDefault="00000000" w:rsidRPr="00000000" w14:paraId="00000028">
      <w:pPr>
        <w:spacing w:after="240" w:before="240" w:lineRule="auto"/>
        <w:ind w:hanging="360"/>
        <w:jc w:val="both"/>
        <w:rPr>
          <w:rFonts w:ascii="Source Sans 3" w:cs="Source Sans 3" w:eastAsia="Source Sans 3" w:hAnsi="Source Sans 3"/>
          <w:b w:val="1"/>
          <w:bCs w:val="1"/>
        </w:rPr>
      </w:pPr>
      <w:r w:rsidDel="00000000" w:rsidR="00000000" w:rsidRPr="00000000">
        <w:rPr>
          <w:rFonts w:ascii="Source Sans 3" w:cs="Source Sans 3" w:eastAsia="Source Sans 3" w:hAnsi="Source Sans 3"/>
          <w:b w:val="1"/>
          <w:bCs w:val="1"/>
          <w:sz w:val="24"/>
          <w:szCs w:val="24"/>
          <w:rtl w:val="0"/>
        </w:rPr>
        <w:t xml:space="preserve">II.b. Legislative challenges regarding sexual violence</w:t>
      </w: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before="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The Uruguayan Criminal Code does not define sexual offences on the basis of the absence of consent, but rather on the use of violence or threats, or on circumstances in which the law presumes the existence of violence, which is incompatible with international human rights standards.</w:t>
      </w:r>
      <w:r w:rsidDel="00000000" w:rsidR="00000000" w:rsidRPr="00000000">
        <w:rPr>
          <w:rFonts w:ascii="Source Sans 3" w:cs="Source Sans 3" w:eastAsia="Source Sans 3" w:hAnsi="Source Sans 3"/>
          <w:sz w:val="24"/>
          <w:szCs w:val="24"/>
          <w:vertAlign w:val="superscript"/>
        </w:rPr>
        <w:footnoteReference w:customMarkFollows="0" w:id="9"/>
      </w:r>
      <w:r w:rsidDel="00000000" w:rsidR="00000000" w:rsidRPr="00000000">
        <w:rPr>
          <w:rFonts w:ascii="Source Sans 3" w:cs="Source Sans 3" w:eastAsia="Source Sans 3" w:hAnsi="Source Sans 3"/>
          <w:sz w:val="24"/>
          <w:szCs w:val="24"/>
          <w:rtl w:val="0"/>
        </w:rPr>
        <w:t xml:space="preserve"> Whilst Law No. 19.580 incorporates the concept of consent, it does so solely as a rule for the assessment of evidence and the protection of victims, establishing that silence, a lack of resistance or the victim’s sexual history cannot be interpreted as indications of consent. Consequently, consent does not yet constitute the central element of the definitions under criminal law.</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Furthermore, the statute of limitations applicable to sexual offences continues to constitute an obstacle to access to justice, as many victims may take years to come forward due to having experienced trauma or fear. As a result, these time limits can prevent adequate and effective investigation and punishment of those responsible, thereby fostering situations of impunity.</w:t>
      </w:r>
      <w:r w:rsidDel="00000000" w:rsidR="00000000" w:rsidRPr="00000000">
        <w:rPr>
          <w:rFonts w:ascii="Source Sans 3" w:cs="Source Sans 3" w:eastAsia="Source Sans 3" w:hAnsi="Source Sans 3"/>
          <w:sz w:val="24"/>
          <w:szCs w:val="24"/>
          <w:vertAlign w:val="superscript"/>
        </w:rPr>
        <w:footnoteReference w:customMarkFollows="0" w:id="10"/>
      </w:r>
      <w:r w:rsidDel="00000000" w:rsidR="00000000" w:rsidRPr="00000000">
        <w:rPr>
          <w:rFonts w:ascii="Source Sans 3" w:cs="Source Sans 3" w:eastAsia="Source Sans 3" w:hAnsi="Source Sans 3"/>
          <w:sz w:val="24"/>
          <w:szCs w:val="24"/>
          <w:rtl w:val="0"/>
        </w:rPr>
        <w:t xml:space="preserve"> </w:t>
      </w:r>
    </w:p>
    <w:p w:rsidR="00000000" w:rsidDel="00000000" w:rsidP="00000000" w:rsidRDefault="00000000" w:rsidRPr="00000000" w14:paraId="0000002B">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In recent years, Law No. 19.580 has been the subject of various regressive reform initiatives, driven by a growing backlash against progress in the recognition of women’s rights and protection against gender-based violence. These proposals, tabled during 2024 and early 2025, sought to amend substantive aspects of the law on the basis of arguments that question its legitimacy, characterise it as a law that favours women, or cite false allegations as grounds for lowering its standards of protection. These initiatives were viewed critically by the Committee of Experts of the Follow-up Mechanism for the Inter-American Convention on the Prevention, Punishment and Eradication of Violence against Women (MESECVI), which called for regressive proposals to be rejected, debates based on misinformation to be avoided and, instead, the effective implementation of Law No. 19.580 to be strengthened, through adequate budgetary resources.</w:t>
      </w:r>
      <w:r w:rsidDel="00000000" w:rsidR="00000000" w:rsidRPr="00000000">
        <w:rPr>
          <w:rFonts w:ascii="Source Sans 3" w:cs="Source Sans 3" w:eastAsia="Source Sans 3" w:hAnsi="Source Sans 3"/>
          <w:sz w:val="24"/>
          <w:szCs w:val="24"/>
          <w:vertAlign w:val="superscript"/>
        </w:rPr>
        <w:footnoteReference w:customMarkFollows="0" w:id="11"/>
      </w:r>
      <w:r w:rsidDel="00000000" w:rsidR="00000000" w:rsidRPr="00000000">
        <w:rPr>
          <w:rFonts w:ascii="Source Sans 3" w:cs="Source Sans 3" w:eastAsia="Source Sans 3" w:hAnsi="Source Sans 3"/>
          <w:sz w:val="24"/>
          <w:szCs w:val="24"/>
          <w:rtl w:val="0"/>
        </w:rPr>
        <w:t xml:space="preserve">  </w:t>
      </w:r>
    </w:p>
    <w:p w:rsidR="00000000" w:rsidDel="00000000" w:rsidP="00000000" w:rsidRDefault="00000000" w:rsidRPr="00000000" w14:paraId="0000002C">
      <w:pPr>
        <w:numPr>
          <w:ilvl w:val="0"/>
          <w:numId w:val="1"/>
        </w:numPr>
        <w:spacing w:after="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Furthermore, in 2023, an aggravating circumstance was incorporated into the Criminal Code for the offence of falsely reporting a crime when the false allegation relates to acts of gender-based violence.</w:t>
      </w:r>
      <w:r w:rsidDel="00000000" w:rsidR="00000000" w:rsidRPr="00000000">
        <w:rPr>
          <w:rFonts w:ascii="Source Sans 3" w:cs="Source Sans 3" w:eastAsia="Source Sans 3" w:hAnsi="Source Sans 3"/>
          <w:sz w:val="24"/>
          <w:szCs w:val="24"/>
          <w:vertAlign w:val="superscript"/>
        </w:rPr>
        <w:footnoteReference w:customMarkFollows="0" w:id="12"/>
      </w:r>
      <w:r w:rsidDel="00000000" w:rsidR="00000000" w:rsidRPr="00000000">
        <w:rPr>
          <w:rFonts w:ascii="Source Sans 3" w:cs="Source Sans 3" w:eastAsia="Source Sans 3" w:hAnsi="Source Sans 3"/>
          <w:sz w:val="24"/>
          <w:szCs w:val="24"/>
          <w:rtl w:val="0"/>
        </w:rPr>
        <w:t xml:space="preserve"> Whilst falsely reporting a crime was already criminalised, this reform introduced harsher penalties for such cases against a backdrop of the growing spread of narratives surrounding so-called ‘false allegations’. This amendment lacks </w:t>
      </w:r>
      <w:r w:rsidDel="00000000" w:rsidR="00000000" w:rsidRPr="00000000">
        <w:rPr>
          <w:rFonts w:ascii="Source Sans 3" w:cs="Source Sans 3" w:eastAsia="Source Sans 3" w:hAnsi="Source Sans 3"/>
          <w:sz w:val="24"/>
          <w:szCs w:val="24"/>
          <w:rtl w:val="0"/>
        </w:rPr>
        <w:t xml:space="preserve">an </w:t>
      </w:r>
      <w:r w:rsidDel="00000000" w:rsidR="00000000" w:rsidRPr="00000000">
        <w:rPr>
          <w:rFonts w:ascii="Source Sans 3" w:cs="Source Sans 3" w:eastAsia="Source Sans 3" w:hAnsi="Source Sans 3"/>
          <w:sz w:val="24"/>
          <w:szCs w:val="24"/>
          <w:rtl w:val="0"/>
        </w:rPr>
        <w:t xml:space="preserve">empirical basis and may discourage the reporting of acts of violence by reinforcing discourses that question the credibility of victims.</w:t>
      </w:r>
      <w:r w:rsidDel="00000000" w:rsidR="00000000" w:rsidRPr="00000000">
        <w:rPr>
          <w:rFonts w:ascii="Source Sans 3" w:cs="Source Sans 3" w:eastAsia="Source Sans 3" w:hAnsi="Source Sans 3"/>
          <w:sz w:val="24"/>
          <w:szCs w:val="24"/>
          <w:vertAlign w:val="superscript"/>
        </w:rPr>
        <w:footnoteReference w:customMarkFollows="0" w:id="13"/>
      </w:r>
      <w:r w:rsidDel="00000000" w:rsidR="00000000" w:rsidRPr="00000000">
        <w:rPr>
          <w:rFonts w:ascii="Source Sans 3" w:cs="Source Sans 3" w:eastAsia="Source Sans 3" w:hAnsi="Source Sans 3"/>
          <w:sz w:val="24"/>
          <w:szCs w:val="24"/>
          <w:rtl w:val="0"/>
        </w:rPr>
        <w:t xml:space="preserve">  </w:t>
      </w:r>
    </w:p>
    <w:p w:rsidR="00000000" w:rsidDel="00000000" w:rsidP="00000000" w:rsidRDefault="00000000" w:rsidRPr="00000000" w14:paraId="0000002D">
      <w:pPr>
        <w:spacing w:after="240" w:before="240" w:lineRule="auto"/>
        <w:ind w:hanging="360"/>
        <w:rPr>
          <w:rFonts w:ascii="Source Sans 3" w:cs="Source Sans 3" w:eastAsia="Source Sans 3" w:hAnsi="Source Sans 3"/>
          <w:b w:val="1"/>
          <w:bCs w:val="1"/>
          <w:color w:val="000000"/>
        </w:rPr>
      </w:pPr>
      <w:r w:rsidDel="00000000" w:rsidR="00000000" w:rsidRPr="00000000">
        <w:rPr>
          <w:rFonts w:ascii="Source Sans 3" w:cs="Source Sans 3" w:eastAsia="Source Sans 3" w:hAnsi="Source Sans 3"/>
          <w:b w:val="1"/>
          <w:bCs w:val="1"/>
          <w:sz w:val="24"/>
          <w:szCs w:val="24"/>
          <w:rtl w:val="0"/>
        </w:rPr>
        <w:t xml:space="preserve">II.c. Sexual violence against children and adolescents</w:t>
      </w:r>
      <w:r w:rsidDel="00000000" w:rsidR="00000000" w:rsidRPr="00000000">
        <w:rPr>
          <w:rtl w:val="0"/>
        </w:rPr>
      </w:r>
    </w:p>
    <w:p w:rsidR="00000000" w:rsidDel="00000000" w:rsidP="00000000" w:rsidRDefault="00000000" w:rsidRPr="00000000" w14:paraId="0000002E">
      <w:pPr>
        <w:pStyle w:val="Heading3"/>
        <w:keepNext w:val="0"/>
        <w:keepLines w:val="0"/>
        <w:numPr>
          <w:ilvl w:val="0"/>
          <w:numId w:val="1"/>
        </w:numPr>
        <w:spacing w:after="0" w:before="240" w:lineRule="auto"/>
        <w:ind w:left="0" w:hanging="360"/>
        <w:jc w:val="both"/>
        <w:rPr>
          <w:rFonts w:ascii="Source Sans 3" w:cs="Source Sans 3" w:eastAsia="Source Sans 3" w:hAnsi="Source Sans 3"/>
          <w:color w:val="000000"/>
          <w:sz w:val="24"/>
          <w:szCs w:val="24"/>
        </w:rPr>
      </w:pPr>
      <w:bookmarkStart w:colFirst="0" w:colLast="0" w:name="_heading=h.qxt67rjlzkri" w:id="1"/>
      <w:bookmarkEnd w:id="1"/>
      <w:r w:rsidDel="00000000" w:rsidR="00000000" w:rsidRPr="00000000">
        <w:rPr>
          <w:rFonts w:ascii="Source Sans 3" w:cs="Source Sans 3" w:eastAsia="Source Sans 3" w:hAnsi="Source Sans 3"/>
          <w:color w:val="000000"/>
          <w:sz w:val="24"/>
          <w:szCs w:val="24"/>
          <w:rtl w:val="0"/>
        </w:rPr>
        <w:t xml:space="preserve">The Committee’s observations highlight the need to strengthen protection against sexual violence and exploitation of children and adolescents. Although progress has been made in detecting and raising awareness of these offences, as well as in developing specialised protocols and enhancing institutional coordination with a rights-based approach, a low proportion of cases still reach the courts or result in convictions. This highlights weaknesses in investigation and criminal prosecution, exacerbated by the lack of disaggregated data that would allow for a comprehensive assessment of the State’s response.</w:t>
      </w:r>
      <w:r w:rsidDel="00000000" w:rsidR="00000000" w:rsidRPr="00000000">
        <w:rPr>
          <w:rFonts w:ascii="Source Sans 3" w:cs="Source Sans 3" w:eastAsia="Source Sans 3" w:hAnsi="Source Sans 3"/>
          <w:color w:val="000000"/>
          <w:sz w:val="24"/>
          <w:szCs w:val="24"/>
          <w:vertAlign w:val="superscript"/>
        </w:rPr>
        <w:footnoteReference w:customMarkFollows="0" w:id="14"/>
      </w:r>
      <w:r w:rsidDel="00000000" w:rsidR="00000000" w:rsidRPr="00000000">
        <w:rPr>
          <w:rFonts w:ascii="Source Sans 3" w:cs="Source Sans 3" w:eastAsia="Source Sans 3" w:hAnsi="Source Sans 3"/>
          <w:color w:val="000000"/>
          <w:sz w:val="24"/>
          <w:szCs w:val="24"/>
          <w:rtl w:val="0"/>
        </w:rPr>
        <w:t xml:space="preserve">   </w:t>
      </w:r>
    </w:p>
    <w:p w:rsidR="00000000" w:rsidDel="00000000" w:rsidP="00000000" w:rsidRDefault="00000000" w:rsidRPr="00000000" w14:paraId="0000002F">
      <w:pPr>
        <w:pStyle w:val="Heading3"/>
        <w:keepNext w:val="0"/>
        <w:keepLines w:val="0"/>
        <w:numPr>
          <w:ilvl w:val="0"/>
          <w:numId w:val="1"/>
        </w:numPr>
        <w:spacing w:after="0" w:before="0" w:lineRule="auto"/>
        <w:ind w:left="0" w:hanging="360"/>
        <w:jc w:val="both"/>
        <w:rPr>
          <w:rFonts w:ascii="Source Sans 3" w:cs="Source Sans 3" w:eastAsia="Source Sans 3" w:hAnsi="Source Sans 3"/>
          <w:color w:val="000000"/>
          <w:sz w:val="24"/>
          <w:szCs w:val="24"/>
        </w:rPr>
      </w:pPr>
      <w:bookmarkStart w:colFirst="0" w:colLast="0" w:name="_heading=h.un96w4blitm6" w:id="2"/>
      <w:bookmarkEnd w:id="2"/>
      <w:r w:rsidDel="00000000" w:rsidR="00000000" w:rsidRPr="00000000">
        <w:rPr>
          <w:rFonts w:ascii="Source Sans 3" w:cs="Source Sans 3" w:eastAsia="Source Sans 3" w:hAnsi="Source Sans 3"/>
          <w:color w:val="000000"/>
          <w:sz w:val="24"/>
          <w:szCs w:val="24"/>
          <w:rtl w:val="0"/>
        </w:rPr>
        <w:t xml:space="preserve">Cultural and institutional barriers have also been identified, such as sexist and gender-based stereotypes, a shortage of specialised staff and an adult-centred approach that limits the effective participation of children and adolescents in the processes that affect them. </w:t>
      </w:r>
    </w:p>
    <w:p w:rsidR="00000000" w:rsidDel="00000000" w:rsidP="00000000" w:rsidRDefault="00000000" w:rsidRPr="00000000" w14:paraId="00000030">
      <w:pPr>
        <w:pStyle w:val="Heading3"/>
        <w:keepNext w:val="0"/>
        <w:keepLines w:val="0"/>
        <w:numPr>
          <w:ilvl w:val="0"/>
          <w:numId w:val="1"/>
        </w:numPr>
        <w:spacing w:after="240" w:before="0" w:lineRule="auto"/>
        <w:ind w:left="0" w:hanging="360"/>
        <w:jc w:val="both"/>
        <w:rPr>
          <w:rFonts w:ascii="Source Sans 3" w:cs="Source Sans 3" w:eastAsia="Source Sans 3" w:hAnsi="Source Sans 3"/>
          <w:color w:val="000000"/>
          <w:sz w:val="24"/>
          <w:szCs w:val="24"/>
        </w:rPr>
      </w:pPr>
      <w:bookmarkStart w:colFirst="0" w:colLast="0" w:name="_heading=h.wp2ijj90asyq" w:id="3"/>
      <w:bookmarkEnd w:id="3"/>
      <w:r w:rsidDel="00000000" w:rsidR="00000000" w:rsidRPr="00000000">
        <w:rPr>
          <w:rFonts w:ascii="Source Sans 3" w:cs="Source Sans 3" w:eastAsia="Source Sans 3" w:hAnsi="Source Sans 3"/>
          <w:color w:val="000000"/>
          <w:sz w:val="24"/>
          <w:szCs w:val="24"/>
          <w:rtl w:val="0"/>
        </w:rPr>
        <w:t xml:space="preserve">Revictimising practices and shortcomings in the conditions of care are also noted, such as implementing protective approaches that restrict progressive autonomy, and a lack of information on resources, such as Gesell chambers at national level. </w:t>
      </w:r>
    </w:p>
    <w:p w:rsidR="00000000" w:rsidDel="00000000" w:rsidP="00000000" w:rsidRDefault="00000000" w:rsidRPr="00000000" w14:paraId="00000031">
      <w:pPr>
        <w:pStyle w:val="Heading3"/>
        <w:keepNext w:val="0"/>
        <w:keepLines w:val="0"/>
        <w:spacing w:before="280" w:lineRule="auto"/>
        <w:ind w:hanging="360"/>
        <w:jc w:val="both"/>
        <w:rPr>
          <w:rFonts w:ascii="Source Sans 3" w:cs="Source Sans 3" w:eastAsia="Source Sans 3" w:hAnsi="Source Sans 3"/>
          <w:b w:val="1"/>
          <w:bCs w:val="1"/>
          <w:color w:val="000000"/>
          <w:sz w:val="22"/>
          <w:szCs w:val="22"/>
        </w:rPr>
      </w:pPr>
      <w:bookmarkStart w:colFirst="0" w:colLast="0" w:name="_heading=h.w6n0ws6zqehm" w:id="4"/>
      <w:bookmarkEnd w:id="4"/>
      <w:r w:rsidDel="00000000" w:rsidR="00000000" w:rsidRPr="00000000">
        <w:rPr>
          <w:rFonts w:ascii="Source Sans 3" w:cs="Source Sans 3" w:eastAsia="Source Sans 3" w:hAnsi="Source Sans 3"/>
          <w:b w:val="1"/>
          <w:bCs w:val="1"/>
          <w:color w:val="000000"/>
          <w:sz w:val="24"/>
          <w:szCs w:val="24"/>
          <w:rtl w:val="0"/>
        </w:rPr>
        <w:t xml:space="preserve">II.d. Monitoring system </w:t>
      </w:r>
      <w:r w:rsidDel="00000000" w:rsidR="00000000" w:rsidRPr="00000000">
        <w:rPr>
          <w:rtl w:val="0"/>
        </w:rPr>
      </w:r>
    </w:p>
    <w:p w:rsidR="00000000" w:rsidDel="00000000" w:rsidP="00000000" w:rsidRDefault="00000000" w:rsidRPr="00000000" w14:paraId="00000032">
      <w:pPr>
        <w:numPr>
          <w:ilvl w:val="0"/>
          <w:numId w:val="1"/>
        </w:numPr>
        <w:spacing w:before="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In its concluding observations, the Committee emphasised the importance of having adequate information to assess </w:t>
      </w:r>
      <w:r w:rsidDel="00000000" w:rsidR="00000000" w:rsidRPr="00000000">
        <w:rPr>
          <w:rFonts w:ascii="Source Sans 3" w:cs="Source Sans 3" w:eastAsia="Source Sans 3" w:hAnsi="Source Sans 3"/>
          <w:sz w:val="24"/>
          <w:szCs w:val="24"/>
          <w:rtl w:val="0"/>
        </w:rPr>
        <w:t xml:space="preserve">the State's compliance with its obligations</w:t>
      </w:r>
      <w:r w:rsidDel="00000000" w:rsidR="00000000" w:rsidRPr="00000000">
        <w:rPr>
          <w:rFonts w:ascii="Source Sans 3" w:cs="Source Sans 3" w:eastAsia="Source Sans 3" w:hAnsi="Source Sans 3"/>
          <w:sz w:val="24"/>
          <w:szCs w:val="24"/>
          <w:rtl w:val="0"/>
        </w:rPr>
        <w:t xml:space="preserve">. Uruguay has made some progress in the collection and systematisation of data on gender-based violence, particularly through the records of the Comprehensive System for the Protection of Children and Adolescents against Violence (SIPIAV), the Uruguayan Institute for Children and Adolescents (INAU),</w:t>
      </w:r>
      <w:r w:rsidDel="00000000" w:rsidR="00000000" w:rsidRPr="00000000">
        <w:rPr>
          <w:rFonts w:ascii="Source Sans 3" w:cs="Source Sans 3" w:eastAsia="Source Sans 3" w:hAnsi="Source Sans 3"/>
          <w:sz w:val="24"/>
          <w:szCs w:val="24"/>
          <w:vertAlign w:val="superscript"/>
        </w:rPr>
        <w:footnoteReference w:customMarkFollows="0" w:id="15"/>
      </w:r>
      <w:r w:rsidDel="00000000" w:rsidR="00000000" w:rsidRPr="00000000">
        <w:rPr>
          <w:rFonts w:ascii="Source Sans 3" w:cs="Source Sans 3" w:eastAsia="Source Sans 3" w:hAnsi="Source Sans 3"/>
          <w:sz w:val="24"/>
          <w:szCs w:val="24"/>
          <w:rtl w:val="0"/>
        </w:rPr>
        <w:t xml:space="preserve"> the Ministry of the Interior</w:t>
      </w:r>
      <w:r w:rsidDel="00000000" w:rsidR="00000000" w:rsidRPr="00000000">
        <w:rPr>
          <w:rFonts w:ascii="Source Sans 3" w:cs="Source Sans 3" w:eastAsia="Source Sans 3" w:hAnsi="Source Sans 3"/>
          <w:sz w:val="24"/>
          <w:szCs w:val="24"/>
          <w:vertAlign w:val="superscript"/>
        </w:rPr>
        <w:footnoteReference w:customMarkFollows="0" w:id="16"/>
      </w:r>
      <w:r w:rsidDel="00000000" w:rsidR="00000000" w:rsidRPr="00000000">
        <w:rPr>
          <w:rFonts w:ascii="Source Sans 3" w:cs="Source Sans 3" w:eastAsia="Source Sans 3" w:hAnsi="Source Sans 3"/>
          <w:sz w:val="24"/>
          <w:szCs w:val="24"/>
          <w:rtl w:val="0"/>
        </w:rPr>
        <w:t xml:space="preserve"> and the Office of the Attorney General.</w:t>
      </w:r>
    </w:p>
    <w:p w:rsidR="00000000" w:rsidDel="00000000" w:rsidP="00000000" w:rsidRDefault="00000000" w:rsidRPr="00000000" w14:paraId="00000033">
      <w:pPr>
        <w:numPr>
          <w:ilvl w:val="0"/>
          <w:numId w:val="1"/>
        </w:numP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However, significant gaps remain in the disaggregation of data and the traceability of cases. There are no publicly available data indicating the number of charges brought or convictions according to the age of the victims. The figures come from various sources and, whilst they illustrate the scale of sexual violence, they do not allow for a comparison between reports and charges brought and/or convictions.  Furthermore, there are no integrated systems that allow the full journey of a complaint to be tracked from its submission through to a potential conviction or redress. Nor is there sufficient information available on the specific situation of people of African descent, people with disabilities or the LGBTIQ+ community, nor are there indicators to assess the effective reduction of revictimisation during investigations and legal proceedings.</w:t>
      </w:r>
    </w:p>
    <w:p w:rsidR="00000000" w:rsidDel="00000000" w:rsidP="00000000" w:rsidRDefault="00000000" w:rsidRPr="00000000" w14:paraId="00000034">
      <w:pPr>
        <w:numPr>
          <w:ilvl w:val="0"/>
          <w:numId w:val="1"/>
        </w:numPr>
        <w:spacing w:after="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These obstacles stem mainly due to institutional fragmentation, the lack of common data collection methodologies, and technical and budgetary constraints on developing more robust and comparable statistical systems.</w:t>
      </w:r>
    </w:p>
    <w:p w:rsidR="00000000" w:rsidDel="00000000" w:rsidP="00000000" w:rsidRDefault="00000000" w:rsidRPr="00000000" w14:paraId="00000035">
      <w:pPr>
        <w:spacing w:after="240" w:before="240" w:lineRule="auto"/>
        <w:ind w:hanging="360"/>
        <w:jc w:val="center"/>
        <w:rPr>
          <w:rFonts w:ascii="Source Sans 3" w:cs="Source Sans 3" w:eastAsia="Source Sans 3" w:hAnsi="Source Sans 3"/>
          <w:b w:val="1"/>
          <w:bCs w:val="1"/>
          <w:sz w:val="26"/>
          <w:szCs w:val="26"/>
        </w:rPr>
      </w:pPr>
      <w:r w:rsidDel="00000000" w:rsidR="00000000" w:rsidRPr="00000000">
        <w:rPr>
          <w:rtl w:val="0"/>
        </w:rPr>
      </w:r>
    </w:p>
    <w:p w:rsidR="00000000" w:rsidDel="00000000" w:rsidP="00000000" w:rsidRDefault="00000000" w:rsidRPr="00000000" w14:paraId="00000036">
      <w:pPr>
        <w:spacing w:after="240" w:before="240" w:lineRule="auto"/>
        <w:ind w:hanging="360"/>
        <w:jc w:val="center"/>
        <w:rPr>
          <w:rFonts w:ascii="Source Sans 3" w:cs="Source Sans 3" w:eastAsia="Source Sans 3" w:hAnsi="Source Sans 3"/>
          <w:b w:val="1"/>
          <w:bCs w:val="1"/>
          <w:sz w:val="26"/>
          <w:szCs w:val="26"/>
        </w:rPr>
      </w:pPr>
      <w:r w:rsidDel="00000000" w:rsidR="00000000" w:rsidRPr="00000000">
        <w:rPr>
          <w:rFonts w:ascii="Source Sans 3" w:cs="Source Sans 3" w:eastAsia="Source Sans 3" w:hAnsi="Source Sans 3"/>
          <w:b w:val="1"/>
          <w:bCs w:val="1"/>
          <w:sz w:val="26"/>
          <w:szCs w:val="26"/>
          <w:rtl w:val="0"/>
        </w:rPr>
        <w:t xml:space="preserve">III. Recommendations </w:t>
      </w:r>
    </w:p>
    <w:p w:rsidR="00000000" w:rsidDel="00000000" w:rsidP="00000000" w:rsidRDefault="00000000" w:rsidRPr="00000000" w14:paraId="00000037">
      <w:pPr>
        <w:ind w:hanging="360"/>
        <w:rPr>
          <w:rFonts w:ascii="Source Sans 3" w:cs="Source Sans 3" w:eastAsia="Source Sans 3" w:hAnsi="Source Sans 3"/>
          <w:b w:val="1"/>
          <w:bCs w:val="1"/>
          <w:sz w:val="24"/>
          <w:szCs w:val="24"/>
        </w:rPr>
      </w:pPr>
      <w:r w:rsidDel="00000000" w:rsidR="00000000" w:rsidRPr="00000000">
        <w:rPr>
          <w:rFonts w:ascii="Source Sans 3" w:cs="Source Sans 3" w:eastAsia="Source Sans 3" w:hAnsi="Source Sans 3"/>
          <w:b w:val="1"/>
          <w:bCs w:val="1"/>
          <w:sz w:val="24"/>
          <w:szCs w:val="24"/>
          <w:rtl w:val="0"/>
        </w:rPr>
        <w:t xml:space="preserve">III.a. Regulatory framework</w:t>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pacing w:before="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Reform criminal legislation on sexual offences to incorporate the absence of consent as a central element, to recognise sexual freedom and bodily autonomy as protected legal rights, and to bring the structure of the Criminal Code into line with international human rights standards.</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Abolish the statute of limitations for sexual offences where the victims are children or adolescents, in accordance with international human rights standards.</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R</w:t>
      </w:r>
      <w:r w:rsidDel="00000000" w:rsidR="00000000" w:rsidRPr="00000000">
        <w:rPr>
          <w:rFonts w:ascii="Source Sans 3" w:cs="Source Sans 3" w:eastAsia="Source Sans 3" w:hAnsi="Source Sans 3"/>
          <w:sz w:val="24"/>
          <w:szCs w:val="24"/>
          <w:rtl w:val="0"/>
        </w:rPr>
        <w:t xml:space="preserve">efrain from promoting or adopting legislative reforms that would constitute a setback to the rights and guarantees recognised by Law No. 19.580.</w:t>
      </w:r>
      <w:r w:rsidDel="00000000" w:rsidR="00000000" w:rsidRPr="00000000">
        <w:rPr>
          <w:rFonts w:ascii="Source Sans 3" w:cs="Source Sans 3" w:eastAsia="Source Sans 3" w:hAnsi="Source Sans 3"/>
          <w:sz w:val="24"/>
          <w:szCs w:val="24"/>
          <w:rtl w:val="0"/>
        </w:rPr>
        <w:t xml:space="preserve"> </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Apply an evidence-based assessment to all legislative reform processes relating to sexual violence, in line with the State’s international human rights obligations.</w:t>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Strengthen institutional and budgetary commitments to the effective implementation of Law No. 19.580, by guaranteeing sufficient human, technical and financial resources; expanding the coverage of specialised services and bodies, particularly outside Montevideo; and ensuring that protection and support services address all forms of gender-based violence, particularly sexual violence. </w:t>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pacing w:after="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Review Article 179 bis of the Criminal Code to assess its compatibility with the State’s international obligations regarding access to justice and ensure that the legislation does not reinforce narratives that might discourage the reporting of acts of gender-based violence, nor undermine victims’ trust in the justice system.</w:t>
      </w:r>
    </w:p>
    <w:p w:rsidR="00000000" w:rsidDel="00000000" w:rsidP="00000000" w:rsidRDefault="00000000" w:rsidRPr="00000000" w14:paraId="0000003E">
      <w:pPr>
        <w:ind w:hanging="360"/>
        <w:rPr>
          <w:rFonts w:ascii="Source Sans 3" w:cs="Source Sans 3" w:eastAsia="Source Sans 3" w:hAnsi="Source Sans 3"/>
          <w:sz w:val="24"/>
          <w:szCs w:val="24"/>
        </w:rPr>
      </w:pPr>
      <w:r w:rsidDel="00000000" w:rsidR="00000000" w:rsidRPr="00000000">
        <w:rPr>
          <w:rFonts w:ascii="Source Sans 3" w:cs="Source Sans 3" w:eastAsia="Source Sans 3" w:hAnsi="Source Sans 3"/>
          <w:b w:val="1"/>
          <w:bCs w:val="1"/>
          <w:sz w:val="24"/>
          <w:szCs w:val="24"/>
          <w:rtl w:val="0"/>
        </w:rPr>
        <w:t xml:space="preserve">III.b. Due diligence, training and information systems</w:t>
      </w:r>
      <w:r w:rsidDel="00000000" w:rsidR="00000000" w:rsidRPr="00000000">
        <w:rPr>
          <w:rtl w:val="0"/>
        </w:rPr>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spacing w:before="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Ensure diligent and effective investigations into offences of sexual violence through the proper collection, preservation, documentation and traceability of evidence, the adequate recording of the chain of custody, and the effective and uniform application of operational protocols. </w:t>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Strengthen inter-institutional coordination through oversight, monitoring and evaluation mechanisms that ensure timely, consistent and victim-centred responses.</w:t>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Ensure equitable access to justice throughout the country by strengthening technical resources and forensic capabilities.</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Strengthen communication with and support for victims throughout the process, ensuring that information is accessible. </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Reduce institutional fragmentation and delays in service delivery by promoting coordinated procedures that minimise revictimisation and ensure a comprehensive response to victims. </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Strengthen compulsory and ongoing training for all justice system practitioners, aimed at preventing revictimisation and ensuring a gender-sensitive, human rights-based and intersectional approach.</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pacing w:after="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Develop integrated and interoperable information systems that enable comprehensive case monitoring, the production of disaggregated data, and the evaluation of the impact of public policies.</w:t>
      </w:r>
    </w:p>
    <w:p w:rsidR="00000000" w:rsidDel="00000000" w:rsidP="00000000" w:rsidRDefault="00000000" w:rsidRPr="00000000" w14:paraId="00000046">
      <w:pPr>
        <w:pBdr>
          <w:top w:space="0" w:sz="0" w:val="nil"/>
          <w:left w:space="0" w:sz="0" w:val="nil"/>
          <w:bottom w:space="0" w:sz="0" w:val="nil"/>
          <w:right w:space="0" w:sz="0" w:val="nil"/>
          <w:between w:space="0" w:sz="0" w:val="nil"/>
        </w:pBdr>
        <w:ind w:hanging="360"/>
        <w:jc w:val="both"/>
        <w:rPr>
          <w:rFonts w:ascii="Source Sans 3" w:cs="Source Sans 3" w:eastAsia="Source Sans 3" w:hAnsi="Source Sans 3"/>
          <w:color w:val="000000"/>
          <w:sz w:val="24"/>
          <w:szCs w:val="24"/>
        </w:rPr>
      </w:pPr>
      <w:r w:rsidDel="00000000" w:rsidR="00000000" w:rsidRPr="00000000">
        <w:rPr>
          <w:rFonts w:ascii="Source Sans 3" w:cs="Source Sans 3" w:eastAsia="Source Sans 3" w:hAnsi="Source Sans 3"/>
          <w:b w:val="1"/>
          <w:bCs w:val="1"/>
          <w:sz w:val="24"/>
          <w:szCs w:val="24"/>
          <w:rtl w:val="0"/>
        </w:rPr>
        <w:t xml:space="preserve">III.c. Elimination of stereotypes and an intersectional approach</w:t>
      </w:r>
      <w:r w:rsidDel="00000000" w:rsidR="00000000" w:rsidRPr="00000000">
        <w:rPr>
          <w:rtl w:val="0"/>
        </w:rPr>
      </w:r>
    </w:p>
    <w:p w:rsidR="00000000" w:rsidDel="00000000" w:rsidP="00000000" w:rsidRDefault="00000000" w:rsidRPr="00000000" w14:paraId="00000047">
      <w:pPr>
        <w:numPr>
          <w:ilvl w:val="0"/>
          <w:numId w:val="1"/>
        </w:numPr>
        <w:pBdr>
          <w:top w:space="0" w:sz="0" w:val="nil"/>
          <w:left w:space="0" w:sz="0" w:val="nil"/>
          <w:bottom w:space="0" w:sz="0" w:val="nil"/>
          <w:right w:space="0" w:sz="0" w:val="nil"/>
          <w:between w:space="0" w:sz="0" w:val="nil"/>
        </w:pBdr>
        <w:spacing w:before="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Strengthen the mainstreaming of a gender and intersectional perspective throughout the justice system, eliminating stereotypes based on gender, age, disability, ethnicity, socio-economic background or other conditions, and ensuring that services are accessible, non-discriminatory and respectful of human rights.</w:t>
      </w:r>
    </w:p>
    <w:p w:rsidR="00000000" w:rsidDel="00000000" w:rsidP="00000000" w:rsidRDefault="00000000" w:rsidRPr="00000000" w14:paraId="00000048">
      <w:pPr>
        <w:numPr>
          <w:ilvl w:val="0"/>
          <w:numId w:val="1"/>
        </w:numPr>
        <w:pBdr>
          <w:top w:space="0" w:sz="0" w:val="nil"/>
          <w:left w:space="0" w:sz="0" w:val="nil"/>
          <w:bottom w:space="0" w:sz="0" w:val="nil"/>
          <w:right w:space="0" w:sz="0" w:val="nil"/>
          <w:between w:space="0" w:sz="0" w:val="nil"/>
        </w:pBdr>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Strengthen the protection of children and adolescents who are victims of sexual violence, eliminating adult-centred practices and guaranteeing their right to be heard and to participate effectively in the processes that concern them, in accordance with their age and level of maturity.</w:t>
      </w:r>
    </w:p>
    <w:p w:rsidR="00000000" w:rsidDel="00000000" w:rsidP="00000000" w:rsidRDefault="00000000" w:rsidRPr="00000000" w14:paraId="00000049">
      <w:pPr>
        <w:numPr>
          <w:ilvl w:val="0"/>
          <w:numId w:val="1"/>
        </w:numPr>
        <w:pBdr>
          <w:top w:space="0" w:sz="0" w:val="nil"/>
          <w:left w:space="0" w:sz="0" w:val="nil"/>
          <w:bottom w:space="0" w:sz="0" w:val="nil"/>
          <w:right w:space="0" w:sz="0" w:val="nil"/>
          <w:between w:space="0" w:sz="0" w:val="nil"/>
        </w:pBdr>
        <w:spacing w:after="240" w:lineRule="auto"/>
        <w:ind w:left="0" w:hanging="360"/>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sz w:val="24"/>
          <w:szCs w:val="24"/>
          <w:rtl w:val="0"/>
        </w:rPr>
        <w:t xml:space="preserve">Guarantee a comprehensive response for children and adolescents, ensuring equitable access to specialised care services, psychological support and appropriate reparations.</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240" w:before="240" w:lineRule="auto"/>
        <w:ind w:left="720" w:firstLine="0"/>
        <w:jc w:val="center"/>
        <w:rPr>
          <w:rFonts w:ascii="Source Sans 3" w:cs="Source Sans 3" w:eastAsia="Source Sans 3" w:hAnsi="Source Sans 3"/>
          <w:b w:val="1"/>
          <w:bCs w:val="1"/>
          <w:sz w:val="26"/>
          <w:szCs w:val="26"/>
        </w:rPr>
      </w:pPr>
      <w:bookmarkStart w:colFirst="0" w:colLast="0" w:name="_heading=h.k03it9a5xx03" w:id="5"/>
      <w:bookmarkEnd w:id="5"/>
      <w:r w:rsidDel="00000000" w:rsidR="00000000" w:rsidRPr="00000000">
        <w:rPr>
          <w:rFonts w:ascii="Source Sans 3" w:cs="Source Sans 3" w:eastAsia="Source Sans 3" w:hAnsi="Source Sans 3"/>
          <w:b w:val="1"/>
          <w:bCs w:val="1"/>
          <w:sz w:val="26"/>
          <w:szCs w:val="26"/>
          <w:rtl w:val="0"/>
        </w:rPr>
        <w:t xml:space="preserve">Annex I</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240" w:before="240" w:lineRule="auto"/>
        <w:ind w:left="720" w:firstLine="0"/>
        <w:jc w:val="center"/>
        <w:rPr>
          <w:rFonts w:ascii="Source Sans 3" w:cs="Source Sans 3" w:eastAsia="Source Sans 3" w:hAnsi="Source Sans 3"/>
          <w:b w:val="1"/>
          <w:bCs w:val="1"/>
          <w:sz w:val="24"/>
          <w:szCs w:val="24"/>
        </w:rPr>
      </w:pPr>
      <w:r w:rsidDel="00000000" w:rsidR="00000000" w:rsidRPr="00000000">
        <w:rPr>
          <w:rFonts w:ascii="Source Sans 3" w:cs="Source Sans 3" w:eastAsia="Source Sans 3" w:hAnsi="Source Sans 3"/>
          <w:b w:val="1"/>
          <w:bCs w:val="1"/>
          <w:sz w:val="24"/>
          <w:szCs w:val="24"/>
          <w:rtl w:val="0"/>
        </w:rPr>
        <w:t xml:space="preserve">Signatory organisations</w:t>
      </w:r>
    </w:p>
    <w:p w:rsidR="00000000" w:rsidDel="00000000" w:rsidP="00000000" w:rsidRDefault="00000000" w:rsidRPr="00000000" w14:paraId="0000004C">
      <w:pPr>
        <w:jc w:val="both"/>
        <w:rPr>
          <w:color w:val="3c3c3c"/>
          <w:sz w:val="24"/>
          <w:szCs w:val="24"/>
        </w:rPr>
      </w:pPr>
      <w:hyperlink r:id="rId10">
        <w:r w:rsidDel="00000000" w:rsidR="00000000" w:rsidRPr="00000000">
          <w:rPr>
            <w:rFonts w:ascii="Source Sans 3" w:cs="Source Sans 3" w:eastAsia="Source Sans 3" w:hAnsi="Source Sans 3"/>
            <w:b w:val="1"/>
            <w:bCs w:val="1"/>
            <w:color w:val="1155cc"/>
            <w:sz w:val="24"/>
            <w:szCs w:val="24"/>
            <w:u w:val="single"/>
            <w:rtl w:val="0"/>
          </w:rPr>
          <w:t xml:space="preserve">CLADEM Uruguay</w:t>
        </w:r>
      </w:hyperlink>
      <w:r w:rsidDel="00000000" w:rsidR="00000000" w:rsidRPr="00000000">
        <w:rPr>
          <w:rFonts w:ascii="Source Sans 3" w:cs="Source Sans 3" w:eastAsia="Source Sans 3" w:hAnsi="Source Sans 3"/>
          <w:sz w:val="24"/>
          <w:szCs w:val="24"/>
          <w:rtl w:val="0"/>
        </w:rPr>
        <w:t xml:space="preserve"> has been working for more than two decades to defend women’s human rights, promoting equality and combating discrimination and gender-based violence. It has monitored compliance with international human rights treaties and submitted alternative reports to various United Nations treaty bodies. At the national level, it has initiated strategic litigation and submitted amicus curiae briefs, influencing the incorporation of gender perspectives into court rulings.</w:t>
      </w:r>
      <w:r w:rsidDel="00000000" w:rsidR="00000000" w:rsidRPr="00000000">
        <w:rPr>
          <w:rtl w:val="0"/>
        </w:rPr>
      </w:r>
    </w:p>
    <w:p w:rsidR="00000000" w:rsidDel="00000000" w:rsidP="00000000" w:rsidRDefault="00000000" w:rsidRPr="00000000" w14:paraId="0000004D">
      <w:pPr>
        <w:rPr>
          <w:rFonts w:ascii="Source Sans 3" w:cs="Source Sans 3" w:eastAsia="Source Sans 3" w:hAnsi="Source Sans 3"/>
          <w:sz w:val="24"/>
          <w:szCs w:val="24"/>
        </w:rPr>
      </w:pPr>
      <w:r w:rsidDel="00000000" w:rsidR="00000000" w:rsidRPr="00000000">
        <w:rPr>
          <w:rtl w:val="0"/>
        </w:rPr>
      </w:r>
    </w:p>
    <w:p w:rsidR="00000000" w:rsidDel="00000000" w:rsidP="00000000" w:rsidRDefault="00000000" w:rsidRPr="00000000" w14:paraId="0000004E">
      <w:pPr>
        <w:jc w:val="both"/>
        <w:rPr/>
      </w:pPr>
      <w:hyperlink r:id="rId11">
        <w:r w:rsidDel="00000000" w:rsidR="00000000" w:rsidRPr="00000000">
          <w:rPr>
            <w:rFonts w:ascii="Source Sans 3" w:cs="Source Sans 3" w:eastAsia="Source Sans 3" w:hAnsi="Source Sans 3"/>
            <w:b w:val="1"/>
            <w:bCs w:val="1"/>
            <w:color w:val="1155cc"/>
            <w:sz w:val="24"/>
            <w:szCs w:val="24"/>
            <w:u w:val="single"/>
            <w:rtl w:val="0"/>
          </w:rPr>
          <w:t xml:space="preserve">Equality Now</w:t>
        </w:r>
      </w:hyperlink>
      <w:r w:rsidDel="00000000" w:rsidR="00000000" w:rsidRPr="00000000">
        <w:rPr>
          <w:rFonts w:ascii="Source Sans 3" w:cs="Source Sans 3" w:eastAsia="Source Sans 3" w:hAnsi="Source Sans 3"/>
          <w:sz w:val="24"/>
          <w:szCs w:val="24"/>
          <w:rtl w:val="0"/>
        </w:rPr>
        <w:t xml:space="preserve"> is a global human rights organisation dedicated to promoting the legal and systemic changes necessary to end discrimination against all women and girls. Since its creation in 1992, it has helped reform 137 discriminatory laws worldwide, positively impacting the lives of hundreds of millions of women and girls, their communities and their countries, both now and for future generations. Working with partners at national, regional and global levels, Equality Now combines in-depth legal expertise with a wide range of social, political and cultural perspectives to continue driving the changes needed to achieve lasting gender equality that benefits everyone</w:t>
      </w:r>
      <w:r w:rsidDel="00000000" w:rsidR="00000000" w:rsidRPr="00000000">
        <w:rPr>
          <w:rtl w:val="0"/>
        </w:rPr>
        <w:t xml:space="preserve">.</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240" w:before="240" w:lineRule="auto"/>
        <w:ind w:left="720" w:firstLine="0"/>
        <w:jc w:val="both"/>
        <w:rPr>
          <w:rFonts w:ascii="Source Sans 3" w:cs="Source Sans 3" w:eastAsia="Source Sans 3" w:hAnsi="Source Sans 3"/>
          <w:sz w:val="24"/>
          <w:szCs w:val="24"/>
        </w:rPr>
      </w:pPr>
      <w:r w:rsidDel="00000000" w:rsidR="00000000" w:rsidRPr="00000000">
        <w:rPr>
          <w:rtl w:val="0"/>
        </w:rPr>
      </w:r>
    </w:p>
    <w:sectPr>
      <w:footerReference r:id="rId12" w:type="default"/>
      <w:footerReference r:id="rId13"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ource Sans 3">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0">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Human Rights Committee, Concluding Observations on the sixth periodic report of Uruguay</w:t>
      </w:r>
      <w:r w:rsidDel="00000000" w:rsidR="00000000" w:rsidRPr="00000000">
        <w:rPr>
          <w:rFonts w:ascii="Source Sans 3" w:cs="Source Sans 3" w:eastAsia="Source Sans 3" w:hAnsi="Source Sans 3"/>
          <w:rtl w:val="0"/>
        </w:rPr>
        <w:t xml:space="preserve">, </w:t>
      </w:r>
      <w:r w:rsidDel="00000000" w:rsidR="00000000" w:rsidRPr="00000000">
        <w:rPr>
          <w:rFonts w:ascii="Source Sans 3" w:cs="Source Sans 3" w:eastAsia="Source Sans 3" w:hAnsi="Source Sans 3"/>
          <w:sz w:val="20"/>
          <w:szCs w:val="20"/>
          <w:rtl w:val="0"/>
        </w:rPr>
        <w:t xml:space="preserve">CCPR/C/URY/CO/6, 3 October 2022.</w:t>
      </w:r>
      <w:r w:rsidDel="00000000" w:rsidR="00000000" w:rsidRPr="00000000">
        <w:rPr>
          <w:sz w:val="20"/>
          <w:szCs w:val="20"/>
          <w:rtl w:val="0"/>
        </w:rPr>
        <w:t xml:space="preserve"> </w:t>
      </w:r>
    </w:p>
  </w:footnote>
  <w:footnote w:id="1">
    <w:p w:rsidR="00000000" w:rsidDel="00000000" w:rsidP="00000000" w:rsidRDefault="00000000" w:rsidRPr="00000000" w14:paraId="00000051">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Act on Gender-Based Violence against Women, Act No. 19580.</w:t>
      </w:r>
    </w:p>
  </w:footnote>
  <w:footnote w:id="2">
    <w:p w:rsidR="00000000" w:rsidDel="00000000" w:rsidP="00000000" w:rsidRDefault="00000000" w:rsidRPr="00000000" w14:paraId="00000052">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Human Rights Committee, Information received from Uruguay regarding the follow-up to the concluding observations on its sixth periodic report, CCPR/C/URY/FCO/6, 4 August 2025.</w:t>
      </w:r>
      <w:r w:rsidDel="00000000" w:rsidR="00000000" w:rsidRPr="00000000">
        <w:rPr>
          <w:rtl w:val="0"/>
        </w:rPr>
      </w:r>
    </w:p>
  </w:footnote>
  <w:footnote w:id="3">
    <w:p w:rsidR="00000000" w:rsidDel="00000000" w:rsidP="00000000" w:rsidRDefault="00000000" w:rsidRPr="00000000" w14:paraId="00000053">
      <w:pPr>
        <w:spacing w:line="240" w:lineRule="auto"/>
        <w:jc w:val="both"/>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sz w:val="20"/>
          <w:szCs w:val="20"/>
          <w:rtl w:val="0"/>
        </w:rPr>
        <w:t xml:space="preserve">Observatory on Gender-Based Violence against Women, 2020. Available at:</w:t>
      </w:r>
      <w:hyperlink r:id="rId1">
        <w:r w:rsidDel="00000000" w:rsidR="00000000" w:rsidRPr="00000000">
          <w:rPr>
            <w:rFonts w:ascii="Source Sans 3" w:cs="Source Sans 3" w:eastAsia="Source Sans 3" w:hAnsi="Source Sans 3"/>
            <w:color w:val="1155cc"/>
            <w:sz w:val="20"/>
            <w:szCs w:val="20"/>
            <w:u w:val="single"/>
            <w:rtl w:val="0"/>
          </w:rPr>
          <w:t xml:space="preserve"> https://lac.unwomen.org/sites/default/files/Field%20Office%20Americas/Documentos/Publicaciones/2020/12/Segunda%20encuesta%20nacional_web%20-%20Uruguay.pdf</w:t>
        </w:r>
      </w:hyperlink>
      <w:r w:rsidDel="00000000" w:rsidR="00000000" w:rsidRPr="00000000">
        <w:rPr>
          <w:rFonts w:ascii="Source Sans 3" w:cs="Source Sans 3" w:eastAsia="Source Sans 3" w:hAnsi="Source Sans 3"/>
          <w:sz w:val="20"/>
          <w:szCs w:val="20"/>
          <w:rtl w:val="0"/>
        </w:rPr>
        <w:t xml:space="preserve"> </w:t>
      </w:r>
    </w:p>
  </w:footnote>
  <w:footnote w:id="4">
    <w:p w:rsidR="00000000" w:rsidDel="00000000" w:rsidP="00000000" w:rsidRDefault="00000000" w:rsidRPr="00000000" w14:paraId="00000054">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UN Women, False Reports of Gender-Based Violence in Uruguay 2021–2023. Final report, July 2025. Available at:</w:t>
      </w:r>
      <w:hyperlink r:id="rId2">
        <w:r w:rsidDel="00000000" w:rsidR="00000000" w:rsidRPr="00000000">
          <w:rPr>
            <w:rFonts w:ascii="Source Sans 3" w:cs="Source Sans 3" w:eastAsia="Source Sans 3" w:hAnsi="Source Sans 3"/>
            <w:color w:val="1155cc"/>
            <w:sz w:val="20"/>
            <w:szCs w:val="20"/>
            <w:u w:val="single"/>
            <w:rtl w:val="0"/>
          </w:rPr>
          <w:t xml:space="preserve"> https://universidad.claeh.edu.uy/wp-content/uploads/2025/07/INFORME-FINAL-DENUNCIAS-FALSAS.docx.pdf</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rtl w:val="0"/>
        </w:rPr>
      </w:r>
    </w:p>
  </w:footnote>
  <w:footnote w:id="5">
    <w:p w:rsidR="00000000" w:rsidDel="00000000" w:rsidP="00000000" w:rsidRDefault="00000000" w:rsidRPr="00000000" w14:paraId="00000055">
      <w:pPr>
        <w:spacing w:line="240" w:lineRule="auto"/>
        <w:jc w:val="both"/>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sz w:val="20"/>
          <w:szCs w:val="20"/>
          <w:rtl w:val="0"/>
        </w:rPr>
        <w:t xml:space="preserve">UN Women, </w:t>
      </w:r>
      <w:r w:rsidDel="00000000" w:rsidR="00000000" w:rsidRPr="00000000">
        <w:rPr>
          <w:rFonts w:ascii="Source Sans 3" w:cs="Source Sans 3" w:eastAsia="Source Sans 3" w:hAnsi="Source Sans 3"/>
          <w:i w:val="1"/>
          <w:iCs w:val="1"/>
          <w:sz w:val="20"/>
          <w:szCs w:val="20"/>
          <w:rtl w:val="0"/>
        </w:rPr>
        <w:t xml:space="preserve">Gender and Generational Profile of Uruguay, page 9. </w:t>
      </w:r>
      <w:r w:rsidDel="00000000" w:rsidR="00000000" w:rsidRPr="00000000">
        <w:rPr>
          <w:rFonts w:ascii="Source Sans 3" w:cs="Source Sans 3" w:eastAsia="Source Sans 3" w:hAnsi="Source Sans 3"/>
          <w:sz w:val="20"/>
          <w:szCs w:val="20"/>
          <w:rtl w:val="0"/>
        </w:rPr>
        <w:t xml:space="preserve">Available at:</w:t>
      </w:r>
      <w:hyperlink r:id="rId3">
        <w:r w:rsidDel="00000000" w:rsidR="00000000" w:rsidRPr="00000000">
          <w:rPr>
            <w:rFonts w:ascii="Source Sans 3" w:cs="Source Sans 3" w:eastAsia="Source Sans 3" w:hAnsi="Source Sans 3"/>
            <w:color w:val="1155cc"/>
            <w:sz w:val="20"/>
            <w:szCs w:val="20"/>
            <w:u w:val="single"/>
            <w:rtl w:val="0"/>
          </w:rPr>
          <w:t xml:space="preserve"> https://lac.unwomen.org/sites/default/files/2025-03/es-perfilgenero-uy_21mar25.pdf</w:t>
        </w:r>
      </w:hyperlink>
      <w:r w:rsidDel="00000000" w:rsidR="00000000" w:rsidRPr="00000000">
        <w:rPr>
          <w:rFonts w:ascii="Source Sans 3" w:cs="Source Sans 3" w:eastAsia="Source Sans 3" w:hAnsi="Source Sans 3"/>
          <w:sz w:val="20"/>
          <w:szCs w:val="20"/>
          <w:rtl w:val="0"/>
        </w:rPr>
        <w:t xml:space="preserve"> </w:t>
      </w:r>
    </w:p>
  </w:footnote>
  <w:footnote w:id="6">
    <w:p w:rsidR="00000000" w:rsidDel="00000000" w:rsidP="00000000" w:rsidRDefault="00000000" w:rsidRPr="00000000" w14:paraId="00000056">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rtl w:val="0"/>
        </w:rPr>
        <w:t xml:space="preserve"> </w:t>
      </w:r>
      <w:r w:rsidDel="00000000" w:rsidR="00000000" w:rsidRPr="00000000">
        <w:rPr>
          <w:rFonts w:ascii="Source Sans 3" w:cs="Source Sans 3" w:eastAsia="Source Sans 3" w:hAnsi="Source Sans 3"/>
          <w:sz w:val="20"/>
          <w:szCs w:val="20"/>
          <w:rtl w:val="0"/>
        </w:rPr>
        <w:t xml:space="preserve">In this regard, see:</w:t>
      </w:r>
      <w:hyperlink r:id="rId4">
        <w:r w:rsidDel="00000000" w:rsidR="00000000" w:rsidRPr="00000000">
          <w:rPr>
            <w:rFonts w:ascii="Source Sans 3" w:cs="Source Sans 3" w:eastAsia="Source Sans 3" w:hAnsi="Source Sans 3"/>
            <w:color w:val="1155cc"/>
            <w:sz w:val="20"/>
            <w:szCs w:val="20"/>
            <w:u w:val="single"/>
            <w:rtl w:val="0"/>
          </w:rPr>
          <w:t xml:space="preserve"> https://www.poderjudicial.gub.uy/novedades/institucionales/poder-judicial-presenta-su-presupuesto-2025-2029</w:t>
        </w:r>
      </w:hyperlink>
      <w:r w:rsidDel="00000000" w:rsidR="00000000" w:rsidRPr="00000000">
        <w:rPr>
          <w:rFonts w:ascii="Source Sans 3" w:cs="Source Sans 3" w:eastAsia="Source Sans 3" w:hAnsi="Source Sans 3"/>
          <w:sz w:val="20"/>
          <w:szCs w:val="20"/>
          <w:rtl w:val="0"/>
        </w:rPr>
        <w:t xml:space="preserve"> </w:t>
      </w:r>
    </w:p>
  </w:footnote>
  <w:footnote w:id="7">
    <w:p w:rsidR="00000000" w:rsidDel="00000000" w:rsidP="00000000" w:rsidRDefault="00000000" w:rsidRPr="00000000" w14:paraId="00000057">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Ministry of Social Development, Evaluation of the 2016–2019 Action Plan for a Life Free from Gender-Based Violence with a Generational Perspective in Uruguay, 14 January 2020. Available at:</w:t>
      </w:r>
      <w:hyperlink r:id="rId5">
        <w:r w:rsidDel="00000000" w:rsidR="00000000" w:rsidRPr="00000000">
          <w:rPr>
            <w:rFonts w:ascii="Source Sans 3" w:cs="Source Sans 3" w:eastAsia="Source Sans 3" w:hAnsi="Source Sans 3"/>
            <w:color w:val="1155cc"/>
            <w:sz w:val="20"/>
            <w:szCs w:val="20"/>
            <w:u w:val="single"/>
            <w:rtl w:val="0"/>
          </w:rPr>
          <w:t xml:space="preserve"> https://www.gub.uy/ministerio-desarrollo-social/sites/ministerio-desarrollo-social/files/2024-04/informe_final_de_evaluacion_plan_de_accion-2016-2019_dinamia_14enero_2020.pdf</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rtl w:val="0"/>
        </w:rPr>
      </w:r>
    </w:p>
  </w:footnote>
  <w:footnote w:id="8">
    <w:p w:rsidR="00000000" w:rsidDel="00000000" w:rsidP="00000000" w:rsidRDefault="00000000" w:rsidRPr="00000000" w14:paraId="0000005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CLADEM Uruguay, Alternative Report to the CEDAW Committee, 20 March 2024. Available at:</w:t>
      </w:r>
      <w:hyperlink r:id="rId6">
        <w:r w:rsidDel="00000000" w:rsidR="00000000" w:rsidRPr="00000000">
          <w:rPr>
            <w:rFonts w:ascii="Source Sans 3" w:cs="Source Sans 3" w:eastAsia="Source Sans 3" w:hAnsi="Source Sans 3"/>
            <w:color w:val="1155cc"/>
            <w:sz w:val="20"/>
            <w:szCs w:val="20"/>
            <w:u w:val="single"/>
            <w:rtl w:val="0"/>
          </w:rPr>
          <w:t xml:space="preserve"> https://cladem.org/biblioteca/informe-alternativo-cedaw--uruguay</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rtl w:val="0"/>
        </w:rPr>
      </w:r>
    </w:p>
  </w:footnote>
  <w:footnote w:id="9">
    <w:p w:rsidR="00000000" w:rsidDel="00000000" w:rsidP="00000000" w:rsidRDefault="00000000" w:rsidRPr="00000000" w14:paraId="00000059">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Inter-American Court of Human Rights, Case of Angulo Losada v. Bolivia, judgment of 18 November 2022.</w:t>
      </w:r>
      <w:r w:rsidDel="00000000" w:rsidR="00000000" w:rsidRPr="00000000">
        <w:rPr>
          <w:rtl w:val="0"/>
        </w:rPr>
      </w:r>
    </w:p>
  </w:footnote>
  <w:footnote w:id="10">
    <w:p w:rsidR="00000000" w:rsidDel="00000000" w:rsidP="00000000" w:rsidRDefault="00000000" w:rsidRPr="00000000" w14:paraId="0000005A">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sz w:val="18"/>
          <w:szCs w:val="18"/>
          <w:rtl w:val="0"/>
        </w:rPr>
        <w:t xml:space="preserve"> </w:t>
      </w:r>
      <w:r w:rsidDel="00000000" w:rsidR="00000000" w:rsidRPr="00000000">
        <w:rPr>
          <w:rFonts w:ascii="Source Sans 3" w:cs="Source Sans 3" w:eastAsia="Source Sans 3" w:hAnsi="Source Sans 3"/>
          <w:sz w:val="20"/>
          <w:szCs w:val="20"/>
          <w:rtl w:val="0"/>
        </w:rPr>
        <w:t xml:space="preserve">Equality Now, </w:t>
      </w:r>
      <w:r w:rsidDel="00000000" w:rsidR="00000000" w:rsidRPr="00000000">
        <w:rPr>
          <w:rFonts w:ascii="Source Sans 3" w:cs="Source Sans 3" w:eastAsia="Source Sans 3" w:hAnsi="Source Sans 3"/>
          <w:i w:val="1"/>
          <w:iCs w:val="1"/>
          <w:sz w:val="20"/>
          <w:szCs w:val="20"/>
          <w:rtl w:val="0"/>
        </w:rPr>
        <w:t xml:space="preserve">Failure to Protect: How discriminatory laws and practices regarding sexual violence harm women, girls and adolescents in the Americas</w:t>
      </w:r>
      <w:r w:rsidDel="00000000" w:rsidR="00000000" w:rsidRPr="00000000">
        <w:rPr>
          <w:rFonts w:ascii="Source Sans 3" w:cs="Source Sans 3" w:eastAsia="Source Sans 3" w:hAnsi="Source Sans 3"/>
          <w:sz w:val="20"/>
          <w:szCs w:val="20"/>
          <w:rtl w:val="0"/>
        </w:rPr>
        <w:t xml:space="preserve">, 2021, available at</w:t>
      </w:r>
      <w:hyperlink r:id="rId7">
        <w:r w:rsidDel="00000000" w:rsidR="00000000" w:rsidRPr="00000000">
          <w:rPr>
            <w:rFonts w:ascii="Source Sans 3" w:cs="Source Sans 3" w:eastAsia="Source Sans 3" w:hAnsi="Source Sans 3"/>
            <w:color w:val="1155cc"/>
            <w:sz w:val="20"/>
            <w:szCs w:val="20"/>
            <w:u w:val="single"/>
            <w:rtl w:val="0"/>
          </w:rPr>
          <w:t xml:space="preserve"> https://equalitynow.org/wp-content/uploads/2021/09/Failure_to_Protect_-_Equality_Now_2021_-_ESP-min.pdf</w:t>
        </w:r>
      </w:hyperlink>
      <w:r w:rsidDel="00000000" w:rsidR="00000000" w:rsidRPr="00000000">
        <w:rPr>
          <w:rtl w:val="0"/>
        </w:rPr>
      </w:r>
    </w:p>
  </w:footnote>
  <w:footnote w:id="11">
    <w:p w:rsidR="00000000" w:rsidDel="00000000" w:rsidP="00000000" w:rsidRDefault="00000000" w:rsidRPr="00000000" w14:paraId="0000005B">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CEVI, </w:t>
      </w:r>
      <w:r w:rsidDel="00000000" w:rsidR="00000000" w:rsidRPr="00000000">
        <w:rPr>
          <w:rFonts w:ascii="Source Sans 3" w:cs="Source Sans 3" w:eastAsia="Source Sans 3" w:hAnsi="Source Sans 3"/>
          <w:i w:val="1"/>
          <w:iCs w:val="1"/>
          <w:sz w:val="20"/>
          <w:szCs w:val="20"/>
          <w:rtl w:val="0"/>
        </w:rPr>
        <w:t xml:space="preserve">MESECVI’s Committee of Women Experts expresses concern over regressive proposals to amend the Law on Violence against Women in Uruguay</w:t>
      </w:r>
      <w:r w:rsidDel="00000000" w:rsidR="00000000" w:rsidRPr="00000000">
        <w:rPr>
          <w:rFonts w:ascii="Source Sans 3" w:cs="Source Sans 3" w:eastAsia="Source Sans 3" w:hAnsi="Source Sans 3"/>
          <w:sz w:val="20"/>
          <w:szCs w:val="20"/>
          <w:rtl w:val="0"/>
        </w:rPr>
        <w:t xml:space="preserve">, 9 May 2024. Available at:</w:t>
      </w:r>
      <w:hyperlink r:id="rId8">
        <w:r w:rsidDel="00000000" w:rsidR="00000000" w:rsidRPr="00000000">
          <w:rPr>
            <w:rFonts w:ascii="Source Sans 3" w:cs="Source Sans 3" w:eastAsia="Source Sans 3" w:hAnsi="Source Sans 3"/>
            <w:color w:val="1155cc"/>
            <w:sz w:val="20"/>
            <w:szCs w:val="20"/>
            <w:u w:val="single"/>
            <w:rtl w:val="0"/>
          </w:rPr>
          <w:t xml:space="preserve"> https://belemdopara.org/wp-content/uploads/2024/05/Comunicado-Uruguay-Ley-Integral.pdf</w:t>
        </w:r>
      </w:hyperlink>
      <w:r w:rsidDel="00000000" w:rsidR="00000000" w:rsidRPr="00000000">
        <w:rPr>
          <w:rFonts w:ascii="Source Sans 3" w:cs="Source Sans 3" w:eastAsia="Source Sans 3" w:hAnsi="Source Sans 3"/>
          <w:sz w:val="20"/>
          <w:szCs w:val="20"/>
          <w:rtl w:val="0"/>
        </w:rPr>
        <w:t xml:space="preserve"> </w:t>
      </w:r>
    </w:p>
  </w:footnote>
  <w:footnote w:id="12">
    <w:p w:rsidR="00000000" w:rsidDel="00000000" w:rsidP="00000000" w:rsidRDefault="00000000" w:rsidRPr="00000000" w14:paraId="0000005C">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sz w:val="20"/>
          <w:szCs w:val="20"/>
          <w:rtl w:val="0"/>
        </w:rPr>
        <w:t xml:space="preserve"> The new Article 179 bis of the Criminal Code was introduced by Article 15 of Law No. 20.141 of 12 May 2023.Articles 179 and 179 bis of the Uruguayan Criminal Code provide as follows: “Article 179  (Slander and false reporting of a crime) Any person who knowingly reports to the judicial or police authorities, or to the State Advisory Board on Economic and Financial Matters, or to a public official who is obliged to refer the matter to such authorities, a crime that has not been committed, or who fabricates evidence of a crime, in such a way as to trigger the initiation of criminal proceedings for its investigation, shall be punished with a sentence of three months’ imprisonment to three years’ penal servitude. Article 179 bis: It shall be considered an aggravating circumstance in relation to the offence provided for in the preceding article if the report is directed against a person with whom the  complainant has children in common, and if, as a result of such  report, the court orders any precautionary measure pursuant to  Act No. 19.580 of 22 December 2017, or Act No. 17,514 of 2 July 2002.” See in this regard, the Uruguayan Penal Code, available at:</w:t>
      </w:r>
      <w:hyperlink r:id="rId9">
        <w:r w:rsidDel="00000000" w:rsidR="00000000" w:rsidRPr="00000000">
          <w:rPr>
            <w:rFonts w:ascii="Source Sans 3" w:cs="Source Sans 3" w:eastAsia="Source Sans 3" w:hAnsi="Source Sans 3"/>
            <w:color w:val="1155cc"/>
            <w:sz w:val="20"/>
            <w:szCs w:val="20"/>
            <w:u w:val="single"/>
            <w:rtl w:val="0"/>
          </w:rPr>
          <w:t xml:space="preserve"> https://www.impo.com.uy/bases/codigo-penal/9155-1933</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rtl w:val="0"/>
        </w:rPr>
      </w:r>
    </w:p>
  </w:footnote>
  <w:footnote w:id="13">
    <w:p w:rsidR="00000000" w:rsidDel="00000000" w:rsidP="00000000" w:rsidRDefault="00000000" w:rsidRPr="00000000" w14:paraId="0000005D">
      <w:pPr>
        <w:spacing w:line="240" w:lineRule="auto"/>
        <w:jc w:val="both"/>
        <w:rPr>
          <w:rFonts w:ascii="Source Sans 3" w:cs="Source Sans 3" w:eastAsia="Source Sans 3" w:hAnsi="Source Sans 3"/>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In this regard, see the Uruguayan Ministry of Social Development, Report on False Allegations of Gender-Based Violence in Uruguay, 16 July 2025. Available at:</w:t>
      </w:r>
      <w:hyperlink r:id="rId10">
        <w:r w:rsidDel="00000000" w:rsidR="00000000" w:rsidRPr="00000000">
          <w:rPr>
            <w:rFonts w:ascii="Source Sans 3" w:cs="Source Sans 3" w:eastAsia="Source Sans 3" w:hAnsi="Source Sans 3"/>
            <w:color w:val="1155cc"/>
            <w:sz w:val="20"/>
            <w:szCs w:val="20"/>
            <w:u w:val="single"/>
            <w:rtl w:val="0"/>
          </w:rPr>
          <w:t xml:space="preserve"> https://www.gub.uy/ministerio-desarrollo-social/comunicacion/noticias/informe-sobre-denuncias-falsas-violencia-basada-genero-uruguay</w:t>
        </w:r>
      </w:hyperlink>
      <w:r w:rsidDel="00000000" w:rsidR="00000000" w:rsidRPr="00000000">
        <w:rPr>
          <w:rFonts w:ascii="Source Sans 3" w:cs="Source Sans 3" w:eastAsia="Source Sans 3" w:hAnsi="Source Sans 3"/>
          <w:sz w:val="20"/>
          <w:szCs w:val="20"/>
          <w:rtl w:val="0"/>
        </w:rPr>
        <w:t xml:space="preserve"> ; UN Women, False Allegations of Gender-Based Violence in Uruguay 2021–2023. Final Report, July 2025. Available at:</w:t>
      </w:r>
      <w:hyperlink r:id="rId11">
        <w:r w:rsidDel="00000000" w:rsidR="00000000" w:rsidRPr="00000000">
          <w:rPr>
            <w:rFonts w:ascii="Source Sans 3" w:cs="Source Sans 3" w:eastAsia="Source Sans 3" w:hAnsi="Source Sans 3"/>
            <w:color w:val="1155cc"/>
            <w:sz w:val="20"/>
            <w:szCs w:val="20"/>
            <w:u w:val="single"/>
            <w:rtl w:val="0"/>
          </w:rPr>
          <w:t xml:space="preserve"> https://universidad.claeh.edu.uy/wp-content/uploads/2025/07/INFORME-FINAL-DENUNCIAS-FALSAS.docx.pdf</w:t>
        </w:r>
      </w:hyperlink>
      <w:r w:rsidDel="00000000" w:rsidR="00000000" w:rsidRPr="00000000">
        <w:rPr>
          <w:rFonts w:ascii="Source Sans 3" w:cs="Source Sans 3" w:eastAsia="Source Sans 3" w:hAnsi="Source Sans 3"/>
          <w:sz w:val="18"/>
          <w:szCs w:val="18"/>
          <w:rtl w:val="0"/>
        </w:rPr>
        <w:t xml:space="preserve"> </w:t>
      </w:r>
    </w:p>
    <w:p w:rsidR="00000000" w:rsidDel="00000000" w:rsidP="00000000" w:rsidRDefault="00000000" w:rsidRPr="00000000" w14:paraId="0000005E">
      <w:pPr>
        <w:spacing w:line="240" w:lineRule="auto"/>
        <w:rPr>
          <w:sz w:val="20"/>
          <w:szCs w:val="20"/>
        </w:rPr>
      </w:pPr>
      <w:r w:rsidDel="00000000" w:rsidR="00000000" w:rsidRPr="00000000">
        <w:rPr>
          <w:rtl w:val="0"/>
        </w:rPr>
      </w:r>
    </w:p>
  </w:footnote>
  <w:footnote w:id="14">
    <w:p w:rsidR="00000000" w:rsidDel="00000000" w:rsidP="00000000" w:rsidRDefault="00000000" w:rsidRPr="00000000" w14:paraId="0000005F">
      <w:pPr>
        <w:spacing w:line="240" w:lineRule="auto"/>
        <w:jc w:val="both"/>
        <w:rPr>
          <w:rFonts w:ascii="Source Sans 3" w:cs="Source Sans 3" w:eastAsia="Source Sans 3" w:hAnsi="Source Sans 3"/>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highlight w:val="white"/>
          <w:rtl w:val="0"/>
        </w:rPr>
        <w:t xml:space="preserve">In its 2025 Annual Report, the Comprehensive System for the Protection of Children and Adolescents against Violence (SIPIAV) reported having intervened in 9,178 incidents of violence, of which 2,536 were new cases. Sexual violence accounted for approximately 20–22 per cent of the cases handled, the majority of which occurred within the family, posing particular challenges in terms of evidence. However, this information is not integrated with the records of the Judiciary and the Attorney General’s Office, meaning it is not possible to determine how many of these cases result in a conviction or lead to reparatory measures, thereby limiting a comprehensive assessment of the state’s response.  See: </w:t>
      </w:r>
      <w:hyperlink r:id="rId12">
        <w:r w:rsidDel="00000000" w:rsidR="00000000" w:rsidRPr="00000000">
          <w:rPr>
            <w:rFonts w:ascii="Source Sans 3" w:cs="Source Sans 3" w:eastAsia="Source Sans 3" w:hAnsi="Source Sans 3"/>
            <w:sz w:val="20"/>
            <w:szCs w:val="20"/>
            <w:highlight w:val="white"/>
            <w:rtl w:val="0"/>
          </w:rPr>
          <w:t xml:space="preserve">Comprehensive System for the Protection of Children and Adolescents against Violence (Sipiav)</w:t>
        </w:r>
      </w:hyperlink>
      <w:r w:rsidDel="00000000" w:rsidR="00000000" w:rsidRPr="00000000">
        <w:rPr>
          <w:rFonts w:ascii="Source Sans 3" w:cs="Source Sans 3" w:eastAsia="Source Sans 3" w:hAnsi="Source Sans 3"/>
          <w:sz w:val="20"/>
          <w:szCs w:val="20"/>
          <w:highlight w:val="white"/>
          <w:rtl w:val="0"/>
        </w:rPr>
        <w:t xml:space="preserve">, Annual Report 2025, April 2026.</w:t>
      </w:r>
    </w:p>
    <w:p w:rsidR="00000000" w:rsidDel="00000000" w:rsidP="00000000" w:rsidRDefault="00000000" w:rsidRPr="00000000" w14:paraId="00000060">
      <w:pPr>
        <w:spacing w:line="240" w:lineRule="auto"/>
        <w:jc w:val="both"/>
        <w:rPr/>
      </w:pPr>
      <w:r w:rsidDel="00000000" w:rsidR="00000000" w:rsidRPr="00000000">
        <w:rPr>
          <w:rFonts w:ascii="Source Sans 3" w:cs="Source Sans 3" w:eastAsia="Source Sans 3" w:hAnsi="Source Sans 3"/>
          <w:sz w:val="20"/>
          <w:szCs w:val="20"/>
          <w:highlight w:val="white"/>
          <w:rtl w:val="0"/>
        </w:rPr>
        <w:t xml:space="preserve">Available at:</w:t>
      </w:r>
      <w:hyperlink r:id="rId13">
        <w:r w:rsidDel="00000000" w:rsidR="00000000" w:rsidRPr="00000000">
          <w:rPr>
            <w:rFonts w:ascii="Source Sans 3" w:cs="Source Sans 3" w:eastAsia="Source Sans 3" w:hAnsi="Source Sans 3"/>
            <w:color w:val="1155cc"/>
            <w:sz w:val="20"/>
            <w:szCs w:val="20"/>
            <w:highlight w:val="white"/>
            <w:u w:val="single"/>
            <w:rtl w:val="0"/>
          </w:rPr>
          <w:t xml:space="preserve"> https://www.inau.gub.uy/sites/default/files/2026-07/informe_de_gestion_sipiav_2025_3.pdf</w:t>
        </w:r>
      </w:hyperlink>
      <w:r w:rsidDel="00000000" w:rsidR="00000000" w:rsidRPr="00000000">
        <w:rPr>
          <w:rFonts w:ascii="Source Sans 3" w:cs="Source Sans 3" w:eastAsia="Source Sans 3" w:hAnsi="Source Sans 3"/>
          <w:sz w:val="20"/>
          <w:szCs w:val="20"/>
          <w:highlight w:val="white"/>
          <w:rtl w:val="0"/>
        </w:rPr>
        <w:t xml:space="preserve"> </w:t>
      </w:r>
      <w:r w:rsidDel="00000000" w:rsidR="00000000" w:rsidRPr="00000000">
        <w:rPr>
          <w:rtl w:val="0"/>
        </w:rPr>
      </w:r>
    </w:p>
  </w:footnote>
  <w:footnote w:id="15">
    <w:p w:rsidR="00000000" w:rsidDel="00000000" w:rsidP="00000000" w:rsidRDefault="00000000" w:rsidRPr="00000000" w14:paraId="00000061">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highlight w:val="white"/>
          <w:rtl w:val="0"/>
        </w:rPr>
        <w:t xml:space="preserve">Uruguayan Institute for Children and Adolescents (INAU). (2024). SIPIAV Management Report 2024.</w:t>
      </w:r>
      <w:r w:rsidDel="00000000" w:rsidR="00000000" w:rsidRPr="00000000">
        <w:rPr>
          <w:rtl w:val="0"/>
        </w:rPr>
        <w:t xml:space="preserve"> </w:t>
      </w:r>
    </w:p>
  </w:footnote>
  <w:footnote w:id="16">
    <w:p w:rsidR="00000000" w:rsidDel="00000000" w:rsidP="00000000" w:rsidRDefault="00000000" w:rsidRPr="00000000" w14:paraId="00000062">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Uruguayan Ministry of the Interior. (2024). Statistics on sexual offences. Montevideo.</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equalitynow.org/" TargetMode="External"/><Relationship Id="rId10" Type="http://schemas.openxmlformats.org/officeDocument/2006/relationships/hyperlink" Target="https://cladem.org/nosotras-donde-estamos/uruguay"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SourceSans3-regular.ttf"/><Relationship Id="rId2" Type="http://schemas.openxmlformats.org/officeDocument/2006/relationships/font" Target="fonts/SourceSans3-bold.ttf"/><Relationship Id="rId3" Type="http://schemas.openxmlformats.org/officeDocument/2006/relationships/font" Target="fonts/SourceSans3-italic.ttf"/><Relationship Id="rId4" Type="http://schemas.openxmlformats.org/officeDocument/2006/relationships/font" Target="fonts/SourceSans3-boldItalic.ttf"/></Relationships>
</file>

<file path=word/_rels/footnotes.xml.rels><?xml version="1.0" encoding="UTF-8" standalone="yes"?><Relationships xmlns="http://schemas.openxmlformats.org/package/2006/relationships"><Relationship Id="rId11" Type="http://schemas.openxmlformats.org/officeDocument/2006/relationships/hyperlink" Target="https://universidad.claeh.edu.uy/wp-content/uploads/2025/07/INFORME-FINAL-DENUNCIAS-FALSAS.docx.pdf" TargetMode="External"/><Relationship Id="rId10" Type="http://schemas.openxmlformats.org/officeDocument/2006/relationships/hyperlink" Target="https://www.gub.uy/ministerio-desarrollo-social/comunicacion/noticias/informe-sobre-denuncias-falsas-violencia-basada-genero-uruguay" TargetMode="External"/><Relationship Id="rId13" Type="http://schemas.openxmlformats.org/officeDocument/2006/relationships/hyperlink" Target="https://www.inau.gub.uy/sites/default/files/2026-07/informe_de_gestion_sipiav_2025_3.pdf" TargetMode="External"/><Relationship Id="rId12" Type="http://schemas.openxmlformats.org/officeDocument/2006/relationships/hyperlink" Target="https://www.inau.gub.uy/sipiav" TargetMode="External"/><Relationship Id="rId1" Type="http://schemas.openxmlformats.org/officeDocument/2006/relationships/hyperlink" Target="https://lac.unwomen.org/sites/default/files/Field%20Office%20Americas/Documentos/Publicaciones/2020/12/Segunda%20encuesta%20nacional_web%20-%20Uruguay.pdf" TargetMode="External"/><Relationship Id="rId2" Type="http://schemas.openxmlformats.org/officeDocument/2006/relationships/hyperlink" Target="https://universidad.claeh.edu.uy/wp-content/uploads/2025/07/INFORME-FINAL-DENUNCIAS-FALSAS.docx.pdf" TargetMode="External"/><Relationship Id="rId3" Type="http://schemas.openxmlformats.org/officeDocument/2006/relationships/hyperlink" Target="https://lac.unwomen.org/sites/default/files/2025-03/es-perfilgenero-uy_21mar25.pdf" TargetMode="External"/><Relationship Id="rId4" Type="http://schemas.openxmlformats.org/officeDocument/2006/relationships/hyperlink" Target="https://www.poderjudicial.gub.uy/novedades/institucionales/poder-judicial-presenta-su-presupuesto-2025-2029" TargetMode="External"/><Relationship Id="rId9" Type="http://schemas.openxmlformats.org/officeDocument/2006/relationships/hyperlink" Target="https://www.impo.com.uy/bases/codigo-penal/9155-1933" TargetMode="External"/><Relationship Id="rId5" Type="http://schemas.openxmlformats.org/officeDocument/2006/relationships/hyperlink" Target="https://www.gub.uy/ministerio-desarrollo-social/sites/ministerio-desarrollo-social/files/2024-04/informe_final_de_evaluacion_plan_de_accion-2016-2019_dinamia_14enero_2020.pdf" TargetMode="External"/><Relationship Id="rId6" Type="http://schemas.openxmlformats.org/officeDocument/2006/relationships/hyperlink" Target="https://cladem.org/biblioteca/informe-alternativo-cedaw--uruguay" TargetMode="External"/><Relationship Id="rId7" Type="http://schemas.openxmlformats.org/officeDocument/2006/relationships/hyperlink" Target="https://equalitynow.org/wp-content/uploads/2021/09/Failure_to_Protect_-_Equality_Now_2021_-_ESP-min.pdf" TargetMode="External"/><Relationship Id="rId8" Type="http://schemas.openxmlformats.org/officeDocument/2006/relationships/hyperlink" Target="https://belemdopara.org/wp-content/uploads/2024/05/Comunicado-Uruguay-Ley-Integr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tMHu8ccpXkowgYfvszcDZRvoPA==">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9dd48094-0651-451f-8679-3b81ecc916e0</vt:lpwstr>
  </property>
</Properties>
</file>