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9A2" w:rsidRDefault="00F859A2">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Default="00B84E88">
      <w:pPr>
        <w:wordWrap w:val="0"/>
        <w:rPr>
          <w:rFonts w:ascii="Times New Roman" w:eastAsiaTheme="minorEastAsia" w:hAnsi="Times New Roman"/>
          <w:b/>
          <w:color w:val="000000"/>
          <w:sz w:val="32"/>
          <w:szCs w:val="32"/>
        </w:rPr>
      </w:pPr>
    </w:p>
    <w:p w:rsidR="00B84E88" w:rsidRPr="00B84E88" w:rsidRDefault="00B84E88" w:rsidP="00B84E88">
      <w:pPr>
        <w:wordWrap w:val="0"/>
        <w:jc w:val="center"/>
        <w:rPr>
          <w:rFonts w:ascii="Times New Roman" w:eastAsiaTheme="minorEastAsia" w:hAnsi="Times New Roman"/>
          <w:b/>
          <w:color w:val="000000"/>
          <w:sz w:val="48"/>
          <w:szCs w:val="48"/>
        </w:rPr>
      </w:pPr>
    </w:p>
    <w:p w:rsidR="00F859A2" w:rsidRPr="00B84E88" w:rsidRDefault="00403CFE" w:rsidP="00B84E88">
      <w:pPr>
        <w:wordWrap w:val="0"/>
        <w:jc w:val="center"/>
        <w:rPr>
          <w:rFonts w:ascii="Times New Roman" w:eastAsia="Times New Roman" w:hAnsi="Times New Roman"/>
          <w:b/>
          <w:color w:val="000000"/>
          <w:sz w:val="48"/>
          <w:szCs w:val="48"/>
        </w:rPr>
      </w:pPr>
      <w:bookmarkStart w:id="0" w:name="_GoBack"/>
      <w:bookmarkEnd w:id="0"/>
      <w:r w:rsidRPr="00B84E88">
        <w:rPr>
          <w:rFonts w:ascii="Times New Roman" w:eastAsia="Times New Roman" w:hAnsi="Times New Roman"/>
          <w:b/>
          <w:color w:val="000000"/>
          <w:sz w:val="48"/>
          <w:szCs w:val="48"/>
        </w:rPr>
        <w:t>S</w:t>
      </w:r>
      <w:r w:rsidR="00F859A2" w:rsidRPr="00B84E88">
        <w:rPr>
          <w:rFonts w:ascii="Times New Roman" w:eastAsia="Times New Roman" w:hAnsi="Times New Roman"/>
          <w:b/>
          <w:color w:val="000000"/>
          <w:sz w:val="48"/>
          <w:szCs w:val="48"/>
        </w:rPr>
        <w:t>UBMISSION FOR THE</w:t>
      </w:r>
      <w:r w:rsidRPr="00B84E88">
        <w:rPr>
          <w:rFonts w:ascii="Times New Roman" w:eastAsia="Times New Roman" w:hAnsi="Times New Roman"/>
          <w:b/>
          <w:color w:val="000000"/>
          <w:sz w:val="48"/>
          <w:szCs w:val="48"/>
        </w:rPr>
        <w:t xml:space="preserve"> </w:t>
      </w:r>
      <w:proofErr w:type="spellStart"/>
      <w:r w:rsidRPr="00B84E88">
        <w:rPr>
          <w:rFonts w:ascii="Times New Roman" w:eastAsia="Times New Roman" w:hAnsi="Times New Roman"/>
          <w:b/>
          <w:color w:val="000000"/>
          <w:sz w:val="48"/>
          <w:szCs w:val="48"/>
        </w:rPr>
        <w:t>L</w:t>
      </w:r>
      <w:r w:rsidR="00A93C9A">
        <w:rPr>
          <w:rFonts w:ascii="Times New Roman" w:eastAsia="Times New Roman" w:hAnsi="Times New Roman"/>
          <w:b/>
          <w:color w:val="000000"/>
          <w:sz w:val="48"/>
          <w:szCs w:val="48"/>
        </w:rPr>
        <w:t>o</w:t>
      </w:r>
      <w:r w:rsidR="00F859A2" w:rsidRPr="00B84E88">
        <w:rPr>
          <w:rFonts w:ascii="Times New Roman" w:eastAsia="Times New Roman" w:hAnsi="Times New Roman"/>
          <w:b/>
          <w:color w:val="000000"/>
          <w:sz w:val="48"/>
          <w:szCs w:val="48"/>
        </w:rPr>
        <w:t>IPR</w:t>
      </w:r>
      <w:proofErr w:type="spellEnd"/>
    </w:p>
    <w:p w:rsidR="00D533BE" w:rsidRPr="00B84E88" w:rsidRDefault="00F859A2" w:rsidP="00B84E88">
      <w:pPr>
        <w:wordWrap w:val="0"/>
        <w:jc w:val="center"/>
        <w:rPr>
          <w:rFonts w:ascii="Times New Roman" w:eastAsia="Times New Roman" w:hAnsi="Times New Roman"/>
          <w:b/>
          <w:color w:val="000000"/>
          <w:sz w:val="48"/>
          <w:szCs w:val="48"/>
        </w:rPr>
      </w:pPr>
      <w:r w:rsidRPr="00B84E88">
        <w:rPr>
          <w:rFonts w:ascii="Times New Roman" w:eastAsia="Times New Roman" w:hAnsi="Times New Roman"/>
          <w:b/>
          <w:color w:val="000000"/>
          <w:sz w:val="48"/>
          <w:szCs w:val="48"/>
        </w:rPr>
        <w:t>ON THE REPUBLIC OF KOREA</w:t>
      </w:r>
    </w:p>
    <w:p w:rsidR="00D533BE" w:rsidRPr="00B84E88" w:rsidRDefault="00D533BE" w:rsidP="00B84E88">
      <w:pPr>
        <w:wordWrap w:val="0"/>
        <w:jc w:val="center"/>
        <w:rPr>
          <w:rFonts w:ascii="Times New Roman" w:eastAsia="Times New Roman" w:hAnsi="Times New Roman"/>
          <w:b/>
          <w:color w:val="000000"/>
          <w:sz w:val="48"/>
          <w:szCs w:val="48"/>
        </w:rPr>
      </w:pPr>
    </w:p>
    <w:p w:rsidR="00D533BE" w:rsidRDefault="00D533BE">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Default="00B84E88">
      <w:pPr>
        <w:wordWrap w:val="0"/>
        <w:jc w:val="right"/>
        <w:rPr>
          <w:rFonts w:ascii="Times New Roman" w:eastAsiaTheme="minorEastAsia" w:hAnsi="Times New Roman"/>
          <w:b/>
          <w:color w:val="000000"/>
          <w:sz w:val="32"/>
          <w:szCs w:val="32"/>
        </w:rPr>
      </w:pPr>
    </w:p>
    <w:p w:rsidR="00B84E88" w:rsidRPr="00B84E88" w:rsidRDefault="00B84E88">
      <w:pPr>
        <w:wordWrap w:val="0"/>
        <w:jc w:val="right"/>
        <w:rPr>
          <w:rFonts w:ascii="Times New Roman" w:eastAsiaTheme="minorEastAsia" w:hAnsi="Times New Roman"/>
          <w:b/>
          <w:color w:val="000000"/>
          <w:sz w:val="32"/>
          <w:szCs w:val="32"/>
        </w:rPr>
      </w:pPr>
    </w:p>
    <w:p w:rsidR="00D533BE" w:rsidRPr="00B84E88" w:rsidRDefault="00403CFE" w:rsidP="00B84E88">
      <w:pPr>
        <w:wordWrap w:val="0"/>
        <w:jc w:val="center"/>
        <w:rPr>
          <w:rFonts w:ascii="Times New Roman" w:eastAsia="Times New Roman" w:hAnsi="Times New Roman"/>
          <w:b/>
          <w:color w:val="000000"/>
          <w:sz w:val="40"/>
          <w:szCs w:val="40"/>
        </w:rPr>
      </w:pPr>
      <w:r w:rsidRPr="00B84E88">
        <w:rPr>
          <w:rFonts w:ascii="Times New Roman" w:eastAsia="Times New Roman" w:hAnsi="Times New Roman"/>
          <w:b/>
          <w:color w:val="000000"/>
          <w:sz w:val="40"/>
          <w:szCs w:val="40"/>
        </w:rPr>
        <w:t>Submitted by</w:t>
      </w:r>
    </w:p>
    <w:p w:rsidR="00D533BE" w:rsidRDefault="00403CFE" w:rsidP="00B84E88">
      <w:pPr>
        <w:wordWrap w:val="0"/>
        <w:jc w:val="center"/>
        <w:rPr>
          <w:rFonts w:ascii="Times New Roman" w:eastAsia="Times New Roman" w:hAnsi="Times New Roman"/>
          <w:b/>
          <w:color w:val="000000"/>
          <w:sz w:val="40"/>
          <w:szCs w:val="40"/>
        </w:rPr>
      </w:pPr>
      <w:r w:rsidRPr="00B84E88">
        <w:rPr>
          <w:rFonts w:ascii="Times New Roman" w:eastAsia="Times New Roman" w:hAnsi="Times New Roman"/>
          <w:b/>
          <w:color w:val="000000"/>
          <w:sz w:val="40"/>
          <w:szCs w:val="40"/>
        </w:rPr>
        <w:t>Korea Disability Law Association</w:t>
      </w:r>
      <w:r w:rsidR="001E411E">
        <w:rPr>
          <w:rFonts w:ascii="Times New Roman" w:eastAsia="Times New Roman" w:hAnsi="Times New Roman"/>
          <w:b/>
          <w:color w:val="000000"/>
          <w:sz w:val="40"/>
          <w:szCs w:val="40"/>
        </w:rPr>
        <w:t xml:space="preserve"> (KDLA)*</w:t>
      </w:r>
    </w:p>
    <w:p w:rsidR="001E411E" w:rsidRDefault="001E411E" w:rsidP="00B84E88">
      <w:pPr>
        <w:wordWrap w:val="0"/>
        <w:jc w:val="center"/>
        <w:rPr>
          <w:rFonts w:ascii="Times New Roman" w:eastAsiaTheme="minorEastAsia" w:hAnsi="Times New Roman"/>
          <w:b/>
          <w:color w:val="000000"/>
          <w:sz w:val="40"/>
          <w:szCs w:val="40"/>
        </w:rPr>
      </w:pPr>
    </w:p>
    <w:p w:rsidR="001E411E" w:rsidRPr="001E411E" w:rsidRDefault="001E411E" w:rsidP="00B84E88">
      <w:pPr>
        <w:wordWrap w:val="0"/>
        <w:jc w:val="center"/>
        <w:rPr>
          <w:rFonts w:ascii="Times New Roman" w:eastAsiaTheme="minorEastAsia" w:hAnsi="Times New Roman"/>
          <w:b/>
          <w:color w:val="000000"/>
          <w:sz w:val="40"/>
          <w:szCs w:val="40"/>
        </w:rPr>
      </w:pPr>
    </w:p>
    <w:p w:rsidR="00D533BE" w:rsidRPr="001E411E" w:rsidRDefault="001E411E" w:rsidP="001E411E">
      <w:pPr>
        <w:wordWrap w:val="0"/>
        <w:rPr>
          <w:rFonts w:ascii="Times New Roman" w:eastAsia="Times New Roman" w:hAnsi="Times New Roman"/>
          <w:color w:val="000000"/>
          <w:sz w:val="24"/>
          <w:szCs w:val="24"/>
        </w:rPr>
      </w:pPr>
      <w:r w:rsidRPr="001E411E">
        <w:rPr>
          <w:rFonts w:ascii="Times New Roman" w:eastAsia="Times New Roman" w:hAnsi="Times New Roman" w:hint="eastAsia"/>
          <w:color w:val="000000"/>
          <w:sz w:val="24"/>
          <w:szCs w:val="24"/>
        </w:rPr>
        <w:t>*</w:t>
      </w:r>
      <w:r>
        <w:rPr>
          <w:rFonts w:ascii="Times New Roman" w:eastAsia="Times New Roman" w:hAnsi="Times New Roman"/>
          <w:color w:val="000000"/>
          <w:sz w:val="24"/>
          <w:szCs w:val="24"/>
        </w:rPr>
        <w:t xml:space="preserve"> </w:t>
      </w:r>
      <w:r w:rsidRPr="001E411E">
        <w:rPr>
          <w:rFonts w:ascii="Times New Roman" w:eastAsia="Times New Roman" w:hAnsi="Times New Roman"/>
          <w:color w:val="000000"/>
          <w:sz w:val="24"/>
          <w:szCs w:val="24"/>
        </w:rPr>
        <w:t xml:space="preserve">Korea Disability Law Association (KDLA) is the only </w:t>
      </w:r>
      <w:r w:rsidR="00A836EB">
        <w:rPr>
          <w:rFonts w:ascii="Times New Roman" w:eastAsia="Times New Roman" w:hAnsi="Times New Roman"/>
          <w:color w:val="000000"/>
          <w:sz w:val="24"/>
          <w:szCs w:val="24"/>
        </w:rPr>
        <w:t>civil society organization</w:t>
      </w:r>
      <w:r w:rsidRPr="001E411E">
        <w:rPr>
          <w:rFonts w:ascii="Times New Roman" w:eastAsia="Times New Roman" w:hAnsi="Times New Roman"/>
          <w:color w:val="000000"/>
          <w:sz w:val="24"/>
          <w:szCs w:val="24"/>
        </w:rPr>
        <w:t xml:space="preserve"> of Korean legal professionals with sincere interest in disability law. The KDLA has extensively been working for the protection and promotion of the rights of persons with disabilities in the Republic of Korea.</w:t>
      </w:r>
    </w:p>
    <w:p w:rsidR="00D533BE" w:rsidRPr="001E411E" w:rsidRDefault="00D533BE">
      <w:pPr>
        <w:wordWrap w:val="0"/>
        <w:rPr>
          <w:rFonts w:ascii="Times New Roman" w:eastAsia="Times New Roman" w:hAnsi="Times New Roman"/>
          <w:color w:val="000000"/>
          <w:sz w:val="28"/>
          <w:szCs w:val="24"/>
        </w:rPr>
      </w:pPr>
    </w:p>
    <w:p w:rsidR="00B84E88" w:rsidRDefault="00B84E88">
      <w:pPr>
        <w:rPr>
          <w:rFonts w:ascii="Times New Roman" w:eastAsia="Times New Roman" w:hAnsi="Times New Roman"/>
          <w:b/>
          <w:color w:val="000000"/>
          <w:sz w:val="24"/>
          <w:szCs w:val="24"/>
        </w:rPr>
      </w:pPr>
      <w:r>
        <w:rPr>
          <w:rFonts w:ascii="Times New Roman" w:eastAsia="Times New Roman" w:hAnsi="Times New Roman"/>
          <w:b/>
          <w:color w:val="000000"/>
          <w:sz w:val="24"/>
          <w:szCs w:val="24"/>
        </w:rPr>
        <w:br w:type="page"/>
      </w: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 xml:space="preserve">A. Purpose and general obligations (arts. 1-4) </w:t>
      </w:r>
    </w:p>
    <w:p w:rsidR="00D533BE" w:rsidRDefault="00D533BE">
      <w:pPr>
        <w:wordWrap w:val="0"/>
        <w:rPr>
          <w:rFonts w:ascii="Times New Roman" w:eastAsia="Times New Roman" w:hAnsi="Times New Roman"/>
          <w:color w:val="000000"/>
          <w:sz w:val="24"/>
          <w:szCs w:val="24"/>
        </w:rPr>
      </w:pPr>
    </w:p>
    <w:p w:rsidR="00D533BE" w:rsidRDefault="00134461"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w:t>
      </w:r>
      <w:r w:rsidR="00A836EB">
        <w:rPr>
          <w:rFonts w:ascii="Times New Roman" w:eastAsia="Times New Roman" w:hAnsi="Times New Roman"/>
          <w:color w:val="000000"/>
          <w:sz w:val="24"/>
          <w:szCs w:val="24"/>
        </w:rPr>
        <w:t>recommend</w:t>
      </w:r>
      <w:r w:rsidR="00403CFE">
        <w:rPr>
          <w:rFonts w:ascii="Times New Roman" w:eastAsia="Times New Roman" w:hAnsi="Times New Roman"/>
          <w:color w:val="000000"/>
          <w:sz w:val="24"/>
          <w:szCs w:val="24"/>
        </w:rPr>
        <w:t>ed that personal assistance be extended to all persons with disabilities including those with psychosocial disabilities, in accordance with their requirements. (9.)</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According to the current laws, children under the age of five, the elderly over the age of 65 or older, or younger than 65 but have geriatric illness</w:t>
      </w:r>
      <w:r w:rsidR="00A836EB">
        <w:rPr>
          <w:rFonts w:ascii="Times New Roman" w:eastAsia="Times New Roman" w:hAnsi="Times New Roman"/>
          <w:color w:val="000000"/>
          <w:sz w:val="24"/>
          <w:szCs w:val="24"/>
        </w:rPr>
        <w:t>es</w:t>
      </w:r>
      <w:r>
        <w:rPr>
          <w:rFonts w:ascii="Times New Roman" w:eastAsia="Times New Roman" w:hAnsi="Times New Roman"/>
          <w:color w:val="000000"/>
          <w:sz w:val="24"/>
          <w:szCs w:val="24"/>
        </w:rPr>
        <w:t xml:space="preserve"> such as dementia and cerebrovascular diseases (hereinafter referred to as “the elderly and others”) </w:t>
      </w:r>
      <w:r w:rsidR="00A836EB">
        <w:rPr>
          <w:rFonts w:ascii="Times New Roman" w:eastAsia="Times New Roman" w:hAnsi="Times New Roman"/>
          <w:color w:val="000000"/>
          <w:sz w:val="24"/>
          <w:szCs w:val="24"/>
        </w:rPr>
        <w:t xml:space="preserve">are not eligible to </w:t>
      </w:r>
      <w:r>
        <w:rPr>
          <w:rFonts w:ascii="Times New Roman" w:eastAsia="Times New Roman" w:hAnsi="Times New Roman"/>
          <w:color w:val="000000"/>
          <w:sz w:val="24"/>
          <w:szCs w:val="24"/>
        </w:rPr>
        <w:t xml:space="preserve">apply for personal assistance service. The elderly and others are deprived of eligibility to apply for activity-support allowances because they are eligible to receive long-term care benefits pursuant to the Act on Long-Term Care Insurance for Older Persons (article 5 of the Act on Activity Assistant Services for Persons with Disabilities). It violates the elderly and others’ right to life worthy of human beings and right to equality. Currently constitutionality of the article above is under review at the Constitutional Court of Korea. Therefore the article that limits eligibility to apply for personal assistance </w:t>
      </w:r>
      <w:r w:rsidR="00A836EB">
        <w:rPr>
          <w:rFonts w:ascii="Times New Roman" w:eastAsia="Times New Roman" w:hAnsi="Times New Roman"/>
          <w:color w:val="000000"/>
          <w:sz w:val="24"/>
          <w:szCs w:val="24"/>
        </w:rPr>
        <w:t xml:space="preserve">service </w:t>
      </w:r>
      <w:r>
        <w:rPr>
          <w:rFonts w:ascii="Times New Roman" w:eastAsia="Times New Roman" w:hAnsi="Times New Roman"/>
          <w:color w:val="000000"/>
          <w:sz w:val="24"/>
          <w:szCs w:val="24"/>
        </w:rPr>
        <w:t xml:space="preserve">for persons with disabilities </w:t>
      </w:r>
      <w:r w:rsidR="00A836EB">
        <w:rPr>
          <w:rFonts w:ascii="Times New Roman" w:eastAsia="Times New Roman" w:hAnsi="Times New Roman"/>
          <w:color w:val="000000"/>
          <w:sz w:val="24"/>
          <w:szCs w:val="24"/>
        </w:rPr>
        <w:t>due to the criteria based</w:t>
      </w:r>
      <w:r>
        <w:rPr>
          <w:rFonts w:ascii="Times New Roman" w:eastAsia="Times New Roman" w:hAnsi="Times New Roman"/>
          <w:color w:val="000000"/>
          <w:sz w:val="24"/>
          <w:szCs w:val="24"/>
        </w:rPr>
        <w:t xml:space="preserve"> on age or a person’s certain illness </w:t>
      </w:r>
      <w:r w:rsidR="00A836EB">
        <w:rPr>
          <w:rFonts w:ascii="Times New Roman" w:eastAsia="Times New Roman" w:hAnsi="Times New Roman"/>
          <w:color w:val="000000"/>
          <w:sz w:val="24"/>
          <w:szCs w:val="24"/>
        </w:rPr>
        <w:t>should be amended</w:t>
      </w:r>
      <w:r>
        <w:rPr>
          <w:rFonts w:ascii="Times New Roman" w:eastAsia="Times New Roman" w:hAnsi="Times New Roman"/>
          <w:color w:val="000000"/>
          <w:sz w:val="24"/>
          <w:szCs w:val="24"/>
        </w:rPr>
        <w:t xml:space="preserve">. </w:t>
      </w:r>
    </w:p>
    <w:p w:rsidR="00B84E88" w:rsidRDefault="00B84E88">
      <w:pPr>
        <w:wordWrap w:val="0"/>
        <w:ind w:left="234" w:hanging="234"/>
        <w:rPr>
          <w:rFonts w:ascii="Times New Roman" w:eastAsia="Times New Roman" w:hAnsi="Times New Roman"/>
          <w:color w:val="000000"/>
          <w:sz w:val="24"/>
          <w:szCs w:val="24"/>
        </w:rPr>
      </w:pPr>
    </w:p>
    <w:tbl>
      <w:tblPr>
        <w:tblpPr w:leftFromText="57" w:rightFromText="57" w:topFromText="57" w:bottomFromText="57" w:vertAnchor="text" w:tblpX="60" w:tblpY="204"/>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Please provide information on whether persons with disabilities can apply for personal assistance</w:t>
            </w:r>
            <w:r w:rsidR="00A836EB">
              <w:rPr>
                <w:rFonts w:ascii="Times New Roman" w:eastAsia="Times New Roman" w:hAnsi="Times New Roman"/>
                <w:color w:val="000000"/>
                <w:sz w:val="24"/>
                <w:szCs w:val="24"/>
              </w:rPr>
              <w:t xml:space="preserve"> service</w:t>
            </w:r>
            <w:r>
              <w:rPr>
                <w:rFonts w:ascii="Times New Roman" w:eastAsia="Times New Roman" w:hAnsi="Times New Roman"/>
                <w:color w:val="000000"/>
                <w:sz w:val="24"/>
                <w:szCs w:val="24"/>
              </w:rPr>
              <w:t xml:space="preserve"> without any limitations and, if limited, provide any reasonable grounds for differentiating those who are eligible and who are not eligible to apply. </w:t>
            </w:r>
          </w:p>
        </w:tc>
      </w:tr>
    </w:tbl>
    <w:p w:rsidR="00D533BE" w:rsidRDefault="00D533BE">
      <w:pPr>
        <w:wordWrap w:val="0"/>
        <w:ind w:left="234" w:hanging="234"/>
        <w:rPr>
          <w:rFonts w:ascii="Times New Roman" w:eastAsia="Times New Roman" w:hAnsi="Times New Roman"/>
          <w:color w:val="000000"/>
          <w:sz w:val="24"/>
          <w:szCs w:val="24"/>
        </w:rPr>
      </w:pPr>
    </w:p>
    <w:p w:rsidR="00D533BE" w:rsidRDefault="00D533BE">
      <w:pPr>
        <w:wordWrap w:val="0"/>
        <w:spacing w:line="295" w:lineRule="auto"/>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B. Specific rights (arts. 5-30)</w:t>
      </w: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Equality and non-discrimination (art. 5)</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recommended that requirements be lowered for the issuance by the Minister of Justice of a remedial order (set out in article 43 of the Anti-Discrimination against and Remedies for Persons with Disabilities Act, ARPDA).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government of Republic of Korea</w:t>
      </w:r>
      <w:r w:rsidR="00A836EB">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(ROK) says that the number of issuance by the Minister of Justice of a remedial order is small because most of the recommendations </w:t>
      </w:r>
      <w:r w:rsidR="00A836EB">
        <w:rPr>
          <w:rFonts w:ascii="Times New Roman" w:eastAsia="Times New Roman" w:hAnsi="Times New Roman"/>
          <w:color w:val="000000"/>
          <w:sz w:val="24"/>
          <w:szCs w:val="24"/>
        </w:rPr>
        <w:t xml:space="preserve">were implemented </w:t>
      </w:r>
      <w:r>
        <w:rPr>
          <w:rFonts w:ascii="Times New Roman" w:eastAsia="Times New Roman" w:hAnsi="Times New Roman"/>
          <w:color w:val="000000"/>
          <w:sz w:val="24"/>
          <w:szCs w:val="24"/>
        </w:rPr>
        <w:t>as the Ministry of Justice induce</w:t>
      </w:r>
      <w:r w:rsidR="00A836EB">
        <w:rPr>
          <w:rFonts w:ascii="Times New Roman" w:eastAsia="Times New Roman" w:hAnsi="Times New Roman"/>
          <w:color w:val="000000"/>
          <w:sz w:val="24"/>
          <w:szCs w:val="24"/>
        </w:rPr>
        <w:t>d</w:t>
      </w:r>
      <w:r>
        <w:rPr>
          <w:rFonts w:ascii="Times New Roman" w:eastAsia="Times New Roman" w:hAnsi="Times New Roman"/>
          <w:color w:val="000000"/>
          <w:sz w:val="24"/>
          <w:szCs w:val="24"/>
        </w:rPr>
        <w:t xml:space="preserve"> the respondent</w:t>
      </w:r>
      <w:r w:rsidR="00A836EB">
        <w:rPr>
          <w:rFonts w:ascii="Times New Roman" w:eastAsia="Times New Roman" w:hAnsi="Times New Roman"/>
          <w:color w:val="000000"/>
          <w:sz w:val="24"/>
          <w:szCs w:val="24"/>
        </w:rPr>
        <w:t>s</w:t>
      </w:r>
      <w:r>
        <w:rPr>
          <w:rFonts w:ascii="Times New Roman" w:eastAsia="Times New Roman" w:hAnsi="Times New Roman"/>
          <w:color w:val="000000"/>
          <w:sz w:val="24"/>
          <w:szCs w:val="24"/>
        </w:rPr>
        <w:t>’ self-implementation through mutual understanding and pursuation. Since the enforcement of ARPDA on 11 April 2008 up to 31 October 2017, of the 117 recommendations the National Human Rights Commission (NHRC) notified to the Ministry of Justice on disability discrimination, 87 cases were concluded with the respondent</w:t>
      </w:r>
      <w:r w:rsidR="00A836EB">
        <w:rPr>
          <w:rFonts w:ascii="Times New Roman" w:eastAsia="Times New Roman" w:hAnsi="Times New Roman"/>
          <w:color w:val="000000"/>
          <w:sz w:val="24"/>
          <w:szCs w:val="24"/>
        </w:rPr>
        <w:t>s</w:t>
      </w:r>
      <w:r>
        <w:rPr>
          <w:rFonts w:ascii="Times New Roman" w:eastAsia="Times New Roman" w:hAnsi="Times New Roman"/>
          <w:color w:val="000000"/>
          <w:sz w:val="24"/>
          <w:szCs w:val="24"/>
        </w:rPr>
        <w:t xml:space="preserve">’ implementation of recommendations, 2 remedial orders were made, and 28 cases </w:t>
      </w:r>
      <w:r w:rsidR="00A836EB">
        <w:rPr>
          <w:rFonts w:ascii="Times New Roman" w:eastAsia="Times New Roman" w:hAnsi="Times New Roman"/>
          <w:color w:val="000000"/>
          <w:sz w:val="24"/>
          <w:szCs w:val="24"/>
        </w:rPr>
        <w:t>remain</w:t>
      </w:r>
      <w:r>
        <w:rPr>
          <w:rFonts w:ascii="Times New Roman" w:eastAsia="Times New Roman" w:hAnsi="Times New Roman"/>
          <w:color w:val="000000"/>
          <w:sz w:val="24"/>
          <w:szCs w:val="24"/>
        </w:rPr>
        <w:t xml:space="preserve"> pending.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Article 42 of the ARPDA stipulates that when the NHRC makes a recommendation pursuant to the ARPDA, it shall give notice thereon to the Minister of Justice. Although the NHRC made a total of 398 recommendations from the enforcement of the ARPDA up until 2015 (while the number of complaints received were 8,826, according to the Human Rights Statistics 2015), only 117 recommendations were notified to the Minister of Justice. </w:t>
      </w: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pX="60" w:tblpY="2883"/>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Suggestion(s) for the LOIs:</w:t>
            </w:r>
          </w:p>
          <w:p w:rsidR="00D533BE" w:rsidRDefault="00403CFE" w:rsidP="005B6201">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the NHRC’s upholding rate of complaints on discrimination against persons with disabilities with comparison to the upholding rate of complaints in other </w:t>
            </w:r>
            <w:r w:rsidR="005B6201">
              <w:rPr>
                <w:rFonts w:ascii="Times New Roman" w:eastAsia="Times New Roman" w:hAnsi="Times New Roman"/>
                <w:color w:val="000000"/>
                <w:sz w:val="24"/>
                <w:szCs w:val="24"/>
              </w:rPr>
              <w:t>fields besides disability</w:t>
            </w:r>
            <w:r>
              <w:rPr>
                <w:rFonts w:ascii="Times New Roman" w:eastAsia="Times New Roman" w:hAnsi="Times New Roman"/>
                <w:color w:val="000000"/>
                <w:sz w:val="24"/>
                <w:szCs w:val="24"/>
              </w:rPr>
              <w:t xml:space="preserve">. Please also provide information on whether the NHRC notifies all of its recommendations to the Minister of Justice according to related laws. Please indicate objective standard for assessing ‘the damage therefrom is deemed to be considerable and has a significant effect on public interest’ to meet the criteria of deciding remedial order. </w:t>
            </w:r>
          </w:p>
        </w:tc>
      </w:tr>
    </w:tbl>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It is likely that the number of remedial order by the Minister of Justice is small because the upholding rate of complaints by the NHRC itself is low. It seems that the NHRC passively deals with complaints cases. It is also problematic that the NHRC did not notify more than half of their recommendations to the Minister of Justice. In addition, one of the criteria for a remedial order by article 43 of ARPDA, ‘the damage therefrom is deemed to be considerable and has a significant effect on public </w:t>
      </w:r>
      <w:r w:rsidR="005B6201">
        <w:rPr>
          <w:rFonts w:ascii="Times New Roman" w:eastAsia="Times New Roman" w:hAnsi="Times New Roman"/>
          <w:color w:val="000000"/>
          <w:sz w:val="24"/>
          <w:szCs w:val="24"/>
        </w:rPr>
        <w:t>interest,</w:t>
      </w:r>
      <w:r>
        <w:rPr>
          <w:rFonts w:ascii="Times New Roman" w:eastAsia="Times New Roman" w:hAnsi="Times New Roman"/>
          <w:color w:val="000000"/>
          <w:sz w:val="24"/>
          <w:szCs w:val="24"/>
        </w:rPr>
        <w:t xml:space="preserve">’ is vague and ambiguous. It is desirable to relax criteria to actively utilize remedial order as there is no restrictions for non-implementation of the NHRC’s recommendations. </w:t>
      </w:r>
    </w:p>
    <w:p w:rsidR="00D533BE" w:rsidRDefault="00D533BE">
      <w:pPr>
        <w:wordWrap w:val="0"/>
        <w:spacing w:line="295" w:lineRule="auto"/>
        <w:rPr>
          <w:rFonts w:ascii="Times New Roman" w:eastAsia="Times New Roman" w:hAnsi="Times New Roman"/>
          <w:color w:val="000000"/>
          <w:sz w:val="24"/>
          <w:szCs w:val="24"/>
        </w:rPr>
      </w:pPr>
    </w:p>
    <w:p w:rsidR="00D533BE" w:rsidRDefault="00D533BE">
      <w:pPr>
        <w:wordWrap w:val="0"/>
        <w:rPr>
          <w:rFonts w:ascii="Times New Roman" w:eastAsiaTheme="minorEastAsia" w:hAnsi="Times New Roman"/>
          <w:color w:val="000000"/>
          <w:sz w:val="24"/>
          <w:szCs w:val="24"/>
        </w:rPr>
      </w:pPr>
    </w:p>
    <w:p w:rsidR="00B84E88" w:rsidRPr="00B84E88" w:rsidRDefault="00B84E88">
      <w:pPr>
        <w:wordWrap w:val="0"/>
        <w:rPr>
          <w:rFonts w:ascii="Times New Roman" w:eastAsiaTheme="minorEastAsia"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Accessibility (art. 9)</w:t>
      </w: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&lt;On accessibility to public transportation&gt;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recommended that the State party review current public transportation policies, with a view to ensuring that persons with disabilities can use all types of public transportation safely and conveniently. (18.)</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government of ROK says that it implements the Committee’s recommendations by improving transportation convenience through establishing ‘The Third Improvement Plan for the Transportation Vulnerables (’17-’21)’ which includes supplying medium-sized low-floor buses and developing wheelchair accessible express intercity buses.</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Third Improvement Plan for the Transportation Vulnerables (’17-’21), however, does not seem to contain concrete plans on improvement measures to enhance accessibility for intercity transportation. Currently there are pending cases before the court against intercity bus companies, local governments and Minister of Land, Infrastructure and Transport on ensuring mobility right of persons with physical disabilities. </w:t>
      </w:r>
    </w:p>
    <w:p w:rsidR="004543FC" w:rsidRDefault="004543FC" w:rsidP="004543FC">
      <w:pPr>
        <w:wordWrap w:val="0"/>
        <w:ind w:left="142" w:hanging="142"/>
        <w:rPr>
          <w:rFonts w:ascii="Times New Roman" w:eastAsia="Times New Roman" w:hAnsi="Times New Roman"/>
          <w:color w:val="000000"/>
          <w:sz w:val="24"/>
          <w:szCs w:val="24"/>
        </w:rPr>
      </w:pPr>
    </w:p>
    <w:tbl>
      <w:tblPr>
        <w:tblpPr w:leftFromText="57" w:rightFromText="57" w:topFromText="57" w:bottomFromText="57" w:vertAnchor="text" w:tblpY="234"/>
        <w:tblOverlap w:val="never"/>
        <w:tblW w:w="8420" w:type="dxa"/>
        <w:tblCellMar>
          <w:top w:w="28" w:type="dxa"/>
          <w:left w:w="102" w:type="dxa"/>
          <w:bottom w:w="28" w:type="dxa"/>
          <w:right w:w="102" w:type="dxa"/>
        </w:tblCellMar>
        <w:tblLook w:val="0600" w:firstRow="0" w:lastRow="0" w:firstColumn="0" w:lastColumn="0" w:noHBand="1" w:noVBand="1"/>
      </w:tblPr>
      <w:tblGrid>
        <w:gridCol w:w="8420"/>
      </w:tblGrid>
      <w:tr w:rsidR="00D533BE" w:rsidTr="00B84E88">
        <w:trPr>
          <w:trHeight w:val="1184"/>
        </w:trPr>
        <w:tc>
          <w:tcPr>
            <w:tcW w:w="8420"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ind w:left="100" w:hanging="10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pPr>
              <w:wordWrap w:val="0"/>
              <w:ind w:left="100" w:hanging="100"/>
              <w:rPr>
                <w:rFonts w:ascii="Times New Roman" w:eastAsia="Times New Roman" w:hAnsi="Times New Roman"/>
                <w:color w:val="000000"/>
                <w:sz w:val="24"/>
                <w:szCs w:val="24"/>
              </w:rPr>
            </w:pPr>
            <w:r>
              <w:rPr>
                <w:rFonts w:ascii="Times New Roman" w:eastAsia="Times New Roman" w:hAnsi="Times New Roman"/>
                <w:color w:val="000000"/>
                <w:sz w:val="24"/>
                <w:szCs w:val="24"/>
              </w:rPr>
              <w:t>Please provide information on the concrete improvement plan of the State party for intercity transportation accessiblity, a prerequisite to ensure intercity mobility right of persons with disabilities.</w:t>
            </w:r>
          </w:p>
        </w:tc>
      </w:tr>
    </w:tbl>
    <w:p w:rsidR="00D533BE" w:rsidRDefault="00D533BE">
      <w:pPr>
        <w:wordWrap w:val="0"/>
        <w:rPr>
          <w:rFonts w:ascii="Times New Roman" w:eastAsia="Times New Roman" w:hAnsi="Times New Roman"/>
          <w:color w:val="000000"/>
          <w:sz w:val="24"/>
          <w:szCs w:val="24"/>
        </w:rPr>
      </w:pPr>
    </w:p>
    <w:p w:rsidR="00D533BE" w:rsidRDefault="00D533BE">
      <w:pPr>
        <w:wordWrap w:val="0"/>
        <w:spacing w:line="295" w:lineRule="auto"/>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&lt;On building accessibility&gt;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expressed its concern that accessiblity standards for buildings are restricted by minimum size, capacity and date of construction and have not yet been </w:t>
      </w:r>
      <w:r>
        <w:rPr>
          <w:rFonts w:ascii="Times New Roman" w:eastAsia="Times New Roman" w:hAnsi="Times New Roman"/>
          <w:color w:val="000000"/>
          <w:sz w:val="24"/>
          <w:szCs w:val="24"/>
        </w:rPr>
        <w:lastRenderedPageBreak/>
        <w:t xml:space="preserve">applied to all public buildings. The Committee encouraged the State party to apply accessibility standards to all public facilities and workplaces, regardless of their size, capacity or date of construction, in accordance with article 9 of the Convention and the Committee’s general comment No. 2 (2014) on accessiblitiy. (18.)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government of ROK acknowledged that there were some insufficiency in improving reasonable accommodation for persons with disabilities as, pursuant to the ‘Act on Guarantee of Promotion of Convenience of Persons with Disabilities, the Aged, Pregnant Women, Etc.(enforced on 11 April 1998)’, buildings built before the enforcement date of the Act were not imposed of any obligations of accessibility standards, and accessiblitiy standards were not imposed on buildings of certain purposes if in minimun size of less than 300㎡. The government of ROK said it would improve accessibility for persons with disabilities by adopting mandatory BF</w:t>
      </w:r>
      <w:r w:rsidR="005B6201">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(Barrier Free) accreditation system for all newly constructed public buildings starting from 29 July 2015, naturally inducing voluntary participation of private facilities for the BF accreditation.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Most of the buildings that persons with disabilities use are either constructed before the enforcement of the Act or exempted from legal obligations for being in a size less than 300㎡. Hence, as such buildings are exempted from legal obligations without any reservations, the BF accreditation system for newly constructed buildings cannot be an effective alternative plan. Furthermore, the gap between BF accreditation system participation rate of public facilities and private facilities has widened in 2016 compared to that of 2015 (According to statistics prepared and submitted by the Korea Disabled People’s Development Institute to Mr. Dongmin Ki, member of the National Assembly). The BF accreditation system’s effect on private buildings is also minimal. </w:t>
      </w:r>
    </w:p>
    <w:p w:rsidR="00D533BE" w:rsidRDefault="00D533BE">
      <w:pPr>
        <w:wordWrap w:val="0"/>
        <w:ind w:left="226" w:hanging="226"/>
        <w:rPr>
          <w:rFonts w:ascii="Times New Roman" w:eastAsia="Times New Roman" w:hAnsi="Times New Roman"/>
          <w:color w:val="000000"/>
          <w:sz w:val="24"/>
          <w:szCs w:val="24"/>
        </w:rPr>
      </w:pPr>
    </w:p>
    <w:tbl>
      <w:tblPr>
        <w:tblpPr w:leftFromText="57" w:rightFromText="57" w:topFromText="57" w:bottomFromText="57" w:vertAnchor="text" w:tblpX="46" w:tblpY="185"/>
        <w:tblOverlap w:val="never"/>
        <w:tblW w:w="8463" w:type="dxa"/>
        <w:tblCellMar>
          <w:top w:w="28" w:type="dxa"/>
          <w:left w:w="102" w:type="dxa"/>
          <w:bottom w:w="28" w:type="dxa"/>
          <w:right w:w="102" w:type="dxa"/>
        </w:tblCellMar>
        <w:tblLook w:val="0600" w:firstRow="0" w:lastRow="0" w:firstColumn="0" w:lastColumn="0" w:noHBand="1" w:noVBand="1"/>
      </w:tblPr>
      <w:tblGrid>
        <w:gridCol w:w="8463"/>
      </w:tblGrid>
      <w:tr w:rsidR="00D533BE">
        <w:tc>
          <w:tcPr>
            <w:tcW w:w="8463"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rsidP="005B6201">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w:t>
            </w:r>
            <w:r w:rsidR="005B6201">
              <w:rPr>
                <w:rFonts w:ascii="Times New Roman" w:eastAsia="Times New Roman" w:hAnsi="Times New Roman"/>
                <w:color w:val="000000"/>
                <w:sz w:val="24"/>
                <w:szCs w:val="24"/>
              </w:rPr>
              <w:t>a</w:t>
            </w:r>
            <w:r>
              <w:rPr>
                <w:rFonts w:ascii="Times New Roman" w:eastAsia="Times New Roman" w:hAnsi="Times New Roman"/>
                <w:color w:val="000000"/>
                <w:sz w:val="24"/>
                <w:szCs w:val="24"/>
              </w:rPr>
              <w:t xml:space="preserve"> ratio of buildings constructed before the enforcement date of the related Act or </w:t>
            </w:r>
            <w:r w:rsidR="005B6201">
              <w:rPr>
                <w:rFonts w:ascii="Times New Roman" w:eastAsia="Times New Roman" w:hAnsi="Times New Roman"/>
                <w:color w:val="000000"/>
                <w:sz w:val="24"/>
                <w:szCs w:val="24"/>
              </w:rPr>
              <w:t xml:space="preserve">a ration of </w:t>
            </w:r>
            <w:r>
              <w:rPr>
                <w:rFonts w:ascii="Times New Roman" w:eastAsia="Times New Roman" w:hAnsi="Times New Roman"/>
                <w:color w:val="000000"/>
                <w:sz w:val="24"/>
                <w:szCs w:val="24"/>
              </w:rPr>
              <w:t xml:space="preserve">buildings that are exempted from legal obligations on accessibility pursuant to the related laws out of all the buildings. Please also provide information on research output and future plans on the need for amendment of current laws which uniformly </w:t>
            </w:r>
            <w:r w:rsidR="005B6201">
              <w:rPr>
                <w:rFonts w:ascii="Times New Roman" w:eastAsia="Times New Roman" w:hAnsi="Times New Roman"/>
                <w:color w:val="000000"/>
                <w:sz w:val="24"/>
                <w:szCs w:val="24"/>
              </w:rPr>
              <w:t>restrict</w:t>
            </w:r>
            <w:r>
              <w:rPr>
                <w:rFonts w:ascii="Times New Roman" w:eastAsia="Times New Roman" w:hAnsi="Times New Roman"/>
                <w:color w:val="000000"/>
                <w:sz w:val="24"/>
                <w:szCs w:val="24"/>
              </w:rPr>
              <w:t xml:space="preserve"> accessibility standards </w:t>
            </w:r>
            <w:r w:rsidR="005B6201">
              <w:rPr>
                <w:rFonts w:ascii="Times New Roman" w:eastAsia="Times New Roman" w:hAnsi="Times New Roman"/>
                <w:color w:val="000000"/>
                <w:sz w:val="24"/>
                <w:szCs w:val="24"/>
              </w:rPr>
              <w:t>by minimum size, capacity or date of construction</w:t>
            </w:r>
            <w:r>
              <w:rPr>
                <w:rFonts w:ascii="Times New Roman" w:eastAsia="Times New Roman" w:hAnsi="Times New Roman"/>
                <w:color w:val="000000"/>
                <w:sz w:val="24"/>
                <w:szCs w:val="24"/>
              </w:rPr>
              <w:t xml:space="preserve">. Please indicate the effectiveness of the BF accreditation system in terms of private facilities and the State party’s effort in improving the private facilities’ participation in the system. </w:t>
            </w:r>
          </w:p>
        </w:tc>
      </w:tr>
    </w:tbl>
    <w:p w:rsidR="00D533BE" w:rsidRDefault="00D533BE">
      <w:pPr>
        <w:wordWrap w:val="0"/>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&lt;On web accessibility&gt; </w:t>
      </w:r>
    </w:p>
    <w:p w:rsidR="00D533BE" w:rsidRDefault="00D533BE">
      <w:pPr>
        <w:wordWrap w:val="0"/>
        <w:rPr>
          <w:rFonts w:ascii="Times New Roman" w:eastAsia="Times New Roman" w:hAnsi="Times New Roman"/>
          <w:b/>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recommended that the State party amend the relevant laws to ensure that all persons with disabilities can gain access to information via Internet websites on an equal basis with others, and facilitate access to smart phones for persons with visual and other impairments. (18.)</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Chars="59"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adopted rules on mobile application </w:t>
      </w:r>
      <w:r w:rsidR="005B6201">
        <w:rPr>
          <w:rFonts w:ascii="Times New Roman" w:eastAsia="Times New Roman" w:hAnsi="Times New Roman"/>
          <w:color w:val="000000"/>
          <w:sz w:val="24"/>
          <w:szCs w:val="24"/>
        </w:rPr>
        <w:t>accessibility at a level of the</w:t>
      </w:r>
      <w:r>
        <w:rPr>
          <w:rFonts w:ascii="Times New Roman" w:eastAsia="Times New Roman" w:hAnsi="Times New Roman"/>
          <w:color w:val="000000"/>
          <w:sz w:val="24"/>
          <w:szCs w:val="24"/>
        </w:rPr>
        <w:t xml:space="preserve"> Ministry of Science, ICT &amp; Future Planning’s announcement. </w:t>
      </w: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pX="61" w:tblpY="42"/>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Please provide information on any future legislation plan to ensure information accessibility of mobile and consumer electronics which are now essential products of daily lives for persons with disabilities.</w:t>
            </w:r>
          </w:p>
        </w:tc>
      </w:tr>
    </w:tbl>
    <w:p w:rsidR="00D533BE" w:rsidRDefault="00D533BE">
      <w:pPr>
        <w:wordWrap w:val="0"/>
        <w:spacing w:line="295" w:lineRule="auto"/>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Equal recognition before the law (art. 12)</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recommended that the State party move from substitute decision-making to supported decision-making, which respects the person’s autonomy, will and preferences and is in full conformity with article 12 of the Convention and general comment No. 1, including with respect to the individual’s right to give and withdraw informed consent for medical treatment, to have access to justice, to vote, to marry, to work and to choose his or her place of residence. (22.)</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says that, with the introduction of the Adult Guardianship System, the government moved its stance from substitutte decision-making to supported decision-making because an adult ward can do a valid </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juristic act necessary for everyday life and the price for which is not excessive</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 and being a person of full capacity in principle, an adult ward only requires consent from his or her limited guardian for acts that are determined by the Family Court as acts that need a consent.</w:t>
      </w:r>
    </w:p>
    <w:p w:rsidR="00D533BE" w:rsidRDefault="00D533BE">
      <w:pPr>
        <w:wordWrap w:val="0"/>
        <w:ind w:left="228" w:hanging="228"/>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For the two years after the introduction of the Adult Guardianship System, adult guardianship comprises 81.99%</w:t>
      </w:r>
      <w:r w:rsidR="002D4101">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(5,418 cases out of total 6,608 cases), far more than any other types</w:t>
      </w:r>
      <w:r w:rsidR="002D4101">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(limited, specific, voluntary)</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of guardianship. There is a great risk of an adult ward’s decision to be made upon the adult guardian’s will as there is no clear definition for ‘act necessary for everyday life and the price for which is not excessive’. In principle, the law stipulates that all of an adult ward’s acts may be void by an adult guardian. Therefore it cannot be said that current Adult Guardianship System transfe</w:t>
      </w:r>
      <w:r w:rsidR="002D4101">
        <w:rPr>
          <w:rFonts w:ascii="Times New Roman" w:eastAsia="Times New Roman" w:hAnsi="Times New Roman"/>
          <w:color w:val="000000"/>
          <w:sz w:val="24"/>
          <w:szCs w:val="24"/>
        </w:rPr>
        <w:t>r</w:t>
      </w:r>
      <w:r>
        <w:rPr>
          <w:rFonts w:ascii="Times New Roman" w:eastAsia="Times New Roman" w:hAnsi="Times New Roman"/>
          <w:color w:val="000000"/>
          <w:sz w:val="24"/>
          <w:szCs w:val="24"/>
        </w:rPr>
        <w:t xml:space="preserve">red the government’s stance to supported decision-making. </w:t>
      </w: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rsidP="002D4101">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Please provide information on the current status of each type of the Adult Guardianship System. Please clarify the risk of an adult ward’s acts be made upon the adult guardian’s will due to no clear definition for acts that can be done by adult wards themselves. Please also clarify whether the law stipulating an adult ward’s acts</w:t>
            </w:r>
            <w:r w:rsidR="002D4101">
              <w:rPr>
                <w:rFonts w:ascii="Times New Roman" w:eastAsia="Times New Roman" w:hAnsi="Times New Roman"/>
                <w:color w:val="000000"/>
                <w:sz w:val="24"/>
                <w:szCs w:val="24"/>
              </w:rPr>
              <w:t xml:space="preserve">, in principle, </w:t>
            </w:r>
            <w:r>
              <w:rPr>
                <w:rFonts w:ascii="Times New Roman" w:eastAsia="Times New Roman" w:hAnsi="Times New Roman"/>
                <w:color w:val="000000"/>
                <w:sz w:val="24"/>
                <w:szCs w:val="24"/>
              </w:rPr>
              <w:t xml:space="preserve">are subject to be void by an adult guardian is in accordance with the purpose of the supported decision-making system. </w:t>
            </w:r>
          </w:p>
        </w:tc>
      </w:tr>
    </w:tbl>
    <w:p w:rsidR="00D533BE" w:rsidRDefault="00D533BE">
      <w:pPr>
        <w:wordWrap w:val="0"/>
        <w:spacing w:line="295" w:lineRule="auto"/>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Access to justice (art. 13)</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expressed its concern about </w:t>
      </w:r>
      <w:r w:rsidR="002D4101">
        <w:rPr>
          <w:rFonts w:ascii="Times New Roman" w:eastAsia="Times New Roman" w:hAnsi="Times New Roman"/>
          <w:color w:val="000000"/>
          <w:sz w:val="24"/>
          <w:szCs w:val="24"/>
        </w:rPr>
        <w:t xml:space="preserve">the </w:t>
      </w:r>
      <w:r>
        <w:rPr>
          <w:rFonts w:ascii="Times New Roman" w:eastAsia="Times New Roman" w:hAnsi="Times New Roman"/>
          <w:color w:val="000000"/>
          <w:sz w:val="24"/>
          <w:szCs w:val="24"/>
        </w:rPr>
        <w:t>lack of effective implementation of article 26 of the ARPDA, which requires that the Government ensure reasonable accommodation during judicial procedures for persons with disabilities. The Committee recommended that the State party increase its efforts to ensure the effective implementation of article 26 of the ARPDA. The Committee also recommended that the Guidlines for Judicial Assistance for Persons with Disabilities, published by the Korean Supreme Court, be legally binding and implemented effectively. (24.)</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spacing w:line="227" w:lineRule="auto"/>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has implemented intermediaries system to support communication of persons with disabilities in judicial procedures pursuant to the article 26 of the ARPDA. The government, however, says that the Guidelines for </w:t>
      </w:r>
      <w:r>
        <w:rPr>
          <w:rFonts w:ascii="Times New Roman" w:eastAsia="Times New Roman" w:hAnsi="Times New Roman"/>
          <w:color w:val="000000"/>
          <w:sz w:val="24"/>
          <w:szCs w:val="24"/>
        </w:rPr>
        <w:lastRenderedPageBreak/>
        <w:t xml:space="preserve">Judicial Assistance for Persons with Disabilities is not suitable to grant a legally binding force as it sets out detailed supporting measures based on each type of disabilities and steps of judicial proceedings instead of general and abstract norms.  </w:t>
      </w:r>
    </w:p>
    <w:p w:rsidR="00D533BE" w:rsidRDefault="00D533BE" w:rsidP="00362CB8">
      <w:pPr>
        <w:wordWrap w:val="0"/>
        <w:rPr>
          <w:rFonts w:ascii="Times New Roman" w:eastAsia="Times New Roman" w:hAnsi="Times New Roman"/>
          <w:color w:val="000000"/>
          <w:sz w:val="24"/>
          <w:szCs w:val="24"/>
        </w:rPr>
      </w:pPr>
    </w:p>
    <w:p w:rsidR="00D533BE" w:rsidRDefault="00403CFE" w:rsidP="004543FC">
      <w:pPr>
        <w:wordWrap w:val="0"/>
        <w:spacing w:line="227" w:lineRule="auto"/>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Intermediaries system cannot be utilized when persons with disabilities are either assailants, testifiers, or witnesses. The Guidelines for Judicial Assistance for Persons with Disabilities could be legislated as a rule or a regulation as ROK legal system stipulates general and abstract norms in laws and specific matters in rules or regulations.  </w:t>
      </w:r>
    </w:p>
    <w:p w:rsidR="00D533BE" w:rsidRDefault="00403CFE" w:rsidP="00362CB8">
      <w:pPr>
        <w:wordWrap w:val="0"/>
        <w:spacing w:line="227" w:lineRule="auto"/>
        <w:ind w:left="219" w:hanging="219"/>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clarify whether the State party provides accommodations for persons with disabilities in judicial procedures regardless of </w:t>
            </w:r>
            <w:r w:rsidR="002D4101">
              <w:rPr>
                <w:rFonts w:ascii="Times New Roman" w:eastAsia="Times New Roman" w:hAnsi="Times New Roman"/>
                <w:color w:val="000000"/>
                <w:sz w:val="24"/>
                <w:szCs w:val="24"/>
              </w:rPr>
              <w:t xml:space="preserve">whether </w:t>
            </w:r>
            <w:r>
              <w:rPr>
                <w:rFonts w:ascii="Times New Roman" w:eastAsia="Times New Roman" w:hAnsi="Times New Roman"/>
                <w:color w:val="000000"/>
                <w:sz w:val="24"/>
                <w:szCs w:val="24"/>
              </w:rPr>
              <w:t xml:space="preserve">the person with disabilities concerned is a victim, assailant, testifier, or witness. Please indicate any difficulties in legislating the Guidelines for Judicial Assistance for Persons with Disabilities as a law or lower statute(rules or regulations). </w:t>
            </w:r>
          </w:p>
        </w:tc>
      </w:tr>
    </w:tbl>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Liberty and security of the person (art. 14)</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expressed its concern that the existing legal provisions in the Mental Health Act, as well as the draft amendment to the Act, allow for deprivation of liberty on the basis of disability. The Committee recommended that the State party repeal the existing legal provisions allowing for the deprivation of liberty on the basis of disability, including a psychosocial or intellectual disability. (26.)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30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expressed its concern about the high rate of institutionalization, including long-term institutionalization, of persons with psychosocial disabilities without their free and informed consent. The Committee recommended the State party adopt measures to ensure that health-care services, including all mental health care services, are based on the free and informed consent of the person concerned. (26.)</w:t>
      </w:r>
    </w:p>
    <w:p w:rsidR="00D533BE" w:rsidRDefault="00D533BE">
      <w:pPr>
        <w:wordWrap w:val="0"/>
        <w:ind w:left="300" w:hanging="300"/>
        <w:rPr>
          <w:rFonts w:ascii="Times New Roman" w:eastAsia="Times New Roman" w:hAnsi="Times New Roman"/>
          <w:color w:val="000000"/>
          <w:sz w:val="24"/>
          <w:szCs w:val="24"/>
        </w:rPr>
      </w:pPr>
    </w:p>
    <w:p w:rsidR="00D533BE" w:rsidRDefault="00403CFE" w:rsidP="004543FC">
      <w:pPr>
        <w:wordWrap w:val="0"/>
        <w:ind w:left="142" w:hanging="284"/>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also recommended that until the law is amended, all cases of deprivation of liberty of persons with disabilities in hospitals and specialized institutions be reviewed and that the review include a possibility of appeal. </w:t>
      </w:r>
      <w:r w:rsidR="002D4101">
        <w:rPr>
          <w:rFonts w:ascii="Times New Roman" w:eastAsia="Times New Roman" w:hAnsi="Times New Roman"/>
          <w:color w:val="000000"/>
          <w:sz w:val="24"/>
          <w:szCs w:val="24"/>
        </w:rPr>
        <w:t>(26.)</w:t>
      </w:r>
    </w:p>
    <w:p w:rsidR="00D533BE" w:rsidRDefault="00D533BE">
      <w:pPr>
        <w:wordWrap w:val="0"/>
        <w:ind w:left="300" w:hanging="300"/>
        <w:rPr>
          <w:rFonts w:ascii="Times New Roman" w:eastAsia="Times New Roman" w:hAnsi="Times New Roman"/>
          <w:color w:val="000000"/>
          <w:sz w:val="24"/>
          <w:szCs w:val="24"/>
        </w:rPr>
      </w:pPr>
    </w:p>
    <w:p w:rsidR="00D533BE" w:rsidRDefault="00403CFE" w:rsidP="004543FC">
      <w:pPr>
        <w:wordWrap w:val="0"/>
        <w:spacing w:line="227" w:lineRule="auto"/>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focuses on effectively implementing the newly amended Act on the Improvement of Mental Health and the Support for Welfare Services for Mental Patients which strengthens human rights of persons with mental disabilities including new criteria for forced hospitalization at mental health institutions.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spacing w:line="227" w:lineRule="auto"/>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for Examination as to Legitimacy of Hospitalization has been set up in accordance with the newly amended Act on the Improvement of Mental Health and the Support for Welfare Services for Mental Patients. It is difficult to say that the new system faithfully reflects the Committee’s recommendations. A new amendment of the Act that requests judicial review of legitimacy on forced hospitalization has been proposed to the National Assembly following the Constitutional Court decision of constitutional nonconformity on the article of the Act about forced hospitalization. </w:t>
      </w:r>
      <w:r w:rsidR="008A77CB">
        <w:rPr>
          <w:rFonts w:ascii="Times New Roman" w:eastAsia="Times New Roman" w:hAnsi="Times New Roman"/>
          <w:color w:val="000000"/>
          <w:sz w:val="24"/>
          <w:szCs w:val="24"/>
        </w:rPr>
        <w:t>Increase in</w:t>
      </w:r>
      <w:r>
        <w:rPr>
          <w:rFonts w:ascii="Times New Roman" w:eastAsia="Times New Roman" w:hAnsi="Times New Roman"/>
          <w:color w:val="000000"/>
          <w:sz w:val="24"/>
          <w:szCs w:val="24"/>
        </w:rPr>
        <w:t xml:space="preserve"> welfare support is much needed for persons with mental disabilities to live in local communities.  </w:t>
      </w:r>
    </w:p>
    <w:p w:rsidR="00D533BE" w:rsidRDefault="00403CFE">
      <w:pPr>
        <w:wordWrap w:val="0"/>
        <w:spacing w:line="227" w:lineRule="auto"/>
        <w:ind w:left="211" w:hanging="21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FE5A9A" w:rsidRDefault="00FE5A9A">
      <w:pPr>
        <w:wordWrap w:val="0"/>
        <w:spacing w:line="227" w:lineRule="auto"/>
        <w:ind w:left="211" w:hanging="211"/>
        <w:rPr>
          <w:rFonts w:ascii="Times New Roman" w:eastAsia="Times New Roman" w:hAnsi="Times New Roman"/>
          <w:color w:val="000000"/>
          <w:sz w:val="24"/>
          <w:szCs w:val="24"/>
        </w:rPr>
      </w:pPr>
    </w:p>
    <w:p w:rsidR="00FE5A9A" w:rsidRDefault="00FE5A9A">
      <w:pPr>
        <w:wordWrap w:val="0"/>
        <w:spacing w:line="227" w:lineRule="auto"/>
        <w:ind w:left="211" w:hanging="211"/>
        <w:rPr>
          <w:rFonts w:ascii="Times New Roman" w:eastAsia="Times New Roman" w:hAnsi="Times New Roman"/>
          <w:color w:val="000000"/>
          <w:sz w:val="24"/>
          <w:szCs w:val="24"/>
        </w:rPr>
      </w:pPr>
    </w:p>
    <w:tbl>
      <w:tblPr>
        <w:tblpPr w:leftFromText="57" w:rightFromText="57" w:topFromText="57" w:bottomFromText="57" w:vertAnchor="text" w:tblpY="180"/>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improvement plans that faithfully reflect the Committee’s recommendations while solving the issues raised from forced hospitalization pursuant to the Act on the Improvement of Mental Health and the Support for Welfare Services for Mental Patients. Please indicate whether the State party is prepared to provide sufficient welfare service and budget to support independent living of persons with disabilities in local communities. </w:t>
            </w:r>
          </w:p>
        </w:tc>
      </w:tr>
    </w:tbl>
    <w:p w:rsidR="00D533BE" w:rsidRDefault="00D533BE">
      <w:pPr>
        <w:wordWrap w:val="0"/>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Freedom from exploitation, violence and abuser</w:t>
      </w:r>
      <w:r w:rsidR="002D4101">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(art. 16)</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recommended that the State party strengthen its investigations into the incidents of forced labour of persons with disabilities and provide the victims with adequate protection. (32.)</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plans to impose stringent and immediate action when forced labour of persons with disabilities occurs, and conduct regular inspection on businesses employing a large number of persons with disabilities. </w:t>
      </w: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pX="-60" w:tblpY="1545"/>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rsidP="008A77CB">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adequate protection system for persons with disabilities who were victims of forced labour. Please indicate whether long-term protection measures have been taken effectively </w:t>
            </w:r>
            <w:r w:rsidR="008A77CB">
              <w:rPr>
                <w:rFonts w:ascii="Times New Roman" w:eastAsia="Times New Roman" w:hAnsi="Times New Roman"/>
                <w:color w:val="000000"/>
                <w:sz w:val="24"/>
                <w:szCs w:val="24"/>
              </w:rPr>
              <w:t xml:space="preserve">for the protection </w:t>
            </w:r>
            <w:r>
              <w:rPr>
                <w:rFonts w:ascii="Times New Roman" w:eastAsia="Times New Roman" w:hAnsi="Times New Roman"/>
                <w:color w:val="000000"/>
                <w:sz w:val="24"/>
                <w:szCs w:val="24"/>
              </w:rPr>
              <w:t xml:space="preserve">victims of the confirmed forced labour cases.  </w:t>
            </w:r>
          </w:p>
        </w:tc>
      </w:tr>
    </w:tbl>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In case of the so-called ‘Slavery on salt farms of Sinan county’, many of the disabled victims are now either gone back to the salt farms or living on the streets. Stringent punishments to the assailants are necessary, but adequate protection to the victimized persons with disabilities should be systematically provided.  </w:t>
      </w:r>
    </w:p>
    <w:p w:rsidR="00D533BE" w:rsidRDefault="00D533BE">
      <w:pPr>
        <w:wordWrap w:val="0"/>
        <w:rPr>
          <w:rFonts w:ascii="Times New Roman" w:eastAsia="Times New Roman" w:hAnsi="Times New Roman"/>
          <w:color w:val="000000"/>
          <w:sz w:val="24"/>
          <w:szCs w:val="24"/>
        </w:rPr>
      </w:pPr>
    </w:p>
    <w:p w:rsidR="00D533BE" w:rsidRDefault="00D533BE">
      <w:pPr>
        <w:wordWrap w:val="0"/>
        <w:rPr>
          <w:rFonts w:ascii="Times New Roman" w:eastAsiaTheme="minorEastAsia" w:hAnsi="Times New Roman"/>
          <w:color w:val="000000"/>
          <w:sz w:val="24"/>
          <w:szCs w:val="24"/>
        </w:rPr>
      </w:pPr>
    </w:p>
    <w:p w:rsidR="00B84E88" w:rsidRPr="00B84E88" w:rsidRDefault="00B84E88">
      <w:pPr>
        <w:wordWrap w:val="0"/>
        <w:rPr>
          <w:rFonts w:ascii="Times New Roman" w:eastAsiaTheme="minorEastAsia"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Living independently and being included in the community (art. 19)</w:t>
      </w: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&lt;On deinstitutionalization&gt;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urged the State party to develop effective deinstitutionalization strategies based on the human rights model of disability</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(38.)</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government of ROK is implementing policies to strengthen protection of human rights of persons with disabilities in institutions, to minimize the size of existing institutions and to further foster small</w:t>
      </w:r>
      <w:r w:rsidR="008A77CB">
        <w:rPr>
          <w:rFonts w:ascii="Times New Roman" w:eastAsia="Times New Roman" w:hAnsi="Times New Roman"/>
          <w:color w:val="000000"/>
          <w:sz w:val="24"/>
          <w:szCs w:val="24"/>
        </w:rPr>
        <w:t>-sized</w:t>
      </w:r>
      <w:r>
        <w:rPr>
          <w:rFonts w:ascii="Times New Roman" w:eastAsia="Times New Roman" w:hAnsi="Times New Roman"/>
          <w:color w:val="000000"/>
          <w:sz w:val="24"/>
          <w:szCs w:val="24"/>
        </w:rPr>
        <w:t xml:space="preserve"> share houses or experience homes.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Despite such efforts, 64.7% of those institutionalized still live in large scale institutions with capacity of 30 persons or more (’Improvement Plans for Minimization Policy of Residential Institutions for Persons with Disabilities’ conducted by National Assembly Research Service, January 2017). Government policy to minimize the s</w:t>
      </w:r>
      <w:r w:rsidR="008A77CB">
        <w:rPr>
          <w:rFonts w:ascii="Times New Roman" w:eastAsia="Times New Roman" w:hAnsi="Times New Roman"/>
          <w:color w:val="000000"/>
          <w:sz w:val="24"/>
          <w:szCs w:val="24"/>
        </w:rPr>
        <w:t>ize</w:t>
      </w:r>
      <w:r>
        <w:rPr>
          <w:rFonts w:ascii="Times New Roman" w:eastAsia="Times New Roman" w:hAnsi="Times New Roman"/>
          <w:color w:val="000000"/>
          <w:sz w:val="24"/>
          <w:szCs w:val="24"/>
        </w:rPr>
        <w:t xml:space="preserve"> of institutions cannot be evaluated as an effective deinstitutionalization strategy because there is no compulsory provisions on existing large scale institutions. </w:t>
      </w:r>
    </w:p>
    <w:p w:rsidR="004543FC" w:rsidRPr="004543FC" w:rsidRDefault="004543FC" w:rsidP="00FE5A9A">
      <w:pPr>
        <w:wordWrap w:val="0"/>
        <w:rPr>
          <w:rFonts w:ascii="Times New Roman" w:eastAsiaTheme="minorEastAsia" w:hAnsi="Times New Roman"/>
          <w:color w:val="000000"/>
          <w:sz w:val="24"/>
          <w:szCs w:val="24"/>
        </w:rPr>
      </w:pPr>
    </w:p>
    <w:tbl>
      <w:tblPr>
        <w:tblpPr w:leftFromText="57" w:rightFromText="57" w:topFromText="57" w:bottomFromText="57" w:vertAnchor="text" w:tblpX="15" w:tblpY="165"/>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Suggestion(s) for the LOIs:</w:t>
            </w:r>
          </w:p>
          <w:p w:rsidR="00D533BE" w:rsidRDefault="00403CFE" w:rsidP="008A77CB">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the institutions of different scales and present condition of persons with disabilities living in those institutions. Please indicate effectiveness of deinstitutionalization strategy with large </w:t>
            </w:r>
            <w:r w:rsidR="008A77CB">
              <w:rPr>
                <w:rFonts w:ascii="Times New Roman" w:eastAsia="Times New Roman" w:hAnsi="Times New Roman"/>
                <w:color w:val="000000"/>
                <w:sz w:val="24"/>
                <w:szCs w:val="24"/>
              </w:rPr>
              <w:t>size</w:t>
            </w:r>
            <w:r>
              <w:rPr>
                <w:rFonts w:ascii="Times New Roman" w:eastAsia="Times New Roman" w:hAnsi="Times New Roman"/>
                <w:color w:val="000000"/>
                <w:sz w:val="24"/>
                <w:szCs w:val="24"/>
              </w:rPr>
              <w:t xml:space="preserve"> institutions still operating in the coutnry. Please also indicate any need for introducing compulsory provisions on large </w:t>
            </w:r>
            <w:r w:rsidR="008A77CB">
              <w:rPr>
                <w:rFonts w:ascii="Times New Roman" w:eastAsia="Times New Roman" w:hAnsi="Times New Roman"/>
                <w:color w:val="000000"/>
                <w:sz w:val="24"/>
                <w:szCs w:val="24"/>
              </w:rPr>
              <w:t>size</w:t>
            </w:r>
            <w:r>
              <w:rPr>
                <w:rFonts w:ascii="Times New Roman" w:eastAsia="Times New Roman" w:hAnsi="Times New Roman"/>
                <w:color w:val="000000"/>
                <w:sz w:val="24"/>
                <w:szCs w:val="24"/>
              </w:rPr>
              <w:t xml:space="preserve"> institutions.</w:t>
            </w:r>
          </w:p>
        </w:tc>
      </w:tr>
    </w:tbl>
    <w:p w:rsidR="00D533BE" w:rsidRDefault="00D533BE">
      <w:pPr>
        <w:wordWrap w:val="0"/>
        <w:rPr>
          <w:rFonts w:ascii="Times New Roman" w:eastAsiaTheme="minorEastAsia" w:hAnsi="Times New Roman"/>
          <w:color w:val="000000"/>
          <w:sz w:val="24"/>
          <w:szCs w:val="24"/>
        </w:rPr>
      </w:pPr>
    </w:p>
    <w:p w:rsidR="00B84E88" w:rsidRPr="00B84E88" w:rsidRDefault="00B84E88">
      <w:pPr>
        <w:wordWrap w:val="0"/>
        <w:rPr>
          <w:rFonts w:ascii="Times New Roman" w:eastAsiaTheme="minorEastAsia"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&lt;On increase of personal assistant services&gt;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urged the State party to significantly increase support services in the community, including personal assistance services</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(38.)</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Chars="59"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plans to authorize local governments to utilize their authority to increase personal assistant service payment for persons with severe disabilities.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It is more appropriate for the central government to uniformly implement such policy as respective local governments may provide different amount of payments to persons with disabilities based on the local governments’ own financial situations. </w:t>
      </w:r>
    </w:p>
    <w:p w:rsidR="00B84E88" w:rsidRDefault="00B84E88">
      <w:pPr>
        <w:wordWrap w:val="0"/>
        <w:ind w:left="210" w:hanging="210"/>
        <w:rPr>
          <w:rFonts w:ascii="Times New Roman" w:eastAsia="Times New Roman" w:hAnsi="Times New Roman"/>
          <w:color w:val="000000"/>
          <w:sz w:val="24"/>
          <w:szCs w:val="24"/>
        </w:rPr>
      </w:pPr>
    </w:p>
    <w:tbl>
      <w:tblPr>
        <w:tblpPr w:leftFromText="57" w:rightFromText="57" w:topFromText="57" w:bottomFromText="57" w:vertAnchor="text" w:tblpX="30" w:tblpY="252"/>
        <w:tblOverlap w:val="never"/>
        <w:tblW w:w="8435" w:type="dxa"/>
        <w:tblCellMar>
          <w:top w:w="28" w:type="dxa"/>
          <w:left w:w="102" w:type="dxa"/>
          <w:bottom w:w="28" w:type="dxa"/>
          <w:right w:w="102" w:type="dxa"/>
        </w:tblCellMar>
        <w:tblLook w:val="0600" w:firstRow="0" w:lastRow="0" w:firstColumn="0" w:lastColumn="0" w:noHBand="1" w:noVBand="1"/>
      </w:tblPr>
      <w:tblGrid>
        <w:gridCol w:w="8435"/>
      </w:tblGrid>
      <w:tr w:rsidR="00D533BE" w:rsidTr="00B84E88">
        <w:trPr>
          <w:trHeight w:val="989"/>
        </w:trPr>
        <w:tc>
          <w:tcPr>
            <w:tcW w:w="8435"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provide information on the central government’s policy to increase personal assistant service for persons with disabilities.  </w:t>
            </w:r>
          </w:p>
        </w:tc>
      </w:tr>
    </w:tbl>
    <w:p w:rsidR="00D533BE" w:rsidRDefault="00D533BE">
      <w:pPr>
        <w:wordWrap w:val="0"/>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&lt;On basis of calculating payment for the personal assistant services&gt;</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recommended that the State party base the amount of payment for the personal assistant services on the characteristics, circumstances and needs of the persons with disabilities, rather than on the “degree of impairment”, and on the income of the person with disabilities concerned, rather than on the income of his or her family</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(40.)</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says that there is no problem as to the payment of personal assistant service for persons with disabilities because the range of ‘person obligated to support’ is confined to a recipient’s lineal blood relative within the first degree of kinship and the recipient’s spouse, lessening the burden of the family, and also because the National Basic Livelihood Security beneficiaries and low-income families receive payment exemption benefits (for his or her share of payment). </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family support obligation system should be removed from the State’s social welfare system. The income of the person with disabilities’ family should be excluded from the criteria for calculating the amount of payment for the personal assistant service because the person with disabilities concerned may be disadvantaged in using the service due to the existence of a lineal blood relative within the first degree of kinship and his or her spouse who are unable to provide practical support.</w:t>
      </w:r>
    </w:p>
    <w:p w:rsidR="00D533BE" w:rsidRDefault="00D533BE">
      <w:pPr>
        <w:wordWrap w:val="0"/>
        <w:ind w:left="222" w:hanging="222"/>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Please clarify the possibility of disadvantage that persons with disabilities may have in using the personal assistant service due to the existence of the first degree of kinship or a spouse of the person with disabilities concerned.</w:t>
            </w:r>
          </w:p>
        </w:tc>
      </w:tr>
    </w:tbl>
    <w:p w:rsidR="00D533BE" w:rsidRDefault="00D533BE">
      <w:pPr>
        <w:wordWrap w:val="0"/>
        <w:spacing w:line="295" w:lineRule="auto"/>
        <w:rPr>
          <w:rFonts w:ascii="Times New Roman" w:eastAsia="Times New Roman" w:hAnsi="Times New Roman"/>
          <w:color w:val="000000"/>
          <w:sz w:val="24"/>
          <w:szCs w:val="24"/>
        </w:rPr>
      </w:pPr>
    </w:p>
    <w:p w:rsidR="00D533BE" w:rsidRDefault="00D533BE">
      <w:pPr>
        <w:wordWrap w:val="0"/>
        <w:ind w:left="399" w:hanging="399"/>
        <w:rPr>
          <w:rFonts w:ascii="Times New Roman" w:eastAsia="Times New Roman" w:hAnsi="Times New Roman"/>
          <w:b/>
          <w:color w:val="000000"/>
          <w:spacing w:val="-5"/>
          <w:sz w:val="24"/>
          <w:szCs w:val="24"/>
        </w:rPr>
      </w:pPr>
    </w:p>
    <w:p w:rsidR="00D533BE" w:rsidRDefault="00403CFE">
      <w:pPr>
        <w:wordWrap w:val="0"/>
        <w:ind w:left="399" w:hanging="399"/>
        <w:rPr>
          <w:rFonts w:ascii="Times New Roman" w:eastAsia="Times New Roman" w:hAnsi="Times New Roman"/>
          <w:b/>
          <w:color w:val="000000"/>
          <w:spacing w:val="-5"/>
          <w:sz w:val="24"/>
          <w:szCs w:val="24"/>
        </w:rPr>
      </w:pPr>
      <w:r>
        <w:rPr>
          <w:rFonts w:ascii="Times New Roman" w:eastAsia="Times New Roman" w:hAnsi="Times New Roman"/>
          <w:b/>
          <w:color w:val="000000"/>
          <w:spacing w:val="-5"/>
          <w:sz w:val="24"/>
          <w:szCs w:val="24"/>
        </w:rPr>
        <w:t>Health (art. 25)</w:t>
      </w:r>
    </w:p>
    <w:p w:rsidR="00D533BE" w:rsidRDefault="00D533BE">
      <w:pPr>
        <w:wordWrap w:val="0"/>
        <w:ind w:left="399" w:hanging="399"/>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The Committee encouraged the State party to repeal article 732 of the Commercial Act, which recognizes life insurance contracts for a person with disability only if the person “possesses mental capacity</w:t>
      </w:r>
      <w:r w:rsidR="002D4101">
        <w:rPr>
          <w:rFonts w:ascii="Times New Roman" w:eastAsia="Times New Roman" w:hAnsi="Times New Roman"/>
          <w:color w:val="000000"/>
          <w:sz w:val="24"/>
          <w:szCs w:val="24"/>
        </w:rPr>
        <w:t>.</w:t>
      </w:r>
      <w:r>
        <w:rPr>
          <w:rFonts w:ascii="Times New Roman" w:eastAsia="Times New Roman" w:hAnsi="Times New Roman"/>
          <w:color w:val="000000"/>
          <w:sz w:val="24"/>
          <w:szCs w:val="24"/>
        </w:rPr>
        <w:t>”(48.)</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government of ROK says that the recommendation to repeal article 732 of the Commercial Act was based on misunderstanding of the purpose of the article, and all necessary measures were taken to comply with the recommendation through amendment of the law. </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As for concrete reasons, the government proposes that ① the Convention allows insurance be provided in the extent of the ‘fair and reasonable manner’, ② article 732 of the Commmercial Act limits only persons with mental disabilities who are devoid of mental capacity from joining life insurance, that this is not to discriminate persons with mental disabilities but to protect them from insurance crimes or malicious abandonment, ③ France and other Common law countries, who are signatories of the Convention, also have similar statutes.   </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Nonetheless, the amendment of article 732 of the Commercial Act does not appropriately </w:t>
      </w:r>
      <w:r w:rsidR="00D9037C">
        <w:rPr>
          <w:rFonts w:ascii="Times New Roman" w:eastAsia="Times New Roman" w:hAnsi="Times New Roman"/>
          <w:color w:val="000000"/>
          <w:sz w:val="24"/>
          <w:szCs w:val="24"/>
        </w:rPr>
        <w:t>reflects</w:t>
      </w:r>
      <w:r>
        <w:rPr>
          <w:rFonts w:ascii="Times New Roman" w:eastAsia="Times New Roman" w:hAnsi="Times New Roman"/>
          <w:color w:val="000000"/>
          <w:sz w:val="24"/>
          <w:szCs w:val="24"/>
        </w:rPr>
        <w:t xml:space="preserve"> the Committee’s recommendation </w:t>
      </w:r>
      <w:r w:rsidR="00D9037C">
        <w:rPr>
          <w:rFonts w:ascii="Times New Roman" w:eastAsia="Times New Roman" w:hAnsi="Times New Roman"/>
          <w:color w:val="000000"/>
          <w:sz w:val="24"/>
          <w:szCs w:val="24"/>
        </w:rPr>
        <w:t>because</w:t>
      </w:r>
      <w:r>
        <w:rPr>
          <w:rFonts w:ascii="Times New Roman" w:eastAsia="Times New Roman" w:hAnsi="Times New Roman"/>
          <w:color w:val="000000"/>
          <w:sz w:val="24"/>
          <w:szCs w:val="24"/>
        </w:rPr>
        <w:t xml:space="preserve"> ① requiring ‘possessing mental capacity’ when signing insurance contract is not a means of providing insurance in a ‘fair and reasonable manner’, ② persons with mental disabilities should be recognized as a subject of rights</w:t>
      </w:r>
      <w:r w:rsidR="00D9037C">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not the object </w:t>
      </w:r>
      <w:r w:rsidR="00D9037C">
        <w:rPr>
          <w:rFonts w:ascii="Times New Roman" w:eastAsia="Times New Roman" w:hAnsi="Times New Roman"/>
          <w:color w:val="000000"/>
          <w:sz w:val="24"/>
          <w:szCs w:val="24"/>
        </w:rPr>
        <w:t>for</w:t>
      </w:r>
      <w:r>
        <w:rPr>
          <w:rFonts w:ascii="Times New Roman" w:eastAsia="Times New Roman" w:hAnsi="Times New Roman"/>
          <w:color w:val="000000"/>
          <w:sz w:val="24"/>
          <w:szCs w:val="24"/>
        </w:rPr>
        <w:t xml:space="preserve"> protection, ③</w:t>
      </w:r>
      <w:r w:rsidR="00D9037C">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France</w:t>
      </w:r>
      <w:r w:rsidR="00D9037C">
        <w:rPr>
          <w:rFonts w:ascii="Times New Roman" w:eastAsia="Times New Roman" w:hAnsi="Times New Roman"/>
          <w:color w:val="000000"/>
          <w:sz w:val="24"/>
          <w:szCs w:val="24"/>
        </w:rPr>
        <w:t xml:space="preserve"> limits its insurance membership for</w:t>
      </w:r>
      <w:r>
        <w:rPr>
          <w:rFonts w:ascii="Times New Roman" w:eastAsia="Times New Roman" w:hAnsi="Times New Roman"/>
          <w:color w:val="000000"/>
          <w:sz w:val="24"/>
          <w:szCs w:val="24"/>
        </w:rPr>
        <w:t xml:space="preserve"> legally incompetent persons and persons institutionalized in mental hospitals, and Common law </w:t>
      </w:r>
      <w:r w:rsidR="00D9037C">
        <w:rPr>
          <w:rFonts w:ascii="Times New Roman" w:eastAsia="Times New Roman" w:hAnsi="Times New Roman"/>
          <w:color w:val="000000"/>
          <w:sz w:val="24"/>
          <w:szCs w:val="24"/>
        </w:rPr>
        <w:t xml:space="preserve">countries </w:t>
      </w:r>
      <w:r>
        <w:rPr>
          <w:rFonts w:ascii="Times New Roman" w:eastAsia="Times New Roman" w:hAnsi="Times New Roman"/>
          <w:color w:val="000000"/>
          <w:sz w:val="24"/>
          <w:szCs w:val="24"/>
        </w:rPr>
        <w:t xml:space="preserve">allow insurance contract when insurable interest is recognized, regardless of the insurant’s mental capacity or disability, and ④ article 732 of the Commercial Act shifts the burden of proof to persons with disabilities to prove that he or she </w:t>
      </w:r>
      <w:r w:rsidR="00D9037C">
        <w:rPr>
          <w:rFonts w:ascii="Times New Roman" w:eastAsia="Times New Roman" w:hAnsi="Times New Roman"/>
          <w:color w:val="000000"/>
          <w:sz w:val="24"/>
          <w:szCs w:val="24"/>
        </w:rPr>
        <w:t>possesses</w:t>
      </w:r>
      <w:r>
        <w:rPr>
          <w:rFonts w:ascii="Times New Roman" w:eastAsia="Times New Roman" w:hAnsi="Times New Roman"/>
          <w:color w:val="000000"/>
          <w:sz w:val="24"/>
          <w:szCs w:val="24"/>
        </w:rPr>
        <w:t xml:space="preserve"> mental capacity.</w:t>
      </w:r>
    </w:p>
    <w:p w:rsidR="00B84E88" w:rsidRDefault="00B84E88">
      <w:pPr>
        <w:wordWrap w:val="0"/>
        <w:ind w:left="317" w:hanging="317"/>
        <w:rPr>
          <w:rFonts w:ascii="Times New Roman" w:eastAsia="Times New Roman" w:hAnsi="Times New Roman"/>
          <w:color w:val="000000"/>
          <w:sz w:val="24"/>
          <w:szCs w:val="24"/>
        </w:rPr>
      </w:pPr>
    </w:p>
    <w:p w:rsidR="00D533BE" w:rsidRDefault="00D533BE">
      <w:pPr>
        <w:wordWrap w:val="0"/>
        <w:rPr>
          <w:rFonts w:ascii="Times New Roman" w:eastAsia="Times New Roman" w:hAnsi="Times New Roman"/>
          <w:color w:val="000000"/>
          <w:sz w:val="24"/>
          <w:szCs w:val="24"/>
        </w:rPr>
      </w:pPr>
    </w:p>
    <w:tbl>
      <w:tblPr>
        <w:tblpPr w:leftFromText="57" w:rightFromText="57" w:topFromText="57" w:bottomFromText="57" w:vertAnchor="text"/>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rsidP="00D9037C">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clarify whether the article 732 of the Commercial Act was amended on the premise that persons with mental disabilities are subjects of rights and not the objects </w:t>
            </w:r>
            <w:r w:rsidR="00D9037C">
              <w:rPr>
                <w:rFonts w:ascii="Times New Roman" w:eastAsia="Times New Roman" w:hAnsi="Times New Roman"/>
                <w:color w:val="000000"/>
                <w:sz w:val="24"/>
                <w:szCs w:val="24"/>
              </w:rPr>
              <w:t>for</w:t>
            </w:r>
            <w:r>
              <w:rPr>
                <w:rFonts w:ascii="Times New Roman" w:eastAsia="Times New Roman" w:hAnsi="Times New Roman"/>
                <w:color w:val="000000"/>
                <w:sz w:val="24"/>
                <w:szCs w:val="24"/>
              </w:rPr>
              <w:t xml:space="preserve"> protection. Please indicate whether the amended article 732 of the Commercial Act impedes</w:t>
            </w:r>
            <w:r w:rsidR="00D9037C">
              <w:rPr>
                <w:rFonts w:ascii="Times New Roman" w:eastAsia="Times New Roman" w:hAnsi="Times New Roman"/>
                <w:color w:val="000000"/>
                <w:sz w:val="24"/>
                <w:szCs w:val="24"/>
              </w:rPr>
              <w:t xml:space="preserve"> persons with disabilities from</w:t>
            </w:r>
            <w:r>
              <w:rPr>
                <w:rFonts w:ascii="Times New Roman" w:eastAsia="Times New Roman" w:hAnsi="Times New Roman"/>
                <w:color w:val="000000"/>
                <w:sz w:val="24"/>
                <w:szCs w:val="24"/>
              </w:rPr>
              <w:t xml:space="preserve"> joining insurance contract due to the shift of burden of proof to persons with disabilities to prove his or her ‘possessing mental capacity’. </w:t>
            </w:r>
          </w:p>
        </w:tc>
      </w:tr>
    </w:tbl>
    <w:p w:rsidR="00D533BE" w:rsidRDefault="00D533BE">
      <w:pPr>
        <w:wordWrap w:val="0"/>
        <w:spacing w:line="295" w:lineRule="auto"/>
        <w:rPr>
          <w:rFonts w:ascii="Times New Roman" w:eastAsia="Times New Roman" w:hAnsi="Times New Roman"/>
          <w:color w:val="000000"/>
          <w:sz w:val="24"/>
          <w:szCs w:val="24"/>
        </w:rPr>
      </w:pPr>
    </w:p>
    <w:p w:rsidR="00D533BE" w:rsidRDefault="00403CFE">
      <w:pPr>
        <w:wordWrap w:val="0"/>
        <w:ind w:left="399" w:hanging="399"/>
        <w:rPr>
          <w:rFonts w:ascii="Times New Roman" w:eastAsia="Times New Roman" w:hAnsi="Times New Roman"/>
          <w:b/>
          <w:color w:val="000000"/>
          <w:spacing w:val="-5"/>
          <w:sz w:val="24"/>
          <w:szCs w:val="24"/>
        </w:rPr>
      </w:pPr>
      <w:r>
        <w:rPr>
          <w:rFonts w:ascii="Times New Roman" w:eastAsia="Times New Roman" w:hAnsi="Times New Roman"/>
          <w:b/>
          <w:color w:val="000000"/>
          <w:spacing w:val="-5"/>
          <w:sz w:val="24"/>
          <w:szCs w:val="24"/>
        </w:rPr>
        <w:t>Participation in political and public life (art. 29)</w:t>
      </w:r>
    </w:p>
    <w:p w:rsidR="00D533BE" w:rsidRDefault="00D533BE">
      <w:pPr>
        <w:wordWrap w:val="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The Committee recommended that the State party step up its efforts to ensure that voting is fully accessible to all persons, irrespective of disability, and that voting information is provided in all accessible formats. (56.) </w:t>
      </w:r>
    </w:p>
    <w:p w:rsidR="00D533BE" w:rsidRDefault="00D533BE">
      <w:pPr>
        <w:wordWrap w:val="0"/>
        <w:spacing w:after="160"/>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 The government of ROK says that it is implementing measures to strengthen voting rights of persons with disabilities through having voting booths on the ground floor or equipping elevators and other accessible facilities, securing accessibility to polling places on the early voting and voting day, obliging candidates to prepare election campaign bulletins in braille for visually impaired electors pursuant to the amended article 65 of the Public Official Election Act, and diversifying channels for delivering election information based on types of disabilities. </w:t>
      </w:r>
    </w:p>
    <w:p w:rsidR="00D533BE" w:rsidRDefault="00D533BE">
      <w:pPr>
        <w:wordWrap w:val="0"/>
        <w:ind w:left="214" w:hanging="214"/>
        <w:rPr>
          <w:rFonts w:ascii="Times New Roman" w:eastAsia="Times New Roman" w:hAnsi="Times New Roman"/>
          <w:color w:val="000000"/>
          <w:sz w:val="24"/>
          <w:szCs w:val="24"/>
        </w:rPr>
      </w:pPr>
    </w:p>
    <w:p w:rsidR="00D533BE" w:rsidRDefault="00403CFE" w:rsidP="004543FC">
      <w:pPr>
        <w:wordWrap w:val="0"/>
        <w:ind w:left="142" w:hanging="14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An easy campaign bulletin for persons with developmental disabilities is needed. The hearing impaired electors are neglected as sign language interpretation is not provided for the election campaign broadcast. It is difficult for persons with hearing disabilities to understand the election broadcasting debate </w:t>
      </w:r>
      <w:r w:rsidR="00D9037C">
        <w:rPr>
          <w:rFonts w:ascii="Times New Roman" w:eastAsia="Times New Roman" w:hAnsi="Times New Roman"/>
          <w:color w:val="000000"/>
          <w:sz w:val="24"/>
          <w:szCs w:val="24"/>
        </w:rPr>
        <w:t>because there is only</w:t>
      </w:r>
      <w:r>
        <w:rPr>
          <w:rFonts w:ascii="Times New Roman" w:eastAsia="Times New Roman" w:hAnsi="Times New Roman"/>
          <w:color w:val="000000"/>
          <w:sz w:val="24"/>
          <w:szCs w:val="24"/>
        </w:rPr>
        <w:t xml:space="preserve"> one sign language interpretor interpret</w:t>
      </w:r>
      <w:r w:rsidR="00D9037C">
        <w:rPr>
          <w:rFonts w:ascii="Times New Roman" w:eastAsia="Times New Roman" w:hAnsi="Times New Roman"/>
          <w:color w:val="000000"/>
          <w:sz w:val="24"/>
          <w:szCs w:val="24"/>
        </w:rPr>
        <w:t>ing</w:t>
      </w:r>
      <w:r>
        <w:rPr>
          <w:rFonts w:ascii="Times New Roman" w:eastAsia="Times New Roman" w:hAnsi="Times New Roman"/>
          <w:color w:val="000000"/>
          <w:sz w:val="24"/>
          <w:szCs w:val="24"/>
        </w:rPr>
        <w:t xml:space="preserve"> speeches of all candidates and a moderator. It is also difficult to see the interpretation because the interpretor is displyed in a small thumbnail size on television screen. Closed caption is too small and quick to comprehend for persons with disabilities. Operators of institutions or mental hospitals could apply for </w:t>
      </w:r>
      <w:r w:rsidR="00D9037C">
        <w:rPr>
          <w:rFonts w:ascii="Times New Roman" w:eastAsia="Times New Roman" w:hAnsi="Times New Roman"/>
          <w:color w:val="000000"/>
          <w:sz w:val="24"/>
          <w:szCs w:val="24"/>
        </w:rPr>
        <w:t xml:space="preserve">ballot at abode for </w:t>
      </w:r>
      <w:r>
        <w:rPr>
          <w:rFonts w:ascii="Times New Roman" w:eastAsia="Times New Roman" w:hAnsi="Times New Roman"/>
          <w:color w:val="000000"/>
          <w:sz w:val="24"/>
          <w:szCs w:val="24"/>
        </w:rPr>
        <w:t>the hospitalized persons with disabilities without the electors’ consent, raising the issue of infringing secret voting rights</w:t>
      </w:r>
      <w:r w:rsidR="00D9037C">
        <w:rPr>
          <w:rFonts w:ascii="Times New Roman" w:eastAsia="Times New Roman" w:hAnsi="Times New Roman"/>
          <w:color w:val="000000"/>
          <w:sz w:val="24"/>
          <w:szCs w:val="24"/>
        </w:rPr>
        <w:t xml:space="preserve"> of hospitalized persons with disabilities</w:t>
      </w:r>
      <w:r>
        <w:rPr>
          <w:rFonts w:ascii="Times New Roman" w:eastAsia="Times New Roman" w:hAnsi="Times New Roman"/>
          <w:color w:val="000000"/>
          <w:sz w:val="24"/>
          <w:szCs w:val="24"/>
        </w:rPr>
        <w:t xml:space="preserve">. </w:t>
      </w:r>
    </w:p>
    <w:p w:rsidR="00D533BE" w:rsidRDefault="00D533BE">
      <w:pPr>
        <w:wordWrap w:val="0"/>
        <w:ind w:left="224" w:hanging="224"/>
        <w:rPr>
          <w:rFonts w:ascii="Times New Roman" w:eastAsia="Times New Roman" w:hAnsi="Times New Roman"/>
          <w:color w:val="000000"/>
          <w:sz w:val="24"/>
          <w:szCs w:val="24"/>
        </w:rPr>
      </w:pPr>
    </w:p>
    <w:tbl>
      <w:tblPr>
        <w:tblpPr w:leftFromText="57" w:rightFromText="57" w:topFromText="57" w:bottomFromText="57" w:vertAnchor="text" w:tblpX="-90" w:tblpY="138"/>
        <w:tblOverlap w:val="never"/>
        <w:tblW w:w="8391" w:type="dxa"/>
        <w:tblCellMar>
          <w:top w:w="28" w:type="dxa"/>
          <w:left w:w="102" w:type="dxa"/>
          <w:bottom w:w="28" w:type="dxa"/>
          <w:right w:w="102" w:type="dxa"/>
        </w:tblCellMar>
        <w:tblLook w:val="0600" w:firstRow="0" w:lastRow="0" w:firstColumn="0" w:lastColumn="0" w:noHBand="1" w:noVBand="1"/>
      </w:tblPr>
      <w:tblGrid>
        <w:gridCol w:w="8391"/>
      </w:tblGrid>
      <w:tr w:rsidR="00D533BE">
        <w:tc>
          <w:tcPr>
            <w:tcW w:w="8391" w:type="dxa"/>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D533BE" w:rsidRDefault="00403CFE">
            <w:pPr>
              <w:wordWrap w:val="0"/>
              <w:rPr>
                <w:rFonts w:ascii="Times New Roman" w:eastAsia="Times New Roman" w:hAnsi="Times New Roman"/>
                <w:b/>
                <w:color w:val="000000"/>
                <w:sz w:val="24"/>
                <w:szCs w:val="24"/>
              </w:rPr>
            </w:pPr>
            <w:r>
              <w:rPr>
                <w:rFonts w:ascii="Times New Roman" w:eastAsia="Times New Roman" w:hAnsi="Times New Roman"/>
                <w:b/>
                <w:color w:val="000000"/>
                <w:sz w:val="24"/>
                <w:szCs w:val="24"/>
              </w:rPr>
              <w:t>Suggestion(s) for the LOIs:</w:t>
            </w:r>
          </w:p>
          <w:p w:rsidR="00D533BE" w:rsidRDefault="00403CFE">
            <w:pPr>
              <w:wordWrap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Please clarify whether it is obligatory to prepare easy election campaign bulletin for persons with developmental disabilities, and whether sign language interpretation is provided on election broadcasting debate for persons with hearing impairments in a comprehensible way. Please also clarify whether there is a risk of operators of institutions or hospitals abusing the ballot at abode system against the will of persons with disabilities, and whether there is any supplementary measures to secure right to secret voting </w:t>
            </w:r>
            <w:r w:rsidR="009D6301">
              <w:rPr>
                <w:rFonts w:ascii="Times New Roman" w:eastAsia="Times New Roman" w:hAnsi="Times New Roman"/>
                <w:color w:val="000000"/>
                <w:sz w:val="24"/>
                <w:szCs w:val="24"/>
              </w:rPr>
              <w:t xml:space="preserve">of persons with disabilities </w:t>
            </w:r>
            <w:r>
              <w:rPr>
                <w:rFonts w:ascii="Times New Roman" w:eastAsia="Times New Roman" w:hAnsi="Times New Roman"/>
                <w:color w:val="000000"/>
                <w:sz w:val="24"/>
                <w:szCs w:val="24"/>
              </w:rPr>
              <w:t xml:space="preserve">for ballot at </w:t>
            </w:r>
            <w:proofErr w:type="gramStart"/>
            <w:r>
              <w:rPr>
                <w:rFonts w:ascii="Times New Roman" w:eastAsia="Times New Roman" w:hAnsi="Times New Roman"/>
                <w:color w:val="000000"/>
                <w:sz w:val="24"/>
                <w:szCs w:val="24"/>
              </w:rPr>
              <w:t>abode</w:t>
            </w:r>
            <w:r w:rsidR="009D6301">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w:t>
            </w:r>
            <w:proofErr w:type="gramEnd"/>
            <w:r>
              <w:rPr>
                <w:rFonts w:ascii="Times New Roman" w:eastAsia="Times New Roman" w:hAnsi="Times New Roman"/>
                <w:color w:val="000000"/>
                <w:sz w:val="24"/>
                <w:szCs w:val="24"/>
              </w:rPr>
              <w:t xml:space="preserve"> </w:t>
            </w:r>
          </w:p>
        </w:tc>
      </w:tr>
    </w:tbl>
    <w:p w:rsidR="00D533BE" w:rsidRDefault="00D533BE">
      <w:pPr>
        <w:wordWrap w:val="0"/>
        <w:spacing w:line="295" w:lineRule="auto"/>
        <w:rPr>
          <w:rFonts w:ascii="Times New Roman" w:eastAsia="Times New Roman" w:hAnsi="Times New Roman"/>
          <w:sz w:val="24"/>
          <w:szCs w:val="24"/>
        </w:rPr>
      </w:pPr>
    </w:p>
    <w:sectPr w:rsidR="00D533BE" w:rsidSect="00D533BE">
      <w:headerReference w:type="default" r:id="rId7"/>
      <w:endnotePr>
        <w:numFmt w:val="decimal"/>
      </w:endnotePr>
      <w:pgSz w:w="11906" w:h="16838"/>
      <w:pgMar w:top="1134" w:right="1701" w:bottom="850" w:left="1701" w:header="0" w:footer="0" w:gutter="0"/>
      <w:pgBorders w:zOrder="back">
        <w:top w:val="nil"/>
        <w:left w:val="nil"/>
        <w:bottom w:val="nil"/>
        <w:right w:val="nil"/>
      </w:pgBorders>
      <w:cols w:space="720"/>
      <w:docGrid w:linePitch="360" w:charSpace="61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123" w:rsidRDefault="00627123" w:rsidP="00134461">
      <w:r>
        <w:separator/>
      </w:r>
    </w:p>
  </w:endnote>
  <w:endnote w:type="continuationSeparator" w:id="0">
    <w:p w:rsidR="00627123" w:rsidRDefault="00627123" w:rsidP="0013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123" w:rsidRDefault="00627123" w:rsidP="00134461">
      <w:r>
        <w:separator/>
      </w:r>
    </w:p>
  </w:footnote>
  <w:footnote w:type="continuationSeparator" w:id="0">
    <w:p w:rsidR="00627123" w:rsidRDefault="00627123" w:rsidP="00134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9A2" w:rsidRDefault="00F859A2">
    <w:pPr>
      <w:pStyle w:val="af1"/>
    </w:pPr>
    <w:r>
      <w:rPr>
        <w:noProof/>
      </w:rPr>
      <w:drawing>
        <wp:inline distT="0" distB="0" distL="0" distR="0">
          <wp:extent cx="2381250" cy="634387"/>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1">
                    <a:extLst>
                      <a:ext uri="{28A0092B-C50C-407E-A947-70E740481C1C}">
                        <a14:useLocalDpi xmlns:a14="http://schemas.microsoft.com/office/drawing/2010/main" val="0"/>
                      </a:ext>
                    </a:extLst>
                  </a:blip>
                  <a:stretch>
                    <a:fillRect/>
                  </a:stretch>
                </pic:blipFill>
                <pic:spPr>
                  <a:xfrm>
                    <a:off x="0" y="0"/>
                    <a:ext cx="2381637" cy="63449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3BE"/>
    <w:rsid w:val="000C501C"/>
    <w:rsid w:val="00134461"/>
    <w:rsid w:val="001E411E"/>
    <w:rsid w:val="002D4101"/>
    <w:rsid w:val="00334AB9"/>
    <w:rsid w:val="00362CB8"/>
    <w:rsid w:val="003D181D"/>
    <w:rsid w:val="00403CFE"/>
    <w:rsid w:val="004543FC"/>
    <w:rsid w:val="0046383B"/>
    <w:rsid w:val="005B6201"/>
    <w:rsid w:val="00627123"/>
    <w:rsid w:val="007A6014"/>
    <w:rsid w:val="007D6605"/>
    <w:rsid w:val="008A77CB"/>
    <w:rsid w:val="008E0302"/>
    <w:rsid w:val="009319C8"/>
    <w:rsid w:val="009D6301"/>
    <w:rsid w:val="00A836EB"/>
    <w:rsid w:val="00A93C9A"/>
    <w:rsid w:val="00B84E88"/>
    <w:rsid w:val="00C47C69"/>
    <w:rsid w:val="00D533BE"/>
    <w:rsid w:val="00D9037C"/>
    <w:rsid w:val="00E636E9"/>
    <w:rsid w:val="00F859A2"/>
    <w:rsid w:val="00FE5A9A"/>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86B2C2E-F2E2-4603-AEDC-E994FDE2C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ko-KR"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533BE"/>
    <w:rPr>
      <w:rFonts w:ascii="Arial" w:eastAsia="Arial" w:hAnsi="Arial"/>
    </w:rPr>
  </w:style>
  <w:style w:type="paragraph" w:styleId="1">
    <w:name w:val="heading 1"/>
    <w:uiPriority w:val="7"/>
    <w:qFormat/>
    <w:rsid w:val="00D533BE"/>
    <w:pPr>
      <w:outlineLvl w:val="0"/>
    </w:pPr>
    <w:rPr>
      <w:sz w:val="28"/>
      <w:szCs w:val="28"/>
    </w:rPr>
  </w:style>
  <w:style w:type="paragraph" w:styleId="2">
    <w:name w:val="heading 2"/>
    <w:uiPriority w:val="8"/>
    <w:qFormat/>
    <w:rsid w:val="00D533BE"/>
    <w:pPr>
      <w:outlineLvl w:val="1"/>
    </w:pPr>
  </w:style>
  <w:style w:type="paragraph" w:styleId="3">
    <w:name w:val="heading 3"/>
    <w:uiPriority w:val="9"/>
    <w:qFormat/>
    <w:rsid w:val="00D533BE"/>
    <w:pPr>
      <w:ind w:left="1000" w:hanging="400"/>
      <w:outlineLvl w:val="2"/>
    </w:pPr>
  </w:style>
  <w:style w:type="paragraph" w:styleId="4">
    <w:name w:val="heading 4"/>
    <w:uiPriority w:val="10"/>
    <w:qFormat/>
    <w:rsid w:val="00D533BE"/>
    <w:pPr>
      <w:ind w:left="1200" w:hanging="400"/>
      <w:outlineLvl w:val="3"/>
    </w:pPr>
    <w:rPr>
      <w:b/>
    </w:rPr>
  </w:style>
  <w:style w:type="paragraph" w:styleId="5">
    <w:name w:val="heading 5"/>
    <w:uiPriority w:val="11"/>
    <w:qFormat/>
    <w:rsid w:val="00D533BE"/>
    <w:pPr>
      <w:ind w:left="1400" w:hanging="400"/>
      <w:outlineLvl w:val="4"/>
    </w:pPr>
  </w:style>
  <w:style w:type="paragraph" w:styleId="6">
    <w:name w:val="heading 6"/>
    <w:uiPriority w:val="12"/>
    <w:qFormat/>
    <w:rsid w:val="00D533BE"/>
    <w:pPr>
      <w:ind w:left="1600" w:hanging="400"/>
      <w:outlineLvl w:val="5"/>
    </w:pPr>
    <w:rPr>
      <w:b/>
    </w:rPr>
  </w:style>
  <w:style w:type="paragraph" w:styleId="7">
    <w:name w:val="heading 7"/>
    <w:uiPriority w:val="13"/>
    <w:qFormat/>
    <w:rsid w:val="00D533BE"/>
    <w:pPr>
      <w:ind w:left="1800" w:hanging="400"/>
      <w:outlineLvl w:val="6"/>
    </w:pPr>
  </w:style>
  <w:style w:type="paragraph" w:styleId="8">
    <w:name w:val="heading 8"/>
    <w:uiPriority w:val="14"/>
    <w:qFormat/>
    <w:rsid w:val="00D533BE"/>
    <w:pPr>
      <w:ind w:left="2000" w:hanging="400"/>
      <w:outlineLvl w:val="7"/>
    </w:pPr>
  </w:style>
  <w:style w:type="paragraph" w:styleId="9">
    <w:name w:val="heading 9"/>
    <w:uiPriority w:val="15"/>
    <w:qFormat/>
    <w:rsid w:val="00D533BE"/>
    <w:pPr>
      <w:ind w:left="2200" w:hanging="4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5"/>
    <w:qFormat/>
    <w:rsid w:val="00D533BE"/>
  </w:style>
  <w:style w:type="paragraph" w:styleId="a4">
    <w:name w:val="Title"/>
    <w:uiPriority w:val="6"/>
    <w:qFormat/>
    <w:rsid w:val="00D533BE"/>
    <w:pPr>
      <w:jc w:val="center"/>
    </w:pPr>
    <w:rPr>
      <w:b/>
      <w:sz w:val="32"/>
      <w:szCs w:val="32"/>
    </w:rPr>
  </w:style>
  <w:style w:type="paragraph" w:styleId="a5">
    <w:name w:val="Subtitle"/>
    <w:uiPriority w:val="16"/>
    <w:qFormat/>
    <w:rsid w:val="00D533BE"/>
    <w:pPr>
      <w:jc w:val="center"/>
    </w:pPr>
    <w:rPr>
      <w:sz w:val="24"/>
      <w:szCs w:val="24"/>
    </w:rPr>
  </w:style>
  <w:style w:type="character" w:styleId="a6">
    <w:name w:val="Subtle Emphasis"/>
    <w:uiPriority w:val="17"/>
    <w:qFormat/>
    <w:rsid w:val="00D533BE"/>
    <w:rPr>
      <w:i/>
      <w:color w:val="404040"/>
      <w:w w:val="100"/>
      <w:sz w:val="20"/>
      <w:szCs w:val="20"/>
      <w:shd w:val="clear" w:color="auto" w:fill="auto"/>
    </w:rPr>
  </w:style>
  <w:style w:type="character" w:styleId="a7">
    <w:name w:val="Emphasis"/>
    <w:uiPriority w:val="18"/>
    <w:qFormat/>
    <w:rsid w:val="00D533BE"/>
    <w:rPr>
      <w:i/>
      <w:w w:val="100"/>
      <w:sz w:val="20"/>
      <w:szCs w:val="20"/>
      <w:shd w:val="clear" w:color="auto" w:fill="auto"/>
    </w:rPr>
  </w:style>
  <w:style w:type="character" w:styleId="a8">
    <w:name w:val="Intense Emphasis"/>
    <w:uiPriority w:val="19"/>
    <w:qFormat/>
    <w:rsid w:val="00D533BE"/>
    <w:rPr>
      <w:i/>
      <w:color w:val="5B9BD5"/>
      <w:w w:val="100"/>
      <w:sz w:val="20"/>
      <w:szCs w:val="20"/>
      <w:shd w:val="clear" w:color="auto" w:fill="auto"/>
    </w:rPr>
  </w:style>
  <w:style w:type="character" w:styleId="a9">
    <w:name w:val="Strong"/>
    <w:uiPriority w:val="20"/>
    <w:qFormat/>
    <w:rsid w:val="00D533BE"/>
    <w:rPr>
      <w:b/>
      <w:w w:val="100"/>
      <w:sz w:val="20"/>
      <w:szCs w:val="20"/>
      <w:shd w:val="clear" w:color="auto" w:fill="auto"/>
    </w:rPr>
  </w:style>
  <w:style w:type="paragraph" w:styleId="aa">
    <w:name w:val="Quote"/>
    <w:uiPriority w:val="21"/>
    <w:qFormat/>
    <w:rsid w:val="00D533BE"/>
    <w:pPr>
      <w:ind w:left="864" w:right="864"/>
      <w:jc w:val="center"/>
    </w:pPr>
    <w:rPr>
      <w:i/>
      <w:color w:val="404040"/>
    </w:rPr>
  </w:style>
  <w:style w:type="paragraph" w:styleId="ab">
    <w:name w:val="Intense Quote"/>
    <w:uiPriority w:val="22"/>
    <w:qFormat/>
    <w:rsid w:val="00D533BE"/>
    <w:pPr>
      <w:ind w:left="950" w:right="950"/>
      <w:jc w:val="center"/>
    </w:pPr>
    <w:rPr>
      <w:i/>
      <w:color w:val="5B9BD5"/>
    </w:rPr>
  </w:style>
  <w:style w:type="character" w:styleId="ac">
    <w:name w:val="Subtle Reference"/>
    <w:uiPriority w:val="23"/>
    <w:qFormat/>
    <w:rsid w:val="00D533BE"/>
    <w:rPr>
      <w:smallCaps/>
      <w:color w:val="5A5A5A"/>
      <w:w w:val="100"/>
      <w:sz w:val="20"/>
      <w:szCs w:val="20"/>
      <w:shd w:val="clear" w:color="auto" w:fill="auto"/>
    </w:rPr>
  </w:style>
  <w:style w:type="character" w:styleId="ad">
    <w:name w:val="Intense Reference"/>
    <w:uiPriority w:val="24"/>
    <w:qFormat/>
    <w:rsid w:val="00D533BE"/>
    <w:rPr>
      <w:b/>
      <w:smallCaps/>
      <w:color w:val="5B9BD5"/>
      <w:w w:val="100"/>
      <w:sz w:val="20"/>
      <w:szCs w:val="20"/>
      <w:shd w:val="clear" w:color="auto" w:fill="auto"/>
    </w:rPr>
  </w:style>
  <w:style w:type="character" w:styleId="ae">
    <w:name w:val="Book Title"/>
    <w:uiPriority w:val="25"/>
    <w:qFormat/>
    <w:rsid w:val="00D533BE"/>
    <w:rPr>
      <w:b/>
      <w:i/>
      <w:w w:val="100"/>
      <w:sz w:val="20"/>
      <w:szCs w:val="20"/>
      <w:shd w:val="clear" w:color="auto" w:fill="auto"/>
    </w:rPr>
  </w:style>
  <w:style w:type="paragraph" w:styleId="af">
    <w:name w:val="List Paragraph"/>
    <w:uiPriority w:val="26"/>
    <w:qFormat/>
    <w:rsid w:val="00D533BE"/>
    <w:pPr>
      <w:ind w:left="850"/>
    </w:pPr>
  </w:style>
  <w:style w:type="paragraph" w:styleId="TOC">
    <w:name w:val="TOC Heading"/>
    <w:uiPriority w:val="27"/>
    <w:unhideWhenUsed/>
    <w:qFormat/>
    <w:rsid w:val="00D533BE"/>
    <w:rPr>
      <w:color w:val="2E74B5"/>
      <w:sz w:val="32"/>
      <w:szCs w:val="32"/>
    </w:rPr>
  </w:style>
  <w:style w:type="paragraph" w:styleId="10">
    <w:name w:val="toc 1"/>
    <w:uiPriority w:val="28"/>
    <w:unhideWhenUsed/>
    <w:qFormat/>
    <w:rsid w:val="00D533BE"/>
  </w:style>
  <w:style w:type="paragraph" w:styleId="20">
    <w:name w:val="toc 2"/>
    <w:uiPriority w:val="29"/>
    <w:unhideWhenUsed/>
    <w:qFormat/>
    <w:rsid w:val="00D533BE"/>
    <w:pPr>
      <w:ind w:left="425"/>
    </w:pPr>
  </w:style>
  <w:style w:type="paragraph" w:styleId="30">
    <w:name w:val="toc 3"/>
    <w:uiPriority w:val="30"/>
    <w:unhideWhenUsed/>
    <w:qFormat/>
    <w:rsid w:val="00D533BE"/>
    <w:pPr>
      <w:ind w:left="850"/>
    </w:pPr>
  </w:style>
  <w:style w:type="paragraph" w:styleId="40">
    <w:name w:val="toc 4"/>
    <w:uiPriority w:val="31"/>
    <w:unhideWhenUsed/>
    <w:qFormat/>
    <w:rsid w:val="00D533BE"/>
    <w:pPr>
      <w:ind w:left="1275"/>
    </w:pPr>
  </w:style>
  <w:style w:type="paragraph" w:styleId="50">
    <w:name w:val="toc 5"/>
    <w:uiPriority w:val="32"/>
    <w:unhideWhenUsed/>
    <w:qFormat/>
    <w:rsid w:val="00D533BE"/>
    <w:pPr>
      <w:ind w:left="1700"/>
    </w:pPr>
  </w:style>
  <w:style w:type="paragraph" w:styleId="60">
    <w:name w:val="toc 6"/>
    <w:uiPriority w:val="33"/>
    <w:unhideWhenUsed/>
    <w:qFormat/>
    <w:rsid w:val="00D533BE"/>
    <w:pPr>
      <w:ind w:left="2125"/>
    </w:pPr>
  </w:style>
  <w:style w:type="paragraph" w:styleId="70">
    <w:name w:val="toc 7"/>
    <w:uiPriority w:val="34"/>
    <w:unhideWhenUsed/>
    <w:qFormat/>
    <w:rsid w:val="00D533BE"/>
    <w:pPr>
      <w:ind w:left="2550"/>
    </w:pPr>
  </w:style>
  <w:style w:type="paragraph" w:styleId="80">
    <w:name w:val="toc 8"/>
    <w:uiPriority w:val="35"/>
    <w:unhideWhenUsed/>
    <w:qFormat/>
    <w:rsid w:val="00D533BE"/>
    <w:pPr>
      <w:ind w:left="2975"/>
    </w:pPr>
  </w:style>
  <w:style w:type="paragraph" w:styleId="90">
    <w:name w:val="toc 9"/>
    <w:uiPriority w:val="36"/>
    <w:unhideWhenUsed/>
    <w:qFormat/>
    <w:rsid w:val="00D533BE"/>
    <w:pPr>
      <w:ind w:left="3400"/>
    </w:pPr>
  </w:style>
  <w:style w:type="table" w:styleId="af0">
    <w:name w:val="Table Grid"/>
    <w:basedOn w:val="a1"/>
    <w:uiPriority w:val="37"/>
    <w:rsid w:val="00D53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표 눈금 밝게1"/>
    <w:basedOn w:val="a1"/>
    <w:uiPriority w:val="38"/>
    <w:rsid w:val="00D533BE"/>
    <w:tblPr>
      <w:tblBorders>
        <w:top w:val="single" w:sz="4" w:space="0" w:color="CCCCCC" w:themeColor="background1" w:themeShade="CC"/>
        <w:left w:val="single" w:sz="4" w:space="0" w:color="CCCCCC" w:themeColor="background1" w:themeShade="CC"/>
        <w:bottom w:val="single" w:sz="4" w:space="0" w:color="CCCCCC" w:themeColor="background1" w:themeShade="CC"/>
        <w:right w:val="single" w:sz="4" w:space="0" w:color="CCCCCC" w:themeColor="background1" w:themeShade="CC"/>
        <w:insideH w:val="single" w:sz="4" w:space="0" w:color="CCCCCC" w:themeColor="background1" w:themeShade="CC"/>
        <w:insideV w:val="single" w:sz="4" w:space="0" w:color="CCCCCC" w:themeColor="background1" w:themeShade="CC"/>
      </w:tblBorders>
    </w:tblPr>
  </w:style>
  <w:style w:type="table" w:customStyle="1" w:styleId="110">
    <w:name w:val="일반 표 11"/>
    <w:basedOn w:val="a1"/>
    <w:uiPriority w:val="39"/>
    <w:rsid w:val="00D533BE"/>
    <w:tblPr>
      <w:tblStyleRowBandSize w:val="1"/>
      <w:tblStyleColBandSize w:val="1"/>
      <w:tblBorders>
        <w:top w:val="single" w:sz="4" w:space="0" w:color="CCCCCC" w:themeColor="background1" w:themeShade="CC"/>
        <w:left w:val="single" w:sz="4" w:space="0" w:color="CCCCCC" w:themeColor="background1" w:themeShade="CC"/>
        <w:bottom w:val="single" w:sz="4" w:space="0" w:color="CCCCCC" w:themeColor="background1" w:themeShade="CC"/>
        <w:right w:val="single" w:sz="4" w:space="0" w:color="CCCCCC" w:themeColor="background1" w:themeShade="CC"/>
        <w:insideH w:val="single" w:sz="4" w:space="0" w:color="CCCCCC" w:themeColor="background1" w:themeShade="CC"/>
        <w:insideV w:val="single" w:sz="4" w:space="0" w:color="CCCCCC" w:themeColor="background1" w:themeShade="CC"/>
      </w:tblBorders>
    </w:tblPr>
    <w:tblStylePr w:type="firstRow">
      <w:rPr>
        <w:b/>
      </w:rPr>
    </w:tblStylePr>
    <w:tblStylePr w:type="lastRow">
      <w:rPr>
        <w:b/>
      </w:rPr>
      <w:tblPr/>
      <w:tcPr>
        <w:tcBorders>
          <w:top w:val="double" w:sz="4" w:space="0" w:color="CCCCCC" w:themeColor="background1" w:themeShade="CC"/>
        </w:tcBorders>
      </w:tcPr>
    </w:tblStylePr>
    <w:tblStylePr w:type="firstCol">
      <w:rPr>
        <w:b/>
      </w:rPr>
    </w:tblStylePr>
    <w:tblStylePr w:type="lastCol">
      <w:rPr>
        <w:b/>
      </w:rPr>
    </w:tblStylePr>
    <w:tblStylePr w:type="band1Vert">
      <w:tblPr/>
      <w:tcPr>
        <w:shd w:val="clear" w:color="auto" w:fill="D8D8D8" w:themeFill="background1" w:themeFillShade="D8"/>
      </w:tcPr>
    </w:tblStylePr>
    <w:tblStylePr w:type="band1Horz">
      <w:tblPr/>
      <w:tcPr>
        <w:shd w:val="clear" w:color="auto" w:fill="D8D8D8" w:themeFill="background1" w:themeFillShade="D8"/>
      </w:tcPr>
    </w:tblStylePr>
  </w:style>
  <w:style w:type="table" w:customStyle="1" w:styleId="21">
    <w:name w:val="일반 표 21"/>
    <w:basedOn w:val="a1"/>
    <w:uiPriority w:val="40"/>
    <w:rsid w:val="00D533BE"/>
    <w:tblPr>
      <w:tblStyleRowBandSize w:val="1"/>
      <w:tblStyleColBandSize w:val="1"/>
      <w:tblBorders>
        <w:top w:val="single" w:sz="4" w:space="0" w:color="7D7D7D" w:themeColor="text1" w:themeTint="82"/>
        <w:bottom w:val="single" w:sz="4" w:space="0" w:color="7D7D7D" w:themeColor="text1" w:themeTint="82"/>
      </w:tblBorders>
    </w:tblPr>
    <w:tblStylePr w:type="firstRow">
      <w:rPr>
        <w:b/>
      </w:rPr>
      <w:tblPr/>
      <w:tcPr>
        <w:tcBorders>
          <w:bottom w:val="single" w:sz="4" w:space="0" w:color="7D7D7D" w:themeColor="text1" w:themeTint="82"/>
        </w:tcBorders>
      </w:tcPr>
    </w:tblStylePr>
    <w:tblStylePr w:type="lastRow">
      <w:rPr>
        <w:b/>
      </w:rPr>
      <w:tblPr/>
      <w:tcPr>
        <w:tcBorders>
          <w:top w:val="single" w:sz="4" w:space="0" w:color="7D7D7D" w:themeColor="text1" w:themeTint="82"/>
        </w:tcBorders>
      </w:tcPr>
    </w:tblStylePr>
    <w:tblStylePr w:type="firstCol">
      <w:rPr>
        <w:b/>
      </w:rPr>
    </w:tblStylePr>
    <w:tblStylePr w:type="lastCol">
      <w:rPr>
        <w:b/>
      </w:rPr>
    </w:tblStylePr>
    <w:tblStylePr w:type="band1Vert">
      <w:tblPr/>
      <w:tcPr>
        <w:tcBorders>
          <w:left w:val="single" w:sz="4" w:space="0" w:color="7D7D7D" w:themeColor="text1" w:themeTint="82"/>
          <w:right w:val="single" w:sz="4" w:space="0" w:color="7D7D7D" w:themeColor="text1" w:themeTint="82"/>
        </w:tcBorders>
      </w:tcPr>
    </w:tblStylePr>
    <w:tblStylePr w:type="band2Vert">
      <w:tblPr/>
      <w:tcPr>
        <w:tcBorders>
          <w:left w:val="single" w:sz="4" w:space="0" w:color="7D7D7D" w:themeColor="text1" w:themeTint="82"/>
          <w:right w:val="single" w:sz="4" w:space="0" w:color="7D7D7D" w:themeColor="text1" w:themeTint="82"/>
        </w:tcBorders>
      </w:tcPr>
    </w:tblStylePr>
    <w:tblStylePr w:type="band1Horz">
      <w:tblPr/>
      <w:tcPr>
        <w:tcBorders>
          <w:top w:val="single" w:sz="4" w:space="0" w:color="7D7D7D" w:themeColor="text1" w:themeTint="82"/>
          <w:bottom w:val="single" w:sz="4" w:space="0" w:color="7D7D7D" w:themeColor="text1" w:themeTint="82"/>
        </w:tcBorders>
      </w:tcPr>
    </w:tblStylePr>
  </w:style>
  <w:style w:type="table" w:customStyle="1" w:styleId="31">
    <w:name w:val="일반 표 31"/>
    <w:basedOn w:val="a1"/>
    <w:uiPriority w:val="41"/>
    <w:rsid w:val="00D533BE"/>
    <w:tblPr>
      <w:tblStyleRowBandSize w:val="1"/>
      <w:tblStyleColBandSize w:val="1"/>
    </w:tblPr>
    <w:tblStylePr w:type="firstRow">
      <w:rPr>
        <w:b/>
      </w:rPr>
      <w:tblPr/>
      <w:tcPr>
        <w:tcBorders>
          <w:bottom w:val="single" w:sz="4" w:space="0" w:color="7D7D7D" w:themeColor="text1" w:themeTint="82"/>
        </w:tcBorders>
      </w:tcPr>
    </w:tblStylePr>
    <w:tblStylePr w:type="lastRow">
      <w:rPr>
        <w:b/>
      </w:rPr>
      <w:tblPr/>
      <w:tcPr>
        <w:tcBorders>
          <w:top w:val="nil"/>
        </w:tcBorders>
      </w:tcPr>
    </w:tblStylePr>
    <w:tblStylePr w:type="firstCol">
      <w:rPr>
        <w:b/>
      </w:rPr>
      <w:tblPr/>
      <w:tcPr>
        <w:tcBorders>
          <w:right w:val="single" w:sz="4" w:space="0" w:color="7D7D7D" w:themeColor="text1" w:themeTint="82"/>
        </w:tcBorders>
      </w:tcPr>
    </w:tblStylePr>
    <w:tblStylePr w:type="lastCol">
      <w:rPr>
        <w:b/>
      </w:rPr>
      <w:tblPr/>
      <w:tcPr>
        <w:tcBorders>
          <w:left w:val="nil"/>
        </w:tcBorders>
      </w:tcPr>
    </w:tblStylePr>
    <w:tblStylePr w:type="band1Vert">
      <w:tblPr/>
      <w:tcPr>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left w:val="nil"/>
        </w:tcBorders>
      </w:tcPr>
    </w:tblStylePr>
    <w:tblStylePr w:type="nwCell">
      <w:tblPr/>
      <w:tcPr>
        <w:tcBorders>
          <w:right w:val="nil"/>
        </w:tcBorders>
      </w:tcPr>
    </w:tblStylePr>
  </w:style>
  <w:style w:type="table" w:customStyle="1" w:styleId="41">
    <w:name w:val="일반 표 41"/>
    <w:basedOn w:val="a1"/>
    <w:uiPriority w:val="42"/>
    <w:rsid w:val="00D533BE"/>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8D8D8" w:themeFill="background1" w:themeFillShade="D8"/>
      </w:tcPr>
    </w:tblStylePr>
    <w:tblStylePr w:type="band1Horz">
      <w:tblPr/>
      <w:tcPr>
        <w:shd w:val="clear" w:color="auto" w:fill="D8D8D8" w:themeFill="background1" w:themeFillShade="D8"/>
      </w:tcPr>
    </w:tblStylePr>
  </w:style>
  <w:style w:type="table" w:customStyle="1" w:styleId="51">
    <w:name w:val="일반 표 51"/>
    <w:basedOn w:val="a1"/>
    <w:uiPriority w:val="43"/>
    <w:rsid w:val="00D533BE"/>
    <w:tblPr>
      <w:tblStyleRowBandSize w:val="1"/>
      <w:tblStyleColBandSize w:val="1"/>
    </w:tblPr>
    <w:tblStylePr w:type="firstRow">
      <w:rPr>
        <w:i/>
        <w:sz w:val="26"/>
        <w:szCs w:val="26"/>
      </w:rPr>
      <w:tblPr/>
      <w:tcPr>
        <w:tcBorders>
          <w:bottom w:val="single" w:sz="4" w:space="0" w:color="000000" w:themeColor="text1" w:themeShade="D8"/>
        </w:tcBorders>
        <w:shd w:val="clear" w:color="auto" w:fill="FFFFFF" w:themeFill="background1"/>
      </w:tcPr>
    </w:tblStylePr>
    <w:tblStylePr w:type="lastRow">
      <w:rPr>
        <w:i/>
        <w:sz w:val="26"/>
        <w:szCs w:val="26"/>
      </w:rPr>
      <w:tblPr/>
      <w:tcPr>
        <w:tcBorders>
          <w:top w:val="single" w:sz="4" w:space="0" w:color="000000" w:themeColor="text1" w:themeShade="D8"/>
        </w:tcBorders>
        <w:shd w:val="clear" w:color="auto" w:fill="FFFFFF" w:themeFill="background1"/>
      </w:tcPr>
    </w:tblStylePr>
    <w:tblStylePr w:type="firstCol">
      <w:pPr>
        <w:jc w:val="right"/>
      </w:pPr>
      <w:rPr>
        <w:i/>
        <w:sz w:val="26"/>
        <w:szCs w:val="26"/>
      </w:rPr>
      <w:tblPr/>
      <w:tcPr>
        <w:tcBorders>
          <w:right w:val="single" w:sz="4" w:space="0" w:color="000000" w:themeColor="text1" w:themeShade="D8"/>
        </w:tcBorders>
        <w:shd w:val="clear" w:color="auto" w:fill="FFFFFF" w:themeFill="background1"/>
      </w:tcPr>
    </w:tblStylePr>
    <w:tblStylePr w:type="lastCol">
      <w:rPr>
        <w:i/>
        <w:sz w:val="26"/>
        <w:szCs w:val="26"/>
      </w:rPr>
      <w:tblPr/>
      <w:tcPr>
        <w:tcBorders>
          <w:left w:val="single" w:sz="4" w:space="0" w:color="000000" w:themeColor="text1" w:themeShade="D8"/>
        </w:tcBorders>
        <w:shd w:val="clear" w:color="auto" w:fill="FFFFFF" w:themeFill="background1"/>
      </w:tcPr>
    </w:tblStylePr>
    <w:tblStylePr w:type="band1Vert">
      <w:tblPr/>
      <w:tcPr>
        <w:shd w:val="clear" w:color="auto" w:fill="CCCCCC" w:themeFill="background1" w:themeFillShade="CC"/>
      </w:tcPr>
    </w:tblStylePr>
    <w:tblStylePr w:type="band1Horz">
      <w:tblPr/>
      <w:tcPr>
        <w:shd w:val="clear" w:color="auto" w:fill="CCCCCC" w:themeFill="background1" w:themeFillShade="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
    <w:name w:val="눈금 표 1 밝게1"/>
    <w:basedOn w:val="a1"/>
    <w:uiPriority w:val="44"/>
    <w:rsid w:val="00D533B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lastCol">
      <w:rPr>
        <w:b/>
      </w:rPr>
    </w:tblStylePr>
  </w:style>
  <w:style w:type="table" w:customStyle="1" w:styleId="1-11">
    <w:name w:val="눈금 표 1 밝게 - 강조색 11"/>
    <w:basedOn w:val="a1"/>
    <w:uiPriority w:val="45"/>
    <w:rsid w:val="00D533B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lastCol">
      <w:rPr>
        <w:b/>
      </w:rPr>
    </w:tblStylePr>
  </w:style>
  <w:style w:type="table" w:customStyle="1" w:styleId="1-21">
    <w:name w:val="눈금 표 1 밝게 - 강조색 21"/>
    <w:basedOn w:val="a1"/>
    <w:uiPriority w:val="46"/>
    <w:rsid w:val="00D533B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lastCol">
      <w:rPr>
        <w:b/>
      </w:rPr>
    </w:tblStylePr>
  </w:style>
  <w:style w:type="table" w:customStyle="1" w:styleId="1-31">
    <w:name w:val="눈금 표 1 밝게 - 강조색 31"/>
    <w:basedOn w:val="a1"/>
    <w:uiPriority w:val="47"/>
    <w:rsid w:val="00D533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lastCol">
      <w:rPr>
        <w:b/>
      </w:rPr>
    </w:tblStylePr>
  </w:style>
  <w:style w:type="table" w:customStyle="1" w:styleId="1-41">
    <w:name w:val="눈금 표 1 밝게 - 강조색 41"/>
    <w:basedOn w:val="a1"/>
    <w:uiPriority w:val="48"/>
    <w:rsid w:val="00D533BE"/>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lastCol">
      <w:rPr>
        <w:b/>
      </w:rPr>
    </w:tblStylePr>
  </w:style>
  <w:style w:type="table" w:customStyle="1" w:styleId="1-51">
    <w:name w:val="눈금 표 1 밝게 - 강조색 51"/>
    <w:basedOn w:val="a1"/>
    <w:uiPriority w:val="49"/>
    <w:rsid w:val="00D533BE"/>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lastCol">
      <w:rPr>
        <w:b/>
      </w:rPr>
    </w:tblStylePr>
  </w:style>
  <w:style w:type="table" w:customStyle="1" w:styleId="1-61">
    <w:name w:val="눈금 표 1 밝게 - 강조색 61"/>
    <w:basedOn w:val="a1"/>
    <w:uiPriority w:val="50"/>
    <w:rsid w:val="00D533BE"/>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lastCol">
      <w:rPr>
        <w:b/>
      </w:rPr>
    </w:tblStylePr>
  </w:style>
  <w:style w:type="table" w:customStyle="1" w:styleId="210">
    <w:name w:val="눈금 표 21"/>
    <w:basedOn w:val="a1"/>
    <w:uiPriority w:val="51"/>
    <w:rsid w:val="00D533B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sing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눈금 표 2 - 강조색 11"/>
    <w:basedOn w:val="a1"/>
    <w:uiPriority w:val="52"/>
    <w:rsid w:val="00D533BE"/>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sing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21">
    <w:name w:val="눈금 표 2 - 강조색 21"/>
    <w:basedOn w:val="a1"/>
    <w:uiPriority w:val="53"/>
    <w:rsid w:val="00D533BE"/>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sing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31">
    <w:name w:val="눈금 표 2 - 강조색 31"/>
    <w:basedOn w:val="a1"/>
    <w:uiPriority w:val="54"/>
    <w:rsid w:val="00D533BE"/>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sing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1">
    <w:name w:val="눈금 표 2 - 강조색 41"/>
    <w:basedOn w:val="a1"/>
    <w:uiPriority w:val="55"/>
    <w:rsid w:val="00D533BE"/>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sing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1">
    <w:name w:val="눈금 표 2 - 강조색 51"/>
    <w:basedOn w:val="a1"/>
    <w:uiPriority w:val="56"/>
    <w:rsid w:val="00D533BE"/>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sing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61">
    <w:name w:val="눈금 표 2 - 강조색 61"/>
    <w:basedOn w:val="a1"/>
    <w:uiPriority w:val="57"/>
    <w:rsid w:val="00D533B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sing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310">
    <w:name w:val="눈금 표 31"/>
    <w:basedOn w:val="a1"/>
    <w:uiPriority w:val="58"/>
    <w:rsid w:val="00D533B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눈금 표 3 - 강조색 11"/>
    <w:basedOn w:val="a1"/>
    <w:uiPriority w:val="59"/>
    <w:rsid w:val="00D533BE"/>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눈금 표 3 - 강조색 21"/>
    <w:basedOn w:val="a1"/>
    <w:uiPriority w:val="60"/>
    <w:rsid w:val="00D533B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눈금 표 3 - 강조색 31"/>
    <w:basedOn w:val="a1"/>
    <w:uiPriority w:val="61"/>
    <w:rsid w:val="00D533B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눈금 표 3 - 강조색 41"/>
    <w:basedOn w:val="a1"/>
    <w:uiPriority w:val="62"/>
    <w:rsid w:val="00D533BE"/>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눈금 표 3 - 강조색 51"/>
    <w:basedOn w:val="a1"/>
    <w:uiPriority w:val="63"/>
    <w:rsid w:val="00D533B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눈금 표 3 - 강조색 61"/>
    <w:basedOn w:val="a1"/>
    <w:uiPriority w:val="64"/>
    <w:rsid w:val="00D533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0">
    <w:name w:val="눈금 표 41"/>
    <w:basedOn w:val="a1"/>
    <w:uiPriority w:val="65"/>
    <w:rsid w:val="00D533B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눈금 표 4 - 강조색 11"/>
    <w:basedOn w:val="a1"/>
    <w:uiPriority w:val="66"/>
    <w:rsid w:val="00D533BE"/>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
    <w:name w:val="눈금 표 4 - 강조색 21"/>
    <w:basedOn w:val="a1"/>
    <w:uiPriority w:val="67"/>
    <w:rsid w:val="00D533B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31">
    <w:name w:val="눈금 표 4 - 강조색 31"/>
    <w:basedOn w:val="a1"/>
    <w:uiPriority w:val="68"/>
    <w:rsid w:val="00D533B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41">
    <w:name w:val="눈금 표 4 - 강조색 41"/>
    <w:basedOn w:val="a1"/>
    <w:uiPriority w:val="69"/>
    <w:rsid w:val="00D533BE"/>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51">
    <w:name w:val="눈금 표 4 - 강조색 51"/>
    <w:basedOn w:val="a1"/>
    <w:uiPriority w:val="70"/>
    <w:rsid w:val="00D533B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61">
    <w:name w:val="눈금 표 4 - 강조색 61"/>
    <w:basedOn w:val="a1"/>
    <w:uiPriority w:val="71"/>
    <w:rsid w:val="00D533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510">
    <w:name w:val="눈금 표 5 어둡게1"/>
    <w:basedOn w:val="a1"/>
    <w:uiPriority w:val="72"/>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눈금 표 5 어둡게 - 강조색 11"/>
    <w:basedOn w:val="a1"/>
    <w:uiPriority w:val="73"/>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5-21">
    <w:name w:val="눈금 표 5 어둡게 - 강조색 21"/>
    <w:basedOn w:val="a1"/>
    <w:uiPriority w:val="74"/>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5-31">
    <w:name w:val="눈금 표 5 어둡게 - 강조색 31"/>
    <w:basedOn w:val="a1"/>
    <w:uiPriority w:val="75"/>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5-41">
    <w:name w:val="눈금 표 5 어둡게 - 강조색 41"/>
    <w:basedOn w:val="a1"/>
    <w:uiPriority w:val="76"/>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5-51">
    <w:name w:val="눈금 표 5 어둡게 - 강조색 51"/>
    <w:basedOn w:val="a1"/>
    <w:uiPriority w:val="77"/>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5-61">
    <w:name w:val="눈금 표 5 어둡게 - 강조색 61"/>
    <w:basedOn w:val="a1"/>
    <w:uiPriority w:val="78"/>
    <w:rsid w:val="00D533B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61">
    <w:name w:val="눈금 표 6 색상형1"/>
    <w:basedOn w:val="a1"/>
    <w:uiPriority w:val="79"/>
    <w:rsid w:val="00D533BE"/>
    <w:rPr>
      <w:color w:val="000000" w:themeColor="text1" w:themeShade="D8"/>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눈금 표 6 색상형 - 강조색 11"/>
    <w:basedOn w:val="a1"/>
    <w:uiPriority w:val="80"/>
    <w:rsid w:val="00D533BE"/>
    <w:rPr>
      <w:color w:val="3583CB" w:themeColor="accent1" w:themeShade="D8"/>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21">
    <w:name w:val="눈금 표 6 색상형 - 강조색 21"/>
    <w:basedOn w:val="a1"/>
    <w:uiPriority w:val="81"/>
    <w:rsid w:val="00D533BE"/>
    <w:rPr>
      <w:color w:val="DE6513" w:themeColor="accent2" w:themeShade="D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31">
    <w:name w:val="눈금 표 6 색상형 - 강조색 31"/>
    <w:basedOn w:val="a1"/>
    <w:uiPriority w:val="82"/>
    <w:rsid w:val="00D533BE"/>
    <w:rPr>
      <w:color w:val="8B8B8B" w:themeColor="accent3" w:themeShade="D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41">
    <w:name w:val="눈금 표 6 색상형 - 강조색 41"/>
    <w:basedOn w:val="a1"/>
    <w:uiPriority w:val="83"/>
    <w:rsid w:val="00D533BE"/>
    <w:rPr>
      <w:color w:val="D8A200" w:themeColor="accent4" w:themeShade="D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
    <w:name w:val="눈금 표 6 색상형 - 강조색 51"/>
    <w:basedOn w:val="a1"/>
    <w:uiPriority w:val="84"/>
    <w:rsid w:val="00D533BE"/>
    <w:rPr>
      <w:color w:val="355FA9" w:themeColor="accent5" w:themeShade="D8"/>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61">
    <w:name w:val="눈금 표 6 색상형 - 강조색 61"/>
    <w:basedOn w:val="a1"/>
    <w:uiPriority w:val="85"/>
    <w:rsid w:val="00D533BE"/>
    <w:rPr>
      <w:color w:val="5E923C" w:themeColor="accent6" w:themeShade="D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71">
    <w:name w:val="눈금 표 7 색상형1"/>
    <w:basedOn w:val="a1"/>
    <w:uiPriority w:val="86"/>
    <w:rsid w:val="00D533BE"/>
    <w:rPr>
      <w:color w:val="000000" w:themeColor="text1" w:themeShade="D8"/>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눈금 표 7 색상형 - 강조색 11"/>
    <w:basedOn w:val="a1"/>
    <w:uiPriority w:val="87"/>
    <w:rsid w:val="00D533BE"/>
    <w:rPr>
      <w:color w:val="3583CB" w:themeColor="accent1" w:themeShade="D8"/>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눈금 표 7 색상형 - 강조색 21"/>
    <w:basedOn w:val="a1"/>
    <w:uiPriority w:val="88"/>
    <w:rsid w:val="00D533BE"/>
    <w:rPr>
      <w:color w:val="DE6513" w:themeColor="accent2" w:themeShade="D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눈금 표 7 색상형 - 강조색 31"/>
    <w:basedOn w:val="a1"/>
    <w:uiPriority w:val="89"/>
    <w:rsid w:val="00D533BE"/>
    <w:rPr>
      <w:color w:val="8B8B8B" w:themeColor="accent3" w:themeShade="D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눈금 표 7 색상형 - 강조색 41"/>
    <w:basedOn w:val="a1"/>
    <w:uiPriority w:val="90"/>
    <w:rsid w:val="00D533BE"/>
    <w:rPr>
      <w:color w:val="D8A200" w:themeColor="accent4" w:themeShade="D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눈금 표 7 색상형 - 강조색 51"/>
    <w:basedOn w:val="a1"/>
    <w:uiPriority w:val="91"/>
    <w:rsid w:val="00D533BE"/>
    <w:rPr>
      <w:color w:val="355FA9" w:themeColor="accent5" w:themeShade="D8"/>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눈금 표 7 색상형 - 강조색 61"/>
    <w:basedOn w:val="a1"/>
    <w:uiPriority w:val="92"/>
    <w:rsid w:val="00D533BE"/>
    <w:rPr>
      <w:color w:val="5E923C" w:themeColor="accent6" w:themeShade="D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2">
    <w:name w:val="목록 표 1 밝게1"/>
    <w:basedOn w:val="a1"/>
    <w:uiPriority w:val="93"/>
    <w:rsid w:val="00D533BE"/>
    <w:tblPr>
      <w:tblStyleRowBandSize w:val="1"/>
      <w:tblStyleColBandSize w:val="1"/>
    </w:tblPr>
    <w:tblStylePr w:type="firstRow">
      <w:rPr>
        <w:i/>
      </w:rPr>
      <w:tblPr/>
      <w:tcPr>
        <w:tcBorders>
          <w:bottom w:val="single" w:sz="4" w:space="0" w:color="666666" w:themeColor="text1" w:themeTint="99"/>
        </w:tcBorders>
      </w:tcPr>
    </w:tblStylePr>
    <w:tblStylePr w:type="lastRow">
      <w:rPr>
        <w:i/>
      </w:rPr>
      <w:tblPr/>
      <w:tcPr>
        <w:tcBorders>
          <w:top w:val="single" w:sz="4" w:space="0" w:color="666666" w:themeColor="text1" w:themeTint="99"/>
        </w:tcBorders>
      </w:tcPr>
    </w:tblStylePr>
    <w:tblStylePr w:type="firstCol">
      <w:rPr>
        <w:i/>
      </w:rPr>
    </w:tblStylePr>
    <w:tblStylePr w:type="lastCol">
      <w:rPr>
        <w:i/>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목록 표 1 밝게 - 강조색 11"/>
    <w:basedOn w:val="a1"/>
    <w:uiPriority w:val="94"/>
    <w:rsid w:val="00D533BE"/>
    <w:tblPr>
      <w:tblStyleRowBandSize w:val="1"/>
      <w:tblStyleColBandSize w:val="1"/>
    </w:tblPr>
    <w:tblStylePr w:type="firstRow">
      <w:rPr>
        <w:i/>
      </w:rPr>
      <w:tblPr/>
      <w:tcPr>
        <w:tcBorders>
          <w:bottom w:val="single" w:sz="4" w:space="0" w:color="9CC2E5" w:themeColor="accent1" w:themeTint="99"/>
        </w:tcBorders>
      </w:tcPr>
    </w:tblStylePr>
    <w:tblStylePr w:type="lastRow">
      <w:rPr>
        <w:i/>
      </w:rPr>
      <w:tblPr/>
      <w:tcPr>
        <w:tcBorders>
          <w:top w:val="single" w:sz="4" w:space="0" w:color="9CC2E5" w:themeColor="accent1" w:themeTint="99"/>
        </w:tcBorders>
      </w:tcPr>
    </w:tblStylePr>
    <w:tblStylePr w:type="firstCol">
      <w:rPr>
        <w:i/>
      </w:rPr>
    </w:tblStylePr>
    <w:tblStylePr w:type="lastCol">
      <w:rPr>
        <w:i/>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210">
    <w:name w:val="목록 표 1 밝게 - 강조색 21"/>
    <w:basedOn w:val="a1"/>
    <w:uiPriority w:val="95"/>
    <w:rsid w:val="00D533BE"/>
    <w:tblPr>
      <w:tblStyleRowBandSize w:val="1"/>
      <w:tblStyleColBandSize w:val="1"/>
    </w:tblPr>
    <w:tblStylePr w:type="firstRow">
      <w:rPr>
        <w:i/>
      </w:rPr>
      <w:tblPr/>
      <w:tcPr>
        <w:tcBorders>
          <w:bottom w:val="single" w:sz="4" w:space="0" w:color="F4B083" w:themeColor="accent2" w:themeTint="99"/>
        </w:tcBorders>
      </w:tcPr>
    </w:tblStylePr>
    <w:tblStylePr w:type="lastRow">
      <w:rPr>
        <w:i/>
      </w:rPr>
      <w:tblPr/>
      <w:tcPr>
        <w:tcBorders>
          <w:top w:val="single" w:sz="4" w:space="0" w:color="F4B083" w:themeColor="accent2" w:themeTint="99"/>
        </w:tcBorders>
      </w:tcPr>
    </w:tblStylePr>
    <w:tblStylePr w:type="firstCol">
      <w:rPr>
        <w:i/>
      </w:rPr>
    </w:tblStylePr>
    <w:tblStylePr w:type="lastCol">
      <w:rPr>
        <w:i/>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310">
    <w:name w:val="목록 표 1 밝게 - 강조색 31"/>
    <w:basedOn w:val="a1"/>
    <w:uiPriority w:val="96"/>
    <w:rsid w:val="00D533BE"/>
    <w:tblPr>
      <w:tblStyleRowBandSize w:val="1"/>
      <w:tblStyleColBandSize w:val="1"/>
    </w:tblPr>
    <w:tblStylePr w:type="firstRow">
      <w:rPr>
        <w:i/>
      </w:rPr>
      <w:tblPr/>
      <w:tcPr>
        <w:tcBorders>
          <w:bottom w:val="single" w:sz="4" w:space="0" w:color="C9C9C9" w:themeColor="accent3" w:themeTint="99"/>
        </w:tcBorders>
      </w:tcPr>
    </w:tblStylePr>
    <w:tblStylePr w:type="lastRow">
      <w:rPr>
        <w:i/>
      </w:rPr>
      <w:tblPr/>
      <w:tcPr>
        <w:tcBorders>
          <w:top w:val="single" w:sz="4" w:space="0" w:color="C9C9C9" w:themeColor="accent3" w:themeTint="99"/>
        </w:tcBorders>
      </w:tcPr>
    </w:tblStylePr>
    <w:tblStylePr w:type="firstCol">
      <w:rPr>
        <w:i/>
      </w:rPr>
    </w:tblStylePr>
    <w:tblStylePr w:type="lastCol">
      <w:rPr>
        <w:i/>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410">
    <w:name w:val="목록 표 1 밝게 - 강조색 41"/>
    <w:basedOn w:val="a1"/>
    <w:uiPriority w:val="97"/>
    <w:rsid w:val="00D533BE"/>
    <w:tblPr>
      <w:tblStyleRowBandSize w:val="1"/>
      <w:tblStyleColBandSize w:val="1"/>
    </w:tblPr>
    <w:tblStylePr w:type="firstRow">
      <w:rPr>
        <w:i/>
      </w:rPr>
      <w:tblPr/>
      <w:tcPr>
        <w:tcBorders>
          <w:bottom w:val="single" w:sz="4" w:space="0" w:color="FFD966" w:themeColor="accent4" w:themeTint="99"/>
        </w:tcBorders>
      </w:tcPr>
    </w:tblStylePr>
    <w:tblStylePr w:type="lastRow">
      <w:rPr>
        <w:i/>
      </w:rPr>
      <w:tblPr/>
      <w:tcPr>
        <w:tcBorders>
          <w:top w:val="single" w:sz="4" w:space="0" w:color="FFD966" w:themeColor="accent4" w:themeTint="99"/>
        </w:tcBorders>
      </w:tcPr>
    </w:tblStylePr>
    <w:tblStylePr w:type="firstCol">
      <w:rPr>
        <w:i/>
      </w:rPr>
    </w:tblStylePr>
    <w:tblStylePr w:type="lastCol">
      <w:rPr>
        <w:i/>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1-510">
    <w:name w:val="목록 표 1 밝게 - 강조색 51"/>
    <w:basedOn w:val="a1"/>
    <w:uiPriority w:val="98"/>
    <w:rsid w:val="00D533BE"/>
    <w:tblPr>
      <w:tblStyleRowBandSize w:val="1"/>
      <w:tblStyleColBandSize w:val="1"/>
    </w:tblPr>
    <w:tblStylePr w:type="firstRow">
      <w:rPr>
        <w:i/>
      </w:rPr>
      <w:tblPr/>
      <w:tcPr>
        <w:tcBorders>
          <w:bottom w:val="single" w:sz="4" w:space="0" w:color="8EAADB" w:themeColor="accent5" w:themeTint="99"/>
        </w:tcBorders>
      </w:tcPr>
    </w:tblStylePr>
    <w:tblStylePr w:type="lastRow">
      <w:rPr>
        <w:i/>
      </w:rPr>
      <w:tblPr/>
      <w:tcPr>
        <w:tcBorders>
          <w:top w:val="single" w:sz="4" w:space="0" w:color="8EAADB" w:themeColor="accent5" w:themeTint="99"/>
        </w:tcBorders>
      </w:tcPr>
    </w:tblStylePr>
    <w:tblStylePr w:type="firstCol">
      <w:rPr>
        <w:i/>
      </w:rPr>
    </w:tblStylePr>
    <w:tblStylePr w:type="lastCol">
      <w:rPr>
        <w:i/>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1-610">
    <w:name w:val="목록 표 1 밝게 - 강조색 61"/>
    <w:basedOn w:val="a1"/>
    <w:uiPriority w:val="99"/>
    <w:rsid w:val="00D533BE"/>
    <w:tblPr>
      <w:tblStyleRowBandSize w:val="1"/>
      <w:tblStyleColBandSize w:val="1"/>
    </w:tblPr>
    <w:tblStylePr w:type="firstRow">
      <w:rPr>
        <w:i/>
      </w:rPr>
      <w:tblPr/>
      <w:tcPr>
        <w:tcBorders>
          <w:bottom w:val="single" w:sz="4" w:space="0" w:color="A8D08D" w:themeColor="accent6" w:themeTint="99"/>
        </w:tcBorders>
      </w:tcPr>
    </w:tblStylePr>
    <w:tblStylePr w:type="lastRow">
      <w:rPr>
        <w:i/>
      </w:rPr>
      <w:tblPr/>
      <w:tcPr>
        <w:tcBorders>
          <w:top w:val="single" w:sz="4" w:space="0" w:color="A8D08D" w:themeColor="accent6" w:themeTint="99"/>
        </w:tcBorders>
      </w:tcPr>
    </w:tblStylePr>
    <w:tblStylePr w:type="firstCol">
      <w:rPr>
        <w:i/>
      </w:rPr>
    </w:tblStylePr>
    <w:tblStylePr w:type="lastCol">
      <w:rPr>
        <w:i/>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211">
    <w:name w:val="목록 표 21"/>
    <w:basedOn w:val="a1"/>
    <w:rsid w:val="00D533B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목록 표 2 - 강조색 11"/>
    <w:basedOn w:val="a1"/>
    <w:rsid w:val="00D533BE"/>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210">
    <w:name w:val="목록 표 2 - 강조색 21"/>
    <w:basedOn w:val="a1"/>
    <w:rsid w:val="00D533BE"/>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310">
    <w:name w:val="목록 표 2 - 강조색 31"/>
    <w:basedOn w:val="a1"/>
    <w:rsid w:val="00D533B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10">
    <w:name w:val="목록 표 2 - 강조색 41"/>
    <w:basedOn w:val="a1"/>
    <w:rsid w:val="00D533BE"/>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10">
    <w:name w:val="목록 표 2 - 강조색 51"/>
    <w:basedOn w:val="a1"/>
    <w:rsid w:val="00D533BE"/>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610">
    <w:name w:val="목록 표 2 - 강조색 61"/>
    <w:basedOn w:val="a1"/>
    <w:rsid w:val="00D533BE"/>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311">
    <w:name w:val="목록 표 31"/>
    <w:basedOn w:val="a1"/>
    <w:rsid w:val="00D533B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목록 표 3 - 강조색 11"/>
    <w:basedOn w:val="a1"/>
    <w:rsid w:val="00D533BE"/>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목록 표 3 - 강조색 21"/>
    <w:basedOn w:val="a1"/>
    <w:rsid w:val="00D533BE"/>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목록 표 3 - 강조색 31"/>
    <w:basedOn w:val="a1"/>
    <w:rsid w:val="00D533BE"/>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목록 표 3 - 강조색 41"/>
    <w:basedOn w:val="a1"/>
    <w:rsid w:val="00D533BE"/>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목록 표 3 - 강조색 51"/>
    <w:basedOn w:val="a1"/>
    <w:rsid w:val="00D533BE"/>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목록 표 3 - 강조색 61"/>
    <w:basedOn w:val="a1"/>
    <w:rsid w:val="00D533BE"/>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tcPr>
    </w:tblStylePr>
    <w:tblStylePr w:type="lastCol">
      <w:tblPr/>
      <w:tcPr>
        <w:tcBorders>
          <w:left w:val="nil"/>
        </w:tcBorders>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1">
    <w:name w:val="목록 표 41"/>
    <w:basedOn w:val="a1"/>
    <w:rsid w:val="00D533B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목록 표 4 - 강조색 11"/>
    <w:basedOn w:val="a1"/>
    <w:rsid w:val="00D533BE"/>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0">
    <w:name w:val="목록 표 4 - 강조색 21"/>
    <w:basedOn w:val="a1"/>
    <w:rsid w:val="00D533B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310">
    <w:name w:val="목록 표 4 - 강조색 31"/>
    <w:basedOn w:val="a1"/>
    <w:rsid w:val="00D533B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410">
    <w:name w:val="목록 표 4 - 강조색 41"/>
    <w:basedOn w:val="a1"/>
    <w:rsid w:val="00D533BE"/>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510">
    <w:name w:val="목록 표 4 - 강조색 51"/>
    <w:basedOn w:val="a1"/>
    <w:rsid w:val="00D533B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610">
    <w:name w:val="목록 표 4 - 강조색 61"/>
    <w:basedOn w:val="a1"/>
    <w:rsid w:val="00D533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a1"/>
    <w:rsid w:val="00D533B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a1"/>
    <w:rsid w:val="00D533BE"/>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a1"/>
    <w:rsid w:val="00D533BE"/>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a1"/>
    <w:rsid w:val="00D533BE"/>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a1"/>
    <w:rsid w:val="00D533BE"/>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a1"/>
    <w:rsid w:val="00D533BE"/>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a1"/>
    <w:rsid w:val="00D533BE"/>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0">
    <w:name w:val="목록 표 6 색상형1"/>
    <w:basedOn w:val="a1"/>
    <w:rsid w:val="00D533B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tblPr/>
      <w:tcPr>
        <w:tcBorders>
          <w:top w:val="double" w:sz="4" w:space="0" w:color="000000" w:themeColor="text1"/>
        </w:tcBorders>
      </w:tcPr>
    </w:tblStylePr>
    <w:tblStylePr w:type="fir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목록 표 6 색상형 - 강조색 11"/>
    <w:basedOn w:val="a1"/>
    <w:rsid w:val="00D533BE"/>
    <w:rPr>
      <w:color w:val="5B9BD5" w:themeColor="accent1"/>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tblPr/>
      <w:tcPr>
        <w:tcBorders>
          <w:top w:val="double" w:sz="4" w:space="0" w:color="5B9BD5" w:themeColor="accent1"/>
        </w:tcBorders>
      </w:tcPr>
    </w:tblStylePr>
    <w:tblStylePr w:type="fir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210">
    <w:name w:val="목록 표 6 색상형 - 강조색 21"/>
    <w:basedOn w:val="a1"/>
    <w:rsid w:val="00D533BE"/>
    <w:rPr>
      <w:color w:val="ED7D31" w:themeColor="accent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tblPr/>
      <w:tcPr>
        <w:tcBorders>
          <w:top w:val="double" w:sz="4" w:space="0" w:color="ED7D31" w:themeColor="accent2"/>
        </w:tcBorders>
      </w:tcPr>
    </w:tblStylePr>
    <w:tblStylePr w:type="fir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310">
    <w:name w:val="목록 표 6 색상형 - 강조색 31"/>
    <w:basedOn w:val="a1"/>
    <w:rsid w:val="00D533BE"/>
    <w:rPr>
      <w:color w:val="A5A5A5" w:themeColor="accent3"/>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tblPr/>
      <w:tcPr>
        <w:tcBorders>
          <w:top w:val="double" w:sz="4" w:space="0" w:color="A5A5A5" w:themeColor="accent3"/>
        </w:tcBorders>
      </w:tcPr>
    </w:tblStylePr>
    <w:tblStylePr w:type="fir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410">
    <w:name w:val="목록 표 6 색상형 - 강조색 41"/>
    <w:basedOn w:val="a1"/>
    <w:rsid w:val="00D533BE"/>
    <w:rPr>
      <w:color w:val="FFC000" w:themeColor="accent4"/>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tblPr/>
      <w:tcPr>
        <w:tcBorders>
          <w:top w:val="double" w:sz="4" w:space="0" w:color="FFC000" w:themeColor="accent4"/>
        </w:tcBorders>
      </w:tcPr>
    </w:tblStylePr>
    <w:tblStylePr w:type="fir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0">
    <w:name w:val="목록 표 6 색상형 - 강조색 51"/>
    <w:basedOn w:val="a1"/>
    <w:rsid w:val="00D533BE"/>
    <w:rPr>
      <w:color w:val="4472C4" w:themeColor="accent5"/>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tblPr/>
      <w:tcPr>
        <w:tcBorders>
          <w:top w:val="double" w:sz="4" w:space="0" w:color="4472C4" w:themeColor="accent5"/>
        </w:tcBorders>
      </w:tcPr>
    </w:tblStylePr>
    <w:tblStylePr w:type="fir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610">
    <w:name w:val="목록 표 6 색상형 - 강조색 61"/>
    <w:basedOn w:val="a1"/>
    <w:rsid w:val="00D533BE"/>
    <w:rPr>
      <w:color w:val="70AD47" w:themeColor="accent6"/>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tblPr/>
      <w:tcPr>
        <w:tcBorders>
          <w:top w:val="double" w:sz="4" w:space="0" w:color="70AD47" w:themeColor="accent6"/>
        </w:tcBorders>
      </w:tcPr>
    </w:tblStylePr>
    <w:tblStylePr w:type="fir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710">
    <w:name w:val="목록 표 7 색상형1"/>
    <w:basedOn w:val="a1"/>
    <w:rsid w:val="00D533BE"/>
    <w:rPr>
      <w:color w:val="000000" w:themeColor="text1" w:themeShade="D8"/>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both"/>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목록 표 7 색상형 - 강조색 11"/>
    <w:basedOn w:val="a1"/>
    <w:rsid w:val="00D533BE"/>
    <w:rPr>
      <w:color w:val="3583CB" w:themeColor="accent1" w:themeShade="D8"/>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both"/>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목록 표 7 색상형 - 강조색 21"/>
    <w:basedOn w:val="a1"/>
    <w:rsid w:val="00D533BE"/>
    <w:rPr>
      <w:color w:val="DE6513" w:themeColor="accent2" w:themeShade="D8"/>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both"/>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목록 표 7 색상형 - 강조색 31"/>
    <w:basedOn w:val="a1"/>
    <w:rsid w:val="00D533BE"/>
    <w:rPr>
      <w:color w:val="8B8B8B" w:themeColor="accent3" w:themeShade="D8"/>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both"/>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목록 표 7 색상형 - 강조색 41"/>
    <w:basedOn w:val="a1"/>
    <w:rsid w:val="00D533BE"/>
    <w:rPr>
      <w:color w:val="D8A200" w:themeColor="accent4" w:themeShade="D8"/>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both"/>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목록 표 7 색상형 - 강조색 51"/>
    <w:basedOn w:val="a1"/>
    <w:rsid w:val="00D533BE"/>
    <w:rPr>
      <w:color w:val="355FA9" w:themeColor="accent5" w:themeShade="D8"/>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both"/>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목록 표 7 색상형 - 강조색 61"/>
    <w:basedOn w:val="a1"/>
    <w:rsid w:val="00D533BE"/>
    <w:rPr>
      <w:color w:val="5E923C" w:themeColor="accent6" w:themeShade="D8"/>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both"/>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1">
    <w:name w:val="header"/>
    <w:basedOn w:val="a"/>
    <w:link w:val="Char"/>
    <w:uiPriority w:val="99"/>
    <w:unhideWhenUsed/>
    <w:rsid w:val="00134461"/>
    <w:pPr>
      <w:tabs>
        <w:tab w:val="center" w:pos="4513"/>
        <w:tab w:val="right" w:pos="9026"/>
      </w:tabs>
      <w:snapToGrid w:val="0"/>
    </w:pPr>
  </w:style>
  <w:style w:type="character" w:customStyle="1" w:styleId="Char">
    <w:name w:val="머리글 Char"/>
    <w:basedOn w:val="a0"/>
    <w:link w:val="af1"/>
    <w:uiPriority w:val="99"/>
    <w:rsid w:val="00134461"/>
    <w:rPr>
      <w:rFonts w:ascii="Arial" w:eastAsia="Arial" w:hAnsi="Arial"/>
    </w:rPr>
  </w:style>
  <w:style w:type="paragraph" w:styleId="af2">
    <w:name w:val="footer"/>
    <w:basedOn w:val="a"/>
    <w:link w:val="Char0"/>
    <w:uiPriority w:val="99"/>
    <w:unhideWhenUsed/>
    <w:rsid w:val="00134461"/>
    <w:pPr>
      <w:tabs>
        <w:tab w:val="center" w:pos="4513"/>
        <w:tab w:val="right" w:pos="9026"/>
      </w:tabs>
      <w:snapToGrid w:val="0"/>
    </w:pPr>
  </w:style>
  <w:style w:type="character" w:customStyle="1" w:styleId="Char0">
    <w:name w:val="바닥글 Char"/>
    <w:basedOn w:val="a0"/>
    <w:link w:val="af2"/>
    <w:uiPriority w:val="99"/>
    <w:rsid w:val="00134461"/>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EB27A-0A19-40F8-89BF-71CE21A77DD5}"/>
</file>

<file path=customXml/itemProps2.xml><?xml version="1.0" encoding="utf-8"?>
<ds:datastoreItem xmlns:ds="http://schemas.openxmlformats.org/officeDocument/2006/customXml" ds:itemID="{11C748BE-33BC-4F9B-9F69-074EDB4C2AE9}"/>
</file>

<file path=customXml/itemProps3.xml><?xml version="1.0" encoding="utf-8"?>
<ds:datastoreItem xmlns:ds="http://schemas.openxmlformats.org/officeDocument/2006/customXml" ds:itemID="{29CFF163-E7DD-44B7-9705-6F1E9883C7EA}"/>
</file>

<file path=customXml/itemProps4.xml><?xml version="1.0" encoding="utf-8"?>
<ds:datastoreItem xmlns:ds="http://schemas.openxmlformats.org/officeDocument/2006/customXml" ds:itemID="{B8900A89-66F0-4A29-8FB0-0C250BFB9FBD}"/>
</file>

<file path=docProps/app.xml><?xml version="1.0" encoding="utf-8"?>
<Properties xmlns="http://schemas.openxmlformats.org/officeDocument/2006/extended-properties" xmlns:vt="http://schemas.openxmlformats.org/officeDocument/2006/docPropsVTypes">
  <Template>Normal</Template>
  <TotalTime>194</TotalTime>
  <Pages>10</Pages>
  <Words>3889</Words>
  <Characters>21939</Characters>
  <Application>Microsoft Office Word</Application>
  <DocSecurity>0</DocSecurity>
  <Lines>487</Lines>
  <Paragraphs>112</Paragraphs>
  <MMClips>0</MMClip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Dasol Lyu</dc:creator>
  <cp:lastModifiedBy>류다솔</cp:lastModifiedBy>
  <cp:revision>9</cp:revision>
  <dcterms:created xsi:type="dcterms:W3CDTF">2018-01-31T04:00:00Z</dcterms:created>
  <dcterms:modified xsi:type="dcterms:W3CDTF">2018-01-31T11:06:00Z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