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D36A21" w14:textId="4B88B8B5" w:rsidR="007B3F0B" w:rsidRPr="001A41A9" w:rsidRDefault="007B3F0B" w:rsidP="00706FED">
      <w:pPr>
        <w:jc w:val="center"/>
        <w:rPr>
          <w:rFonts w:asciiTheme="majorBidi" w:hAnsiTheme="majorBidi" w:cstheme="majorBidi"/>
          <w:b/>
          <w:bCs/>
          <w:sz w:val="28"/>
          <w:szCs w:val="28"/>
        </w:rPr>
      </w:pPr>
      <w:r w:rsidRPr="001A41A9">
        <w:rPr>
          <w:rFonts w:asciiTheme="majorBidi" w:hAnsiTheme="majorBidi" w:cstheme="majorBidi"/>
          <w:b/>
          <w:bCs/>
          <w:sz w:val="28"/>
          <w:szCs w:val="28"/>
        </w:rPr>
        <w:t>Comité des droits de l’Homme</w:t>
      </w:r>
    </w:p>
    <w:p w14:paraId="4B4803BC" w14:textId="3F456A21" w:rsidR="007B3F0B" w:rsidRPr="001A41A9" w:rsidRDefault="007B3F0B" w:rsidP="00706FED">
      <w:pPr>
        <w:jc w:val="center"/>
        <w:rPr>
          <w:rFonts w:asciiTheme="majorBidi" w:hAnsiTheme="majorBidi" w:cstheme="majorBidi"/>
          <w:b/>
          <w:bCs/>
          <w:sz w:val="28"/>
          <w:szCs w:val="28"/>
        </w:rPr>
      </w:pPr>
      <w:r w:rsidRPr="001A41A9">
        <w:rPr>
          <w:rFonts w:asciiTheme="majorBidi" w:hAnsiTheme="majorBidi" w:cstheme="majorBidi"/>
          <w:b/>
          <w:bCs/>
          <w:sz w:val="28"/>
          <w:szCs w:val="28"/>
        </w:rPr>
        <w:t>Pacte international relatif aux droits civils et politiques</w:t>
      </w:r>
    </w:p>
    <w:p w14:paraId="108AD151" w14:textId="042AFD04" w:rsidR="007B3F0B" w:rsidRPr="00554C49" w:rsidRDefault="007B3F0B" w:rsidP="00554C49">
      <w:pPr>
        <w:jc w:val="center"/>
        <w:rPr>
          <w:rFonts w:asciiTheme="majorBidi" w:hAnsiTheme="majorBidi" w:cstheme="majorBidi"/>
          <w:b/>
          <w:bCs/>
          <w:sz w:val="28"/>
          <w:szCs w:val="28"/>
        </w:rPr>
      </w:pPr>
      <w:r w:rsidRPr="001A41A9">
        <w:rPr>
          <w:rFonts w:asciiTheme="majorBidi" w:hAnsiTheme="majorBidi" w:cstheme="majorBidi"/>
          <w:b/>
          <w:bCs/>
          <w:sz w:val="28"/>
          <w:szCs w:val="28"/>
        </w:rPr>
        <w:t>Soumission de la liste des questions préalables à l’établissement du septième rapport périodique du Maroc – LOIPR</w:t>
      </w:r>
    </w:p>
    <w:p w14:paraId="17642384" w14:textId="6252C436" w:rsidR="00790A0B" w:rsidRPr="00790A0B" w:rsidRDefault="004F5608" w:rsidP="00790A0B">
      <w:pPr>
        <w:jc w:val="center"/>
        <w:rPr>
          <w:rFonts w:asciiTheme="majorBidi" w:hAnsiTheme="majorBidi" w:cstheme="majorBidi"/>
          <w:sz w:val="28"/>
          <w:szCs w:val="28"/>
          <w:u w:val="single"/>
        </w:rPr>
      </w:pPr>
      <w:r w:rsidRPr="004F5608">
        <w:rPr>
          <w:rFonts w:asciiTheme="majorBidi" w:hAnsiTheme="majorBidi" w:cstheme="majorBidi"/>
          <w:sz w:val="28"/>
          <w:szCs w:val="28"/>
          <w:u w:val="single"/>
        </w:rPr>
        <w:t xml:space="preserve">Contribution de : </w:t>
      </w:r>
    </w:p>
    <w:p w14:paraId="740CE620" w14:textId="77777777" w:rsidR="005172E6" w:rsidRDefault="007B3F0B" w:rsidP="00554C49">
      <w:pPr>
        <w:jc w:val="center"/>
        <w:rPr>
          <w:rFonts w:asciiTheme="majorBidi" w:hAnsiTheme="majorBidi" w:cstheme="majorBidi"/>
          <w:sz w:val="28"/>
          <w:szCs w:val="28"/>
        </w:rPr>
      </w:pPr>
      <w:r w:rsidRPr="00554C49">
        <w:rPr>
          <w:rFonts w:asciiTheme="majorBidi" w:hAnsiTheme="majorBidi" w:cstheme="majorBidi"/>
          <w:sz w:val="28"/>
          <w:szCs w:val="28"/>
        </w:rPr>
        <w:t>Réseau Autochtone Amazigh AZUL</w:t>
      </w:r>
    </w:p>
    <w:p w14:paraId="1BB35730" w14:textId="482F1167" w:rsidR="00790A0B" w:rsidRDefault="00790A0B" w:rsidP="00554C49">
      <w:pPr>
        <w:jc w:val="center"/>
        <w:rPr>
          <w:rFonts w:asciiTheme="majorBidi" w:hAnsiTheme="majorBidi" w:cstheme="majorBidi"/>
          <w:sz w:val="28"/>
          <w:szCs w:val="28"/>
        </w:rPr>
      </w:pPr>
      <w:proofErr w:type="spellStart"/>
      <w:r>
        <w:rPr>
          <w:rFonts w:asciiTheme="majorBidi" w:hAnsiTheme="majorBidi" w:cstheme="majorBidi"/>
          <w:sz w:val="28"/>
          <w:szCs w:val="28"/>
        </w:rPr>
        <w:t>Acal</w:t>
      </w:r>
      <w:proofErr w:type="spellEnd"/>
      <w:r>
        <w:rPr>
          <w:rFonts w:asciiTheme="majorBidi" w:hAnsiTheme="majorBidi" w:cstheme="majorBidi"/>
          <w:sz w:val="28"/>
          <w:szCs w:val="28"/>
        </w:rPr>
        <w:t xml:space="preserve"> El </w:t>
      </w:r>
      <w:proofErr w:type="spellStart"/>
      <w:r w:rsidR="00A5749C">
        <w:rPr>
          <w:rFonts w:asciiTheme="majorBidi" w:hAnsiTheme="majorBidi" w:cstheme="majorBidi"/>
          <w:sz w:val="28"/>
          <w:szCs w:val="28"/>
        </w:rPr>
        <w:t>Hajeb</w:t>
      </w:r>
      <w:proofErr w:type="spellEnd"/>
      <w:r w:rsidR="00A5749C">
        <w:rPr>
          <w:rFonts w:asciiTheme="majorBidi" w:hAnsiTheme="majorBidi" w:cstheme="majorBidi"/>
          <w:sz w:val="28"/>
          <w:szCs w:val="28"/>
        </w:rPr>
        <w:t xml:space="preserve"> </w:t>
      </w:r>
    </w:p>
    <w:p w14:paraId="486355B6" w14:textId="52C8951A" w:rsidR="00400BE2" w:rsidRDefault="005172E6" w:rsidP="00554C49">
      <w:pPr>
        <w:jc w:val="center"/>
        <w:rPr>
          <w:rFonts w:asciiTheme="majorBidi" w:hAnsiTheme="majorBidi" w:cstheme="majorBidi"/>
          <w:sz w:val="28"/>
          <w:szCs w:val="28"/>
        </w:rPr>
      </w:pPr>
      <w:r>
        <w:rPr>
          <w:rFonts w:asciiTheme="majorBidi" w:hAnsiTheme="majorBidi" w:cstheme="majorBidi"/>
          <w:sz w:val="28"/>
          <w:szCs w:val="28"/>
        </w:rPr>
        <w:t>Coordination Akal pour la défense des Droits des populations à leurs terres et à leurs richesses « P1 »</w:t>
      </w:r>
    </w:p>
    <w:p w14:paraId="7EC44800" w14:textId="02DDC424" w:rsidR="00075971" w:rsidRDefault="00075971" w:rsidP="00554C49">
      <w:pPr>
        <w:jc w:val="center"/>
        <w:rPr>
          <w:rFonts w:asciiTheme="majorBidi" w:hAnsiTheme="majorBidi" w:cstheme="majorBidi"/>
          <w:sz w:val="28"/>
          <w:szCs w:val="28"/>
        </w:rPr>
      </w:pPr>
      <w:r>
        <w:rPr>
          <w:rFonts w:asciiTheme="majorBidi" w:hAnsiTheme="majorBidi" w:cstheme="majorBidi"/>
          <w:sz w:val="28"/>
          <w:szCs w:val="28"/>
        </w:rPr>
        <w:t>25 mai 2025</w:t>
      </w:r>
    </w:p>
    <w:p w14:paraId="571A699F" w14:textId="77777777" w:rsidR="00075971" w:rsidRDefault="00075971" w:rsidP="00554C49">
      <w:pPr>
        <w:jc w:val="center"/>
        <w:rPr>
          <w:rFonts w:asciiTheme="majorBidi" w:hAnsiTheme="majorBidi" w:cstheme="majorBidi"/>
          <w:sz w:val="28"/>
          <w:szCs w:val="28"/>
        </w:rPr>
      </w:pPr>
    </w:p>
    <w:p w14:paraId="02BBF896" w14:textId="77777777" w:rsidR="00400BE2" w:rsidRDefault="00400BE2" w:rsidP="00554C49">
      <w:pPr>
        <w:jc w:val="center"/>
        <w:rPr>
          <w:rFonts w:asciiTheme="majorBidi" w:hAnsiTheme="majorBidi" w:cstheme="majorBidi"/>
          <w:sz w:val="28"/>
          <w:szCs w:val="28"/>
        </w:rPr>
      </w:pPr>
    </w:p>
    <w:p w14:paraId="4C54B554" w14:textId="77777777" w:rsidR="00085118" w:rsidRDefault="00400BE2" w:rsidP="00085118">
      <w:r>
        <w:rPr>
          <w:rFonts w:asciiTheme="majorBidi" w:hAnsiTheme="majorBidi" w:cstheme="majorBidi"/>
          <w:sz w:val="28"/>
          <w:szCs w:val="28"/>
        </w:rPr>
        <w:t xml:space="preserve">Dans </w:t>
      </w:r>
      <w:proofErr w:type="gramStart"/>
      <w:r>
        <w:rPr>
          <w:rFonts w:asciiTheme="majorBidi" w:hAnsiTheme="majorBidi" w:cstheme="majorBidi"/>
          <w:sz w:val="28"/>
          <w:szCs w:val="28"/>
        </w:rPr>
        <w:t xml:space="preserve">le </w:t>
      </w:r>
      <w:r w:rsidR="007B3F0B">
        <w:t xml:space="preserve"> </w:t>
      </w:r>
      <w:r w:rsidR="00075971">
        <w:t>cadre</w:t>
      </w:r>
      <w:proofErr w:type="gramEnd"/>
      <w:r w:rsidR="00075971">
        <w:t xml:space="preserve"> de </w:t>
      </w:r>
      <w:r w:rsidR="007B3F0B">
        <w:t xml:space="preserve">  </w:t>
      </w:r>
      <w:r w:rsidR="00FA416B">
        <w:t xml:space="preserve">l’examen du </w:t>
      </w:r>
      <w:r w:rsidR="00085118">
        <w:t>Maroc :</w:t>
      </w:r>
    </w:p>
    <w:p w14:paraId="5B7F2BF7" w14:textId="3BC79573" w:rsidR="002D2771" w:rsidRDefault="007B3F0B" w:rsidP="00992995">
      <w:pPr>
        <w:pStyle w:val="ListParagraph"/>
        <w:numPr>
          <w:ilvl w:val="0"/>
          <w:numId w:val="1"/>
        </w:numPr>
      </w:pPr>
      <w:r>
        <w:t xml:space="preserve">  Pacte international relatif aux droits civils et politiques : 1ere Partie, art.1</w:t>
      </w:r>
      <w:proofErr w:type="gramStart"/>
      <w:r w:rsidRPr="00992995">
        <w:rPr>
          <w:vertAlign w:val="superscript"/>
        </w:rPr>
        <w:t>er</w:t>
      </w:r>
      <w:r>
        <w:t>,  paragraphe</w:t>
      </w:r>
      <w:proofErr w:type="gramEnd"/>
      <w:r>
        <w:t xml:space="preserve"> 1 : </w:t>
      </w:r>
      <w:proofErr w:type="gramStart"/>
      <w:r>
        <w:t xml:space="preserve">«  </w:t>
      </w:r>
      <w:r w:rsidRPr="00970D4A">
        <w:rPr>
          <w:i/>
          <w:iCs/>
        </w:rPr>
        <w:t>Tous</w:t>
      </w:r>
      <w:proofErr w:type="gramEnd"/>
      <w:r w:rsidRPr="00970D4A">
        <w:rPr>
          <w:i/>
          <w:iCs/>
        </w:rPr>
        <w:t xml:space="preserve"> les peuples ont le droit de disposer d’eux-mêmes. En vertu de ce droit, ils déterminent librement leur statut politique et assurent librement leur développement économique, social et culturel.</w:t>
      </w:r>
      <w:r>
        <w:t> » </w:t>
      </w:r>
    </w:p>
    <w:p w14:paraId="1DEEF866" w14:textId="77777777" w:rsidR="000B5B29" w:rsidRDefault="002D2771" w:rsidP="00C81E8F">
      <w:pPr>
        <w:pStyle w:val="ListParagraph"/>
        <w:numPr>
          <w:ilvl w:val="1"/>
          <w:numId w:val="1"/>
        </w:numPr>
      </w:pPr>
      <w:r>
        <w:t xml:space="preserve">Au </w:t>
      </w:r>
      <w:proofErr w:type="gramStart"/>
      <w:r>
        <w:t xml:space="preserve">Maroc, </w:t>
      </w:r>
      <w:r w:rsidR="007B3F0B">
        <w:t xml:space="preserve">  </w:t>
      </w:r>
      <w:proofErr w:type="gramEnd"/>
      <w:r w:rsidR="007B3F0B">
        <w:t>l’autochtonie des Amazighs n’</w:t>
      </w:r>
      <w:r w:rsidR="00C81E8F">
        <w:t>étant</w:t>
      </w:r>
      <w:r w:rsidR="007B3F0B">
        <w:t xml:space="preserve"> pas reconnue, ils ne peuvent disposer de leurs droits à leurs terres, territoires et ressources </w:t>
      </w:r>
      <w:proofErr w:type="gramStart"/>
      <w:r w:rsidR="007B3F0B">
        <w:t>naturelles .</w:t>
      </w:r>
      <w:proofErr w:type="gramEnd"/>
      <w:r w:rsidR="007B3F0B">
        <w:t xml:space="preserve"> La DNUDPA est pourtant claire : sans </w:t>
      </w:r>
      <w:r w:rsidR="00EF16B4">
        <w:t>autodétermination</w:t>
      </w:r>
      <w:r w:rsidR="007B3F0B">
        <w:t xml:space="preserve"> aucune </w:t>
      </w:r>
      <w:proofErr w:type="gramStart"/>
      <w:r w:rsidR="00B92D0E">
        <w:t>auto gouvernance</w:t>
      </w:r>
      <w:proofErr w:type="gramEnd"/>
      <w:r w:rsidR="007B3F0B">
        <w:t xml:space="preserve"> et autogestion n’est possible et dans ce cas comment les Amazighs sont-ils sensés assurer librement leur développement économique, social et culturel ?   </w:t>
      </w:r>
    </w:p>
    <w:p w14:paraId="36AC08FE" w14:textId="6330E709" w:rsidR="004929DE" w:rsidRDefault="007B3F0B" w:rsidP="00DA1AF2">
      <w:pPr>
        <w:pStyle w:val="ListParagraph"/>
        <w:ind w:left="1440"/>
      </w:pPr>
      <w:proofErr w:type="gramStart"/>
      <w:r>
        <w:t>Les  lois</w:t>
      </w:r>
      <w:proofErr w:type="gramEnd"/>
      <w:r>
        <w:t xml:space="preserve"> 62-17, 63-17 et 64-17, relatives aux terres collectives, confère</w:t>
      </w:r>
      <w:r w:rsidR="00126A1B">
        <w:rPr>
          <w:color w:val="000000" w:themeColor="text1"/>
        </w:rPr>
        <w:t>nt</w:t>
      </w:r>
      <w:r>
        <w:t xml:space="preserve"> au </w:t>
      </w:r>
      <w:proofErr w:type="gramStart"/>
      <w:r>
        <w:t>Ministère de l’</w:t>
      </w:r>
      <w:r w:rsidR="006E253F">
        <w:t>Intérieur</w:t>
      </w:r>
      <w:proofErr w:type="gramEnd"/>
      <w:r>
        <w:t xml:space="preserve"> le plein pouvoir de tutelle sur les terres des tribus et la propriété collective des communautés ethniques. Les systèmes de gouvernance et les institutions traditionnelles ne sont ni </w:t>
      </w:r>
      <w:proofErr w:type="gramStart"/>
      <w:r>
        <w:t>reconnues</w:t>
      </w:r>
      <w:proofErr w:type="gramEnd"/>
      <w:r>
        <w:t>, ni consultés. L’</w:t>
      </w:r>
      <w:r w:rsidR="00045FB4">
        <w:t>inaliénabilité</w:t>
      </w:r>
      <w:r>
        <w:t xml:space="preserve"> qui protégeait ces </w:t>
      </w:r>
      <w:proofErr w:type="gramStart"/>
      <w:r>
        <w:t>territoires  collecti</w:t>
      </w:r>
      <w:r w:rsidR="00126A1B">
        <w:t>ve</w:t>
      </w:r>
      <w:r>
        <w:t>s</w:t>
      </w:r>
      <w:proofErr w:type="gramEnd"/>
      <w:r>
        <w:t xml:space="preserve"> a disparu avec ces trois lois entrées en vigueur depuis 2019. Le Plan Maroc </w:t>
      </w:r>
      <w:proofErr w:type="gramStart"/>
      <w:r>
        <w:t>Vert  et</w:t>
      </w:r>
      <w:proofErr w:type="gramEnd"/>
      <w:r>
        <w:t xml:space="preserve"> la création de réserves naturelles et de Parc nationaux se fait généralement aux dépends des Amazighs par expropriation et sans respect aucun du principe </w:t>
      </w:r>
      <w:proofErr w:type="gramStart"/>
      <w:r>
        <w:t>du  Consentement</w:t>
      </w:r>
      <w:proofErr w:type="gramEnd"/>
      <w:r>
        <w:t xml:space="preserve"> Libre Informé et Préalable ni de l’article 8 de la Convention </w:t>
      </w:r>
      <w:proofErr w:type="gramStart"/>
      <w:r>
        <w:t>sur  la</w:t>
      </w:r>
      <w:proofErr w:type="gramEnd"/>
      <w:r>
        <w:t xml:space="preserve"> Biodiversité.  </w:t>
      </w:r>
    </w:p>
    <w:p w14:paraId="7BBAAA29" w14:textId="77777777" w:rsidR="00652EA8" w:rsidRDefault="007B3F0B" w:rsidP="003D4AA9">
      <w:pPr>
        <w:pStyle w:val="ListParagraph"/>
        <w:ind w:left="1440"/>
      </w:pPr>
      <w:r>
        <w:lastRenderedPageBreak/>
        <w:t xml:space="preserve">Le Bulletin Officiel publié en </w:t>
      </w:r>
      <w:proofErr w:type="gramStart"/>
      <w:r>
        <w:t>date  du</w:t>
      </w:r>
      <w:proofErr w:type="gramEnd"/>
      <w:r>
        <w:t xml:space="preserve"> 14 mars 2024 annonce la création de 8 Parcs Naturels sur le territoire national, dont celui de l’Anti-Atlas Occidental. Ce </w:t>
      </w:r>
      <w:proofErr w:type="gramStart"/>
      <w:r>
        <w:t>dernier  vient</w:t>
      </w:r>
      <w:proofErr w:type="gramEnd"/>
      <w:r>
        <w:t xml:space="preserve"> s’ajouter à deux autres dans la région de Souss Massa </w:t>
      </w:r>
      <w:proofErr w:type="gramStart"/>
      <w:r>
        <w:t>( Parc</w:t>
      </w:r>
      <w:proofErr w:type="gramEnd"/>
      <w:r>
        <w:t xml:space="preserve"> Naturel de Souss-</w:t>
      </w:r>
      <w:proofErr w:type="gramStart"/>
      <w:r>
        <w:t>Massa  et</w:t>
      </w:r>
      <w:proofErr w:type="gramEnd"/>
      <w:r>
        <w:t xml:space="preserve"> la Réserve de </w:t>
      </w:r>
      <w:proofErr w:type="gramStart"/>
      <w:r>
        <w:t>Biosphère )</w:t>
      </w:r>
      <w:proofErr w:type="gramEnd"/>
      <w:r>
        <w:t xml:space="preserve"> et provoque une contestation accrue du Mouvement Akal qui dénonce la spoliation des terres des ancêtres</w:t>
      </w:r>
      <w:r w:rsidR="003D4AA9">
        <w:t>,</w:t>
      </w:r>
      <w:r>
        <w:t xml:space="preserve"> le déplacement forcé des populations et la discrimination raciale</w:t>
      </w:r>
      <w:r w:rsidR="00652EA8">
        <w:t xml:space="preserve"> envers les amazighs</w:t>
      </w:r>
      <w:r>
        <w:t xml:space="preserve">.                         </w:t>
      </w:r>
    </w:p>
    <w:p w14:paraId="37993F98" w14:textId="77777777" w:rsidR="00DC0528" w:rsidRDefault="007B3F0B" w:rsidP="00DC0528">
      <w:pPr>
        <w:pStyle w:val="ListParagraph"/>
        <w:ind w:left="1440"/>
      </w:pPr>
      <w:r>
        <w:t xml:space="preserve">  </w:t>
      </w:r>
    </w:p>
    <w:p w14:paraId="7965FB3B" w14:textId="7F1566F0" w:rsidR="002F7444" w:rsidRDefault="007B3F0B" w:rsidP="007067A7">
      <w:pPr>
        <w:pStyle w:val="ListParagraph"/>
        <w:numPr>
          <w:ilvl w:val="1"/>
          <w:numId w:val="1"/>
        </w:numPr>
      </w:pPr>
      <w:r>
        <w:t xml:space="preserve"> </w:t>
      </w:r>
      <w:proofErr w:type="gramStart"/>
      <w:r w:rsidR="00376B44">
        <w:t>Minorisé</w:t>
      </w:r>
      <w:r w:rsidR="00E41F4D">
        <w:t>s ,</w:t>
      </w:r>
      <w:proofErr w:type="gramEnd"/>
      <w:r w:rsidR="00E41F4D">
        <w:t xml:space="preserve"> </w:t>
      </w:r>
      <w:proofErr w:type="gramStart"/>
      <w:r w:rsidR="00E41F4D">
        <w:t>l</w:t>
      </w:r>
      <w:r w:rsidR="00F57409">
        <w:t xml:space="preserve">es </w:t>
      </w:r>
      <w:r>
        <w:t xml:space="preserve"> Amazighs</w:t>
      </w:r>
      <w:proofErr w:type="gramEnd"/>
      <w:r>
        <w:t xml:space="preserve"> ne peuvent </w:t>
      </w:r>
      <w:r w:rsidR="0016310B">
        <w:t xml:space="preserve">malheureusement </w:t>
      </w:r>
      <w:proofErr w:type="gramStart"/>
      <w:r w:rsidR="0016310B">
        <w:t xml:space="preserve">pas </w:t>
      </w:r>
      <w:r>
        <w:t xml:space="preserve"> disposer</w:t>
      </w:r>
      <w:proofErr w:type="gramEnd"/>
      <w:r>
        <w:t xml:space="preserve"> </w:t>
      </w:r>
      <w:proofErr w:type="gramStart"/>
      <w:r w:rsidR="00E41F4D">
        <w:t xml:space="preserve">librement </w:t>
      </w:r>
      <w:r>
        <w:t xml:space="preserve"> d’eux</w:t>
      </w:r>
      <w:proofErr w:type="gramEnd"/>
      <w:r>
        <w:t>-</w:t>
      </w:r>
      <w:proofErr w:type="gramStart"/>
      <w:r>
        <w:t>mêmes  et</w:t>
      </w:r>
      <w:proofErr w:type="gramEnd"/>
      <w:r>
        <w:t xml:space="preserve"> toute création d’un parti politique </w:t>
      </w:r>
    </w:p>
    <w:p w14:paraId="254907CF" w14:textId="731B1353" w:rsidR="00D7567E" w:rsidRDefault="007B3F0B" w:rsidP="002F7444">
      <w:pPr>
        <w:pStyle w:val="ListParagraph"/>
        <w:ind w:left="1440"/>
      </w:pPr>
      <w:r>
        <w:t xml:space="preserve"> </w:t>
      </w:r>
      <w:proofErr w:type="gramStart"/>
      <w:r w:rsidR="008258CA">
        <w:t>déterminé</w:t>
      </w:r>
      <w:proofErr w:type="gramEnd"/>
      <w:r>
        <w:t xml:space="preserve"> par </w:t>
      </w:r>
      <w:proofErr w:type="gramStart"/>
      <w:r>
        <w:t>eux,  répondant</w:t>
      </w:r>
      <w:proofErr w:type="gramEnd"/>
      <w:r>
        <w:t xml:space="preserve"> à leur inspiration et conforme à leurs priorité et valeurs, </w:t>
      </w:r>
      <w:r w:rsidR="00771D3B">
        <w:t xml:space="preserve">n’est pas à l’ordre du </w:t>
      </w:r>
      <w:proofErr w:type="gramStart"/>
      <w:r w:rsidR="00C47E1E">
        <w:t>jour .</w:t>
      </w:r>
      <w:proofErr w:type="gramEnd"/>
      <w:r>
        <w:t> </w:t>
      </w:r>
      <w:r w:rsidR="00C47E1E">
        <w:t>E</w:t>
      </w:r>
      <w:r>
        <w:t xml:space="preserve">n 2007 </w:t>
      </w:r>
      <w:proofErr w:type="gramStart"/>
      <w:r>
        <w:t>le  Parti</w:t>
      </w:r>
      <w:proofErr w:type="gramEnd"/>
      <w:r>
        <w:t xml:space="preserve"> Démocratique Amazigh (PDAM) fut dissout </w:t>
      </w:r>
      <w:proofErr w:type="gramStart"/>
      <w:r>
        <w:t>suite à une</w:t>
      </w:r>
      <w:proofErr w:type="gramEnd"/>
      <w:r>
        <w:t xml:space="preserve"> procédure intentée par le </w:t>
      </w:r>
      <w:proofErr w:type="gramStart"/>
      <w:r>
        <w:t>Ministère de l’Intérieur</w:t>
      </w:r>
      <w:proofErr w:type="gramEnd"/>
      <w:r>
        <w:t xml:space="preserve">. Le projet du Parti politique Amazigh </w:t>
      </w:r>
      <w:proofErr w:type="spellStart"/>
      <w:r>
        <w:t>Tamount</w:t>
      </w:r>
      <w:proofErr w:type="spellEnd"/>
      <w:r>
        <w:t xml:space="preserve"> peine</w:t>
      </w:r>
      <w:r w:rsidR="00CD0870">
        <w:t xml:space="preserve"> à son </w:t>
      </w:r>
      <w:proofErr w:type="gramStart"/>
      <w:r w:rsidR="00CD0870">
        <w:t xml:space="preserve">tour </w:t>
      </w:r>
      <w:r>
        <w:t xml:space="preserve"> à</w:t>
      </w:r>
      <w:proofErr w:type="gramEnd"/>
      <w:r>
        <w:t xml:space="preserve"> voir le jour depuis près de 10 ans.    </w:t>
      </w:r>
    </w:p>
    <w:p w14:paraId="60FC93F7" w14:textId="77777777" w:rsidR="00D7567E" w:rsidRDefault="00D7567E" w:rsidP="002F7444">
      <w:pPr>
        <w:pStyle w:val="ListParagraph"/>
        <w:ind w:left="1440"/>
      </w:pPr>
    </w:p>
    <w:p w14:paraId="5D459FA4" w14:textId="308333DE" w:rsidR="006715EB" w:rsidRDefault="007B3F0B" w:rsidP="00B612EE">
      <w:pPr>
        <w:pStyle w:val="ListParagraph"/>
        <w:numPr>
          <w:ilvl w:val="0"/>
          <w:numId w:val="1"/>
        </w:numPr>
      </w:pPr>
      <w:r>
        <w:t>Article 1</w:t>
      </w:r>
      <w:r w:rsidRPr="00B612EE">
        <w:rPr>
          <w:vertAlign w:val="superscript"/>
        </w:rPr>
        <w:t>er</w:t>
      </w:r>
      <w:r>
        <w:t>, Paragraphe 2 : « </w:t>
      </w:r>
      <w:r w:rsidRPr="00B612EE">
        <w:rPr>
          <w:i/>
          <w:iCs/>
        </w:rPr>
        <w:t>Pour atteindre leurs fins, tous les peuples peuvent disposer librement de leurs richesses et de leurs ressources naturelles, sans préjudice des obligations qui découlent de la coopération économique internationale, fondée sur le principe de l’intérêt mutuel, et du droit international. En aucun cas, un peuple ne pourra être privé de ses propres moyens de subsistance.</w:t>
      </w:r>
      <w:r>
        <w:t xml:space="preserve"> »                 </w:t>
      </w:r>
    </w:p>
    <w:p w14:paraId="166A27C9" w14:textId="6FF91DB8" w:rsidR="00323EFC" w:rsidRDefault="007B3F0B" w:rsidP="00224ED5">
      <w:pPr>
        <w:pStyle w:val="ListParagraph"/>
        <w:numPr>
          <w:ilvl w:val="1"/>
          <w:numId w:val="1"/>
        </w:numPr>
      </w:pPr>
      <w:r>
        <w:t xml:space="preserve">  </w:t>
      </w:r>
      <w:proofErr w:type="gramStart"/>
      <w:r>
        <w:t>Les  Amazighs</w:t>
      </w:r>
      <w:proofErr w:type="gramEnd"/>
      <w:r>
        <w:t xml:space="preserve"> ne peuvent pas disposer librement de leurs richesses et ressources naturelles à cause de lois qui datent du protectorat et celles qui continuent d’en être inspirées. Les richesses Amazighs </w:t>
      </w:r>
      <w:proofErr w:type="gramStart"/>
      <w:r>
        <w:t>sont  dépossédées</w:t>
      </w:r>
      <w:proofErr w:type="gramEnd"/>
      <w:r>
        <w:t xml:space="preserve"> au nom de la coopération économique internationale, des changements climatiques </w:t>
      </w:r>
      <w:r w:rsidR="00C24DB1">
        <w:t xml:space="preserve">et du libre marché des investissement, </w:t>
      </w:r>
      <w:r>
        <w:t xml:space="preserve">en ignorant les intérêts des Amazighs, leurs conditions socio-économiques, </w:t>
      </w:r>
      <w:proofErr w:type="gramStart"/>
      <w:r>
        <w:t>leurs santé</w:t>
      </w:r>
      <w:proofErr w:type="gramEnd"/>
      <w:r>
        <w:t xml:space="preserve"> et bien être, leur héritage traditionnel et culturel. </w:t>
      </w:r>
    </w:p>
    <w:p w14:paraId="73E44974" w14:textId="77777777" w:rsidR="00224ED5" w:rsidRDefault="00224ED5" w:rsidP="00224ED5">
      <w:pPr>
        <w:pStyle w:val="ListParagraph"/>
        <w:ind w:left="1440"/>
      </w:pPr>
    </w:p>
    <w:p w14:paraId="388CBE95" w14:textId="120914B0" w:rsidR="007B3F0B" w:rsidRDefault="007B3F0B" w:rsidP="006715EB">
      <w:pPr>
        <w:pStyle w:val="ListParagraph"/>
        <w:numPr>
          <w:ilvl w:val="1"/>
          <w:numId w:val="1"/>
        </w:numPr>
        <w:rPr>
          <w:b/>
          <w:bCs/>
        </w:rPr>
      </w:pPr>
      <w:r w:rsidRPr="00224ED5">
        <w:rPr>
          <w:b/>
          <w:bCs/>
        </w:rPr>
        <w:t xml:space="preserve">Le principe de l’intérêt mutuel est-il respecté lorsque l’une des </w:t>
      </w:r>
      <w:r w:rsidR="00053651">
        <w:rPr>
          <w:b/>
          <w:bCs/>
        </w:rPr>
        <w:t>parties</w:t>
      </w:r>
      <w:r w:rsidRPr="00224ED5">
        <w:rPr>
          <w:b/>
          <w:bCs/>
        </w:rPr>
        <w:t xml:space="preserve"> </w:t>
      </w:r>
      <w:proofErr w:type="gramStart"/>
      <w:r w:rsidRPr="00224ED5">
        <w:rPr>
          <w:b/>
          <w:bCs/>
        </w:rPr>
        <w:t xml:space="preserve">récolte  </w:t>
      </w:r>
      <w:r w:rsidR="00B03CF2" w:rsidRPr="00224ED5">
        <w:rPr>
          <w:b/>
          <w:bCs/>
        </w:rPr>
        <w:t>unilatéralement</w:t>
      </w:r>
      <w:proofErr w:type="gramEnd"/>
      <w:r w:rsidRPr="00224ED5">
        <w:rPr>
          <w:b/>
          <w:bCs/>
        </w:rPr>
        <w:t xml:space="preserve"> les profits pendant que l’autre subit uniquement les conséquences ?</w:t>
      </w:r>
    </w:p>
    <w:p w14:paraId="541D4122" w14:textId="77777777" w:rsidR="008E648F" w:rsidRPr="00756474" w:rsidRDefault="008E648F" w:rsidP="00756474">
      <w:pPr>
        <w:pStyle w:val="ListParagraph"/>
        <w:rPr>
          <w:b/>
          <w:bCs/>
        </w:rPr>
      </w:pPr>
    </w:p>
    <w:p w14:paraId="02F38AB7" w14:textId="77777777" w:rsidR="008E648F" w:rsidRPr="00224ED5" w:rsidRDefault="008E648F" w:rsidP="00FC5F6E">
      <w:pPr>
        <w:pStyle w:val="ListParagraph"/>
        <w:ind w:left="1440"/>
        <w:rPr>
          <w:b/>
          <w:bCs/>
        </w:rPr>
      </w:pPr>
    </w:p>
    <w:p w14:paraId="0836F117" w14:textId="3ECBBB60" w:rsidR="001F4CFA" w:rsidRDefault="003374EA" w:rsidP="001F4CFA">
      <w:pPr>
        <w:pStyle w:val="ListParagraph"/>
        <w:numPr>
          <w:ilvl w:val="0"/>
          <w:numId w:val="1"/>
        </w:numPr>
      </w:pPr>
      <w:r>
        <w:t xml:space="preserve">Article 2, paragraphe </w:t>
      </w:r>
      <w:proofErr w:type="gramStart"/>
      <w:r>
        <w:t>1:</w:t>
      </w:r>
      <w:proofErr w:type="gramEnd"/>
      <w:r>
        <w:t xml:space="preserve"> " </w:t>
      </w:r>
      <w:r w:rsidRPr="001F4CFA">
        <w:rPr>
          <w:i/>
          <w:iCs/>
        </w:rPr>
        <w:t>Les Etats parties au présent Pacte s'engagent à respecter et à garantir à tous les individus se trouvant sur leur territoire et relevant de leur compétence les droits reconnus dans le présent Pacte, sans distinction aucune, notamment de *race</w:t>
      </w:r>
      <w:proofErr w:type="gramStart"/>
      <w:r w:rsidRPr="001F4CFA">
        <w:rPr>
          <w:i/>
          <w:iCs/>
        </w:rPr>
        <w:t>* ,</w:t>
      </w:r>
      <w:proofErr w:type="gramEnd"/>
      <w:r w:rsidRPr="001F4CFA">
        <w:rPr>
          <w:i/>
          <w:iCs/>
        </w:rPr>
        <w:t xml:space="preserve"> de couleur, de sexe, de *langue</w:t>
      </w:r>
      <w:proofErr w:type="gramStart"/>
      <w:r w:rsidRPr="001F4CFA">
        <w:rPr>
          <w:i/>
          <w:iCs/>
        </w:rPr>
        <w:t>* ,</w:t>
      </w:r>
      <w:proofErr w:type="gramEnd"/>
      <w:r w:rsidRPr="001F4CFA">
        <w:rPr>
          <w:i/>
          <w:iCs/>
        </w:rPr>
        <w:t xml:space="preserve"> de religion, d'opinion politique ou de toute autre opinion, d'origine nationale ou sociale, de fortune, de naissance ou de toute autre situation</w:t>
      </w:r>
      <w:proofErr w:type="gramStart"/>
      <w:r w:rsidRPr="001F4CFA">
        <w:rPr>
          <w:i/>
          <w:iCs/>
        </w:rPr>
        <w:t>"</w:t>
      </w:r>
      <w:r>
        <w:t xml:space="preserve"> .</w:t>
      </w:r>
      <w:proofErr w:type="gramEnd"/>
      <w:r>
        <w:t xml:space="preserve"> </w:t>
      </w:r>
    </w:p>
    <w:p w14:paraId="7CECC914" w14:textId="77777777" w:rsidR="00B03F0D" w:rsidRDefault="003374EA" w:rsidP="001F4CFA">
      <w:pPr>
        <w:pStyle w:val="ListParagraph"/>
        <w:numPr>
          <w:ilvl w:val="1"/>
          <w:numId w:val="1"/>
        </w:numPr>
      </w:pPr>
      <w:r>
        <w:lastRenderedPageBreak/>
        <w:t xml:space="preserve">Le racisme envers les Amazighs </w:t>
      </w:r>
      <w:r w:rsidR="00306920">
        <w:t xml:space="preserve">est </w:t>
      </w:r>
      <w:r w:rsidR="0099712F">
        <w:t xml:space="preserve">manifeste </w:t>
      </w:r>
      <w:proofErr w:type="gramStart"/>
      <w:r w:rsidR="00306920">
        <w:t>de</w:t>
      </w:r>
      <w:r>
        <w:t xml:space="preserve"> par</w:t>
      </w:r>
      <w:proofErr w:type="gramEnd"/>
      <w:r>
        <w:t xml:space="preserve"> la </w:t>
      </w:r>
      <w:proofErr w:type="gramStart"/>
      <w:r>
        <w:t>non reconnaissance</w:t>
      </w:r>
      <w:proofErr w:type="gramEnd"/>
      <w:r>
        <w:t xml:space="preserve"> de leurs droits fonciers, culturels et linguistique</w:t>
      </w:r>
      <w:r w:rsidR="00306920">
        <w:t>s</w:t>
      </w:r>
      <w:r>
        <w:t xml:space="preserve">. </w:t>
      </w:r>
    </w:p>
    <w:p w14:paraId="6A341D47" w14:textId="70C14705" w:rsidR="00D65668" w:rsidRDefault="00B03F0D" w:rsidP="00865F52">
      <w:pPr>
        <w:pStyle w:val="ListParagraph"/>
        <w:ind w:left="1440"/>
      </w:pPr>
      <w:r>
        <w:t>M</w:t>
      </w:r>
      <w:r w:rsidR="003374EA">
        <w:t xml:space="preserve">algré </w:t>
      </w:r>
      <w:r w:rsidR="00865F52">
        <w:t>l’</w:t>
      </w:r>
      <w:r w:rsidR="003374EA">
        <w:t>officialisation</w:t>
      </w:r>
      <w:r w:rsidR="00865F52">
        <w:t xml:space="preserve"> de la langue </w:t>
      </w:r>
      <w:proofErr w:type="gramStart"/>
      <w:r w:rsidR="00865F52">
        <w:t xml:space="preserve">Amazighe, </w:t>
      </w:r>
      <w:r w:rsidR="003374EA">
        <w:t xml:space="preserve"> au</w:t>
      </w:r>
      <w:proofErr w:type="gramEnd"/>
      <w:r w:rsidR="003374EA">
        <w:t xml:space="preserve"> même titre que l'arabe, dans la Constitution de 2011 et l'adoption des lois organiques n° 26-16 en 2019, l'enseignement d</w:t>
      </w:r>
      <w:r w:rsidR="008E648F">
        <w:t>u</w:t>
      </w:r>
      <w:r w:rsidR="003374EA">
        <w:t xml:space="preserve"> </w:t>
      </w:r>
      <w:proofErr w:type="spellStart"/>
      <w:r w:rsidR="00280107">
        <w:t>Ta</w:t>
      </w:r>
      <w:r w:rsidR="003374EA">
        <w:t>mazigh</w:t>
      </w:r>
      <w:r w:rsidR="00280107">
        <w:t>t</w:t>
      </w:r>
      <w:r w:rsidR="003374EA">
        <w:t>e</w:t>
      </w:r>
      <w:proofErr w:type="spellEnd"/>
      <w:r w:rsidR="003374EA">
        <w:t xml:space="preserve"> n'est toujours pas généralisé et son utilisation n'est pas accessible dans l'ensemble des administrations publiques</w:t>
      </w:r>
      <w:r w:rsidR="002162F7">
        <w:t xml:space="preserve">, institutions </w:t>
      </w:r>
      <w:proofErr w:type="gramStart"/>
      <w:r w:rsidR="002162F7">
        <w:t xml:space="preserve">et </w:t>
      </w:r>
      <w:r w:rsidR="003374EA">
        <w:t xml:space="preserve"> services</w:t>
      </w:r>
      <w:proofErr w:type="gramEnd"/>
      <w:r w:rsidR="003374EA">
        <w:t xml:space="preserve">. </w:t>
      </w:r>
    </w:p>
    <w:p w14:paraId="07E503D6" w14:textId="3561ED1C" w:rsidR="00145767" w:rsidRPr="00145767" w:rsidRDefault="003374EA" w:rsidP="0045034C">
      <w:pPr>
        <w:pStyle w:val="ListParagraph"/>
        <w:numPr>
          <w:ilvl w:val="1"/>
          <w:numId w:val="1"/>
        </w:numPr>
        <w:rPr>
          <w:i/>
          <w:iCs/>
        </w:rPr>
      </w:pPr>
      <w:r>
        <w:t xml:space="preserve">Dans les tribunaux, l'arabe est l'unique langue de plaidoirie conformément à l'art 14 de </w:t>
      </w:r>
      <w:proofErr w:type="gramStart"/>
      <w:r>
        <w:t>la  loi</w:t>
      </w:r>
      <w:proofErr w:type="gramEnd"/>
      <w:r>
        <w:t xml:space="preserve"> 38.15 relative à l’organisation judiciaire et l’accès à l'interprétation pour les non arabophones est strictement réserv</w:t>
      </w:r>
      <w:r w:rsidR="00782299">
        <w:t xml:space="preserve">é </w:t>
      </w:r>
      <w:r>
        <w:t xml:space="preserve">aux étrangers, alors que le présent Pacte à l'article 14, paragraphe 3, alinéa f, précise que toute personne à le droit </w:t>
      </w:r>
      <w:proofErr w:type="gramStart"/>
      <w:r>
        <w:t>de:</w:t>
      </w:r>
      <w:proofErr w:type="gramEnd"/>
      <w:r>
        <w:t xml:space="preserve"> "</w:t>
      </w:r>
      <w:r w:rsidRPr="0045034C">
        <w:rPr>
          <w:i/>
          <w:iCs/>
        </w:rPr>
        <w:t xml:space="preserve"> se faire assister gratuitement d'un</w:t>
      </w:r>
      <w:r w:rsidR="0045034C">
        <w:rPr>
          <w:i/>
          <w:iCs/>
        </w:rPr>
        <w:t xml:space="preserve"> </w:t>
      </w:r>
      <w:r w:rsidRPr="0045034C">
        <w:rPr>
          <w:i/>
          <w:iCs/>
        </w:rPr>
        <w:t xml:space="preserve">interprète si elle ne comprend pas ou </w:t>
      </w:r>
      <w:r w:rsidR="00145767" w:rsidRPr="0045034C">
        <w:rPr>
          <w:i/>
          <w:iCs/>
        </w:rPr>
        <w:t>ne parle</w:t>
      </w:r>
      <w:r w:rsidRPr="0045034C">
        <w:rPr>
          <w:i/>
          <w:iCs/>
        </w:rPr>
        <w:t xml:space="preserve"> pas la langue employée à l'audience"</w:t>
      </w:r>
      <w:r>
        <w:t xml:space="preserve">. </w:t>
      </w:r>
    </w:p>
    <w:p w14:paraId="537B88E1" w14:textId="2712061B" w:rsidR="007B3F0B" w:rsidRDefault="003374EA" w:rsidP="00145767">
      <w:pPr>
        <w:pStyle w:val="ListParagraph"/>
        <w:ind w:left="1440"/>
        <w:rPr>
          <w:b/>
          <w:bCs/>
        </w:rPr>
      </w:pPr>
      <w:r>
        <w:t xml:space="preserve"> </w:t>
      </w:r>
      <w:r w:rsidRPr="00224ED5">
        <w:rPr>
          <w:b/>
          <w:bCs/>
        </w:rPr>
        <w:t xml:space="preserve">Pourquoi de telles incohérences entre les textes persistent-elles et comment garantir l'égalité entre </w:t>
      </w:r>
      <w:proofErr w:type="gramStart"/>
      <w:r w:rsidRPr="00224ED5">
        <w:rPr>
          <w:b/>
          <w:bCs/>
        </w:rPr>
        <w:t>les  citoyens</w:t>
      </w:r>
      <w:proofErr w:type="gramEnd"/>
      <w:r w:rsidRPr="00224ED5">
        <w:rPr>
          <w:b/>
          <w:bCs/>
        </w:rPr>
        <w:t xml:space="preserve"> et la justice pour toutes et tous ?</w:t>
      </w:r>
    </w:p>
    <w:p w14:paraId="22FACF16" w14:textId="77777777" w:rsidR="007960D4" w:rsidRDefault="007960D4" w:rsidP="00145767">
      <w:pPr>
        <w:pStyle w:val="ListParagraph"/>
        <w:ind w:left="1440"/>
        <w:rPr>
          <w:b/>
          <w:bCs/>
        </w:rPr>
      </w:pPr>
    </w:p>
    <w:p w14:paraId="07178610" w14:textId="65EEDFA4" w:rsidR="007E6BC1" w:rsidRPr="007E6BC1" w:rsidRDefault="008925AC" w:rsidP="007E6BC1">
      <w:pPr>
        <w:pStyle w:val="ListParagraph"/>
        <w:numPr>
          <w:ilvl w:val="0"/>
          <w:numId w:val="1"/>
        </w:numPr>
        <w:rPr>
          <w:b/>
          <w:bCs/>
          <w:i/>
          <w:iCs/>
        </w:rPr>
      </w:pPr>
      <w:r w:rsidRPr="00785AA3">
        <w:t>Article 12, paragraphe 1 : </w:t>
      </w:r>
      <w:r w:rsidR="00713B31">
        <w:t>« </w:t>
      </w:r>
      <w:r w:rsidRPr="00713B31">
        <w:rPr>
          <w:i/>
          <w:iCs/>
        </w:rPr>
        <w:t>Quiconque se trouve légalement sur le territoire d’un Etat a le droit d’y circuler librement et d’y choisir librement sa résidence</w:t>
      </w:r>
      <w:r w:rsidRPr="00785AA3">
        <w:t xml:space="preserve"> ». </w:t>
      </w:r>
    </w:p>
    <w:p w14:paraId="291ED489" w14:textId="77777777" w:rsidR="008A4D63" w:rsidRPr="008A4D63" w:rsidRDefault="007E6BC1" w:rsidP="0067352E">
      <w:pPr>
        <w:pStyle w:val="ListParagraph"/>
        <w:numPr>
          <w:ilvl w:val="1"/>
          <w:numId w:val="1"/>
        </w:numPr>
        <w:rPr>
          <w:b/>
          <w:bCs/>
          <w:i/>
          <w:iCs/>
        </w:rPr>
      </w:pPr>
      <w:r>
        <w:t>L</w:t>
      </w:r>
      <w:r w:rsidR="008925AC" w:rsidRPr="00785AA3">
        <w:t>es déplacements des membres de la Coordination Akal</w:t>
      </w:r>
      <w:r w:rsidR="00E411ED">
        <w:t xml:space="preserve"> et des militants du Mouvement Amazigh, </w:t>
      </w:r>
      <w:r w:rsidR="008925AC" w:rsidRPr="00785AA3">
        <w:t>ont souvent été empêchés de se déplacer depuis Agadir vers d’autre villes pour assister à des marches pacifiques pour dénoncer la discrimination et la marginalisation auxquelles ils sont confrontés</w:t>
      </w:r>
      <w:r w:rsidR="008925AC" w:rsidRPr="00D96E3F">
        <w:rPr>
          <w:b/>
          <w:bCs/>
        </w:rPr>
        <w:t>.</w:t>
      </w:r>
    </w:p>
    <w:p w14:paraId="40517C53" w14:textId="77777777" w:rsidR="00FC525B" w:rsidRDefault="008925AC" w:rsidP="008A4D63">
      <w:pPr>
        <w:pStyle w:val="ListParagraph"/>
        <w:ind w:left="1440"/>
        <w:rPr>
          <w:b/>
          <w:bCs/>
        </w:rPr>
      </w:pPr>
      <w:r w:rsidRPr="00D96E3F">
        <w:rPr>
          <w:b/>
          <w:bCs/>
        </w:rPr>
        <w:t xml:space="preserve"> Ces restrictions de déplacement ne sont-elles pas </w:t>
      </w:r>
      <w:proofErr w:type="gramStart"/>
      <w:r w:rsidRPr="00D96E3F">
        <w:rPr>
          <w:b/>
          <w:bCs/>
        </w:rPr>
        <w:t>une entraves</w:t>
      </w:r>
      <w:proofErr w:type="gramEnd"/>
      <w:r w:rsidRPr="00D96E3F">
        <w:rPr>
          <w:b/>
          <w:bCs/>
        </w:rPr>
        <w:t xml:space="preserve"> aux libertés ? Pourquoi visent-elles uniquement les Amazighs ?</w:t>
      </w:r>
    </w:p>
    <w:p w14:paraId="42AD50A8" w14:textId="26BE4640" w:rsidR="00FC525B" w:rsidRDefault="00F50D29" w:rsidP="008A4D63">
      <w:pPr>
        <w:pStyle w:val="ListParagraph"/>
        <w:ind w:left="1440"/>
        <w:rPr>
          <w:b/>
          <w:bCs/>
        </w:rPr>
      </w:pPr>
      <w:r>
        <w:rPr>
          <w:b/>
          <w:bCs/>
        </w:rPr>
        <w:t xml:space="preserve">La reconnaissance de leur personnalité juridique serait-elle </w:t>
      </w:r>
      <w:proofErr w:type="gramStart"/>
      <w:r>
        <w:rPr>
          <w:b/>
          <w:bCs/>
        </w:rPr>
        <w:t>tributaire</w:t>
      </w:r>
      <w:r w:rsidR="00A82DCE">
        <w:rPr>
          <w:b/>
          <w:bCs/>
        </w:rPr>
        <w:t xml:space="preserve"> </w:t>
      </w:r>
      <w:r>
        <w:rPr>
          <w:b/>
          <w:bCs/>
        </w:rPr>
        <w:t xml:space="preserve"> d’un</w:t>
      </w:r>
      <w:proofErr w:type="gramEnd"/>
      <w:r>
        <w:rPr>
          <w:b/>
          <w:bCs/>
        </w:rPr>
        <w:t xml:space="preserve"> </w:t>
      </w:r>
      <w:proofErr w:type="gramStart"/>
      <w:r>
        <w:rPr>
          <w:b/>
          <w:bCs/>
        </w:rPr>
        <w:t>lieu  bien</w:t>
      </w:r>
      <w:proofErr w:type="gramEnd"/>
      <w:r>
        <w:rPr>
          <w:b/>
          <w:bCs/>
        </w:rPr>
        <w:t xml:space="preserve"> </w:t>
      </w:r>
      <w:r w:rsidR="00FC525B">
        <w:rPr>
          <w:b/>
          <w:bCs/>
        </w:rPr>
        <w:t>déterminé</w:t>
      </w:r>
      <w:r>
        <w:rPr>
          <w:b/>
          <w:bCs/>
        </w:rPr>
        <w:t xml:space="preserve"> ? </w:t>
      </w:r>
    </w:p>
    <w:p w14:paraId="490CD34E" w14:textId="5E0E2492" w:rsidR="00F50D29" w:rsidRDefault="00F50D29" w:rsidP="008A4D63">
      <w:pPr>
        <w:pStyle w:val="ListParagraph"/>
        <w:ind w:left="1440"/>
        <w:rPr>
          <w:b/>
          <w:bCs/>
        </w:rPr>
      </w:pPr>
      <w:r>
        <w:rPr>
          <w:b/>
          <w:bCs/>
        </w:rPr>
        <w:t>Si tel est le cas, cela n’est-il pas contraire à l’article 16 stipulant que : </w:t>
      </w:r>
    </w:p>
    <w:p w14:paraId="0C133ED1" w14:textId="11008A85" w:rsidR="00F50D29" w:rsidRDefault="00947EA2" w:rsidP="008A4D63">
      <w:pPr>
        <w:pStyle w:val="ListParagraph"/>
        <w:ind w:left="1440"/>
        <w:rPr>
          <w:b/>
          <w:bCs/>
          <w:i/>
          <w:iCs/>
        </w:rPr>
      </w:pPr>
      <w:r w:rsidRPr="002142E8">
        <w:rPr>
          <w:i/>
          <w:iCs/>
        </w:rPr>
        <w:t>« </w:t>
      </w:r>
      <w:r w:rsidR="00F50D29" w:rsidRPr="002142E8">
        <w:rPr>
          <w:i/>
          <w:iCs/>
        </w:rPr>
        <w:t>Chacun a droit à la reconnaissance en tous lieux de sa personnalité juridique </w:t>
      </w:r>
      <w:r w:rsidR="00F50D29" w:rsidRPr="008967A7">
        <w:rPr>
          <w:i/>
          <w:iCs/>
        </w:rPr>
        <w:t>»</w:t>
      </w:r>
      <w:r w:rsidR="00F50D29" w:rsidRPr="00756474">
        <w:rPr>
          <w:i/>
          <w:iCs/>
        </w:rPr>
        <w:t>.</w:t>
      </w:r>
      <w:r w:rsidR="002142E8" w:rsidRPr="00756474">
        <w:rPr>
          <w:i/>
          <w:iCs/>
        </w:rPr>
        <w:t> ?</w:t>
      </w:r>
      <w:r w:rsidR="002142E8">
        <w:rPr>
          <w:b/>
          <w:bCs/>
          <w:i/>
          <w:iCs/>
        </w:rPr>
        <w:t xml:space="preserve"> </w:t>
      </w:r>
    </w:p>
    <w:p w14:paraId="4D1FD367" w14:textId="77777777" w:rsidR="00446392" w:rsidRDefault="00446392" w:rsidP="008A4D63">
      <w:pPr>
        <w:pStyle w:val="ListParagraph"/>
        <w:ind w:left="1440"/>
        <w:rPr>
          <w:b/>
          <w:bCs/>
          <w:i/>
          <w:iCs/>
        </w:rPr>
      </w:pPr>
    </w:p>
    <w:p w14:paraId="29844E7A" w14:textId="77777777" w:rsidR="002C17B0" w:rsidRPr="002C17B0" w:rsidRDefault="00446392" w:rsidP="00446392">
      <w:pPr>
        <w:pStyle w:val="ListParagraph"/>
        <w:numPr>
          <w:ilvl w:val="0"/>
          <w:numId w:val="1"/>
        </w:numPr>
        <w:rPr>
          <w:b/>
          <w:bCs/>
        </w:rPr>
      </w:pPr>
      <w:r w:rsidRPr="00446392">
        <w:rPr>
          <w:b/>
          <w:bCs/>
          <w:i/>
          <w:iCs/>
        </w:rPr>
        <w:t xml:space="preserve">- </w:t>
      </w:r>
      <w:r w:rsidRPr="00DD5A4C">
        <w:t xml:space="preserve">Article </w:t>
      </w:r>
      <w:proofErr w:type="gramStart"/>
      <w:r w:rsidRPr="00DD5A4C">
        <w:t>21:</w:t>
      </w:r>
      <w:proofErr w:type="gramEnd"/>
      <w:r w:rsidRPr="00DD5A4C">
        <w:t xml:space="preserve"> </w:t>
      </w:r>
      <w:r w:rsidRPr="002C17B0">
        <w:rPr>
          <w:i/>
          <w:iCs/>
        </w:rPr>
        <w:t>"Le droit de réunion pacifique est reconnu. L'exercice de ce droit ne peut faire l'objet que des seules restrictions imposées conformément à la loi et qui sont nécessaires dans une société démocratique, dans l'intérêt de la sécurité nationale, de la sûreté publique, de l'ordre public ou pour protéger la santé ou la moralité publiques, ou les droits et les libertés d'autrui."</w:t>
      </w:r>
      <w:r w:rsidRPr="00DD5A4C">
        <w:t xml:space="preserve">   </w:t>
      </w:r>
    </w:p>
    <w:p w14:paraId="17370F13" w14:textId="26FC2EEC" w:rsidR="006F7E60" w:rsidRPr="006F7E60" w:rsidRDefault="00446392" w:rsidP="002C17B0">
      <w:pPr>
        <w:pStyle w:val="ListParagraph"/>
        <w:numPr>
          <w:ilvl w:val="1"/>
          <w:numId w:val="1"/>
        </w:numPr>
        <w:rPr>
          <w:b/>
          <w:bCs/>
        </w:rPr>
      </w:pPr>
      <w:r w:rsidRPr="00DD5A4C">
        <w:t xml:space="preserve"> Le dimanche 20 avril 2025, deux manifestations furent organisées pour célébrer le printemps </w:t>
      </w:r>
      <w:proofErr w:type="gramStart"/>
      <w:r w:rsidRPr="00DD5A4C">
        <w:t>Amazigh  "</w:t>
      </w:r>
      <w:proofErr w:type="gramEnd"/>
      <w:r w:rsidRPr="00DD5A4C">
        <w:t xml:space="preserve"> </w:t>
      </w:r>
      <w:proofErr w:type="spellStart"/>
      <w:r w:rsidRPr="00DD5A4C">
        <w:t>Tafsut</w:t>
      </w:r>
      <w:proofErr w:type="spellEnd"/>
      <w:r w:rsidRPr="00DD5A4C">
        <w:t xml:space="preserve"> " et alors que celle de Marrakech à pu avoir lieu</w:t>
      </w:r>
      <w:r w:rsidR="006C020B">
        <w:t xml:space="preserve"> sans incident</w:t>
      </w:r>
      <w:r w:rsidRPr="00DD5A4C">
        <w:t xml:space="preserve">, celle de Rabat a fait l'objet d'une répression </w:t>
      </w:r>
      <w:proofErr w:type="gramStart"/>
      <w:r w:rsidRPr="00DD5A4C">
        <w:t>démesuré</w:t>
      </w:r>
      <w:r w:rsidR="00985A3E">
        <w:t>e</w:t>
      </w:r>
      <w:r w:rsidRPr="00DD5A4C">
        <w:t>:</w:t>
      </w:r>
      <w:proofErr w:type="gramEnd"/>
      <w:r w:rsidRPr="00DD5A4C">
        <w:t xml:space="preserve"> le nombre des </w:t>
      </w:r>
      <w:r w:rsidR="000F423D">
        <w:t>agents d</w:t>
      </w:r>
      <w:r w:rsidRPr="00DD5A4C">
        <w:t xml:space="preserve">es forces de l'ordre dépassant de loin celui des manifestants </w:t>
      </w:r>
      <w:r w:rsidR="006C020B" w:rsidRPr="00DD5A4C">
        <w:t>pacifiques</w:t>
      </w:r>
      <w:r w:rsidRPr="00DD5A4C">
        <w:t>, ces derniers ont été encerclés et empêchés de marcher vers l'esplanade en face du parlement.</w:t>
      </w:r>
    </w:p>
    <w:p w14:paraId="46CBD690" w14:textId="77777777" w:rsidR="005628DA" w:rsidRDefault="00446392" w:rsidP="006F7E60">
      <w:pPr>
        <w:pStyle w:val="ListParagraph"/>
        <w:ind w:left="1440"/>
      </w:pPr>
      <w:r w:rsidRPr="00DD5A4C">
        <w:t xml:space="preserve"> </w:t>
      </w:r>
      <w:r w:rsidRPr="005628DA">
        <w:rPr>
          <w:b/>
          <w:bCs/>
        </w:rPr>
        <w:t xml:space="preserve">Deux villes, deux réactions </w:t>
      </w:r>
      <w:r w:rsidR="00884ADC" w:rsidRPr="005628DA">
        <w:rPr>
          <w:b/>
          <w:bCs/>
        </w:rPr>
        <w:t xml:space="preserve">contradictoires </w:t>
      </w:r>
      <w:r w:rsidR="00A94AFD" w:rsidRPr="005628DA">
        <w:rPr>
          <w:b/>
          <w:bCs/>
        </w:rPr>
        <w:t>pour une même célébration</w:t>
      </w:r>
      <w:r w:rsidR="00884ADC" w:rsidRPr="005628DA">
        <w:rPr>
          <w:b/>
          <w:bCs/>
        </w:rPr>
        <w:t xml:space="preserve">, pourquoi </w:t>
      </w:r>
      <w:r w:rsidRPr="005628DA">
        <w:rPr>
          <w:b/>
          <w:bCs/>
        </w:rPr>
        <w:t>?!</w:t>
      </w:r>
      <w:r w:rsidRPr="00DD5A4C">
        <w:t xml:space="preserve">  </w:t>
      </w:r>
    </w:p>
    <w:p w14:paraId="041C5426" w14:textId="4A622BC3" w:rsidR="00DD5A4C" w:rsidRPr="00DD5A4C" w:rsidRDefault="00446392" w:rsidP="006F7E60">
      <w:pPr>
        <w:pStyle w:val="ListParagraph"/>
        <w:ind w:left="1440"/>
        <w:rPr>
          <w:b/>
          <w:bCs/>
        </w:rPr>
      </w:pPr>
      <w:r w:rsidRPr="00DD5A4C">
        <w:t xml:space="preserve">Deux semaines plus tôt, des marches de plusieurs milliers de manifestants avaient </w:t>
      </w:r>
      <w:r w:rsidR="00D724CE">
        <w:t xml:space="preserve">sillonné les boulevards </w:t>
      </w:r>
      <w:proofErr w:type="gramStart"/>
      <w:r w:rsidR="00D724CE">
        <w:t xml:space="preserve">de </w:t>
      </w:r>
      <w:r w:rsidRPr="00DD5A4C">
        <w:t xml:space="preserve"> Rabat</w:t>
      </w:r>
      <w:proofErr w:type="gramEnd"/>
      <w:r w:rsidRPr="00DD5A4C">
        <w:t xml:space="preserve"> en soutien à la Palestine, et parcouru le même trajet interdit au Mouvement Amazigh.       Deux poids</w:t>
      </w:r>
      <w:r w:rsidR="008967A7">
        <w:t>,</w:t>
      </w:r>
      <w:r w:rsidRPr="00DD5A4C">
        <w:t xml:space="preserve"> deux mesures et une agressivité contre les Amazighs que rien ne justifie : manifestation pacifique avec femmes et enfants, revendications légitimes et organisation irréprochable.</w:t>
      </w:r>
    </w:p>
    <w:p w14:paraId="575DF99B" w14:textId="5B1307BA" w:rsidR="00446392" w:rsidRDefault="00446392" w:rsidP="00DD5A4C">
      <w:pPr>
        <w:pStyle w:val="ListParagraph"/>
        <w:rPr>
          <w:b/>
          <w:bCs/>
        </w:rPr>
      </w:pPr>
      <w:r w:rsidRPr="00DD5A4C">
        <w:rPr>
          <w:b/>
          <w:bCs/>
        </w:rPr>
        <w:t xml:space="preserve"> Un Amazigh perd-il sa personnalité juridique dés qu'il </w:t>
      </w:r>
      <w:proofErr w:type="gramStart"/>
      <w:r w:rsidRPr="00DD5A4C">
        <w:rPr>
          <w:b/>
          <w:bCs/>
        </w:rPr>
        <w:t>manifeste  et</w:t>
      </w:r>
      <w:proofErr w:type="gramEnd"/>
      <w:r w:rsidRPr="00DD5A4C">
        <w:rPr>
          <w:b/>
          <w:bCs/>
        </w:rPr>
        <w:t xml:space="preserve"> exprime des revendications nationales ?</w:t>
      </w:r>
    </w:p>
    <w:p w14:paraId="0810C9ED" w14:textId="77777777" w:rsidR="00880C30" w:rsidRDefault="00880C30" w:rsidP="00DD5A4C">
      <w:pPr>
        <w:pStyle w:val="ListParagraph"/>
        <w:rPr>
          <w:b/>
          <w:bCs/>
        </w:rPr>
      </w:pPr>
    </w:p>
    <w:p w14:paraId="1C22AD5E" w14:textId="77777777" w:rsidR="00D902BC" w:rsidRDefault="00DD5EFF" w:rsidP="00DD5EFF">
      <w:pPr>
        <w:pStyle w:val="ListParagraph"/>
        <w:numPr>
          <w:ilvl w:val="0"/>
          <w:numId w:val="1"/>
        </w:numPr>
      </w:pPr>
      <w:r w:rsidRPr="00A12358">
        <w:t xml:space="preserve">- Article 22, </w:t>
      </w:r>
      <w:r w:rsidR="00A12358" w:rsidRPr="00A12358">
        <w:t>paragraphe</w:t>
      </w:r>
      <w:r w:rsidRPr="00A12358">
        <w:t xml:space="preserve"> </w:t>
      </w:r>
      <w:proofErr w:type="gramStart"/>
      <w:r w:rsidRPr="00A12358">
        <w:t>1:</w:t>
      </w:r>
      <w:proofErr w:type="gramEnd"/>
      <w:r w:rsidRPr="00A12358">
        <w:t xml:space="preserve">" </w:t>
      </w:r>
      <w:r w:rsidRPr="00D902BC">
        <w:rPr>
          <w:i/>
          <w:iCs/>
        </w:rPr>
        <w:t>Toute personne a le droit de s'associer librement avec d'autres, y compris le droit de constituer des syndicats et d'y adhérer pour la protection de ses intérêts."</w:t>
      </w:r>
      <w:r w:rsidRPr="00A12358">
        <w:t xml:space="preserve"> </w:t>
      </w:r>
    </w:p>
    <w:p w14:paraId="17D6BA7F" w14:textId="77777777" w:rsidR="00AC5E10" w:rsidRDefault="00DD5EFF" w:rsidP="00D902BC">
      <w:pPr>
        <w:pStyle w:val="ListParagraph"/>
        <w:numPr>
          <w:ilvl w:val="1"/>
          <w:numId w:val="1"/>
        </w:numPr>
      </w:pPr>
      <w:r w:rsidRPr="00A12358">
        <w:t xml:space="preserve">Élément essentiel de la société civile, </w:t>
      </w:r>
      <w:proofErr w:type="gramStart"/>
      <w:r w:rsidR="008C61C5">
        <w:t>le</w:t>
      </w:r>
      <w:r w:rsidRPr="00A12358">
        <w:t>s  associations</w:t>
      </w:r>
      <w:proofErr w:type="gramEnd"/>
      <w:r w:rsidRPr="00A12358">
        <w:t xml:space="preserve">  qui </w:t>
      </w:r>
      <w:r w:rsidR="008C61C5" w:rsidRPr="00A12358">
        <w:t>défendent</w:t>
      </w:r>
      <w:r w:rsidRPr="00A12358">
        <w:t xml:space="preserve"> les droits des amazighs font l'objet de refus du récépissé d'enregistrement, ou de son </w:t>
      </w:r>
      <w:proofErr w:type="gramStart"/>
      <w:r w:rsidRPr="00A12358">
        <w:t>renouvellement,  par</w:t>
      </w:r>
      <w:proofErr w:type="gramEnd"/>
      <w:r w:rsidRPr="00A12358">
        <w:t xml:space="preserve"> </w:t>
      </w:r>
      <w:proofErr w:type="gramStart"/>
      <w:r w:rsidRPr="00A12358">
        <w:t>le  Ministère</w:t>
      </w:r>
      <w:proofErr w:type="gramEnd"/>
      <w:r w:rsidRPr="00A12358">
        <w:t xml:space="preserve"> de </w:t>
      </w:r>
      <w:proofErr w:type="gramStart"/>
      <w:r w:rsidRPr="00A12358">
        <w:t>l'</w:t>
      </w:r>
      <w:r w:rsidR="004D5218" w:rsidRPr="00A12358">
        <w:t>Intérieur</w:t>
      </w:r>
      <w:r w:rsidRPr="00A12358">
        <w:t xml:space="preserve"> .</w:t>
      </w:r>
      <w:proofErr w:type="gramEnd"/>
      <w:r w:rsidRPr="00A12358">
        <w:t xml:space="preserve"> C'est notamment le cas de </w:t>
      </w:r>
      <w:r w:rsidRPr="006429D5">
        <w:rPr>
          <w:i/>
          <w:iCs/>
        </w:rPr>
        <w:t>l'Association Massinissa</w:t>
      </w:r>
      <w:r w:rsidR="006429D5">
        <w:rPr>
          <w:i/>
          <w:iCs/>
        </w:rPr>
        <w:t>,</w:t>
      </w:r>
      <w:r w:rsidRPr="006429D5">
        <w:rPr>
          <w:i/>
          <w:iCs/>
        </w:rPr>
        <w:t xml:space="preserve"> Tanger </w:t>
      </w:r>
      <w:r w:rsidRPr="00A12358">
        <w:t xml:space="preserve">et de </w:t>
      </w:r>
      <w:r w:rsidRPr="00AC5E10">
        <w:rPr>
          <w:i/>
          <w:iCs/>
        </w:rPr>
        <w:t xml:space="preserve">l'Association Akal pour la défense des terres des ancêtres de Sidi Bibi, </w:t>
      </w:r>
      <w:proofErr w:type="spellStart"/>
      <w:r w:rsidRPr="00AC5E10">
        <w:rPr>
          <w:i/>
          <w:iCs/>
        </w:rPr>
        <w:t>Ichtouken</w:t>
      </w:r>
      <w:proofErr w:type="spellEnd"/>
      <w:r w:rsidRPr="00AC5E10">
        <w:rPr>
          <w:i/>
          <w:iCs/>
        </w:rPr>
        <w:t xml:space="preserve"> Ait </w:t>
      </w:r>
      <w:proofErr w:type="spellStart"/>
      <w:r w:rsidRPr="00AC5E10">
        <w:rPr>
          <w:i/>
          <w:iCs/>
        </w:rPr>
        <w:t>Baha</w:t>
      </w:r>
      <w:proofErr w:type="spellEnd"/>
      <w:r w:rsidRPr="00A12358">
        <w:t xml:space="preserve">. </w:t>
      </w:r>
    </w:p>
    <w:p w14:paraId="2B322ED5" w14:textId="3299881F" w:rsidR="00DD5EFF" w:rsidRDefault="00DD5EFF" w:rsidP="00AC5E10">
      <w:pPr>
        <w:pStyle w:val="ListParagraph"/>
        <w:ind w:left="1440"/>
      </w:pPr>
      <w:r w:rsidRPr="00A12358">
        <w:t>Il est</w:t>
      </w:r>
      <w:r w:rsidR="00AE7E5C">
        <w:t xml:space="preserve"> </w:t>
      </w:r>
      <w:r w:rsidR="008967A7">
        <w:t>à</w:t>
      </w:r>
      <w:r w:rsidR="008967A7" w:rsidRPr="00A12358">
        <w:t xml:space="preserve"> </w:t>
      </w:r>
      <w:r w:rsidRPr="00A12358">
        <w:t>rappel</w:t>
      </w:r>
      <w:r w:rsidR="00AE7E5C">
        <w:t>er</w:t>
      </w:r>
      <w:r w:rsidRPr="00A12358">
        <w:t xml:space="preserve"> que le refus d'octroi des récépissé</w:t>
      </w:r>
      <w:r w:rsidR="008967A7">
        <w:t>s</w:t>
      </w:r>
      <w:r w:rsidRPr="00A12358">
        <w:t xml:space="preserve"> est synonyme de gèle des activités, refus des salles et lieux de manifestations</w:t>
      </w:r>
      <w:r w:rsidR="001639B1">
        <w:t xml:space="preserve"> et peut durer des années. </w:t>
      </w:r>
    </w:p>
    <w:p w14:paraId="26F90127" w14:textId="2A6F8A19" w:rsidR="00E52030" w:rsidRDefault="00E52030" w:rsidP="00AC5E10">
      <w:pPr>
        <w:pStyle w:val="ListParagraph"/>
        <w:ind w:left="1440"/>
        <w:rPr>
          <w:b/>
          <w:bCs/>
        </w:rPr>
      </w:pPr>
      <w:r w:rsidRPr="001C28A4">
        <w:rPr>
          <w:b/>
          <w:bCs/>
        </w:rPr>
        <w:t xml:space="preserve">Ces associations </w:t>
      </w:r>
      <w:r w:rsidR="00DA11CA" w:rsidRPr="001C28A4">
        <w:rPr>
          <w:b/>
          <w:bCs/>
        </w:rPr>
        <w:t>sont-elles visées par une mesure punitive</w:t>
      </w:r>
      <w:r w:rsidR="00BF6739" w:rsidRPr="001C28A4">
        <w:rPr>
          <w:b/>
          <w:bCs/>
        </w:rPr>
        <w:t xml:space="preserve"> ou d’un acte d’entrave à la liberté</w:t>
      </w:r>
      <w:r w:rsidR="001C28A4" w:rsidRPr="001C28A4">
        <w:rPr>
          <w:b/>
          <w:bCs/>
        </w:rPr>
        <w:t> ?</w:t>
      </w:r>
    </w:p>
    <w:p w14:paraId="252DDA44" w14:textId="77777777" w:rsidR="007648D8" w:rsidRPr="001C28A4" w:rsidRDefault="007648D8" w:rsidP="00AC5E10">
      <w:pPr>
        <w:pStyle w:val="ListParagraph"/>
        <w:ind w:left="1440"/>
        <w:rPr>
          <w:b/>
          <w:bCs/>
        </w:rPr>
      </w:pPr>
    </w:p>
    <w:p w14:paraId="57B06C89" w14:textId="77777777" w:rsidR="009E08EF" w:rsidRDefault="007648D8" w:rsidP="00A142C7">
      <w:pPr>
        <w:pStyle w:val="ListParagraph"/>
        <w:numPr>
          <w:ilvl w:val="0"/>
          <w:numId w:val="1"/>
        </w:numPr>
      </w:pPr>
      <w:r w:rsidRPr="007648D8">
        <w:rPr>
          <w:b/>
          <w:bCs/>
        </w:rPr>
        <w:t xml:space="preserve">- </w:t>
      </w:r>
      <w:r w:rsidRPr="00ED5F6E">
        <w:t>Article 24, paragraphe 2 :"</w:t>
      </w:r>
      <w:r w:rsidRPr="009E08EF">
        <w:rPr>
          <w:i/>
          <w:iCs/>
        </w:rPr>
        <w:t xml:space="preserve">Tout enfant doit être enregistré *immédiatement* après sa naissance et avoir </w:t>
      </w:r>
      <w:r w:rsidRPr="009E08EF">
        <w:rPr>
          <w:b/>
          <w:bCs/>
          <w:i/>
          <w:iCs/>
        </w:rPr>
        <w:t>un nom</w:t>
      </w:r>
      <w:r w:rsidRPr="00ED5F6E">
        <w:t xml:space="preserve">". </w:t>
      </w:r>
    </w:p>
    <w:p w14:paraId="62E11341" w14:textId="4F9ECBB4" w:rsidR="007960D4" w:rsidRDefault="007648D8" w:rsidP="00E27EB4">
      <w:pPr>
        <w:pStyle w:val="ListParagraph"/>
        <w:numPr>
          <w:ilvl w:val="1"/>
          <w:numId w:val="1"/>
        </w:numPr>
      </w:pPr>
      <w:r w:rsidRPr="00ED5F6E">
        <w:t xml:space="preserve">Les familles sont souvent confrontées </w:t>
      </w:r>
      <w:r w:rsidR="00E0167E">
        <w:t xml:space="preserve">au refus des </w:t>
      </w:r>
      <w:r w:rsidR="004D762E">
        <w:t>prénoms</w:t>
      </w:r>
      <w:r w:rsidR="00E0167E">
        <w:t xml:space="preserve"> Amazighs lors de la </w:t>
      </w:r>
      <w:r w:rsidR="004D762E">
        <w:t>déclaration de la naissance auprès des services de l’</w:t>
      </w:r>
      <w:r w:rsidR="005D1A10">
        <w:t>état civil.</w:t>
      </w:r>
      <w:r w:rsidRPr="00ED5F6E">
        <w:t xml:space="preserve"> </w:t>
      </w:r>
      <w:r w:rsidR="00C2499A">
        <w:t>L</w:t>
      </w:r>
      <w:r w:rsidRPr="00ED5F6E">
        <w:t xml:space="preserve">'enregistrement de l'enfant devient un calvaire pour les parents dont la joie de la naissance vire au drame de ne pouvoir exprimer son identité et honorer ses origines. Les prénoms Amazigh ont un sens et reflètent des valeurs pourtant, ils sont refusés au profit de prénom dont les Amazighs ignorent la provenance </w:t>
      </w:r>
      <w:proofErr w:type="gramStart"/>
      <w:r w:rsidRPr="00ED5F6E">
        <w:t>et  dont</w:t>
      </w:r>
      <w:proofErr w:type="gramEnd"/>
      <w:r w:rsidRPr="00ED5F6E">
        <w:t xml:space="preserve"> la signification peut heurter la sensibilité.</w:t>
      </w:r>
    </w:p>
    <w:p w14:paraId="1FB06929" w14:textId="0C9B6D2C" w:rsidR="00F441AF" w:rsidRDefault="00F441AF" w:rsidP="00F441AF">
      <w:pPr>
        <w:pStyle w:val="ListParagraph"/>
        <w:ind w:left="1440"/>
      </w:pPr>
    </w:p>
    <w:p w14:paraId="34F590B8" w14:textId="171CB3DA" w:rsidR="00070A05" w:rsidRPr="00576F94" w:rsidRDefault="00070A05" w:rsidP="00DA267D">
      <w:pPr>
        <w:pStyle w:val="ListParagraph"/>
        <w:numPr>
          <w:ilvl w:val="0"/>
          <w:numId w:val="1"/>
        </w:numPr>
        <w:rPr>
          <w:i/>
          <w:iCs/>
        </w:rPr>
      </w:pPr>
      <w:r>
        <w:t>2. Article 26 du « </w:t>
      </w:r>
      <w:r w:rsidR="00511FF7" w:rsidRPr="00576F94">
        <w:rPr>
          <w:i/>
          <w:iCs/>
        </w:rPr>
        <w:t>Toutes les personnes sont égales devant la loi et ont droit sans discrimination à une égale protection de la loi. A cet égard, la loi doit interdire toute discrimination et garantir à toutes les personnes une protection égale et efficace contre toute discrimination, notamment de race, de couleur, de sexe, de langue, de religion, d’opinion politique et de toute autre opinion, d’origine nationale ou sociale, de fortune, de naissance ou de toute autre situation</w:t>
      </w:r>
      <w:r w:rsidRPr="00576F94">
        <w:rPr>
          <w:i/>
          <w:iCs/>
        </w:rPr>
        <w:t> »</w:t>
      </w:r>
    </w:p>
    <w:p w14:paraId="44D4C719" w14:textId="15F8A667" w:rsidR="00070A05" w:rsidRDefault="00070A05" w:rsidP="00576F94"/>
    <w:p w14:paraId="61494CC4" w14:textId="798105EF" w:rsidR="00182300" w:rsidRDefault="00070A05" w:rsidP="00B51ED5">
      <w:pPr>
        <w:pStyle w:val="ListParagraph"/>
        <w:numPr>
          <w:ilvl w:val="1"/>
          <w:numId w:val="1"/>
        </w:numPr>
      </w:pPr>
      <w:r>
        <w:t xml:space="preserve">Les lois foncières marocaines </w:t>
      </w:r>
      <w:proofErr w:type="gramStart"/>
      <w:r w:rsidR="00B51ED5">
        <w:t xml:space="preserve">sont </w:t>
      </w:r>
      <w:r>
        <w:t xml:space="preserve"> </w:t>
      </w:r>
      <w:r w:rsidR="001A6E48">
        <w:t>préjudiciables</w:t>
      </w:r>
      <w:proofErr w:type="gramEnd"/>
      <w:r>
        <w:t xml:space="preserve"> dans leurs effets</w:t>
      </w:r>
      <w:r w:rsidR="005A3207">
        <w:t> :</w:t>
      </w:r>
      <w:r w:rsidR="00F61099">
        <w:t xml:space="preserve"> </w:t>
      </w:r>
      <w:proofErr w:type="gramStart"/>
      <w:r w:rsidR="00F61099">
        <w:t xml:space="preserve">traiter </w:t>
      </w:r>
      <w:r>
        <w:t xml:space="preserve"> les</w:t>
      </w:r>
      <w:proofErr w:type="gramEnd"/>
      <w:r>
        <w:t xml:space="preserve"> terres amazighes différemment</w:t>
      </w:r>
      <w:r w:rsidR="004E14C7">
        <w:t xml:space="preserve">, </w:t>
      </w:r>
      <w:r w:rsidR="00F61099">
        <w:t>limiter</w:t>
      </w:r>
      <w:r w:rsidR="002D650A">
        <w:t xml:space="preserve"> l’accès </w:t>
      </w:r>
      <w:r w:rsidR="00D80AE7">
        <w:t xml:space="preserve">des communautés </w:t>
      </w:r>
      <w:r w:rsidR="005A3207">
        <w:t>amazighes à leurs terres ancestrales</w:t>
      </w:r>
      <w:r w:rsidR="00F61099">
        <w:t>,</w:t>
      </w:r>
      <w:r w:rsidR="004A1072">
        <w:t xml:space="preserve"> </w:t>
      </w:r>
      <w:r w:rsidR="00FF23E7">
        <w:t>déposséder</w:t>
      </w:r>
      <w:r w:rsidR="00FF0CAB">
        <w:t xml:space="preserve"> les tribus</w:t>
      </w:r>
      <w:r w:rsidR="00E67831">
        <w:t xml:space="preserve"> au profit d’autres parties </w:t>
      </w:r>
      <w:proofErr w:type="gramStart"/>
      <w:r w:rsidR="00FF23E7">
        <w:t xml:space="preserve">( </w:t>
      </w:r>
      <w:r w:rsidR="00A636B5">
        <w:t>exemple</w:t>
      </w:r>
      <w:proofErr w:type="gramEnd"/>
      <w:r w:rsidR="00F502FD">
        <w:t xml:space="preserve"> : </w:t>
      </w:r>
      <w:r w:rsidR="00A636B5">
        <w:t xml:space="preserve"> titre foncier 1683K, El </w:t>
      </w:r>
      <w:proofErr w:type="spellStart"/>
      <w:r w:rsidR="00A636B5">
        <w:t>Hajeb</w:t>
      </w:r>
      <w:proofErr w:type="spellEnd"/>
      <w:r w:rsidR="00F502FD">
        <w:t xml:space="preserve">), et </w:t>
      </w:r>
      <w:r w:rsidR="005C0D75">
        <w:t>ignorer les droits coutumiers amazighes</w:t>
      </w:r>
      <w:r w:rsidR="009801C6">
        <w:t xml:space="preserve">, cela équivaut à une </w:t>
      </w:r>
      <w:r w:rsidR="00E56848">
        <w:t xml:space="preserve">discrimination </w:t>
      </w:r>
      <w:r w:rsidR="003746AB">
        <w:t xml:space="preserve">indirecte contraire à l’article </w:t>
      </w:r>
      <w:r w:rsidR="00B101DC">
        <w:t xml:space="preserve">26. </w:t>
      </w:r>
    </w:p>
    <w:p w14:paraId="003BB800" w14:textId="0AE1E05C" w:rsidR="00070A05" w:rsidRPr="00ED5F6E" w:rsidRDefault="00070A05" w:rsidP="00F61CB4"/>
    <w:p w14:paraId="1822A88F" w14:textId="4D1DDE2F" w:rsidR="00417D4B" w:rsidRPr="000F4B8A" w:rsidRDefault="00417D4B" w:rsidP="00757A4F">
      <w:pPr>
        <w:pStyle w:val="ListParagraph"/>
        <w:numPr>
          <w:ilvl w:val="0"/>
          <w:numId w:val="1"/>
        </w:numPr>
      </w:pPr>
      <w:r>
        <w:t xml:space="preserve">- </w:t>
      </w:r>
      <w:r w:rsidR="00BC4A10" w:rsidRPr="000F4B8A">
        <w:t>Article</w:t>
      </w:r>
      <w:r w:rsidRPr="000F4B8A">
        <w:t xml:space="preserve"> 27</w:t>
      </w:r>
      <w:r w:rsidR="007A3E76" w:rsidRPr="000F4B8A">
        <w:t xml:space="preserve"> : </w:t>
      </w:r>
      <w:r w:rsidR="007A3E76" w:rsidRPr="00BC4A10">
        <w:rPr>
          <w:color w:val="000000" w:themeColor="text1"/>
        </w:rPr>
        <w:t>« </w:t>
      </w:r>
      <w:r w:rsidR="007A3E76" w:rsidRPr="00BC4A10">
        <w:rPr>
          <w:rFonts w:eastAsia="Times New Roman"/>
          <w:i/>
          <w:iCs/>
          <w:color w:val="000000" w:themeColor="text1"/>
          <w:spacing w:val="4"/>
        </w:rPr>
        <w:t>Dans les Etats où il existe des minorités ethniques, religieuses ou linguistiques, les personnes appartenant à ces minorités ne peuvent être privées du droit d'avoir, en commun avec les autres membres de leur groupe, leur propre vie culturelle, de professer et de pratiquer leur propre religion, ou d'employer leur propre lang</w:t>
      </w:r>
      <w:r w:rsidR="007A3E76" w:rsidRPr="00BC4A10">
        <w:rPr>
          <w:rFonts w:eastAsia="Times New Roman"/>
          <w:i/>
          <w:iCs/>
          <w:color w:val="000000" w:themeColor="text1"/>
          <w:spacing w:val="4"/>
          <w:sz w:val="27"/>
          <w:szCs w:val="27"/>
        </w:rPr>
        <w:t>ue.</w:t>
      </w:r>
      <w:r w:rsidR="007E25DC">
        <w:rPr>
          <w:rFonts w:eastAsia="Times New Roman"/>
          <w:i/>
          <w:iCs/>
          <w:color w:val="000000" w:themeColor="text1"/>
          <w:spacing w:val="4"/>
          <w:sz w:val="27"/>
          <w:szCs w:val="27"/>
        </w:rPr>
        <w:t> »</w:t>
      </w:r>
      <w:r w:rsidR="007A3E76" w:rsidRPr="00BC4A10">
        <w:rPr>
          <w:color w:val="000000" w:themeColor="text1"/>
        </w:rPr>
        <w:t xml:space="preserve"> </w:t>
      </w:r>
    </w:p>
    <w:p w14:paraId="04A9357E" w14:textId="1A32D64C" w:rsidR="00417D4B" w:rsidRDefault="00417D4B" w:rsidP="00AF47BC">
      <w:pPr>
        <w:pStyle w:val="ListParagraph"/>
        <w:numPr>
          <w:ilvl w:val="1"/>
          <w:numId w:val="1"/>
        </w:numPr>
      </w:pPr>
      <w:r>
        <w:t>Bien que n’</w:t>
      </w:r>
      <w:r w:rsidR="00F47732">
        <w:t>étant</w:t>
      </w:r>
      <w:r>
        <w:t xml:space="preserve"> pas une minorité</w:t>
      </w:r>
      <w:r w:rsidR="00F47732">
        <w:t xml:space="preserve"> numérique</w:t>
      </w:r>
      <w:r>
        <w:t xml:space="preserve">, les Amazighs sont minorisés par la discrimination dont ils font </w:t>
      </w:r>
      <w:proofErr w:type="gramStart"/>
      <w:r>
        <w:t>l’objet .</w:t>
      </w:r>
      <w:proofErr w:type="gramEnd"/>
      <w:r>
        <w:t xml:space="preserve"> Les observations générales du Comité des droits de l’Homme de l’ONU, précisent que la protection des droits culturels des Peuples Autochtones inclut souvent l’accès aux terres traditionnelles car elles donnent sens à leurs identité, culture, savoirs, valeurs et spécificité.</w:t>
      </w:r>
    </w:p>
    <w:p w14:paraId="72352BB4" w14:textId="1E12D5BC" w:rsidR="00FF4847" w:rsidRPr="00ED5F6E" w:rsidRDefault="00FF4847" w:rsidP="00E83D4E">
      <w:pPr>
        <w:pStyle w:val="ListParagraph"/>
        <w:ind w:left="1440"/>
      </w:pPr>
    </w:p>
    <w:p w14:paraId="74FDF600" w14:textId="6662440C" w:rsidR="007C6524" w:rsidRPr="00A0269A" w:rsidRDefault="007C6524" w:rsidP="003F17F2">
      <w:pPr>
        <w:pStyle w:val="ListParagraph"/>
        <w:rPr>
          <w:rFonts w:asciiTheme="majorBidi" w:hAnsiTheme="majorBidi" w:cstheme="majorBidi"/>
          <w:b/>
          <w:bCs/>
          <w:u w:val="single"/>
        </w:rPr>
      </w:pPr>
      <w:r w:rsidRPr="00A0269A">
        <w:rPr>
          <w:rFonts w:asciiTheme="majorBidi" w:hAnsiTheme="majorBidi" w:cstheme="majorBidi"/>
          <w:b/>
          <w:bCs/>
          <w:u w:val="single"/>
        </w:rPr>
        <w:t xml:space="preserve">Recommandations à l’attention des experts du Comité des </w:t>
      </w:r>
      <w:r w:rsidR="00A0269A">
        <w:rPr>
          <w:rFonts w:asciiTheme="majorBidi" w:hAnsiTheme="majorBidi" w:cstheme="majorBidi"/>
          <w:b/>
          <w:bCs/>
          <w:u w:val="single"/>
        </w:rPr>
        <w:t>D</w:t>
      </w:r>
      <w:r w:rsidRPr="00A0269A">
        <w:rPr>
          <w:rFonts w:asciiTheme="majorBidi" w:hAnsiTheme="majorBidi" w:cstheme="majorBidi"/>
          <w:b/>
          <w:bCs/>
          <w:u w:val="single"/>
        </w:rPr>
        <w:t>roits de l’</w:t>
      </w:r>
      <w:r w:rsidR="005E436A">
        <w:rPr>
          <w:rFonts w:asciiTheme="majorBidi" w:hAnsiTheme="majorBidi" w:cstheme="majorBidi"/>
          <w:b/>
          <w:bCs/>
          <w:u w:val="single"/>
        </w:rPr>
        <w:t>H</w:t>
      </w:r>
      <w:r w:rsidRPr="00A0269A">
        <w:rPr>
          <w:rFonts w:asciiTheme="majorBidi" w:hAnsiTheme="majorBidi" w:cstheme="majorBidi"/>
          <w:b/>
          <w:bCs/>
          <w:u w:val="single"/>
        </w:rPr>
        <w:t>omme :</w:t>
      </w:r>
    </w:p>
    <w:p w14:paraId="4DD363F9" w14:textId="77777777" w:rsidR="007C6524" w:rsidRPr="005821B1" w:rsidRDefault="007C6524" w:rsidP="003F17F2">
      <w:pPr>
        <w:pStyle w:val="ListParagraph"/>
        <w:rPr>
          <w:rFonts w:asciiTheme="majorBidi" w:hAnsiTheme="majorBidi" w:cstheme="majorBidi"/>
        </w:rPr>
      </w:pPr>
    </w:p>
    <w:p w14:paraId="41AF189B" w14:textId="4E6C4620" w:rsidR="007C6524" w:rsidRPr="005821B1" w:rsidRDefault="007C6524" w:rsidP="007C6524">
      <w:pPr>
        <w:pStyle w:val="ListParagraph"/>
        <w:numPr>
          <w:ilvl w:val="2"/>
          <w:numId w:val="1"/>
        </w:numPr>
        <w:rPr>
          <w:rFonts w:asciiTheme="majorBidi" w:hAnsiTheme="majorBidi" w:cstheme="majorBidi"/>
        </w:rPr>
      </w:pPr>
      <w:r w:rsidRPr="005821B1">
        <w:rPr>
          <w:rFonts w:asciiTheme="majorBidi" w:hAnsiTheme="majorBidi" w:cstheme="majorBidi"/>
        </w:rPr>
        <w:t>Rappeler à l’État marocain son obligation de garantir le principe de non-discrimination, conformément au Pacte international relatif aux droits civils et politiques, en l’appliquant de manière explicite et effective aux Peuples Autochtones amazighs, en particulier dans les domaines du développement économique, social et culturel, ainsi que dans l’accès équitable aux ressources naturelles, aux territoires traditionnels et à la justice.</w:t>
      </w:r>
    </w:p>
    <w:p w14:paraId="754FC148" w14:textId="77777777" w:rsidR="007C6524" w:rsidRPr="005821B1" w:rsidRDefault="007C6524" w:rsidP="003F17F2">
      <w:pPr>
        <w:pStyle w:val="ListParagraph"/>
        <w:rPr>
          <w:rFonts w:asciiTheme="majorBidi" w:hAnsiTheme="majorBidi" w:cstheme="majorBidi"/>
        </w:rPr>
      </w:pPr>
    </w:p>
    <w:p w14:paraId="0FB6D23B" w14:textId="41A90D2D" w:rsidR="007C6524" w:rsidRPr="005821B1" w:rsidRDefault="007C6524" w:rsidP="007C6524">
      <w:pPr>
        <w:pStyle w:val="ListParagraph"/>
        <w:numPr>
          <w:ilvl w:val="2"/>
          <w:numId w:val="1"/>
        </w:numPr>
        <w:rPr>
          <w:rFonts w:asciiTheme="majorBidi" w:hAnsiTheme="majorBidi" w:cstheme="majorBidi"/>
        </w:rPr>
      </w:pPr>
      <w:r w:rsidRPr="005821B1">
        <w:rPr>
          <w:rFonts w:asciiTheme="majorBidi" w:hAnsiTheme="majorBidi" w:cstheme="majorBidi"/>
        </w:rPr>
        <w:t xml:space="preserve">Encourager le Maroc à collaborer activement avec le Mécanisme d’experts sur les droits des peuples autochtones (MEDPA) pour l’élaboration, la mise en œuvre et l’évaluation de lois, politiques et mécanismes nationaux conformes aux droits des Peuples Autochtones. Cette collaboration devrait s’inscrire dans le cadre de la résolution A/HRC/RES/33/25 du Conseil des droits de l’homme, qui habilite le MEDPA à fournir un appui technique et </w:t>
      </w:r>
      <w:proofErr w:type="gramStart"/>
      <w:r w:rsidRPr="005821B1">
        <w:rPr>
          <w:rFonts w:asciiTheme="majorBidi" w:hAnsiTheme="majorBidi" w:cstheme="majorBidi"/>
        </w:rPr>
        <w:t>de«  conseils</w:t>
      </w:r>
      <w:proofErr w:type="gramEnd"/>
      <w:r w:rsidRPr="005821B1">
        <w:rPr>
          <w:rFonts w:asciiTheme="majorBidi" w:hAnsiTheme="majorBidi" w:cstheme="majorBidi"/>
        </w:rPr>
        <w:t xml:space="preserve"> spécialisés aux États.</w:t>
      </w:r>
    </w:p>
    <w:p w14:paraId="0D6B45CD" w14:textId="77777777" w:rsidR="007C6524" w:rsidRPr="005821B1" w:rsidRDefault="007C6524" w:rsidP="007C6524">
      <w:pPr>
        <w:pStyle w:val="ListParagraph"/>
        <w:rPr>
          <w:rFonts w:asciiTheme="majorBidi" w:hAnsiTheme="majorBidi" w:cstheme="majorBidi"/>
        </w:rPr>
      </w:pPr>
    </w:p>
    <w:p w14:paraId="73ABEAA3" w14:textId="77777777" w:rsidR="007C6524" w:rsidRPr="005821B1" w:rsidRDefault="007C6524" w:rsidP="003F17F2">
      <w:pPr>
        <w:pStyle w:val="ListParagraph"/>
        <w:rPr>
          <w:rFonts w:asciiTheme="majorBidi" w:hAnsiTheme="majorBidi" w:cstheme="majorBidi"/>
        </w:rPr>
      </w:pPr>
    </w:p>
    <w:p w14:paraId="07EB7D78" w14:textId="77777777" w:rsidR="00310ABF" w:rsidRDefault="007C6524" w:rsidP="00BB4AE8">
      <w:pPr>
        <w:pStyle w:val="ListParagraph"/>
        <w:numPr>
          <w:ilvl w:val="2"/>
          <w:numId w:val="1"/>
        </w:numPr>
        <w:rPr>
          <w:rFonts w:asciiTheme="majorBidi" w:hAnsiTheme="majorBidi" w:cstheme="majorBidi"/>
        </w:rPr>
      </w:pPr>
      <w:r w:rsidRPr="005821B1">
        <w:rPr>
          <w:rFonts w:asciiTheme="majorBidi" w:hAnsiTheme="majorBidi" w:cstheme="majorBidi"/>
        </w:rPr>
        <w:t>Recommander au Maroc, en application de l’article 38 de la Déclaration des Nations Unies sur les droits des Peuples Autochtones, de mettre en place</w:t>
      </w:r>
      <w:r w:rsidR="00BB4AE8">
        <w:rPr>
          <w:rFonts w:asciiTheme="majorBidi" w:hAnsiTheme="majorBidi" w:cstheme="majorBidi"/>
        </w:rPr>
        <w:t xml:space="preserve"> : </w:t>
      </w:r>
    </w:p>
    <w:p w14:paraId="25555AD0" w14:textId="70FA8739" w:rsidR="007C6524" w:rsidRPr="00EC0CDF" w:rsidRDefault="00EC0CDF" w:rsidP="00EC0CDF">
      <w:pPr>
        <w:pStyle w:val="ListParagraph"/>
        <w:numPr>
          <w:ilvl w:val="3"/>
          <w:numId w:val="1"/>
        </w:numPr>
        <w:rPr>
          <w:rFonts w:asciiTheme="majorBidi" w:hAnsiTheme="majorBidi" w:cstheme="majorBidi"/>
        </w:rPr>
      </w:pPr>
      <w:proofErr w:type="gramStart"/>
      <w:r>
        <w:rPr>
          <w:rFonts w:asciiTheme="majorBidi" w:hAnsiTheme="majorBidi" w:cstheme="majorBidi"/>
        </w:rPr>
        <w:t>un</w:t>
      </w:r>
      <w:proofErr w:type="gramEnd"/>
      <w:r w:rsidR="007C6524" w:rsidRPr="00EC0CDF">
        <w:rPr>
          <w:rFonts w:asciiTheme="majorBidi" w:hAnsiTheme="majorBidi" w:cstheme="majorBidi"/>
        </w:rPr>
        <w:t xml:space="preserve"> partenariat avec les représentants autochtones </w:t>
      </w:r>
      <w:r w:rsidR="0071661E">
        <w:rPr>
          <w:rFonts w:asciiTheme="majorBidi" w:hAnsiTheme="majorBidi" w:cstheme="majorBidi"/>
        </w:rPr>
        <w:t xml:space="preserve">désignés par les communautés </w:t>
      </w:r>
    </w:p>
    <w:p w14:paraId="5689B11B" w14:textId="77777777" w:rsidR="007C6524" w:rsidRPr="005821B1" w:rsidRDefault="007C6524" w:rsidP="003F17F2">
      <w:pPr>
        <w:pStyle w:val="ListParagraph"/>
        <w:rPr>
          <w:rFonts w:asciiTheme="majorBidi" w:hAnsiTheme="majorBidi" w:cstheme="majorBidi"/>
        </w:rPr>
      </w:pPr>
    </w:p>
    <w:p w14:paraId="7B5C46F3" w14:textId="7D93C236" w:rsidR="007C6524" w:rsidRPr="005821B1" w:rsidRDefault="007C6524" w:rsidP="007C6524">
      <w:pPr>
        <w:pStyle w:val="ListParagraph"/>
        <w:numPr>
          <w:ilvl w:val="3"/>
          <w:numId w:val="1"/>
        </w:numPr>
        <w:rPr>
          <w:rFonts w:asciiTheme="majorBidi" w:hAnsiTheme="majorBidi" w:cstheme="majorBidi"/>
        </w:rPr>
      </w:pPr>
      <w:proofErr w:type="gramStart"/>
      <w:r w:rsidRPr="005821B1">
        <w:rPr>
          <w:rFonts w:asciiTheme="majorBidi" w:hAnsiTheme="majorBidi" w:cstheme="majorBidi"/>
        </w:rPr>
        <w:t>des</w:t>
      </w:r>
      <w:proofErr w:type="gramEnd"/>
      <w:r w:rsidRPr="005821B1">
        <w:rPr>
          <w:rFonts w:asciiTheme="majorBidi" w:hAnsiTheme="majorBidi" w:cstheme="majorBidi"/>
        </w:rPr>
        <w:t xml:space="preserve"> organes nationaux de suivi et d’évaluation dotés d’un mandat clair pour promouvoir l’effectivité des droits des Peuples Autochtones dans l’ensemble des politiques publiques ;</w:t>
      </w:r>
    </w:p>
    <w:p w14:paraId="1E1AD8EE" w14:textId="77777777" w:rsidR="007C6524" w:rsidRPr="005821B1" w:rsidRDefault="007C6524" w:rsidP="00065641">
      <w:pPr>
        <w:pStyle w:val="ListParagraph"/>
        <w:ind w:left="3019"/>
        <w:rPr>
          <w:rFonts w:asciiTheme="majorBidi" w:hAnsiTheme="majorBidi" w:cstheme="majorBidi"/>
        </w:rPr>
      </w:pPr>
    </w:p>
    <w:p w14:paraId="0700F7A9" w14:textId="3E2305D4" w:rsidR="007C6524" w:rsidRPr="005821B1" w:rsidRDefault="007C6524" w:rsidP="007C6524">
      <w:pPr>
        <w:pStyle w:val="ListParagraph"/>
        <w:numPr>
          <w:ilvl w:val="3"/>
          <w:numId w:val="1"/>
        </w:numPr>
        <w:rPr>
          <w:rFonts w:asciiTheme="majorBidi" w:hAnsiTheme="majorBidi" w:cstheme="majorBidi"/>
        </w:rPr>
      </w:pPr>
      <w:proofErr w:type="gramStart"/>
      <w:r w:rsidRPr="005821B1">
        <w:rPr>
          <w:rFonts w:asciiTheme="majorBidi" w:hAnsiTheme="majorBidi" w:cstheme="majorBidi"/>
        </w:rPr>
        <w:t>une</w:t>
      </w:r>
      <w:proofErr w:type="gramEnd"/>
      <w:r w:rsidRPr="005821B1">
        <w:rPr>
          <w:rFonts w:asciiTheme="majorBidi" w:hAnsiTheme="majorBidi" w:cstheme="majorBidi"/>
        </w:rPr>
        <w:t xml:space="preserve"> planification stratégique fondée sur des indicateurs mesurables, permettant de suivre la mise en œuvre progressive des normes de la Déclaration ;</w:t>
      </w:r>
    </w:p>
    <w:p w14:paraId="4B29AFAA" w14:textId="77777777" w:rsidR="007C6524" w:rsidRPr="005821B1" w:rsidRDefault="007C6524" w:rsidP="00065641">
      <w:pPr>
        <w:pStyle w:val="ListParagraph"/>
        <w:ind w:left="3019"/>
        <w:rPr>
          <w:rFonts w:asciiTheme="majorBidi" w:hAnsiTheme="majorBidi" w:cstheme="majorBidi"/>
        </w:rPr>
      </w:pPr>
    </w:p>
    <w:p w14:paraId="1944D91D" w14:textId="60A37480" w:rsidR="007C6524" w:rsidRPr="005821B1" w:rsidRDefault="007C6524" w:rsidP="007C6524">
      <w:pPr>
        <w:pStyle w:val="ListParagraph"/>
        <w:numPr>
          <w:ilvl w:val="3"/>
          <w:numId w:val="1"/>
        </w:numPr>
        <w:rPr>
          <w:rFonts w:asciiTheme="majorBidi" w:hAnsiTheme="majorBidi" w:cstheme="majorBidi"/>
        </w:rPr>
      </w:pPr>
      <w:proofErr w:type="gramStart"/>
      <w:r w:rsidRPr="005821B1">
        <w:rPr>
          <w:rFonts w:asciiTheme="majorBidi" w:hAnsiTheme="majorBidi" w:cstheme="majorBidi"/>
        </w:rPr>
        <w:t>des</w:t>
      </w:r>
      <w:proofErr w:type="gramEnd"/>
      <w:r w:rsidRPr="005821B1">
        <w:rPr>
          <w:rFonts w:asciiTheme="majorBidi" w:hAnsiTheme="majorBidi" w:cstheme="majorBidi"/>
        </w:rPr>
        <w:t xml:space="preserve"> institutions autonomes dédiées spécifiquement aux affaires autochtones, dotées de ressources et de compétences suffisantes pour surveiller l’application de la Déclaration et évaluer la conformité de l’État à ses obligations internationales.</w:t>
      </w:r>
    </w:p>
    <w:p w14:paraId="0149E489" w14:textId="77777777" w:rsidR="007C6524" w:rsidRPr="005821B1" w:rsidRDefault="007C6524" w:rsidP="00065641">
      <w:pPr>
        <w:pStyle w:val="ListParagraph"/>
        <w:ind w:left="3019"/>
        <w:rPr>
          <w:rFonts w:asciiTheme="majorBidi" w:hAnsiTheme="majorBidi" w:cstheme="majorBidi"/>
        </w:rPr>
      </w:pPr>
    </w:p>
    <w:p w14:paraId="0AD11BB0" w14:textId="77777777" w:rsidR="007C6524" w:rsidRPr="005821B1" w:rsidRDefault="007C6524" w:rsidP="003F17F2">
      <w:pPr>
        <w:pStyle w:val="ListParagraph"/>
        <w:rPr>
          <w:rFonts w:asciiTheme="majorBidi" w:hAnsiTheme="majorBidi" w:cstheme="majorBidi"/>
        </w:rPr>
      </w:pPr>
      <w:r w:rsidRPr="005821B1">
        <w:rPr>
          <w:rFonts w:asciiTheme="majorBidi" w:hAnsiTheme="majorBidi" w:cstheme="majorBidi"/>
        </w:rPr>
        <w:t>Ces recommandations s’appuient sur l’étude thématique du MEDPA (A/HRC/57/62) portant sur l’intégration des droits des peuples autochtones dans les constitutions, lois, politiques et décisions judiciaires.</w:t>
      </w:r>
    </w:p>
    <w:p w14:paraId="131FE018" w14:textId="77777777" w:rsidR="007C6524" w:rsidRPr="005821B1" w:rsidRDefault="007C6524" w:rsidP="003F17F2">
      <w:pPr>
        <w:pStyle w:val="ListParagraph"/>
        <w:rPr>
          <w:rFonts w:asciiTheme="majorBidi" w:hAnsiTheme="majorBidi" w:cstheme="majorBidi"/>
        </w:rPr>
      </w:pPr>
    </w:p>
    <w:p w14:paraId="48E4BDB1" w14:textId="77777777" w:rsidR="007C6524" w:rsidRPr="005821B1" w:rsidRDefault="007C6524" w:rsidP="003F17F2">
      <w:pPr>
        <w:pStyle w:val="ListParagraph"/>
        <w:rPr>
          <w:rFonts w:asciiTheme="majorBidi" w:hAnsiTheme="majorBidi" w:cstheme="majorBidi"/>
        </w:rPr>
      </w:pPr>
    </w:p>
    <w:p w14:paraId="0A4DFDA4" w14:textId="77777777" w:rsidR="007C6524" w:rsidRPr="005821B1" w:rsidRDefault="007C6524" w:rsidP="003F17F2">
      <w:pPr>
        <w:pStyle w:val="ListParagraph"/>
        <w:rPr>
          <w:rFonts w:asciiTheme="majorBidi" w:hAnsiTheme="majorBidi" w:cstheme="majorBidi"/>
        </w:rPr>
      </w:pPr>
    </w:p>
    <w:p w14:paraId="6D083FA3" w14:textId="77777777" w:rsidR="007C6524" w:rsidRPr="005821B1" w:rsidRDefault="007C6524" w:rsidP="003F17F2">
      <w:pPr>
        <w:pStyle w:val="ListParagraph"/>
        <w:rPr>
          <w:rFonts w:asciiTheme="majorBidi" w:hAnsiTheme="majorBidi" w:cstheme="majorBidi"/>
        </w:rPr>
      </w:pPr>
    </w:p>
    <w:p w14:paraId="47AA4A31" w14:textId="1E8A06C4" w:rsidR="00757A4F" w:rsidRPr="005821B1" w:rsidRDefault="00757A4F" w:rsidP="003F17F2">
      <w:pPr>
        <w:pStyle w:val="ListParagraph"/>
        <w:rPr>
          <w:rFonts w:asciiTheme="majorBidi" w:hAnsiTheme="majorBidi" w:cstheme="majorBidi"/>
        </w:rPr>
      </w:pPr>
    </w:p>
    <w:sectPr w:rsidR="00757A4F" w:rsidRPr="005821B1">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E89387" w14:textId="77777777" w:rsidR="00DF6A78" w:rsidRDefault="00DF6A78" w:rsidP="008967A7">
      <w:pPr>
        <w:spacing w:after="0" w:line="240" w:lineRule="auto"/>
      </w:pPr>
      <w:r>
        <w:separator/>
      </w:r>
    </w:p>
  </w:endnote>
  <w:endnote w:type="continuationSeparator" w:id="0">
    <w:p w14:paraId="15981B6A" w14:textId="77777777" w:rsidR="00DF6A78" w:rsidRDefault="00DF6A78" w:rsidP="008967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97718867"/>
      <w:docPartObj>
        <w:docPartGallery w:val="Page Numbers (Bottom of Page)"/>
        <w:docPartUnique/>
      </w:docPartObj>
    </w:sdtPr>
    <w:sdtEndPr/>
    <w:sdtContent>
      <w:p w14:paraId="43BA10F4" w14:textId="4C0BB9FC" w:rsidR="008967A7" w:rsidRDefault="008967A7">
        <w:pPr>
          <w:pStyle w:val="Footer"/>
          <w:jc w:val="right"/>
        </w:pPr>
        <w:r>
          <w:fldChar w:fldCharType="begin"/>
        </w:r>
        <w:r>
          <w:instrText>PAGE   \* MERGEFORMAT</w:instrText>
        </w:r>
        <w:r>
          <w:fldChar w:fldCharType="separate"/>
        </w:r>
        <w:r>
          <w:t>2</w:t>
        </w:r>
        <w:r>
          <w:fldChar w:fldCharType="end"/>
        </w:r>
      </w:p>
    </w:sdtContent>
  </w:sdt>
  <w:p w14:paraId="3411F1D1" w14:textId="77777777" w:rsidR="008967A7" w:rsidRDefault="008967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FDAF09" w14:textId="77777777" w:rsidR="00DF6A78" w:rsidRDefault="00DF6A78" w:rsidP="008967A7">
      <w:pPr>
        <w:spacing w:after="0" w:line="240" w:lineRule="auto"/>
      </w:pPr>
      <w:r>
        <w:separator/>
      </w:r>
    </w:p>
  </w:footnote>
  <w:footnote w:type="continuationSeparator" w:id="0">
    <w:p w14:paraId="21A62EF2" w14:textId="77777777" w:rsidR="00DF6A78" w:rsidRDefault="00DF6A78" w:rsidP="008967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A70FA"/>
    <w:multiLevelType w:val="hybridMultilevel"/>
    <w:tmpl w:val="0352D0DE"/>
    <w:lvl w:ilvl="0" w:tplc="040C0001">
      <w:start w:val="1"/>
      <w:numFmt w:val="bullet"/>
      <w:lvlText w:val=""/>
      <w:lvlJc w:val="left"/>
      <w:pPr>
        <w:ind w:left="2401" w:hanging="360"/>
      </w:pPr>
      <w:rPr>
        <w:rFonts w:ascii="Symbol" w:hAnsi="Symbol" w:hint="default"/>
      </w:rPr>
    </w:lvl>
    <w:lvl w:ilvl="1" w:tplc="040C0003" w:tentative="1">
      <w:start w:val="1"/>
      <w:numFmt w:val="bullet"/>
      <w:lvlText w:val="o"/>
      <w:lvlJc w:val="left"/>
      <w:pPr>
        <w:ind w:left="3121" w:hanging="360"/>
      </w:pPr>
      <w:rPr>
        <w:rFonts w:ascii="Courier New" w:hAnsi="Courier New" w:cs="Courier New" w:hint="default"/>
      </w:rPr>
    </w:lvl>
    <w:lvl w:ilvl="2" w:tplc="040C0005" w:tentative="1">
      <w:start w:val="1"/>
      <w:numFmt w:val="bullet"/>
      <w:lvlText w:val=""/>
      <w:lvlJc w:val="left"/>
      <w:pPr>
        <w:ind w:left="3841" w:hanging="360"/>
      </w:pPr>
      <w:rPr>
        <w:rFonts w:ascii="Wingdings" w:hAnsi="Wingdings" w:hint="default"/>
      </w:rPr>
    </w:lvl>
    <w:lvl w:ilvl="3" w:tplc="040C0001" w:tentative="1">
      <w:start w:val="1"/>
      <w:numFmt w:val="bullet"/>
      <w:lvlText w:val=""/>
      <w:lvlJc w:val="left"/>
      <w:pPr>
        <w:ind w:left="4561" w:hanging="360"/>
      </w:pPr>
      <w:rPr>
        <w:rFonts w:ascii="Symbol" w:hAnsi="Symbol" w:hint="default"/>
      </w:rPr>
    </w:lvl>
    <w:lvl w:ilvl="4" w:tplc="040C0003" w:tentative="1">
      <w:start w:val="1"/>
      <w:numFmt w:val="bullet"/>
      <w:lvlText w:val="o"/>
      <w:lvlJc w:val="left"/>
      <w:pPr>
        <w:ind w:left="5281" w:hanging="360"/>
      </w:pPr>
      <w:rPr>
        <w:rFonts w:ascii="Courier New" w:hAnsi="Courier New" w:cs="Courier New" w:hint="default"/>
      </w:rPr>
    </w:lvl>
    <w:lvl w:ilvl="5" w:tplc="040C0005" w:tentative="1">
      <w:start w:val="1"/>
      <w:numFmt w:val="bullet"/>
      <w:lvlText w:val=""/>
      <w:lvlJc w:val="left"/>
      <w:pPr>
        <w:ind w:left="6001" w:hanging="360"/>
      </w:pPr>
      <w:rPr>
        <w:rFonts w:ascii="Wingdings" w:hAnsi="Wingdings" w:hint="default"/>
      </w:rPr>
    </w:lvl>
    <w:lvl w:ilvl="6" w:tplc="040C0001" w:tentative="1">
      <w:start w:val="1"/>
      <w:numFmt w:val="bullet"/>
      <w:lvlText w:val=""/>
      <w:lvlJc w:val="left"/>
      <w:pPr>
        <w:ind w:left="6721" w:hanging="360"/>
      </w:pPr>
      <w:rPr>
        <w:rFonts w:ascii="Symbol" w:hAnsi="Symbol" w:hint="default"/>
      </w:rPr>
    </w:lvl>
    <w:lvl w:ilvl="7" w:tplc="040C0003" w:tentative="1">
      <w:start w:val="1"/>
      <w:numFmt w:val="bullet"/>
      <w:lvlText w:val="o"/>
      <w:lvlJc w:val="left"/>
      <w:pPr>
        <w:ind w:left="7441" w:hanging="360"/>
      </w:pPr>
      <w:rPr>
        <w:rFonts w:ascii="Courier New" w:hAnsi="Courier New" w:cs="Courier New" w:hint="default"/>
      </w:rPr>
    </w:lvl>
    <w:lvl w:ilvl="8" w:tplc="040C0005" w:tentative="1">
      <w:start w:val="1"/>
      <w:numFmt w:val="bullet"/>
      <w:lvlText w:val=""/>
      <w:lvlJc w:val="left"/>
      <w:pPr>
        <w:ind w:left="8161" w:hanging="360"/>
      </w:pPr>
      <w:rPr>
        <w:rFonts w:ascii="Wingdings" w:hAnsi="Wingdings" w:hint="default"/>
      </w:rPr>
    </w:lvl>
  </w:abstractNum>
  <w:abstractNum w:abstractNumId="1" w15:restartNumberingAfterBreak="0">
    <w:nsid w:val="072303E9"/>
    <w:multiLevelType w:val="hybridMultilevel"/>
    <w:tmpl w:val="50CC02DC"/>
    <w:lvl w:ilvl="0" w:tplc="383827C8">
      <w:start w:val="1"/>
      <w:numFmt w:val="decimal"/>
      <w:lvlText w:val="%1-"/>
      <w:lvlJc w:val="left"/>
      <w:pPr>
        <w:ind w:left="720" w:hanging="360"/>
      </w:pPr>
      <w:rPr>
        <w:rFonts w:hint="default"/>
        <w:b w:val="0"/>
        <w:bCs w:val="0"/>
        <w:i w:val="0"/>
        <w:iCs w:val="0"/>
      </w:rPr>
    </w:lvl>
    <w:lvl w:ilvl="1" w:tplc="9CAE4E4E">
      <w:start w:val="1"/>
      <w:numFmt w:val="bullet"/>
      <w:lvlText w:val="-"/>
      <w:lvlJc w:val="left"/>
      <w:pPr>
        <w:ind w:left="1440" w:hanging="360"/>
      </w:pPr>
      <w:rPr>
        <w:rFonts w:ascii="Aptos" w:eastAsiaTheme="minorEastAsia" w:hAnsi="Aptos" w:cstheme="minorBidi" w:hint="default"/>
      </w:rPr>
    </w:lvl>
    <w:lvl w:ilvl="2" w:tplc="C6F43CD4">
      <w:start w:val="1"/>
      <w:numFmt w:val="decimal"/>
      <w:lvlText w:val="%3."/>
      <w:lvlJc w:val="left"/>
      <w:pPr>
        <w:ind w:left="2340" w:hanging="360"/>
      </w:pPr>
      <w:rPr>
        <w:rFonts w:hint="default"/>
      </w:rPr>
    </w:lvl>
    <w:lvl w:ilvl="3" w:tplc="ECDAED84">
      <w:start w:val="3"/>
      <w:numFmt w:val="bullet"/>
      <w:lvlText w:val=""/>
      <w:lvlJc w:val="left"/>
      <w:pPr>
        <w:ind w:left="3019" w:hanging="499"/>
      </w:pPr>
      <w:rPr>
        <w:rFonts w:ascii="Symbol" w:eastAsiaTheme="minorEastAsia" w:hAnsi="Symbol" w:cstheme="minorBidi" w:hint="default"/>
      </w:r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6B3402A1"/>
    <w:multiLevelType w:val="hybridMultilevel"/>
    <w:tmpl w:val="1414B4A6"/>
    <w:lvl w:ilvl="0" w:tplc="040C0001">
      <w:start w:val="1"/>
      <w:numFmt w:val="bullet"/>
      <w:lvlText w:val=""/>
      <w:lvlJc w:val="left"/>
      <w:pPr>
        <w:ind w:left="3157" w:hanging="360"/>
      </w:pPr>
      <w:rPr>
        <w:rFonts w:ascii="Symbol" w:hAnsi="Symbol" w:hint="default"/>
      </w:rPr>
    </w:lvl>
    <w:lvl w:ilvl="1" w:tplc="040C0003" w:tentative="1">
      <w:start w:val="1"/>
      <w:numFmt w:val="bullet"/>
      <w:lvlText w:val="o"/>
      <w:lvlJc w:val="left"/>
      <w:pPr>
        <w:ind w:left="3877" w:hanging="360"/>
      </w:pPr>
      <w:rPr>
        <w:rFonts w:ascii="Courier New" w:hAnsi="Courier New" w:cs="Courier New" w:hint="default"/>
      </w:rPr>
    </w:lvl>
    <w:lvl w:ilvl="2" w:tplc="040C0005" w:tentative="1">
      <w:start w:val="1"/>
      <w:numFmt w:val="bullet"/>
      <w:lvlText w:val=""/>
      <w:lvlJc w:val="left"/>
      <w:pPr>
        <w:ind w:left="4597" w:hanging="360"/>
      </w:pPr>
      <w:rPr>
        <w:rFonts w:ascii="Wingdings" w:hAnsi="Wingdings" w:hint="default"/>
      </w:rPr>
    </w:lvl>
    <w:lvl w:ilvl="3" w:tplc="040C0001" w:tentative="1">
      <w:start w:val="1"/>
      <w:numFmt w:val="bullet"/>
      <w:lvlText w:val=""/>
      <w:lvlJc w:val="left"/>
      <w:pPr>
        <w:ind w:left="5317" w:hanging="360"/>
      </w:pPr>
      <w:rPr>
        <w:rFonts w:ascii="Symbol" w:hAnsi="Symbol" w:hint="default"/>
      </w:rPr>
    </w:lvl>
    <w:lvl w:ilvl="4" w:tplc="040C0003" w:tentative="1">
      <w:start w:val="1"/>
      <w:numFmt w:val="bullet"/>
      <w:lvlText w:val="o"/>
      <w:lvlJc w:val="left"/>
      <w:pPr>
        <w:ind w:left="6037" w:hanging="360"/>
      </w:pPr>
      <w:rPr>
        <w:rFonts w:ascii="Courier New" w:hAnsi="Courier New" w:cs="Courier New" w:hint="default"/>
      </w:rPr>
    </w:lvl>
    <w:lvl w:ilvl="5" w:tplc="040C0005" w:tentative="1">
      <w:start w:val="1"/>
      <w:numFmt w:val="bullet"/>
      <w:lvlText w:val=""/>
      <w:lvlJc w:val="left"/>
      <w:pPr>
        <w:ind w:left="6757" w:hanging="360"/>
      </w:pPr>
      <w:rPr>
        <w:rFonts w:ascii="Wingdings" w:hAnsi="Wingdings" w:hint="default"/>
      </w:rPr>
    </w:lvl>
    <w:lvl w:ilvl="6" w:tplc="040C0001" w:tentative="1">
      <w:start w:val="1"/>
      <w:numFmt w:val="bullet"/>
      <w:lvlText w:val=""/>
      <w:lvlJc w:val="left"/>
      <w:pPr>
        <w:ind w:left="7477" w:hanging="360"/>
      </w:pPr>
      <w:rPr>
        <w:rFonts w:ascii="Symbol" w:hAnsi="Symbol" w:hint="default"/>
      </w:rPr>
    </w:lvl>
    <w:lvl w:ilvl="7" w:tplc="040C0003" w:tentative="1">
      <w:start w:val="1"/>
      <w:numFmt w:val="bullet"/>
      <w:lvlText w:val="o"/>
      <w:lvlJc w:val="left"/>
      <w:pPr>
        <w:ind w:left="8197" w:hanging="360"/>
      </w:pPr>
      <w:rPr>
        <w:rFonts w:ascii="Courier New" w:hAnsi="Courier New" w:cs="Courier New" w:hint="default"/>
      </w:rPr>
    </w:lvl>
    <w:lvl w:ilvl="8" w:tplc="040C0005" w:tentative="1">
      <w:start w:val="1"/>
      <w:numFmt w:val="bullet"/>
      <w:lvlText w:val=""/>
      <w:lvlJc w:val="left"/>
      <w:pPr>
        <w:ind w:left="8917" w:hanging="360"/>
      </w:pPr>
      <w:rPr>
        <w:rFonts w:ascii="Wingdings" w:hAnsi="Wingdings" w:hint="default"/>
      </w:rPr>
    </w:lvl>
  </w:abstractNum>
  <w:abstractNum w:abstractNumId="3" w15:restartNumberingAfterBreak="0">
    <w:nsid w:val="7107661B"/>
    <w:multiLevelType w:val="hybridMultilevel"/>
    <w:tmpl w:val="A85414F6"/>
    <w:lvl w:ilvl="0" w:tplc="040C0001">
      <w:start w:val="1"/>
      <w:numFmt w:val="bullet"/>
      <w:lvlText w:val=""/>
      <w:lvlJc w:val="left"/>
      <w:pPr>
        <w:ind w:left="2437" w:hanging="360"/>
      </w:pPr>
      <w:rPr>
        <w:rFonts w:ascii="Symbol" w:hAnsi="Symbol" w:hint="default"/>
      </w:rPr>
    </w:lvl>
    <w:lvl w:ilvl="1" w:tplc="040C0003" w:tentative="1">
      <w:start w:val="1"/>
      <w:numFmt w:val="bullet"/>
      <w:lvlText w:val="o"/>
      <w:lvlJc w:val="left"/>
      <w:pPr>
        <w:ind w:left="3157" w:hanging="360"/>
      </w:pPr>
      <w:rPr>
        <w:rFonts w:ascii="Courier New" w:hAnsi="Courier New" w:cs="Courier New" w:hint="default"/>
      </w:rPr>
    </w:lvl>
    <w:lvl w:ilvl="2" w:tplc="040C0005" w:tentative="1">
      <w:start w:val="1"/>
      <w:numFmt w:val="bullet"/>
      <w:lvlText w:val=""/>
      <w:lvlJc w:val="left"/>
      <w:pPr>
        <w:ind w:left="3877" w:hanging="360"/>
      </w:pPr>
      <w:rPr>
        <w:rFonts w:ascii="Wingdings" w:hAnsi="Wingdings" w:hint="default"/>
      </w:rPr>
    </w:lvl>
    <w:lvl w:ilvl="3" w:tplc="040C0001" w:tentative="1">
      <w:start w:val="1"/>
      <w:numFmt w:val="bullet"/>
      <w:lvlText w:val=""/>
      <w:lvlJc w:val="left"/>
      <w:pPr>
        <w:ind w:left="4597" w:hanging="360"/>
      </w:pPr>
      <w:rPr>
        <w:rFonts w:ascii="Symbol" w:hAnsi="Symbol" w:hint="default"/>
      </w:rPr>
    </w:lvl>
    <w:lvl w:ilvl="4" w:tplc="040C0003" w:tentative="1">
      <w:start w:val="1"/>
      <w:numFmt w:val="bullet"/>
      <w:lvlText w:val="o"/>
      <w:lvlJc w:val="left"/>
      <w:pPr>
        <w:ind w:left="5317" w:hanging="360"/>
      </w:pPr>
      <w:rPr>
        <w:rFonts w:ascii="Courier New" w:hAnsi="Courier New" w:cs="Courier New" w:hint="default"/>
      </w:rPr>
    </w:lvl>
    <w:lvl w:ilvl="5" w:tplc="040C0005" w:tentative="1">
      <w:start w:val="1"/>
      <w:numFmt w:val="bullet"/>
      <w:lvlText w:val=""/>
      <w:lvlJc w:val="left"/>
      <w:pPr>
        <w:ind w:left="6037" w:hanging="360"/>
      </w:pPr>
      <w:rPr>
        <w:rFonts w:ascii="Wingdings" w:hAnsi="Wingdings" w:hint="default"/>
      </w:rPr>
    </w:lvl>
    <w:lvl w:ilvl="6" w:tplc="040C0001" w:tentative="1">
      <w:start w:val="1"/>
      <w:numFmt w:val="bullet"/>
      <w:lvlText w:val=""/>
      <w:lvlJc w:val="left"/>
      <w:pPr>
        <w:ind w:left="6757" w:hanging="360"/>
      </w:pPr>
      <w:rPr>
        <w:rFonts w:ascii="Symbol" w:hAnsi="Symbol" w:hint="default"/>
      </w:rPr>
    </w:lvl>
    <w:lvl w:ilvl="7" w:tplc="040C0003" w:tentative="1">
      <w:start w:val="1"/>
      <w:numFmt w:val="bullet"/>
      <w:lvlText w:val="o"/>
      <w:lvlJc w:val="left"/>
      <w:pPr>
        <w:ind w:left="7477" w:hanging="360"/>
      </w:pPr>
      <w:rPr>
        <w:rFonts w:ascii="Courier New" w:hAnsi="Courier New" w:cs="Courier New" w:hint="default"/>
      </w:rPr>
    </w:lvl>
    <w:lvl w:ilvl="8" w:tplc="040C0005" w:tentative="1">
      <w:start w:val="1"/>
      <w:numFmt w:val="bullet"/>
      <w:lvlText w:val=""/>
      <w:lvlJc w:val="left"/>
      <w:pPr>
        <w:ind w:left="8197" w:hanging="360"/>
      </w:pPr>
      <w:rPr>
        <w:rFonts w:ascii="Wingdings" w:hAnsi="Wingdings" w:hint="default"/>
      </w:rPr>
    </w:lvl>
  </w:abstractNum>
  <w:abstractNum w:abstractNumId="4" w15:restartNumberingAfterBreak="0">
    <w:nsid w:val="765036DA"/>
    <w:multiLevelType w:val="hybridMultilevel"/>
    <w:tmpl w:val="11D0B85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7D755221"/>
    <w:multiLevelType w:val="hybridMultilevel"/>
    <w:tmpl w:val="FB906FB8"/>
    <w:lvl w:ilvl="0" w:tplc="040C0001">
      <w:start w:val="1"/>
      <w:numFmt w:val="bullet"/>
      <w:lvlText w:val=""/>
      <w:lvlJc w:val="left"/>
      <w:pPr>
        <w:ind w:left="3060" w:hanging="360"/>
      </w:pPr>
      <w:rPr>
        <w:rFonts w:ascii="Symbol" w:hAnsi="Symbol" w:hint="default"/>
      </w:rPr>
    </w:lvl>
    <w:lvl w:ilvl="1" w:tplc="040C0003" w:tentative="1">
      <w:start w:val="1"/>
      <w:numFmt w:val="bullet"/>
      <w:lvlText w:val="o"/>
      <w:lvlJc w:val="left"/>
      <w:pPr>
        <w:ind w:left="3780" w:hanging="360"/>
      </w:pPr>
      <w:rPr>
        <w:rFonts w:ascii="Courier New" w:hAnsi="Courier New" w:cs="Courier New" w:hint="default"/>
      </w:rPr>
    </w:lvl>
    <w:lvl w:ilvl="2" w:tplc="040C0005" w:tentative="1">
      <w:start w:val="1"/>
      <w:numFmt w:val="bullet"/>
      <w:lvlText w:val=""/>
      <w:lvlJc w:val="left"/>
      <w:pPr>
        <w:ind w:left="4500" w:hanging="360"/>
      </w:pPr>
      <w:rPr>
        <w:rFonts w:ascii="Wingdings" w:hAnsi="Wingdings" w:hint="default"/>
      </w:rPr>
    </w:lvl>
    <w:lvl w:ilvl="3" w:tplc="040C0001" w:tentative="1">
      <w:start w:val="1"/>
      <w:numFmt w:val="bullet"/>
      <w:lvlText w:val=""/>
      <w:lvlJc w:val="left"/>
      <w:pPr>
        <w:ind w:left="5220" w:hanging="360"/>
      </w:pPr>
      <w:rPr>
        <w:rFonts w:ascii="Symbol" w:hAnsi="Symbol" w:hint="default"/>
      </w:rPr>
    </w:lvl>
    <w:lvl w:ilvl="4" w:tplc="040C0003" w:tentative="1">
      <w:start w:val="1"/>
      <w:numFmt w:val="bullet"/>
      <w:lvlText w:val="o"/>
      <w:lvlJc w:val="left"/>
      <w:pPr>
        <w:ind w:left="5940" w:hanging="360"/>
      </w:pPr>
      <w:rPr>
        <w:rFonts w:ascii="Courier New" w:hAnsi="Courier New" w:cs="Courier New" w:hint="default"/>
      </w:rPr>
    </w:lvl>
    <w:lvl w:ilvl="5" w:tplc="040C0005" w:tentative="1">
      <w:start w:val="1"/>
      <w:numFmt w:val="bullet"/>
      <w:lvlText w:val=""/>
      <w:lvlJc w:val="left"/>
      <w:pPr>
        <w:ind w:left="6660" w:hanging="360"/>
      </w:pPr>
      <w:rPr>
        <w:rFonts w:ascii="Wingdings" w:hAnsi="Wingdings" w:hint="default"/>
      </w:rPr>
    </w:lvl>
    <w:lvl w:ilvl="6" w:tplc="040C0001" w:tentative="1">
      <w:start w:val="1"/>
      <w:numFmt w:val="bullet"/>
      <w:lvlText w:val=""/>
      <w:lvlJc w:val="left"/>
      <w:pPr>
        <w:ind w:left="7380" w:hanging="360"/>
      </w:pPr>
      <w:rPr>
        <w:rFonts w:ascii="Symbol" w:hAnsi="Symbol" w:hint="default"/>
      </w:rPr>
    </w:lvl>
    <w:lvl w:ilvl="7" w:tplc="040C0003" w:tentative="1">
      <w:start w:val="1"/>
      <w:numFmt w:val="bullet"/>
      <w:lvlText w:val="o"/>
      <w:lvlJc w:val="left"/>
      <w:pPr>
        <w:ind w:left="8100" w:hanging="360"/>
      </w:pPr>
      <w:rPr>
        <w:rFonts w:ascii="Courier New" w:hAnsi="Courier New" w:cs="Courier New" w:hint="default"/>
      </w:rPr>
    </w:lvl>
    <w:lvl w:ilvl="8" w:tplc="040C0005" w:tentative="1">
      <w:start w:val="1"/>
      <w:numFmt w:val="bullet"/>
      <w:lvlText w:val=""/>
      <w:lvlJc w:val="left"/>
      <w:pPr>
        <w:ind w:left="8820" w:hanging="360"/>
      </w:pPr>
      <w:rPr>
        <w:rFonts w:ascii="Wingdings" w:hAnsi="Wingdings" w:hint="default"/>
      </w:rPr>
    </w:lvl>
  </w:abstractNum>
  <w:num w:numId="1" w16cid:durableId="1094590127">
    <w:abstractNumId w:val="1"/>
  </w:num>
  <w:num w:numId="2" w16cid:durableId="1858932996">
    <w:abstractNumId w:val="5"/>
  </w:num>
  <w:num w:numId="3" w16cid:durableId="1541672196">
    <w:abstractNumId w:val="4"/>
  </w:num>
  <w:num w:numId="4" w16cid:durableId="653796470">
    <w:abstractNumId w:val="3"/>
  </w:num>
  <w:num w:numId="5" w16cid:durableId="428237382">
    <w:abstractNumId w:val="2"/>
  </w:num>
  <w:num w:numId="6" w16cid:durableId="4651994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3F0B"/>
    <w:rsid w:val="00011233"/>
    <w:rsid w:val="00045FB4"/>
    <w:rsid w:val="00053651"/>
    <w:rsid w:val="00065641"/>
    <w:rsid w:val="00070A05"/>
    <w:rsid w:val="00075971"/>
    <w:rsid w:val="00084028"/>
    <w:rsid w:val="00085118"/>
    <w:rsid w:val="00085C88"/>
    <w:rsid w:val="000B5B29"/>
    <w:rsid w:val="000F423D"/>
    <w:rsid w:val="000F4B8A"/>
    <w:rsid w:val="00126A1B"/>
    <w:rsid w:val="00145767"/>
    <w:rsid w:val="0016310B"/>
    <w:rsid w:val="001639B1"/>
    <w:rsid w:val="0016468F"/>
    <w:rsid w:val="00182300"/>
    <w:rsid w:val="001A41A9"/>
    <w:rsid w:val="001A6E48"/>
    <w:rsid w:val="001C28A4"/>
    <w:rsid w:val="001E006F"/>
    <w:rsid w:val="001F4CFA"/>
    <w:rsid w:val="002142E8"/>
    <w:rsid w:val="002162F7"/>
    <w:rsid w:val="002162FA"/>
    <w:rsid w:val="00224ED5"/>
    <w:rsid w:val="0022567D"/>
    <w:rsid w:val="00280107"/>
    <w:rsid w:val="002916EF"/>
    <w:rsid w:val="002A3B6C"/>
    <w:rsid w:val="002C17B0"/>
    <w:rsid w:val="002D2771"/>
    <w:rsid w:val="002D650A"/>
    <w:rsid w:val="002F40FB"/>
    <w:rsid w:val="002F7444"/>
    <w:rsid w:val="00300F3E"/>
    <w:rsid w:val="00305C60"/>
    <w:rsid w:val="00306920"/>
    <w:rsid w:val="00310ABF"/>
    <w:rsid w:val="00323EFC"/>
    <w:rsid w:val="003346A0"/>
    <w:rsid w:val="003374EA"/>
    <w:rsid w:val="0034417B"/>
    <w:rsid w:val="003746AB"/>
    <w:rsid w:val="00376B44"/>
    <w:rsid w:val="003C5E6B"/>
    <w:rsid w:val="003D4AA9"/>
    <w:rsid w:val="003F17F2"/>
    <w:rsid w:val="00400BE2"/>
    <w:rsid w:val="00417D4B"/>
    <w:rsid w:val="004309C8"/>
    <w:rsid w:val="00446392"/>
    <w:rsid w:val="0045034C"/>
    <w:rsid w:val="004929DE"/>
    <w:rsid w:val="004A1072"/>
    <w:rsid w:val="004C787C"/>
    <w:rsid w:val="004D1AD8"/>
    <w:rsid w:val="004D5171"/>
    <w:rsid w:val="004D5218"/>
    <w:rsid w:val="004D762E"/>
    <w:rsid w:val="004E14C7"/>
    <w:rsid w:val="004F5608"/>
    <w:rsid w:val="00501D14"/>
    <w:rsid w:val="00511FF7"/>
    <w:rsid w:val="005172E6"/>
    <w:rsid w:val="00547879"/>
    <w:rsid w:val="00551447"/>
    <w:rsid w:val="00554C49"/>
    <w:rsid w:val="005628DA"/>
    <w:rsid w:val="00576F94"/>
    <w:rsid w:val="005821B1"/>
    <w:rsid w:val="005A3207"/>
    <w:rsid w:val="005C0D75"/>
    <w:rsid w:val="005D1A10"/>
    <w:rsid w:val="005E436A"/>
    <w:rsid w:val="00622BF5"/>
    <w:rsid w:val="006429D5"/>
    <w:rsid w:val="00652EA8"/>
    <w:rsid w:val="006715EB"/>
    <w:rsid w:val="0067352E"/>
    <w:rsid w:val="006C020B"/>
    <w:rsid w:val="006E253F"/>
    <w:rsid w:val="006F7E60"/>
    <w:rsid w:val="007067A7"/>
    <w:rsid w:val="00706FED"/>
    <w:rsid w:val="00713B31"/>
    <w:rsid w:val="0071661E"/>
    <w:rsid w:val="007258B5"/>
    <w:rsid w:val="00756474"/>
    <w:rsid w:val="00757A4F"/>
    <w:rsid w:val="007648D8"/>
    <w:rsid w:val="00771D3B"/>
    <w:rsid w:val="00782299"/>
    <w:rsid w:val="00784A72"/>
    <w:rsid w:val="00785AA3"/>
    <w:rsid w:val="00790A0B"/>
    <w:rsid w:val="007960D4"/>
    <w:rsid w:val="007A3E76"/>
    <w:rsid w:val="007A7B5E"/>
    <w:rsid w:val="007B3F0B"/>
    <w:rsid w:val="007C6524"/>
    <w:rsid w:val="007E25DC"/>
    <w:rsid w:val="007E6BC1"/>
    <w:rsid w:val="008258CA"/>
    <w:rsid w:val="00865F52"/>
    <w:rsid w:val="00880C30"/>
    <w:rsid w:val="00884ADC"/>
    <w:rsid w:val="008925AC"/>
    <w:rsid w:val="008967A7"/>
    <w:rsid w:val="008A4D63"/>
    <w:rsid w:val="008C61C5"/>
    <w:rsid w:val="008E648F"/>
    <w:rsid w:val="009366C2"/>
    <w:rsid w:val="00947EA2"/>
    <w:rsid w:val="009501EB"/>
    <w:rsid w:val="00970D4A"/>
    <w:rsid w:val="009801C6"/>
    <w:rsid w:val="00985A3E"/>
    <w:rsid w:val="00992995"/>
    <w:rsid w:val="0099712F"/>
    <w:rsid w:val="009E08EF"/>
    <w:rsid w:val="00A0269A"/>
    <w:rsid w:val="00A12358"/>
    <w:rsid w:val="00A142C7"/>
    <w:rsid w:val="00A5749C"/>
    <w:rsid w:val="00A636B5"/>
    <w:rsid w:val="00A82DCE"/>
    <w:rsid w:val="00A94AFD"/>
    <w:rsid w:val="00AC5E10"/>
    <w:rsid w:val="00AE7E5C"/>
    <w:rsid w:val="00AF47BC"/>
    <w:rsid w:val="00B03CF2"/>
    <w:rsid w:val="00B03F0D"/>
    <w:rsid w:val="00B101DC"/>
    <w:rsid w:val="00B51ED5"/>
    <w:rsid w:val="00B612EE"/>
    <w:rsid w:val="00B8138D"/>
    <w:rsid w:val="00B92D0E"/>
    <w:rsid w:val="00BB4AE8"/>
    <w:rsid w:val="00BC4A10"/>
    <w:rsid w:val="00BF6739"/>
    <w:rsid w:val="00C1075C"/>
    <w:rsid w:val="00C2499A"/>
    <w:rsid w:val="00C24DB1"/>
    <w:rsid w:val="00C47E1E"/>
    <w:rsid w:val="00C81E8F"/>
    <w:rsid w:val="00CD0870"/>
    <w:rsid w:val="00CD3FC3"/>
    <w:rsid w:val="00D41B2E"/>
    <w:rsid w:val="00D5079B"/>
    <w:rsid w:val="00D65668"/>
    <w:rsid w:val="00D724CE"/>
    <w:rsid w:val="00D7567E"/>
    <w:rsid w:val="00D762A2"/>
    <w:rsid w:val="00D80AE7"/>
    <w:rsid w:val="00D902BC"/>
    <w:rsid w:val="00D96E3F"/>
    <w:rsid w:val="00DA11CA"/>
    <w:rsid w:val="00DA1AF2"/>
    <w:rsid w:val="00DA267D"/>
    <w:rsid w:val="00DC0528"/>
    <w:rsid w:val="00DD0D6C"/>
    <w:rsid w:val="00DD5A4C"/>
    <w:rsid w:val="00DD5EFF"/>
    <w:rsid w:val="00DF6A78"/>
    <w:rsid w:val="00E0167E"/>
    <w:rsid w:val="00E27EB4"/>
    <w:rsid w:val="00E411ED"/>
    <w:rsid w:val="00E41F4D"/>
    <w:rsid w:val="00E52030"/>
    <w:rsid w:val="00E56848"/>
    <w:rsid w:val="00E67831"/>
    <w:rsid w:val="00E83D4E"/>
    <w:rsid w:val="00EC0CDF"/>
    <w:rsid w:val="00ED5F6E"/>
    <w:rsid w:val="00EF16B4"/>
    <w:rsid w:val="00F03243"/>
    <w:rsid w:val="00F23127"/>
    <w:rsid w:val="00F441AF"/>
    <w:rsid w:val="00F47732"/>
    <w:rsid w:val="00F502FD"/>
    <w:rsid w:val="00F50D29"/>
    <w:rsid w:val="00F57409"/>
    <w:rsid w:val="00F61099"/>
    <w:rsid w:val="00F61CB4"/>
    <w:rsid w:val="00FA416B"/>
    <w:rsid w:val="00FC525B"/>
    <w:rsid w:val="00FC5F6E"/>
    <w:rsid w:val="00FF0CAB"/>
    <w:rsid w:val="00FF23E7"/>
    <w:rsid w:val="00FF4847"/>
    <w:rsid w:val="00FF4B9F"/>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D16C1F"/>
  <w15:chartTrackingRefBased/>
  <w15:docId w15:val="{128FA0E7-F740-DF42-A51C-629366618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fr-FR" w:eastAsia="fr-F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3F0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B3F0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B3F0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B3F0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B3F0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B3F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B3F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B3F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B3F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3F0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B3F0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B3F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B3F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B3F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B3F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B3F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B3F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B3F0B"/>
    <w:rPr>
      <w:rFonts w:eastAsiaTheme="majorEastAsia" w:cstheme="majorBidi"/>
      <w:color w:val="272727" w:themeColor="text1" w:themeTint="D8"/>
    </w:rPr>
  </w:style>
  <w:style w:type="paragraph" w:styleId="Title">
    <w:name w:val="Title"/>
    <w:basedOn w:val="Normal"/>
    <w:next w:val="Normal"/>
    <w:link w:val="TitleChar"/>
    <w:uiPriority w:val="10"/>
    <w:qFormat/>
    <w:rsid w:val="007B3F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3F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B3F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B3F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B3F0B"/>
    <w:pPr>
      <w:spacing w:before="160"/>
      <w:jc w:val="center"/>
    </w:pPr>
    <w:rPr>
      <w:i/>
      <w:iCs/>
      <w:color w:val="404040" w:themeColor="text1" w:themeTint="BF"/>
    </w:rPr>
  </w:style>
  <w:style w:type="character" w:customStyle="1" w:styleId="QuoteChar">
    <w:name w:val="Quote Char"/>
    <w:basedOn w:val="DefaultParagraphFont"/>
    <w:link w:val="Quote"/>
    <w:uiPriority w:val="29"/>
    <w:rsid w:val="007B3F0B"/>
    <w:rPr>
      <w:i/>
      <w:iCs/>
      <w:color w:val="404040" w:themeColor="text1" w:themeTint="BF"/>
    </w:rPr>
  </w:style>
  <w:style w:type="paragraph" w:styleId="ListParagraph">
    <w:name w:val="List Paragraph"/>
    <w:basedOn w:val="Normal"/>
    <w:uiPriority w:val="34"/>
    <w:qFormat/>
    <w:rsid w:val="007B3F0B"/>
    <w:pPr>
      <w:ind w:left="720"/>
      <w:contextualSpacing/>
    </w:pPr>
  </w:style>
  <w:style w:type="character" w:styleId="IntenseEmphasis">
    <w:name w:val="Intense Emphasis"/>
    <w:basedOn w:val="DefaultParagraphFont"/>
    <w:uiPriority w:val="21"/>
    <w:qFormat/>
    <w:rsid w:val="007B3F0B"/>
    <w:rPr>
      <w:i/>
      <w:iCs/>
      <w:color w:val="0F4761" w:themeColor="accent1" w:themeShade="BF"/>
    </w:rPr>
  </w:style>
  <w:style w:type="paragraph" w:styleId="IntenseQuote">
    <w:name w:val="Intense Quote"/>
    <w:basedOn w:val="Normal"/>
    <w:next w:val="Normal"/>
    <w:link w:val="IntenseQuoteChar"/>
    <w:uiPriority w:val="30"/>
    <w:qFormat/>
    <w:rsid w:val="007B3F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B3F0B"/>
    <w:rPr>
      <w:i/>
      <w:iCs/>
      <w:color w:val="0F4761" w:themeColor="accent1" w:themeShade="BF"/>
    </w:rPr>
  </w:style>
  <w:style w:type="character" w:styleId="IntenseReference">
    <w:name w:val="Intense Reference"/>
    <w:basedOn w:val="DefaultParagraphFont"/>
    <w:uiPriority w:val="32"/>
    <w:qFormat/>
    <w:rsid w:val="007B3F0B"/>
    <w:rPr>
      <w:b/>
      <w:bCs/>
      <w:smallCaps/>
      <w:color w:val="0F4761" w:themeColor="accent1" w:themeShade="BF"/>
      <w:spacing w:val="5"/>
    </w:rPr>
  </w:style>
  <w:style w:type="paragraph" w:styleId="Revision">
    <w:name w:val="Revision"/>
    <w:hidden/>
    <w:uiPriority w:val="99"/>
    <w:semiHidden/>
    <w:rsid w:val="008E648F"/>
    <w:pPr>
      <w:spacing w:after="0" w:line="240" w:lineRule="auto"/>
    </w:pPr>
  </w:style>
  <w:style w:type="character" w:styleId="CommentReference">
    <w:name w:val="annotation reference"/>
    <w:basedOn w:val="DefaultParagraphFont"/>
    <w:uiPriority w:val="99"/>
    <w:semiHidden/>
    <w:unhideWhenUsed/>
    <w:rsid w:val="008E648F"/>
    <w:rPr>
      <w:sz w:val="16"/>
      <w:szCs w:val="16"/>
    </w:rPr>
  </w:style>
  <w:style w:type="paragraph" w:styleId="CommentText">
    <w:name w:val="annotation text"/>
    <w:basedOn w:val="Normal"/>
    <w:link w:val="CommentTextChar"/>
    <w:uiPriority w:val="99"/>
    <w:unhideWhenUsed/>
    <w:rsid w:val="008E648F"/>
    <w:pPr>
      <w:spacing w:line="240" w:lineRule="auto"/>
    </w:pPr>
    <w:rPr>
      <w:sz w:val="20"/>
      <w:szCs w:val="20"/>
    </w:rPr>
  </w:style>
  <w:style w:type="character" w:customStyle="1" w:styleId="CommentTextChar">
    <w:name w:val="Comment Text Char"/>
    <w:basedOn w:val="DefaultParagraphFont"/>
    <w:link w:val="CommentText"/>
    <w:uiPriority w:val="99"/>
    <w:rsid w:val="008E648F"/>
    <w:rPr>
      <w:sz w:val="20"/>
      <w:szCs w:val="20"/>
    </w:rPr>
  </w:style>
  <w:style w:type="paragraph" w:styleId="CommentSubject">
    <w:name w:val="annotation subject"/>
    <w:basedOn w:val="CommentText"/>
    <w:next w:val="CommentText"/>
    <w:link w:val="CommentSubjectChar"/>
    <w:uiPriority w:val="99"/>
    <w:semiHidden/>
    <w:unhideWhenUsed/>
    <w:rsid w:val="008E648F"/>
    <w:rPr>
      <w:b/>
      <w:bCs/>
    </w:rPr>
  </w:style>
  <w:style w:type="character" w:customStyle="1" w:styleId="CommentSubjectChar">
    <w:name w:val="Comment Subject Char"/>
    <w:basedOn w:val="CommentTextChar"/>
    <w:link w:val="CommentSubject"/>
    <w:uiPriority w:val="99"/>
    <w:semiHidden/>
    <w:rsid w:val="008E648F"/>
    <w:rPr>
      <w:b/>
      <w:bCs/>
      <w:sz w:val="20"/>
      <w:szCs w:val="20"/>
    </w:rPr>
  </w:style>
  <w:style w:type="paragraph" w:styleId="Header">
    <w:name w:val="header"/>
    <w:basedOn w:val="Normal"/>
    <w:link w:val="HeaderChar"/>
    <w:uiPriority w:val="99"/>
    <w:unhideWhenUsed/>
    <w:rsid w:val="008967A7"/>
    <w:pPr>
      <w:tabs>
        <w:tab w:val="center" w:pos="4536"/>
        <w:tab w:val="right" w:pos="9072"/>
      </w:tabs>
      <w:spacing w:after="0" w:line="240" w:lineRule="auto"/>
    </w:pPr>
  </w:style>
  <w:style w:type="character" w:customStyle="1" w:styleId="HeaderChar">
    <w:name w:val="Header Char"/>
    <w:basedOn w:val="DefaultParagraphFont"/>
    <w:link w:val="Header"/>
    <w:uiPriority w:val="99"/>
    <w:rsid w:val="008967A7"/>
  </w:style>
  <w:style w:type="paragraph" w:styleId="Footer">
    <w:name w:val="footer"/>
    <w:basedOn w:val="Normal"/>
    <w:link w:val="FooterChar"/>
    <w:uiPriority w:val="99"/>
    <w:unhideWhenUsed/>
    <w:rsid w:val="008967A7"/>
    <w:pPr>
      <w:tabs>
        <w:tab w:val="center" w:pos="4536"/>
        <w:tab w:val="right" w:pos="9072"/>
      </w:tabs>
      <w:spacing w:after="0" w:line="240" w:lineRule="auto"/>
    </w:pPr>
  </w:style>
  <w:style w:type="character" w:customStyle="1" w:styleId="FooterChar">
    <w:name w:val="Footer Char"/>
    <w:basedOn w:val="DefaultParagraphFont"/>
    <w:link w:val="Footer"/>
    <w:uiPriority w:val="99"/>
    <w:rsid w:val="008967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2025-05-28T16:34:34+00:00</Document_x0020_Date>
    <Donor xmlns="11a6fe0c-d8de-4390-afb3-d9c7c54181f0" xsi:nil="true"/>
    <Report_x0020_Type xmlns="11a6fe0c-d8de-4390-afb3-d9c7c54181f0" xsi:nil="true"/>
    <lcf76f155ced4ddcb4097134ff3c332f xmlns="b248d7e1-e1e1-4a8e-9310-749402edb8a9">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4" ma:contentTypeDescription="Create a new document." ma:contentTypeScope="" ma:versionID="19af097bc9aab964a8eb5c855e2798ed">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f6dcbe3710b343357034373de8697f1c"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890A2B7-3DCC-4ED8-8D39-AAC1B603A137}">
  <ds:schemaRefs>
    <ds:schemaRef ds:uri="http://schemas.microsoft.com/office/2006/metadata/properties"/>
    <ds:schemaRef ds:uri="http://schemas.microsoft.com/office/infopath/2007/PartnerControls"/>
    <ds:schemaRef ds:uri="985ec44e-1bab-4c0b-9df0-6ba128686fc9"/>
    <ds:schemaRef ds:uri="11a6fe0c-d8de-4390-afb3-d9c7c54181f0"/>
    <ds:schemaRef ds:uri="b248d7e1-e1e1-4a8e-9310-749402edb8a9"/>
  </ds:schemaRefs>
</ds:datastoreItem>
</file>

<file path=customXml/itemProps2.xml><?xml version="1.0" encoding="utf-8"?>
<ds:datastoreItem xmlns:ds="http://schemas.openxmlformats.org/officeDocument/2006/customXml" ds:itemID="{7CE4C7DA-015E-4A77-850D-51722DC0EB54}">
  <ds:schemaRefs>
    <ds:schemaRef ds:uri="http://schemas.microsoft.com/sharepoint/v3/contenttype/forms"/>
  </ds:schemaRefs>
</ds:datastoreItem>
</file>

<file path=customXml/itemProps3.xml><?xml version="1.0" encoding="utf-8"?>
<ds:datastoreItem xmlns:ds="http://schemas.openxmlformats.org/officeDocument/2006/customXml" ds:itemID="{53D854E1-65EA-4636-AC3F-7BC8DAB719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b248d7e1-e1e1-4a8e-9310-749402edb8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1910</Words>
  <Characters>10887</Characters>
  <Application>Microsoft Office Word</Application>
  <DocSecurity>0</DocSecurity>
  <Lines>90</Lines>
  <Paragraphs>25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12772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Amina Amharech</dc:creator>
  <cp:keywords/>
  <dc:description/>
  <cp:lastModifiedBy>Cherry Balmaceda</cp:lastModifiedBy>
  <cp:revision>3</cp:revision>
  <dcterms:created xsi:type="dcterms:W3CDTF">2025-05-26T16:52:00Z</dcterms:created>
  <dcterms:modified xsi:type="dcterms:W3CDTF">2025-05-28T17:56:00Z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0x0101004100868408537B4FA2A9FA4AC7F0070F</vt:lpwstr>
  </property>
</Properties>
</file>