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9A375B" w14:textId="44DCC077" w:rsidR="00FB1D25" w:rsidRPr="00A5423A" w:rsidRDefault="00F21E77" w:rsidP="00FB1D25">
      <w:pPr>
        <w:rPr>
          <w:rFonts w:ascii="Times New Roman" w:hAnsi="Times New Roman" w:cs="Times New Roman"/>
          <w:lang w:val="en-US"/>
        </w:rPr>
      </w:pPr>
      <w:r w:rsidRPr="00A5423A">
        <w:rPr>
          <w:rFonts w:ascii="Times New Roman" w:hAnsi="Times New Roman" w:cs="Times New Roman"/>
          <w:noProof/>
          <w:lang w:val="en-US"/>
        </w:rPr>
        <w:drawing>
          <wp:anchor distT="0" distB="0" distL="114300" distR="114300" simplePos="0" relativeHeight="251668480" behindDoc="1" locked="0" layoutInCell="1" allowOverlap="1" wp14:anchorId="4D24468E" wp14:editId="08D46AB7">
            <wp:simplePos x="0" y="0"/>
            <wp:positionH relativeFrom="column">
              <wp:posOffset>4624705</wp:posOffset>
            </wp:positionH>
            <wp:positionV relativeFrom="paragraph">
              <wp:posOffset>-427355</wp:posOffset>
            </wp:positionV>
            <wp:extent cx="1623060" cy="1097280"/>
            <wp:effectExtent l="0" t="0" r="0" b="7620"/>
            <wp:wrapNone/>
            <wp:docPr id="82345073" name="Image 11" descr="page1image22710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age1image22710512"/>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623060" cy="10972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5423A">
        <w:rPr>
          <w:rFonts w:ascii="Times New Roman" w:hAnsi="Times New Roman" w:cs="Times New Roman"/>
          <w:noProof/>
        </w:rPr>
        <w:drawing>
          <wp:anchor distT="0" distB="0" distL="114300" distR="114300" simplePos="0" relativeHeight="251669504" behindDoc="1" locked="0" layoutInCell="1" allowOverlap="1" wp14:anchorId="0F45EB21" wp14:editId="76E8E351">
            <wp:simplePos x="0" y="0"/>
            <wp:positionH relativeFrom="column">
              <wp:posOffset>-503555</wp:posOffset>
            </wp:positionH>
            <wp:positionV relativeFrom="paragraph">
              <wp:posOffset>-518795</wp:posOffset>
            </wp:positionV>
            <wp:extent cx="1857375" cy="1158240"/>
            <wp:effectExtent l="0" t="0" r="9525" b="3810"/>
            <wp:wrapNone/>
            <wp:docPr id="6" name="Image 1" descr="C:\Users\DEL\AppData\Local\Microsoft\Windows\Temporary Internet Files\Content.Word\IMG-20230127-WA0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1" descr="C:\Users\DEL\AppData\Local\Microsoft\Windows\Temporary Internet Files\Content.Word\IMG-20230127-WA0119.jpg"/>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57375" cy="115824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404A50EF" w14:textId="08EA4672" w:rsidR="00FB1D25" w:rsidRPr="00A5423A" w:rsidRDefault="00FB1D25" w:rsidP="00FB1D25">
      <w:pPr>
        <w:rPr>
          <w:rFonts w:ascii="Times New Roman" w:hAnsi="Times New Roman" w:cs="Times New Roman"/>
          <w:lang w:val="en-US"/>
        </w:rPr>
      </w:pPr>
    </w:p>
    <w:p w14:paraId="2CDC59BB" w14:textId="6E403EC3" w:rsidR="00FB1D25" w:rsidRPr="00A5423A" w:rsidRDefault="00FB1D25" w:rsidP="00FB1D25">
      <w:pPr>
        <w:rPr>
          <w:rFonts w:ascii="Times New Roman" w:hAnsi="Times New Roman" w:cs="Times New Roman"/>
          <w:b/>
          <w:lang w:val="fr-FR"/>
        </w:rPr>
      </w:pPr>
    </w:p>
    <w:p w14:paraId="1C6B2377" w14:textId="77777777" w:rsidR="00FB1D25" w:rsidRPr="00A5423A" w:rsidRDefault="00FB1D25" w:rsidP="00FB1D25">
      <w:pPr>
        <w:rPr>
          <w:rFonts w:ascii="Times New Roman" w:hAnsi="Times New Roman" w:cs="Times New Roman"/>
          <w:b/>
          <w:lang w:val="fr-FR"/>
        </w:rPr>
      </w:pPr>
    </w:p>
    <w:p w14:paraId="0F8C7318" w14:textId="7BFD69F2" w:rsidR="00330CC8" w:rsidRPr="00A5423A" w:rsidRDefault="00A5423A" w:rsidP="00330CC8">
      <w:pPr>
        <w:jc w:val="center"/>
        <w:rPr>
          <w:rFonts w:ascii="Times New Roman" w:hAnsi="Times New Roman" w:cs="Times New Roman"/>
          <w:b/>
          <w:sz w:val="32"/>
          <w:szCs w:val="32"/>
          <w:lang w:val="fr-FR"/>
        </w:rPr>
      </w:pPr>
      <w:r w:rsidRPr="00A5423A">
        <w:rPr>
          <w:rFonts w:ascii="Times New Roman" w:hAnsi="Times New Roman" w:cs="Times New Roman"/>
          <w:b/>
          <w:bCs/>
          <w:sz w:val="32"/>
          <w:szCs w:val="32"/>
        </w:rPr>
        <w:t xml:space="preserve">Rapport alternatif </w:t>
      </w:r>
      <w:r w:rsidRPr="00A5423A">
        <w:rPr>
          <w:rFonts w:ascii="Times New Roman" w:hAnsi="Times New Roman" w:cs="Times New Roman"/>
          <w:b/>
          <w:sz w:val="32"/>
          <w:szCs w:val="32"/>
        </w:rPr>
        <w:br/>
        <w:t xml:space="preserve">présenté au Comité pour l'élimination de la discrimination à l'égard des femmes dans le cadre du cinquième examen périodique de la République du Bénin </w:t>
      </w:r>
      <w:r w:rsidR="001A0B90">
        <w:rPr>
          <w:rFonts w:ascii="Times New Roman" w:hAnsi="Times New Roman" w:cs="Times New Roman"/>
          <w:b/>
          <w:sz w:val="32"/>
          <w:szCs w:val="32"/>
        </w:rPr>
        <w:t>89e session, octobre 2024</w:t>
      </w:r>
    </w:p>
    <w:p w14:paraId="1129F7AC" w14:textId="77777777" w:rsidR="00330CC8" w:rsidRPr="00A5423A" w:rsidRDefault="00330CC8" w:rsidP="00330CC8">
      <w:pPr>
        <w:jc w:val="center"/>
        <w:rPr>
          <w:rFonts w:ascii="Times New Roman" w:hAnsi="Times New Roman" w:cs="Times New Roman"/>
          <w:b/>
          <w:sz w:val="32"/>
          <w:szCs w:val="32"/>
          <w:lang w:val="fr-FR"/>
        </w:rPr>
      </w:pPr>
    </w:p>
    <w:p w14:paraId="6D022C71" w14:textId="77777777" w:rsidR="00330CC8" w:rsidRPr="00A5423A" w:rsidRDefault="00330CC8" w:rsidP="00330CC8">
      <w:pPr>
        <w:jc w:val="center"/>
        <w:rPr>
          <w:rFonts w:ascii="Times New Roman" w:hAnsi="Times New Roman" w:cs="Times New Roman"/>
          <w:b/>
          <w:sz w:val="32"/>
          <w:szCs w:val="32"/>
          <w:lang w:val="fr-FR"/>
        </w:rPr>
      </w:pPr>
    </w:p>
    <w:p w14:paraId="68CF6EBE" w14:textId="77777777" w:rsidR="00330CC8" w:rsidRPr="00A5423A" w:rsidRDefault="00330CC8" w:rsidP="00330CC8">
      <w:pPr>
        <w:jc w:val="center"/>
        <w:rPr>
          <w:rFonts w:ascii="Times New Roman" w:hAnsi="Times New Roman" w:cs="Times New Roman"/>
          <w:b/>
          <w:sz w:val="32"/>
          <w:szCs w:val="32"/>
          <w:lang w:val="fr-FR"/>
        </w:rPr>
      </w:pPr>
    </w:p>
    <w:p w14:paraId="37AAD8EC" w14:textId="77777777" w:rsidR="00FB1D25" w:rsidRPr="00A5423A" w:rsidRDefault="00FB1D25" w:rsidP="00FB1D25">
      <w:pPr>
        <w:rPr>
          <w:rFonts w:ascii="Times New Roman" w:hAnsi="Times New Roman" w:cs="Times New Roman"/>
          <w:b/>
          <w:lang w:val="fr-FR"/>
        </w:rPr>
      </w:pPr>
    </w:p>
    <w:p w14:paraId="3050ABE7" w14:textId="77777777" w:rsidR="00FB1D25" w:rsidRPr="00A5423A" w:rsidRDefault="00FB1D25" w:rsidP="00FB1D25">
      <w:pPr>
        <w:rPr>
          <w:rFonts w:ascii="Times New Roman" w:hAnsi="Times New Roman" w:cs="Times New Roman"/>
          <w:sz w:val="24"/>
          <w:szCs w:val="24"/>
          <w:lang w:val="fr-FR"/>
        </w:rPr>
      </w:pPr>
      <w:r w:rsidRPr="00A5423A">
        <w:rPr>
          <w:rFonts w:ascii="Times New Roman" w:hAnsi="Times New Roman" w:cs="Times New Roman"/>
          <w:b/>
          <w:sz w:val="24"/>
          <w:szCs w:val="24"/>
          <w:lang w:val="fr-FR"/>
        </w:rPr>
        <w:t>Présenté par :</w:t>
      </w:r>
    </w:p>
    <w:p w14:paraId="21DF926A" w14:textId="2F294DD2" w:rsidR="00FB1D25" w:rsidRPr="00A5423A" w:rsidRDefault="00FB1D25" w:rsidP="00FB1D25">
      <w:pPr>
        <w:rPr>
          <w:rFonts w:ascii="Times New Roman" w:hAnsi="Times New Roman" w:cs="Times New Roman"/>
          <w:lang w:val="fr-FR"/>
        </w:rPr>
      </w:pPr>
      <w:r w:rsidRPr="00A5423A">
        <w:rPr>
          <w:rFonts w:ascii="Times New Roman" w:hAnsi="Times New Roman" w:cs="Times New Roman"/>
          <w:b/>
          <w:lang w:val="fr-FR"/>
        </w:rPr>
        <w:t xml:space="preserve"> </w:t>
      </w:r>
    </w:p>
    <w:p w14:paraId="070F913D" w14:textId="34DCD9B8" w:rsidR="004D2850" w:rsidRPr="00A5423A" w:rsidRDefault="00FB1D25" w:rsidP="00FB1D25">
      <w:pPr>
        <w:rPr>
          <w:rFonts w:ascii="Times New Roman" w:hAnsi="Times New Roman" w:cs="Times New Roman"/>
          <w:b/>
          <w:sz w:val="24"/>
          <w:szCs w:val="24"/>
          <w:lang w:val="fr-FR"/>
        </w:rPr>
      </w:pPr>
      <w:r w:rsidRPr="00A5423A">
        <w:rPr>
          <w:rFonts w:ascii="Times New Roman" w:hAnsi="Times New Roman" w:cs="Times New Roman"/>
          <w:b/>
          <w:sz w:val="24"/>
          <w:szCs w:val="24"/>
          <w:lang w:val="fr-FR"/>
        </w:rPr>
        <w:t xml:space="preserve">SYNERGIE TRANS BENIN (STB), Abomey-Calavi, </w:t>
      </w:r>
      <w:proofErr w:type="spellStart"/>
      <w:proofErr w:type="gramStart"/>
      <w:r w:rsidRPr="00A5423A">
        <w:rPr>
          <w:rFonts w:ascii="Times New Roman" w:hAnsi="Times New Roman" w:cs="Times New Roman"/>
          <w:b/>
          <w:sz w:val="24"/>
          <w:szCs w:val="24"/>
          <w:lang w:val="fr-FR"/>
        </w:rPr>
        <w:t>Aitchédji</w:t>
      </w:r>
      <w:proofErr w:type="spellEnd"/>
      <w:r w:rsidRPr="00A5423A">
        <w:rPr>
          <w:rFonts w:ascii="Times New Roman" w:hAnsi="Times New Roman" w:cs="Times New Roman"/>
          <w:b/>
          <w:sz w:val="24"/>
          <w:szCs w:val="24"/>
          <w:lang w:val="fr-FR"/>
        </w:rPr>
        <w:t xml:space="preserve"> ,</w:t>
      </w:r>
      <w:proofErr w:type="gramEnd"/>
      <w:r w:rsidRPr="00A5423A">
        <w:rPr>
          <w:rFonts w:ascii="Times New Roman" w:hAnsi="Times New Roman" w:cs="Times New Roman"/>
          <w:b/>
          <w:sz w:val="24"/>
          <w:szCs w:val="24"/>
          <w:lang w:val="fr-FR"/>
        </w:rPr>
        <w:t xml:space="preserve"> République du BÉNIN</w:t>
      </w:r>
    </w:p>
    <w:p w14:paraId="49792789" w14:textId="61CCC0DC" w:rsidR="00FB1D25" w:rsidRPr="00A5423A" w:rsidRDefault="00FB1D25" w:rsidP="00FB1D25">
      <w:pPr>
        <w:rPr>
          <w:rFonts w:ascii="Times New Roman" w:hAnsi="Times New Roman" w:cs="Times New Roman"/>
          <w:b/>
          <w:sz w:val="24"/>
          <w:szCs w:val="24"/>
          <w:lang w:val="fr-FR"/>
        </w:rPr>
      </w:pPr>
      <w:r w:rsidRPr="00A5423A">
        <w:rPr>
          <w:rFonts w:ascii="Times New Roman" w:hAnsi="Times New Roman" w:cs="Times New Roman"/>
          <w:b/>
          <w:sz w:val="24"/>
          <w:szCs w:val="24"/>
          <w:lang w:val="fr-FR"/>
        </w:rPr>
        <w:t xml:space="preserve">Courriel : </w:t>
      </w:r>
      <w:hyperlink r:id="rId10" w:history="1">
        <w:r w:rsidRPr="00A5423A">
          <w:rPr>
            <w:rStyle w:val="Lienhypertexte"/>
            <w:rFonts w:ascii="Times New Roman" w:hAnsi="Times New Roman" w:cs="Times New Roman"/>
            <w:b/>
            <w:sz w:val="24"/>
            <w:szCs w:val="24"/>
            <w:lang w:val="fr-FR"/>
          </w:rPr>
          <w:t>synergytransbenin2018@gmail.com</w:t>
        </w:r>
      </w:hyperlink>
      <w:r w:rsidRPr="00A5423A">
        <w:rPr>
          <w:rFonts w:ascii="Times New Roman" w:hAnsi="Times New Roman" w:cs="Times New Roman"/>
          <w:b/>
          <w:sz w:val="24"/>
          <w:szCs w:val="24"/>
          <w:lang w:val="fr-FR"/>
        </w:rPr>
        <w:t xml:space="preserve"> </w:t>
      </w:r>
    </w:p>
    <w:p w14:paraId="47EE91A1" w14:textId="77777777" w:rsidR="00FB1D25" w:rsidRPr="00A5423A" w:rsidRDefault="00FB1D25" w:rsidP="00FB1D25">
      <w:pPr>
        <w:rPr>
          <w:rFonts w:ascii="Times New Roman" w:hAnsi="Times New Roman" w:cs="Times New Roman"/>
          <w:bCs/>
          <w:i/>
          <w:iCs/>
          <w:lang w:val="fr-FR"/>
        </w:rPr>
      </w:pPr>
    </w:p>
    <w:p w14:paraId="1760AC68" w14:textId="77777777" w:rsidR="00560431" w:rsidRPr="00A5423A" w:rsidRDefault="00560431" w:rsidP="00FB1D25">
      <w:pPr>
        <w:rPr>
          <w:rFonts w:ascii="Times New Roman" w:hAnsi="Times New Roman" w:cs="Times New Roman"/>
          <w:bCs/>
          <w:i/>
          <w:iCs/>
          <w:lang w:val="fr-FR"/>
        </w:rPr>
      </w:pPr>
    </w:p>
    <w:p w14:paraId="4D001C0D" w14:textId="77777777" w:rsidR="00FB1D25" w:rsidRPr="00A5423A" w:rsidRDefault="00FB1D25" w:rsidP="00FB1D25">
      <w:pPr>
        <w:rPr>
          <w:rFonts w:ascii="Times New Roman" w:hAnsi="Times New Roman" w:cs="Times New Roman"/>
          <w:i/>
          <w:lang w:val="fr-FR"/>
        </w:rPr>
      </w:pPr>
    </w:p>
    <w:p w14:paraId="67E0B725" w14:textId="77777777" w:rsidR="00A5423A" w:rsidRPr="00A5423A" w:rsidRDefault="00A5423A" w:rsidP="00FB1D25">
      <w:pPr>
        <w:rPr>
          <w:rFonts w:ascii="Times New Roman" w:hAnsi="Times New Roman" w:cs="Times New Roman"/>
          <w:i/>
          <w:lang w:val="fr-FR"/>
        </w:rPr>
      </w:pPr>
    </w:p>
    <w:p w14:paraId="2C34F17C" w14:textId="77777777" w:rsidR="00A5423A" w:rsidRPr="00A5423A" w:rsidRDefault="00A5423A" w:rsidP="00FB1D25">
      <w:pPr>
        <w:rPr>
          <w:rFonts w:ascii="Times New Roman" w:hAnsi="Times New Roman" w:cs="Times New Roman"/>
          <w:i/>
          <w:lang w:val="fr-FR"/>
        </w:rPr>
      </w:pPr>
    </w:p>
    <w:p w14:paraId="36F0ED3B" w14:textId="77777777" w:rsidR="00A5423A" w:rsidRPr="00A5423A" w:rsidRDefault="00A5423A" w:rsidP="00FB1D25">
      <w:pPr>
        <w:rPr>
          <w:rFonts w:ascii="Times New Roman" w:hAnsi="Times New Roman" w:cs="Times New Roman"/>
          <w:i/>
          <w:lang w:val="fr-FR"/>
        </w:rPr>
      </w:pPr>
    </w:p>
    <w:p w14:paraId="7B4B602C" w14:textId="77777777" w:rsidR="00A5423A" w:rsidRPr="00A5423A" w:rsidRDefault="00A5423A" w:rsidP="00FB1D25">
      <w:pPr>
        <w:rPr>
          <w:rFonts w:ascii="Times New Roman" w:hAnsi="Times New Roman" w:cs="Times New Roman"/>
          <w:i/>
          <w:lang w:val="fr-FR"/>
        </w:rPr>
      </w:pPr>
    </w:p>
    <w:p w14:paraId="6E54D53C" w14:textId="77777777" w:rsidR="00A5423A" w:rsidRPr="00A5423A" w:rsidRDefault="00A5423A" w:rsidP="00FB1D25">
      <w:pPr>
        <w:rPr>
          <w:rFonts w:ascii="Times New Roman" w:hAnsi="Times New Roman" w:cs="Times New Roman"/>
          <w:i/>
          <w:lang w:val="fr-FR"/>
        </w:rPr>
      </w:pPr>
    </w:p>
    <w:p w14:paraId="5E2AE7C1" w14:textId="77777777" w:rsidR="00A5423A" w:rsidRPr="00A5423A" w:rsidRDefault="00A5423A" w:rsidP="00FB1D25">
      <w:pPr>
        <w:rPr>
          <w:rFonts w:ascii="Times New Roman" w:hAnsi="Times New Roman" w:cs="Times New Roman"/>
          <w:i/>
          <w:lang w:val="fr-FR"/>
        </w:rPr>
      </w:pPr>
    </w:p>
    <w:p w14:paraId="59101B0E" w14:textId="77777777" w:rsidR="00D64034" w:rsidRDefault="00D64034" w:rsidP="00FB1D25">
      <w:pPr>
        <w:rPr>
          <w:rFonts w:ascii="Times New Roman" w:hAnsi="Times New Roman" w:cs="Times New Roman"/>
          <w:i/>
          <w:lang w:val="fr-FR"/>
        </w:rPr>
      </w:pPr>
    </w:p>
    <w:p w14:paraId="28A5D593" w14:textId="77777777" w:rsidR="001A0B90" w:rsidRDefault="001A0B90" w:rsidP="00FB1D25">
      <w:pPr>
        <w:rPr>
          <w:rFonts w:ascii="Times New Roman" w:hAnsi="Times New Roman" w:cs="Times New Roman"/>
          <w:i/>
          <w:lang w:val="fr-FR"/>
        </w:rPr>
      </w:pPr>
    </w:p>
    <w:p w14:paraId="679861D8" w14:textId="77777777" w:rsidR="001A0B90" w:rsidRPr="00A5423A" w:rsidRDefault="001A0B90" w:rsidP="00FB1D25">
      <w:pPr>
        <w:rPr>
          <w:rFonts w:ascii="Times New Roman" w:hAnsi="Times New Roman" w:cs="Times New Roman"/>
          <w:i/>
          <w:lang w:val="fr-FR"/>
        </w:rPr>
      </w:pPr>
    </w:p>
    <w:p w14:paraId="1EB10C2D" w14:textId="77777777" w:rsidR="00D64034" w:rsidRPr="00A5423A" w:rsidRDefault="00D64034" w:rsidP="00FB1D25">
      <w:pPr>
        <w:rPr>
          <w:rFonts w:ascii="Times New Roman" w:hAnsi="Times New Roman" w:cs="Times New Roman"/>
          <w:lang w:val="fr-FR"/>
        </w:rPr>
      </w:pPr>
    </w:p>
    <w:p w14:paraId="1840F6FE" w14:textId="77777777" w:rsidR="00FB1D25" w:rsidRPr="00A5423A" w:rsidRDefault="00FB1D25" w:rsidP="00FB1D25">
      <w:pPr>
        <w:rPr>
          <w:rFonts w:ascii="Times New Roman" w:hAnsi="Times New Roman" w:cs="Times New Roman"/>
          <w:b/>
          <w:bCs/>
          <w:lang w:val="fr-FR"/>
        </w:rPr>
      </w:pPr>
    </w:p>
    <w:p w14:paraId="5DD75E31" w14:textId="77777777" w:rsidR="0004242A" w:rsidRPr="00A5423A" w:rsidRDefault="0004242A" w:rsidP="00FB1D25">
      <w:pPr>
        <w:rPr>
          <w:rFonts w:ascii="Times New Roman" w:hAnsi="Times New Roman" w:cs="Times New Roman"/>
          <w:b/>
          <w:bCs/>
          <w:lang w:val="fr-FR"/>
        </w:rPr>
      </w:pPr>
    </w:p>
    <w:p w14:paraId="0F5020B4" w14:textId="0CEC3C70" w:rsidR="00FB1D25" w:rsidRPr="00A5423A" w:rsidRDefault="00FB1D25" w:rsidP="00FB1D25">
      <w:pPr>
        <w:rPr>
          <w:rFonts w:ascii="Times New Roman" w:hAnsi="Times New Roman" w:cs="Times New Roman"/>
          <w:b/>
          <w:bCs/>
          <w:lang w:val="fr-FR"/>
        </w:rPr>
      </w:pPr>
      <w:r w:rsidRPr="00A5423A">
        <w:rPr>
          <w:rFonts w:ascii="Times New Roman" w:hAnsi="Times New Roman" w:cs="Times New Roman"/>
          <w:b/>
          <w:bCs/>
          <w:lang w:val="fr-FR"/>
        </w:rPr>
        <w:lastRenderedPageBreak/>
        <w:t>ACRONYMES</w:t>
      </w:r>
    </w:p>
    <w:p w14:paraId="1003563C" w14:textId="77777777" w:rsidR="00FB1D25" w:rsidRPr="00A5423A" w:rsidRDefault="00FB1D25" w:rsidP="00FB1D25">
      <w:pPr>
        <w:rPr>
          <w:rFonts w:ascii="Times New Roman" w:hAnsi="Times New Roman" w:cs="Times New Roman"/>
          <w:b/>
          <w:bCs/>
          <w:lang w:val="fr-FR"/>
        </w:rPr>
      </w:pPr>
    </w:p>
    <w:p w14:paraId="6B100227" w14:textId="2AF6FCAB" w:rsidR="00FB1D25" w:rsidRPr="00A5423A" w:rsidRDefault="00FB1D25" w:rsidP="00FB1D25">
      <w:pPr>
        <w:rPr>
          <w:rFonts w:ascii="Times New Roman" w:hAnsi="Times New Roman" w:cs="Times New Roman"/>
          <w:lang w:val="fr-FR"/>
        </w:rPr>
      </w:pPr>
    </w:p>
    <w:p w14:paraId="1988556F" w14:textId="77777777" w:rsidR="00FB1D25" w:rsidRPr="00A5423A" w:rsidRDefault="00FB1D25" w:rsidP="00FB1D25">
      <w:pPr>
        <w:rPr>
          <w:rFonts w:ascii="Times New Roman" w:hAnsi="Times New Roman" w:cs="Times New Roman"/>
          <w:lang w:val="fr-FR"/>
        </w:rPr>
      </w:pPr>
      <w:proofErr w:type="gramStart"/>
      <w:r w:rsidRPr="00A5423A">
        <w:rPr>
          <w:rFonts w:ascii="Times New Roman" w:hAnsi="Times New Roman" w:cs="Times New Roman"/>
          <w:b/>
          <w:lang w:val="fr-FR"/>
        </w:rPr>
        <w:t>BESYP:</w:t>
      </w:r>
      <w:proofErr w:type="gramEnd"/>
      <w:r w:rsidRPr="00A5423A">
        <w:rPr>
          <w:rFonts w:ascii="Times New Roman" w:hAnsi="Times New Roman" w:cs="Times New Roman"/>
          <w:lang w:val="fr-FR"/>
        </w:rPr>
        <w:t xml:space="preserve"> </w:t>
      </w:r>
      <w:r w:rsidRPr="00A5423A">
        <w:rPr>
          <w:rFonts w:ascii="Times New Roman" w:hAnsi="Times New Roman" w:cs="Times New Roman"/>
          <w:lang w:val="fr-FR"/>
        </w:rPr>
        <w:tab/>
      </w:r>
      <w:r w:rsidRPr="00A5423A">
        <w:rPr>
          <w:rFonts w:ascii="Times New Roman" w:hAnsi="Times New Roman" w:cs="Times New Roman"/>
          <w:lang w:val="fr-FR"/>
        </w:rPr>
        <w:tab/>
        <w:t>Synergie Plus Bénin</w:t>
      </w:r>
    </w:p>
    <w:p w14:paraId="1E424ACF" w14:textId="239E4724" w:rsidR="00FB1D25" w:rsidRPr="00A5423A" w:rsidRDefault="00FB1D25" w:rsidP="00FB1D25">
      <w:pPr>
        <w:rPr>
          <w:rFonts w:ascii="Times New Roman" w:hAnsi="Times New Roman" w:cs="Times New Roman"/>
          <w:b/>
          <w:lang w:val="fr-FR"/>
        </w:rPr>
      </w:pPr>
      <w:r w:rsidRPr="00A5423A">
        <w:rPr>
          <w:rFonts w:ascii="Times New Roman" w:hAnsi="Times New Roman" w:cs="Times New Roman"/>
          <w:b/>
          <w:lang w:val="fr-FR"/>
        </w:rPr>
        <w:t>CHAT:</w:t>
      </w:r>
      <w:r w:rsidRPr="00A5423A">
        <w:rPr>
          <w:rFonts w:ascii="Times New Roman" w:hAnsi="Times New Roman" w:cs="Times New Roman"/>
          <w:b/>
          <w:lang w:val="fr-FR"/>
        </w:rPr>
        <w:tab/>
      </w:r>
      <w:r w:rsidRPr="00A5423A">
        <w:rPr>
          <w:rFonts w:ascii="Times New Roman" w:hAnsi="Times New Roman" w:cs="Times New Roman"/>
          <w:b/>
          <w:lang w:val="fr-FR"/>
        </w:rPr>
        <w:tab/>
      </w:r>
      <w:r w:rsidR="006F4C0A">
        <w:rPr>
          <w:rFonts w:ascii="Times New Roman" w:hAnsi="Times New Roman" w:cs="Times New Roman"/>
          <w:b/>
          <w:lang w:val="fr-FR"/>
        </w:rPr>
        <w:t xml:space="preserve">             </w:t>
      </w:r>
      <w:r w:rsidRPr="00A5423A">
        <w:rPr>
          <w:rFonts w:ascii="Times New Roman" w:hAnsi="Times New Roman" w:cs="Times New Roman"/>
          <w:lang w:val="fr-FR"/>
        </w:rPr>
        <w:t>Convention contre la torture</w:t>
      </w:r>
      <w:r w:rsidRPr="00A5423A">
        <w:rPr>
          <w:rFonts w:ascii="Times New Roman" w:hAnsi="Times New Roman" w:cs="Times New Roman"/>
          <w:lang w:val="fr-FR"/>
        </w:rPr>
        <w:tab/>
      </w:r>
    </w:p>
    <w:p w14:paraId="61AA5DA3" w14:textId="4FB07FAC" w:rsidR="00FB1D25" w:rsidRPr="00A5423A" w:rsidRDefault="00FB1D25" w:rsidP="00FB1D25">
      <w:pPr>
        <w:rPr>
          <w:rFonts w:ascii="Times New Roman" w:hAnsi="Times New Roman" w:cs="Times New Roman"/>
          <w:lang w:val="fr-FR"/>
        </w:rPr>
      </w:pPr>
      <w:r w:rsidRPr="00A5423A">
        <w:rPr>
          <w:rFonts w:ascii="Times New Roman" w:hAnsi="Times New Roman" w:cs="Times New Roman"/>
          <w:b/>
          <w:lang w:val="fr-FR"/>
        </w:rPr>
        <w:t xml:space="preserve">CBDH : </w:t>
      </w:r>
      <w:r w:rsidRPr="00A5423A">
        <w:rPr>
          <w:rFonts w:ascii="Times New Roman" w:hAnsi="Times New Roman" w:cs="Times New Roman"/>
          <w:b/>
          <w:lang w:val="fr-FR"/>
        </w:rPr>
        <w:tab/>
      </w:r>
      <w:r w:rsidRPr="00A5423A">
        <w:rPr>
          <w:rFonts w:ascii="Times New Roman" w:hAnsi="Times New Roman" w:cs="Times New Roman"/>
          <w:b/>
          <w:lang w:val="fr-FR"/>
        </w:rPr>
        <w:tab/>
      </w:r>
      <w:r w:rsidRPr="00A5423A">
        <w:rPr>
          <w:rFonts w:ascii="Times New Roman" w:hAnsi="Times New Roman" w:cs="Times New Roman"/>
          <w:lang w:val="fr-FR"/>
        </w:rPr>
        <w:t xml:space="preserve">Commission béninoise des droits de l'homme </w:t>
      </w:r>
      <w:r w:rsidRPr="00A5423A">
        <w:rPr>
          <w:rFonts w:ascii="Times New Roman" w:hAnsi="Times New Roman" w:cs="Times New Roman"/>
          <w:b/>
          <w:lang w:val="fr-FR"/>
        </w:rPr>
        <w:t xml:space="preserve">relatif </w:t>
      </w:r>
      <w:r w:rsidRPr="00A5423A">
        <w:rPr>
          <w:rFonts w:ascii="Times New Roman" w:hAnsi="Times New Roman" w:cs="Times New Roman"/>
          <w:lang w:val="fr-FR"/>
        </w:rPr>
        <w:t>au civil et au politique Droits</w:t>
      </w:r>
    </w:p>
    <w:p w14:paraId="5FD71BBE" w14:textId="77777777" w:rsidR="00FB1D25" w:rsidRPr="00A5423A" w:rsidRDefault="00FB1D25" w:rsidP="00FB1D25">
      <w:pPr>
        <w:rPr>
          <w:rFonts w:ascii="Times New Roman" w:hAnsi="Times New Roman" w:cs="Times New Roman"/>
          <w:lang w:val="fr-FR"/>
        </w:rPr>
      </w:pPr>
      <w:proofErr w:type="gramStart"/>
      <w:r w:rsidRPr="00A5423A">
        <w:rPr>
          <w:rFonts w:ascii="Times New Roman" w:hAnsi="Times New Roman" w:cs="Times New Roman"/>
          <w:b/>
          <w:lang w:val="fr-FR"/>
        </w:rPr>
        <w:t>CDH:</w:t>
      </w:r>
      <w:proofErr w:type="gramEnd"/>
      <w:r w:rsidRPr="00A5423A">
        <w:rPr>
          <w:rFonts w:ascii="Times New Roman" w:hAnsi="Times New Roman" w:cs="Times New Roman"/>
          <w:lang w:val="fr-FR"/>
        </w:rPr>
        <w:t xml:space="preserve"> </w:t>
      </w:r>
      <w:r w:rsidRPr="00A5423A">
        <w:rPr>
          <w:rFonts w:ascii="Times New Roman" w:hAnsi="Times New Roman" w:cs="Times New Roman"/>
          <w:lang w:val="fr-FR"/>
        </w:rPr>
        <w:tab/>
      </w:r>
      <w:r w:rsidRPr="00A5423A">
        <w:rPr>
          <w:rFonts w:ascii="Times New Roman" w:hAnsi="Times New Roman" w:cs="Times New Roman"/>
          <w:lang w:val="fr-FR"/>
        </w:rPr>
        <w:tab/>
        <w:t>Comité des droits de l'homme des Nations Unies</w:t>
      </w:r>
    </w:p>
    <w:p w14:paraId="5A502695" w14:textId="764BA541" w:rsidR="00FB1D25" w:rsidRPr="00A5423A" w:rsidRDefault="00FB1D25" w:rsidP="00FB1D25">
      <w:pPr>
        <w:rPr>
          <w:rFonts w:ascii="Times New Roman" w:hAnsi="Times New Roman" w:cs="Times New Roman"/>
          <w:b/>
          <w:lang w:val="fr-FR"/>
        </w:rPr>
      </w:pPr>
      <w:proofErr w:type="gramStart"/>
      <w:r w:rsidRPr="00A5423A">
        <w:rPr>
          <w:rFonts w:ascii="Times New Roman" w:hAnsi="Times New Roman" w:cs="Times New Roman"/>
          <w:b/>
          <w:lang w:val="fr-FR"/>
        </w:rPr>
        <w:t>CEDEF:</w:t>
      </w:r>
      <w:proofErr w:type="gramEnd"/>
      <w:r w:rsidRPr="00A5423A">
        <w:rPr>
          <w:rFonts w:ascii="Times New Roman" w:hAnsi="Times New Roman" w:cs="Times New Roman"/>
          <w:b/>
          <w:lang w:val="fr-FR"/>
        </w:rPr>
        <w:tab/>
      </w:r>
      <w:r w:rsidR="003740DE" w:rsidRPr="00A5423A">
        <w:rPr>
          <w:rFonts w:ascii="Times New Roman" w:hAnsi="Times New Roman" w:cs="Times New Roman"/>
          <w:b/>
          <w:lang w:val="fr-FR"/>
        </w:rPr>
        <w:t xml:space="preserve">              </w:t>
      </w:r>
      <w:r w:rsidRPr="00A5423A">
        <w:rPr>
          <w:rFonts w:ascii="Times New Roman" w:hAnsi="Times New Roman" w:cs="Times New Roman"/>
          <w:lang w:val="fr-FR"/>
        </w:rPr>
        <w:t>Comité pour l'élimination de la discrimination à l'égard des femmes</w:t>
      </w:r>
    </w:p>
    <w:p w14:paraId="4FE504CF" w14:textId="77777777" w:rsidR="00FB1D25" w:rsidRPr="00A5423A" w:rsidRDefault="00FB1D25" w:rsidP="00FB1D25">
      <w:pPr>
        <w:rPr>
          <w:rFonts w:ascii="Times New Roman" w:hAnsi="Times New Roman" w:cs="Times New Roman"/>
          <w:b/>
          <w:lang w:val="fr-FR"/>
        </w:rPr>
      </w:pPr>
      <w:r w:rsidRPr="00A5423A">
        <w:rPr>
          <w:rFonts w:ascii="Times New Roman" w:hAnsi="Times New Roman" w:cs="Times New Roman"/>
          <w:b/>
          <w:lang w:val="fr-FR"/>
        </w:rPr>
        <w:t xml:space="preserve">CESCR : </w:t>
      </w:r>
      <w:r w:rsidRPr="00A5423A">
        <w:rPr>
          <w:rFonts w:ascii="Times New Roman" w:hAnsi="Times New Roman" w:cs="Times New Roman"/>
          <w:b/>
          <w:lang w:val="fr-FR"/>
        </w:rPr>
        <w:tab/>
      </w:r>
      <w:r w:rsidRPr="00A5423A">
        <w:rPr>
          <w:rFonts w:ascii="Times New Roman" w:hAnsi="Times New Roman" w:cs="Times New Roman"/>
          <w:b/>
          <w:lang w:val="fr-FR"/>
        </w:rPr>
        <w:tab/>
      </w:r>
      <w:r w:rsidRPr="00A5423A">
        <w:rPr>
          <w:rFonts w:ascii="Times New Roman" w:hAnsi="Times New Roman" w:cs="Times New Roman"/>
          <w:lang w:val="fr-FR"/>
        </w:rPr>
        <w:t>Comité des droits économiques, sociaux et culturels</w:t>
      </w:r>
    </w:p>
    <w:p w14:paraId="1FF65B82" w14:textId="65E4BD26" w:rsidR="00FB1D25" w:rsidRPr="00A5423A" w:rsidRDefault="00FB1D25" w:rsidP="00FB1D25">
      <w:pPr>
        <w:rPr>
          <w:rFonts w:ascii="Times New Roman" w:hAnsi="Times New Roman" w:cs="Times New Roman"/>
          <w:lang w:val="fr-FR"/>
        </w:rPr>
      </w:pPr>
      <w:r w:rsidRPr="00A5423A">
        <w:rPr>
          <w:rFonts w:ascii="Times New Roman" w:hAnsi="Times New Roman" w:cs="Times New Roman"/>
          <w:b/>
          <w:lang w:val="fr-FR"/>
        </w:rPr>
        <w:t>UEP:</w:t>
      </w:r>
      <w:r w:rsidRPr="00A5423A">
        <w:rPr>
          <w:rFonts w:ascii="Times New Roman" w:hAnsi="Times New Roman" w:cs="Times New Roman"/>
          <w:b/>
          <w:lang w:val="fr-FR"/>
        </w:rPr>
        <w:tab/>
      </w:r>
      <w:r w:rsidRPr="00A5423A">
        <w:rPr>
          <w:rFonts w:ascii="Times New Roman" w:hAnsi="Times New Roman" w:cs="Times New Roman"/>
          <w:b/>
          <w:lang w:val="fr-FR"/>
        </w:rPr>
        <w:tab/>
      </w:r>
      <w:r w:rsidR="00045B1F">
        <w:rPr>
          <w:rFonts w:ascii="Times New Roman" w:hAnsi="Times New Roman" w:cs="Times New Roman"/>
          <w:b/>
          <w:lang w:val="fr-FR"/>
        </w:rPr>
        <w:t xml:space="preserve">             </w:t>
      </w:r>
      <w:r w:rsidRPr="00A5423A">
        <w:rPr>
          <w:rFonts w:ascii="Times New Roman" w:hAnsi="Times New Roman" w:cs="Times New Roman"/>
          <w:lang w:val="fr-FR"/>
        </w:rPr>
        <w:t>Examen périodique universel</w:t>
      </w:r>
    </w:p>
    <w:p w14:paraId="1D14DF5F" w14:textId="5E92A7BA" w:rsidR="00FB1D25" w:rsidRPr="00A5423A" w:rsidRDefault="00FB1D25" w:rsidP="00FB1D25">
      <w:pPr>
        <w:rPr>
          <w:rFonts w:ascii="Times New Roman" w:hAnsi="Times New Roman" w:cs="Times New Roman"/>
          <w:lang w:val="fr-FR"/>
        </w:rPr>
      </w:pPr>
      <w:proofErr w:type="gramStart"/>
      <w:r w:rsidRPr="00A5423A">
        <w:rPr>
          <w:rFonts w:ascii="Times New Roman" w:hAnsi="Times New Roman" w:cs="Times New Roman"/>
          <w:b/>
          <w:lang w:val="fr-FR"/>
        </w:rPr>
        <w:t>ILGA:</w:t>
      </w:r>
      <w:proofErr w:type="gramEnd"/>
      <w:r w:rsidRPr="00A5423A">
        <w:rPr>
          <w:rFonts w:ascii="Times New Roman" w:hAnsi="Times New Roman" w:cs="Times New Roman"/>
          <w:b/>
          <w:lang w:val="fr-FR"/>
        </w:rPr>
        <w:t xml:space="preserve">                           </w:t>
      </w:r>
      <w:r w:rsidRPr="00A5423A">
        <w:rPr>
          <w:rFonts w:ascii="Times New Roman" w:hAnsi="Times New Roman" w:cs="Times New Roman"/>
          <w:lang w:val="fr-FR"/>
        </w:rPr>
        <w:t>Association internationale des lesbiennes, gays, bisexuels et transgenres</w:t>
      </w:r>
    </w:p>
    <w:p w14:paraId="44CA11B5" w14:textId="77777777" w:rsidR="00FB1D25" w:rsidRPr="00A5423A" w:rsidRDefault="00FB1D25" w:rsidP="00FB1D25">
      <w:pPr>
        <w:rPr>
          <w:rFonts w:ascii="Times New Roman" w:hAnsi="Times New Roman" w:cs="Times New Roman"/>
          <w:lang w:val="fr-FR"/>
        </w:rPr>
      </w:pPr>
      <w:r w:rsidRPr="00A5423A">
        <w:rPr>
          <w:rFonts w:ascii="Times New Roman" w:hAnsi="Times New Roman" w:cs="Times New Roman"/>
          <w:b/>
          <w:lang w:val="fr-FR"/>
        </w:rPr>
        <w:t xml:space="preserve">                             </w:t>
      </w:r>
      <w:r w:rsidRPr="00A5423A">
        <w:rPr>
          <w:rFonts w:ascii="Times New Roman" w:hAnsi="Times New Roman" w:cs="Times New Roman"/>
          <w:lang w:val="fr-FR"/>
        </w:rPr>
        <w:t xml:space="preserve"> </w:t>
      </w:r>
      <w:proofErr w:type="gramStart"/>
      <w:r w:rsidRPr="00A5423A">
        <w:rPr>
          <w:rFonts w:ascii="Times New Roman" w:hAnsi="Times New Roman" w:cs="Times New Roman"/>
          <w:lang w:val="fr-FR"/>
        </w:rPr>
        <w:t>et</w:t>
      </w:r>
      <w:proofErr w:type="gramEnd"/>
      <w:r w:rsidRPr="00A5423A">
        <w:rPr>
          <w:rFonts w:ascii="Times New Roman" w:hAnsi="Times New Roman" w:cs="Times New Roman"/>
          <w:lang w:val="fr-FR"/>
        </w:rPr>
        <w:t xml:space="preserve"> intersexué</w:t>
      </w:r>
    </w:p>
    <w:p w14:paraId="263CAA7D" w14:textId="2367BBBC" w:rsidR="003740DE" w:rsidRPr="00A5423A" w:rsidRDefault="003740DE" w:rsidP="00FB1D25">
      <w:pPr>
        <w:rPr>
          <w:rFonts w:ascii="Times New Roman" w:hAnsi="Times New Roman" w:cs="Times New Roman"/>
          <w:lang w:val="fr-FR"/>
        </w:rPr>
      </w:pPr>
      <w:r w:rsidRPr="00A5423A">
        <w:rPr>
          <w:rFonts w:ascii="Times New Roman" w:hAnsi="Times New Roman" w:cs="Times New Roman"/>
          <w:b/>
          <w:bCs/>
          <w:lang w:val="fr-FR"/>
        </w:rPr>
        <w:t xml:space="preserve">INF : </w:t>
      </w:r>
      <w:r w:rsidRPr="00A5423A">
        <w:rPr>
          <w:rFonts w:ascii="Times New Roman" w:hAnsi="Times New Roman" w:cs="Times New Roman"/>
          <w:lang w:val="fr-FR"/>
        </w:rPr>
        <w:t>Institut National de la Femme du Bénin</w:t>
      </w:r>
    </w:p>
    <w:p w14:paraId="17163090" w14:textId="77777777" w:rsidR="00FB1D25" w:rsidRPr="00A5423A" w:rsidRDefault="00FB1D25" w:rsidP="00FB1D25">
      <w:pPr>
        <w:rPr>
          <w:rFonts w:ascii="Times New Roman" w:hAnsi="Times New Roman" w:cs="Times New Roman"/>
          <w:lang w:val="fr-FR"/>
        </w:rPr>
      </w:pPr>
      <w:proofErr w:type="gramStart"/>
      <w:r w:rsidRPr="00A5423A">
        <w:rPr>
          <w:rFonts w:ascii="Times New Roman" w:hAnsi="Times New Roman" w:cs="Times New Roman"/>
          <w:b/>
          <w:lang w:val="fr-FR"/>
        </w:rPr>
        <w:t>LGBTQ:</w:t>
      </w:r>
      <w:proofErr w:type="gramEnd"/>
      <w:r w:rsidRPr="00A5423A">
        <w:rPr>
          <w:rFonts w:ascii="Times New Roman" w:hAnsi="Times New Roman" w:cs="Times New Roman"/>
          <w:lang w:val="fr-FR"/>
        </w:rPr>
        <w:t xml:space="preserve"> </w:t>
      </w:r>
      <w:r w:rsidRPr="00A5423A">
        <w:rPr>
          <w:rFonts w:ascii="Times New Roman" w:hAnsi="Times New Roman" w:cs="Times New Roman"/>
          <w:lang w:val="fr-FR"/>
        </w:rPr>
        <w:tab/>
      </w:r>
      <w:r w:rsidRPr="00A5423A">
        <w:rPr>
          <w:rFonts w:ascii="Times New Roman" w:hAnsi="Times New Roman" w:cs="Times New Roman"/>
          <w:lang w:val="fr-FR"/>
        </w:rPr>
        <w:tab/>
        <w:t>Lesbiennes, bisexuelles, transgenres et queer</w:t>
      </w:r>
    </w:p>
    <w:p w14:paraId="4951B5B1" w14:textId="77777777" w:rsidR="00FB1D25" w:rsidRPr="00A5423A" w:rsidRDefault="00FB1D25" w:rsidP="00FB1D25">
      <w:pPr>
        <w:rPr>
          <w:rFonts w:ascii="Times New Roman" w:hAnsi="Times New Roman" w:cs="Times New Roman"/>
          <w:lang w:val="fr-FR"/>
        </w:rPr>
      </w:pPr>
      <w:r w:rsidRPr="00A5423A">
        <w:rPr>
          <w:rFonts w:ascii="Times New Roman" w:hAnsi="Times New Roman" w:cs="Times New Roman"/>
          <w:b/>
          <w:lang w:val="fr-FR"/>
        </w:rPr>
        <w:t xml:space="preserve">LGBTQI : </w:t>
      </w:r>
      <w:r w:rsidRPr="00A5423A">
        <w:rPr>
          <w:rFonts w:ascii="Times New Roman" w:hAnsi="Times New Roman" w:cs="Times New Roman"/>
          <w:lang w:val="fr-FR"/>
        </w:rPr>
        <w:tab/>
        <w:t>Lesbiennes, gays, bisexuels, transgenres, queers et intersexués</w:t>
      </w:r>
    </w:p>
    <w:p w14:paraId="5EB415AD" w14:textId="77777777" w:rsidR="00FB1D25" w:rsidRPr="00A5423A" w:rsidRDefault="00FB1D25" w:rsidP="00FB1D25">
      <w:pPr>
        <w:rPr>
          <w:rFonts w:ascii="Times New Roman" w:hAnsi="Times New Roman" w:cs="Times New Roman"/>
          <w:lang w:val="fr-FR"/>
        </w:rPr>
      </w:pPr>
      <w:proofErr w:type="gramStart"/>
      <w:r w:rsidRPr="00A5423A">
        <w:rPr>
          <w:rFonts w:ascii="Times New Roman" w:hAnsi="Times New Roman" w:cs="Times New Roman"/>
          <w:b/>
          <w:lang w:val="fr-FR"/>
        </w:rPr>
        <w:t>OSIG:</w:t>
      </w:r>
      <w:proofErr w:type="gramEnd"/>
      <w:r w:rsidRPr="00A5423A">
        <w:rPr>
          <w:rFonts w:ascii="Times New Roman" w:hAnsi="Times New Roman" w:cs="Times New Roman"/>
          <w:lang w:val="fr-FR"/>
        </w:rPr>
        <w:t xml:space="preserve"> </w:t>
      </w:r>
      <w:r w:rsidRPr="00A5423A">
        <w:rPr>
          <w:rFonts w:ascii="Times New Roman" w:hAnsi="Times New Roman" w:cs="Times New Roman"/>
          <w:lang w:val="fr-FR"/>
        </w:rPr>
        <w:tab/>
      </w:r>
      <w:r w:rsidRPr="00A5423A">
        <w:rPr>
          <w:rFonts w:ascii="Times New Roman" w:hAnsi="Times New Roman" w:cs="Times New Roman"/>
          <w:lang w:val="fr-FR"/>
        </w:rPr>
        <w:tab/>
        <w:t>Orientation sexuelle et identité de genre</w:t>
      </w:r>
    </w:p>
    <w:p w14:paraId="3DB0678A" w14:textId="77777777" w:rsidR="00FB1D25" w:rsidRPr="00A5423A" w:rsidRDefault="00FB1D25" w:rsidP="00FB1D25">
      <w:pPr>
        <w:rPr>
          <w:rFonts w:ascii="Times New Roman" w:hAnsi="Times New Roman" w:cs="Times New Roman"/>
          <w:b/>
          <w:lang w:val="fr-FR"/>
        </w:rPr>
      </w:pPr>
      <w:r w:rsidRPr="00A5423A">
        <w:rPr>
          <w:rFonts w:ascii="Times New Roman" w:hAnsi="Times New Roman" w:cs="Times New Roman"/>
          <w:b/>
          <w:lang w:val="fr-FR"/>
        </w:rPr>
        <w:t xml:space="preserve">PIDCP : </w:t>
      </w:r>
      <w:r w:rsidRPr="00A5423A">
        <w:rPr>
          <w:rFonts w:ascii="Times New Roman" w:hAnsi="Times New Roman" w:cs="Times New Roman"/>
          <w:b/>
          <w:lang w:val="fr-FR"/>
        </w:rPr>
        <w:tab/>
      </w:r>
      <w:r w:rsidRPr="00A5423A">
        <w:rPr>
          <w:rFonts w:ascii="Times New Roman" w:hAnsi="Times New Roman" w:cs="Times New Roman"/>
          <w:b/>
          <w:lang w:val="fr-FR"/>
        </w:rPr>
        <w:tab/>
      </w:r>
      <w:r w:rsidRPr="00A5423A">
        <w:rPr>
          <w:rFonts w:ascii="Times New Roman" w:hAnsi="Times New Roman" w:cs="Times New Roman"/>
          <w:lang w:val="fr-FR"/>
        </w:rPr>
        <w:t>Pacte international relatif aux droits civils et politiques</w:t>
      </w:r>
    </w:p>
    <w:p w14:paraId="3380DCDE" w14:textId="77777777" w:rsidR="00FB1D25" w:rsidRPr="00A5423A" w:rsidRDefault="00FB1D25" w:rsidP="00FB1D25">
      <w:pPr>
        <w:rPr>
          <w:rFonts w:ascii="Times New Roman" w:hAnsi="Times New Roman" w:cs="Times New Roman"/>
          <w:lang w:val="fr-FR"/>
        </w:rPr>
      </w:pPr>
      <w:proofErr w:type="gramStart"/>
      <w:r w:rsidRPr="00A5423A">
        <w:rPr>
          <w:rFonts w:ascii="Times New Roman" w:hAnsi="Times New Roman" w:cs="Times New Roman"/>
          <w:b/>
          <w:lang w:val="fr-FR"/>
        </w:rPr>
        <w:t>STB:</w:t>
      </w:r>
      <w:proofErr w:type="gramEnd"/>
      <w:r w:rsidRPr="00A5423A">
        <w:rPr>
          <w:rFonts w:ascii="Times New Roman" w:hAnsi="Times New Roman" w:cs="Times New Roman"/>
          <w:lang w:val="fr-FR"/>
        </w:rPr>
        <w:t xml:space="preserve"> </w:t>
      </w:r>
      <w:r w:rsidRPr="00A5423A">
        <w:rPr>
          <w:rFonts w:ascii="Times New Roman" w:hAnsi="Times New Roman" w:cs="Times New Roman"/>
          <w:lang w:val="fr-FR"/>
        </w:rPr>
        <w:tab/>
      </w:r>
      <w:r w:rsidRPr="00A5423A">
        <w:rPr>
          <w:rFonts w:ascii="Times New Roman" w:hAnsi="Times New Roman" w:cs="Times New Roman"/>
          <w:lang w:val="fr-FR"/>
        </w:rPr>
        <w:tab/>
        <w:t>Synergie Trans Bénin</w:t>
      </w:r>
    </w:p>
    <w:p w14:paraId="71A61247" w14:textId="77777777" w:rsidR="00FB1D25" w:rsidRPr="00A5423A" w:rsidRDefault="00FB1D25" w:rsidP="00FB1D25">
      <w:pPr>
        <w:rPr>
          <w:rFonts w:ascii="Times New Roman" w:hAnsi="Times New Roman" w:cs="Times New Roman"/>
          <w:lang w:val="fr-FR"/>
        </w:rPr>
      </w:pPr>
      <w:r w:rsidRPr="00A5423A">
        <w:rPr>
          <w:rFonts w:ascii="Times New Roman" w:hAnsi="Times New Roman" w:cs="Times New Roman"/>
          <w:b/>
          <w:lang w:val="fr-FR"/>
        </w:rPr>
        <w:t xml:space="preserve">VBG : </w:t>
      </w:r>
      <w:r w:rsidRPr="00A5423A">
        <w:rPr>
          <w:rFonts w:ascii="Times New Roman" w:hAnsi="Times New Roman" w:cs="Times New Roman"/>
          <w:lang w:val="fr-FR"/>
        </w:rPr>
        <w:tab/>
      </w:r>
      <w:r w:rsidRPr="00A5423A">
        <w:rPr>
          <w:rFonts w:ascii="Times New Roman" w:hAnsi="Times New Roman" w:cs="Times New Roman"/>
          <w:lang w:val="fr-FR"/>
        </w:rPr>
        <w:tab/>
        <w:t>Violences basées sur le genre</w:t>
      </w:r>
    </w:p>
    <w:p w14:paraId="0B1821A3" w14:textId="77777777" w:rsidR="00FB1D25" w:rsidRPr="00A5423A" w:rsidRDefault="00FB1D25" w:rsidP="00FB1D25">
      <w:pPr>
        <w:rPr>
          <w:rFonts w:ascii="Times New Roman" w:hAnsi="Times New Roman" w:cs="Times New Roman"/>
          <w:lang w:val="fr-FR"/>
        </w:rPr>
      </w:pPr>
      <w:proofErr w:type="gramStart"/>
      <w:r w:rsidRPr="00A5423A">
        <w:rPr>
          <w:rFonts w:ascii="Times New Roman" w:hAnsi="Times New Roman" w:cs="Times New Roman"/>
          <w:b/>
          <w:lang w:val="fr-FR"/>
        </w:rPr>
        <w:t>VDH:</w:t>
      </w:r>
      <w:proofErr w:type="gramEnd"/>
      <w:r w:rsidRPr="00A5423A">
        <w:rPr>
          <w:rFonts w:ascii="Times New Roman" w:hAnsi="Times New Roman" w:cs="Times New Roman"/>
          <w:lang w:val="fr-FR"/>
        </w:rPr>
        <w:t xml:space="preserve"> </w:t>
      </w:r>
      <w:r w:rsidRPr="00A5423A">
        <w:rPr>
          <w:rFonts w:ascii="Times New Roman" w:hAnsi="Times New Roman" w:cs="Times New Roman"/>
          <w:lang w:val="fr-FR"/>
        </w:rPr>
        <w:tab/>
      </w:r>
      <w:r w:rsidRPr="00A5423A">
        <w:rPr>
          <w:rFonts w:ascii="Times New Roman" w:hAnsi="Times New Roman" w:cs="Times New Roman"/>
          <w:lang w:val="fr-FR"/>
        </w:rPr>
        <w:tab/>
        <w:t>Violations des droits de l'homme</w:t>
      </w:r>
    </w:p>
    <w:p w14:paraId="37CF16CC" w14:textId="77777777" w:rsidR="00FB1D25" w:rsidRPr="00A5423A" w:rsidRDefault="00FB1D25" w:rsidP="00FB1D25">
      <w:pPr>
        <w:rPr>
          <w:rFonts w:ascii="Times New Roman" w:hAnsi="Times New Roman" w:cs="Times New Roman"/>
          <w:lang w:val="fr-FR"/>
        </w:rPr>
      </w:pPr>
    </w:p>
    <w:p w14:paraId="1EAA6CDF" w14:textId="77777777" w:rsidR="00FB1D25" w:rsidRPr="00A5423A" w:rsidRDefault="00FB1D25" w:rsidP="00FB1D25">
      <w:pPr>
        <w:rPr>
          <w:rFonts w:ascii="Times New Roman" w:hAnsi="Times New Roman" w:cs="Times New Roman"/>
          <w:lang w:val="fr-FR"/>
        </w:rPr>
      </w:pPr>
    </w:p>
    <w:p w14:paraId="0B1F7BE9" w14:textId="77777777" w:rsidR="00FB1D25" w:rsidRPr="00A5423A" w:rsidRDefault="00FB1D25" w:rsidP="00FB1D25">
      <w:pPr>
        <w:rPr>
          <w:rFonts w:ascii="Times New Roman" w:hAnsi="Times New Roman" w:cs="Times New Roman"/>
          <w:lang w:val="fr-FR"/>
        </w:rPr>
      </w:pPr>
    </w:p>
    <w:p w14:paraId="51E14567" w14:textId="77777777" w:rsidR="00FB1D25" w:rsidRPr="00A5423A" w:rsidRDefault="00FB1D25" w:rsidP="00FB1D25">
      <w:pPr>
        <w:rPr>
          <w:rFonts w:ascii="Times New Roman" w:hAnsi="Times New Roman" w:cs="Times New Roman"/>
          <w:lang w:val="fr-FR"/>
        </w:rPr>
      </w:pPr>
    </w:p>
    <w:p w14:paraId="24405682" w14:textId="77777777" w:rsidR="00A5423A" w:rsidRDefault="00A5423A" w:rsidP="00FB1D25">
      <w:pPr>
        <w:rPr>
          <w:rFonts w:ascii="Times New Roman" w:hAnsi="Times New Roman" w:cs="Times New Roman"/>
          <w:lang w:val="fr-FR"/>
        </w:rPr>
      </w:pPr>
    </w:p>
    <w:p w14:paraId="32FCF119" w14:textId="77777777" w:rsidR="00284F77" w:rsidRDefault="00284F77" w:rsidP="00FB1D25">
      <w:pPr>
        <w:rPr>
          <w:rFonts w:ascii="Times New Roman" w:hAnsi="Times New Roman" w:cs="Times New Roman"/>
          <w:lang w:val="fr-FR"/>
        </w:rPr>
      </w:pPr>
    </w:p>
    <w:p w14:paraId="781D70A4" w14:textId="77777777" w:rsidR="00284F77" w:rsidRPr="00A5423A" w:rsidRDefault="00284F77" w:rsidP="00FB1D25">
      <w:pPr>
        <w:rPr>
          <w:rFonts w:ascii="Times New Roman" w:hAnsi="Times New Roman" w:cs="Times New Roman"/>
          <w:lang w:val="fr-FR"/>
        </w:rPr>
      </w:pPr>
    </w:p>
    <w:p w14:paraId="4A305D41" w14:textId="77777777" w:rsidR="00FB1D25" w:rsidRPr="00A5423A" w:rsidRDefault="00FB1D25" w:rsidP="00FB1D25">
      <w:pPr>
        <w:rPr>
          <w:rFonts w:ascii="Times New Roman" w:hAnsi="Times New Roman" w:cs="Times New Roman"/>
          <w:b/>
          <w:lang w:val="fr-FR"/>
        </w:rPr>
      </w:pPr>
      <w:bookmarkStart w:id="0" w:name="_Toc13542"/>
    </w:p>
    <w:p w14:paraId="4256D3B5" w14:textId="77777777" w:rsidR="0004242A" w:rsidRPr="00A5423A" w:rsidRDefault="0004242A" w:rsidP="00FB1D25">
      <w:pPr>
        <w:rPr>
          <w:rFonts w:ascii="Times New Roman" w:hAnsi="Times New Roman" w:cs="Times New Roman"/>
          <w:b/>
          <w:lang w:val="fr-FR"/>
        </w:rPr>
      </w:pPr>
    </w:p>
    <w:p w14:paraId="7EDEBD3E" w14:textId="77777777" w:rsidR="0004242A" w:rsidRPr="00A5423A" w:rsidRDefault="0004242A" w:rsidP="00FB1D25">
      <w:pPr>
        <w:rPr>
          <w:rFonts w:ascii="Times New Roman" w:hAnsi="Times New Roman" w:cs="Times New Roman"/>
          <w:b/>
          <w:lang w:val="fr-FR"/>
        </w:rPr>
      </w:pPr>
    </w:p>
    <w:p w14:paraId="66EF3EF9" w14:textId="77777777" w:rsidR="00A5423A" w:rsidRDefault="00A5423A" w:rsidP="00315798">
      <w:pPr>
        <w:spacing w:line="360" w:lineRule="auto"/>
        <w:rPr>
          <w:rFonts w:ascii="Times New Roman" w:hAnsi="Times New Roman" w:cs="Times New Roman"/>
          <w:b/>
          <w:sz w:val="28"/>
          <w:szCs w:val="28"/>
          <w:lang w:val="fr-FR"/>
        </w:rPr>
      </w:pPr>
    </w:p>
    <w:p w14:paraId="2769B466" w14:textId="77777777" w:rsidR="00A5423A" w:rsidRDefault="00A5423A" w:rsidP="00315798">
      <w:pPr>
        <w:spacing w:line="360" w:lineRule="auto"/>
        <w:rPr>
          <w:rFonts w:ascii="Times New Roman" w:hAnsi="Times New Roman" w:cs="Times New Roman"/>
          <w:b/>
          <w:sz w:val="28"/>
          <w:szCs w:val="28"/>
          <w:lang w:val="fr-FR"/>
        </w:rPr>
      </w:pPr>
    </w:p>
    <w:p w14:paraId="3C76627A" w14:textId="38B1C26F" w:rsidR="00FB1D25" w:rsidRPr="00A5423A" w:rsidRDefault="00FB1D25" w:rsidP="00A5423A">
      <w:pPr>
        <w:pStyle w:val="Paragraphedeliste"/>
        <w:numPr>
          <w:ilvl w:val="0"/>
          <w:numId w:val="7"/>
        </w:numPr>
        <w:spacing w:line="360" w:lineRule="auto"/>
        <w:rPr>
          <w:rFonts w:ascii="Times New Roman" w:hAnsi="Times New Roman" w:cs="Times New Roman"/>
          <w:b/>
          <w:sz w:val="28"/>
          <w:szCs w:val="28"/>
          <w:lang w:val="fr-FR"/>
        </w:rPr>
      </w:pPr>
      <w:r w:rsidRPr="00A5423A">
        <w:rPr>
          <w:rFonts w:ascii="Times New Roman" w:hAnsi="Times New Roman" w:cs="Times New Roman"/>
          <w:b/>
          <w:sz w:val="28"/>
          <w:szCs w:val="28"/>
          <w:lang w:val="fr-FR"/>
        </w:rPr>
        <w:t>Introduction</w:t>
      </w:r>
    </w:p>
    <w:p w14:paraId="0FF51701" w14:textId="36540420" w:rsidR="00FB1D25" w:rsidRPr="00A5423A" w:rsidRDefault="00FB1D25" w:rsidP="00370B75">
      <w:pPr>
        <w:numPr>
          <w:ilvl w:val="0"/>
          <w:numId w:val="2"/>
        </w:numPr>
        <w:spacing w:line="360" w:lineRule="auto"/>
        <w:jc w:val="both"/>
        <w:rPr>
          <w:rFonts w:ascii="Times New Roman" w:hAnsi="Times New Roman" w:cs="Times New Roman"/>
          <w:sz w:val="28"/>
          <w:szCs w:val="28"/>
          <w:lang w:val="fr-FR"/>
        </w:rPr>
      </w:pPr>
      <w:r w:rsidRPr="00A5423A">
        <w:rPr>
          <w:rFonts w:ascii="Times New Roman" w:hAnsi="Times New Roman" w:cs="Times New Roman"/>
          <w:sz w:val="28"/>
          <w:szCs w:val="28"/>
          <w:lang w:val="fr-FR"/>
        </w:rPr>
        <w:t xml:space="preserve">Ce rapport alternatif est préparé par SYNERGIE TRANS BENIN pour être présenté à la Convention sur l'élimination de toutes les formes de discrimination à l'égard des femmes (CEDAW). L'Association Synergie Trans Bénin (STB) est une organisation non gouvernementale de défense des droits humains des personnes transgenres qui milite pour la justice sociale et la promotion et le respect des droits humains de toutes les personnes qui subissent des violences en raison de leur identité de genre. </w:t>
      </w:r>
      <w:proofErr w:type="gramStart"/>
      <w:r w:rsidRPr="00A5423A">
        <w:rPr>
          <w:rFonts w:ascii="Times New Roman" w:hAnsi="Times New Roman" w:cs="Times New Roman"/>
          <w:sz w:val="28"/>
          <w:szCs w:val="28"/>
          <w:lang w:val="fr-FR"/>
        </w:rPr>
        <w:t>L' Association</w:t>
      </w:r>
      <w:proofErr w:type="gramEnd"/>
      <w:r w:rsidRPr="00A5423A">
        <w:rPr>
          <w:rFonts w:ascii="Times New Roman" w:hAnsi="Times New Roman" w:cs="Times New Roman"/>
          <w:sz w:val="28"/>
          <w:szCs w:val="28"/>
          <w:lang w:val="fr-FR"/>
        </w:rPr>
        <w:t xml:space="preserve"> Internationale des Lesbiennes, Gays, Bisexuels, Trans et </w:t>
      </w:r>
      <w:r w:rsidR="001A0B90">
        <w:rPr>
          <w:rFonts w:ascii="Times New Roman" w:hAnsi="Times New Roman" w:cs="Times New Roman"/>
          <w:sz w:val="28"/>
          <w:szCs w:val="28"/>
          <w:lang w:val="fr-FR"/>
        </w:rPr>
        <w:t xml:space="preserve"> (ILGA World) </w:t>
      </w:r>
      <w:r w:rsidRPr="00A5423A">
        <w:rPr>
          <w:rFonts w:ascii="Times New Roman" w:hAnsi="Times New Roman" w:cs="Times New Roman"/>
          <w:sz w:val="28"/>
          <w:szCs w:val="28"/>
          <w:lang w:val="fr-FR"/>
        </w:rPr>
        <w:t>Intersexes ILGA est une fédération mondiale de plus de 1 700 organisations de plus de 160 pays et territoires qui défendent les droits humains des personnes lesbiennes, gays, bisexuelles, transgenres et intersexuées. L'ILGA œuvre pour obtenir et maintenir la reconnaissance et la protection des droits humains des personnes ayant diverses orientations sexuelles par les Nations Unies et d'autres institutions mondiales.</w:t>
      </w:r>
    </w:p>
    <w:p w14:paraId="29842E40" w14:textId="306C8B6D" w:rsidR="0028152A" w:rsidRPr="0028152A" w:rsidRDefault="0028152A" w:rsidP="005C5290">
      <w:pPr>
        <w:numPr>
          <w:ilvl w:val="0"/>
          <w:numId w:val="2"/>
        </w:numPr>
        <w:spacing w:line="360" w:lineRule="auto"/>
        <w:jc w:val="both"/>
        <w:rPr>
          <w:rFonts w:ascii="Times New Roman" w:hAnsi="Times New Roman" w:cs="Times New Roman"/>
          <w:sz w:val="28"/>
          <w:szCs w:val="28"/>
          <w:lang w:val="fr-FR"/>
        </w:rPr>
      </w:pPr>
      <w:r w:rsidRPr="0028152A">
        <w:rPr>
          <w:rFonts w:ascii="Times New Roman" w:hAnsi="Times New Roman" w:cs="Times New Roman"/>
          <w:sz w:val="28"/>
          <w:szCs w:val="28"/>
        </w:rPr>
        <w:t>Ce rapport vise à fournir une évaluation complète de la situation des droits humains des femmes lesbiennes, bisexuelles, transgenres et queer (LBTQ) en République du Bénin, en mettant l’accent sur les violations et les abus dont elles sont victimes. Il propose un examen détaillé des inégalités systémiques qui persistent et présente des analyses approfondies de la stigmatisation, de la discrimination et de la violence qui touchent de manière disproportionnée les femmes LBTQ. À travers ce rapport, nous souhaitons mettre en lumière les défis actuels et contribuer aux efforts visant à améliorer la protection et la promotion de leurs droits.</w:t>
      </w:r>
    </w:p>
    <w:p w14:paraId="6B697EDE" w14:textId="5F757AA8" w:rsidR="00FB1D25" w:rsidRPr="00A5423A" w:rsidRDefault="00FB1D25" w:rsidP="005C5290">
      <w:pPr>
        <w:numPr>
          <w:ilvl w:val="0"/>
          <w:numId w:val="2"/>
        </w:numPr>
        <w:spacing w:line="360" w:lineRule="auto"/>
        <w:jc w:val="both"/>
        <w:rPr>
          <w:rFonts w:ascii="Times New Roman" w:hAnsi="Times New Roman" w:cs="Times New Roman"/>
          <w:sz w:val="28"/>
          <w:szCs w:val="28"/>
          <w:lang w:val="fr-FR"/>
        </w:rPr>
      </w:pPr>
      <w:r w:rsidRPr="00A5423A">
        <w:rPr>
          <w:rFonts w:ascii="Times New Roman" w:hAnsi="Times New Roman" w:cs="Times New Roman"/>
          <w:sz w:val="28"/>
          <w:szCs w:val="28"/>
          <w:lang w:val="fr-FR"/>
        </w:rPr>
        <w:t xml:space="preserve">Au Bénin, les violences basées sur le genre (VBG) touchent la majorité des femmes et des filles : 59,9% des femmes et des filles ont déjà vécu une situation de VBG. Ce taux est inférieur à celui de l’étude réalisée en 2019, mais </w:t>
      </w:r>
      <w:r w:rsidRPr="00A5423A">
        <w:rPr>
          <w:rFonts w:ascii="Times New Roman" w:hAnsi="Times New Roman" w:cs="Times New Roman"/>
          <w:sz w:val="28"/>
          <w:szCs w:val="28"/>
          <w:lang w:val="fr-FR"/>
        </w:rPr>
        <w:lastRenderedPageBreak/>
        <w:t xml:space="preserve">il montre néanmoins que 45% des victimes sont très jeunes, entre 13 et 15 ans </w:t>
      </w:r>
      <w:r w:rsidRPr="00A5423A">
        <w:rPr>
          <w:rFonts w:ascii="Times New Roman" w:hAnsi="Times New Roman" w:cs="Times New Roman"/>
          <w:sz w:val="28"/>
          <w:szCs w:val="28"/>
          <w:vertAlign w:val="superscript"/>
          <w:lang w:val="fr-FR"/>
        </w:rPr>
        <w:footnoteReference w:id="1"/>
      </w:r>
      <w:r w:rsidRPr="00A5423A">
        <w:rPr>
          <w:rFonts w:ascii="Times New Roman" w:hAnsi="Times New Roman" w:cs="Times New Roman"/>
          <w:sz w:val="28"/>
          <w:szCs w:val="28"/>
          <w:lang w:val="fr-FR"/>
        </w:rPr>
        <w:t>. Dans ce pourcentage tout compris, aucune étude à ce jour ne prend en compte les violences subies par les femmes LBTQ en raison de leur orientation sexuelle et/ou de leur identité de genre. Cela révèle un énorme gap dans la prise en compte de cette communauté en termes de protection et d’accès à des services de qualité soins de santé.</w:t>
      </w:r>
    </w:p>
    <w:p w14:paraId="0F4F8C44" w14:textId="3DCECCC5" w:rsidR="00224265" w:rsidRPr="00A5423A" w:rsidRDefault="00224265" w:rsidP="0028152A">
      <w:pPr>
        <w:spacing w:line="360" w:lineRule="auto"/>
        <w:jc w:val="both"/>
        <w:rPr>
          <w:rFonts w:ascii="Times New Roman" w:hAnsi="Times New Roman" w:cs="Times New Roman"/>
          <w:b/>
          <w:sz w:val="28"/>
          <w:szCs w:val="28"/>
          <w:lang w:val="fr-FR"/>
        </w:rPr>
      </w:pPr>
    </w:p>
    <w:p w14:paraId="1013FFCB" w14:textId="073C1FBE" w:rsidR="00FB1D25" w:rsidRPr="0028152A" w:rsidRDefault="00FB1D25" w:rsidP="0028152A">
      <w:pPr>
        <w:pStyle w:val="Paragraphedeliste"/>
        <w:numPr>
          <w:ilvl w:val="0"/>
          <w:numId w:val="7"/>
        </w:numPr>
        <w:spacing w:line="360" w:lineRule="auto"/>
        <w:jc w:val="both"/>
        <w:rPr>
          <w:rFonts w:ascii="Times New Roman" w:hAnsi="Times New Roman" w:cs="Times New Roman"/>
          <w:b/>
          <w:sz w:val="28"/>
          <w:szCs w:val="28"/>
          <w:lang w:val="fr-FR"/>
        </w:rPr>
      </w:pPr>
      <w:r w:rsidRPr="0028152A">
        <w:rPr>
          <w:rFonts w:ascii="Times New Roman" w:hAnsi="Times New Roman" w:cs="Times New Roman"/>
          <w:b/>
          <w:sz w:val="28"/>
          <w:szCs w:val="28"/>
          <w:lang w:val="fr-FR"/>
        </w:rPr>
        <w:t>Le contexte juridique, institutionnel et social</w:t>
      </w:r>
    </w:p>
    <w:p w14:paraId="6A48D3AE" w14:textId="77777777" w:rsidR="00FB1D25" w:rsidRPr="00A5423A" w:rsidRDefault="00FB1D25" w:rsidP="005C5290">
      <w:pPr>
        <w:spacing w:line="360" w:lineRule="auto"/>
        <w:jc w:val="both"/>
        <w:rPr>
          <w:rFonts w:ascii="Times New Roman" w:hAnsi="Times New Roman" w:cs="Times New Roman"/>
          <w:sz w:val="28"/>
          <w:szCs w:val="28"/>
          <w:lang w:val="fr-FR"/>
        </w:rPr>
      </w:pPr>
    </w:p>
    <w:p w14:paraId="4C375D0C" w14:textId="2FA209FA" w:rsidR="00FB1D25" w:rsidRPr="005264A0" w:rsidRDefault="00FB1D25" w:rsidP="005264A0">
      <w:pPr>
        <w:pStyle w:val="Paragraphedeliste"/>
        <w:numPr>
          <w:ilvl w:val="0"/>
          <w:numId w:val="17"/>
        </w:numPr>
        <w:spacing w:line="360" w:lineRule="auto"/>
        <w:jc w:val="both"/>
        <w:rPr>
          <w:rFonts w:ascii="Times New Roman" w:hAnsi="Times New Roman" w:cs="Times New Roman"/>
          <w:sz w:val="28"/>
          <w:szCs w:val="28"/>
          <w:lang w:val="fr-FR"/>
        </w:rPr>
      </w:pPr>
      <w:r w:rsidRPr="005264A0">
        <w:rPr>
          <w:rFonts w:ascii="Times New Roman" w:hAnsi="Times New Roman" w:cs="Times New Roman"/>
          <w:sz w:val="28"/>
          <w:szCs w:val="28"/>
          <w:lang w:val="fr-FR"/>
        </w:rPr>
        <w:t>L’article 36 de la Constitution béninoise dispose que « Tout Béninois a le devoir de respecter et de considérer son prochain sans aucune discrimination et d’entretenir avec autrui des relations qui permettent de sauvegarder, de renforcer et de promouvoir le respect, le dialogue et la tolérance mutuelle en vue de la paix et de la cohésion nationale. »</w:t>
      </w:r>
    </w:p>
    <w:p w14:paraId="5CF6AD5D" w14:textId="11D9110F" w:rsidR="0028152A" w:rsidRPr="00A5423A" w:rsidRDefault="0028152A" w:rsidP="007F4282">
      <w:pPr>
        <w:spacing w:line="360" w:lineRule="auto"/>
        <w:ind w:left="720"/>
        <w:jc w:val="both"/>
        <w:rPr>
          <w:rFonts w:ascii="Times New Roman" w:hAnsi="Times New Roman" w:cs="Times New Roman"/>
          <w:sz w:val="28"/>
          <w:szCs w:val="28"/>
          <w:lang w:val="fr-FR"/>
        </w:rPr>
      </w:pPr>
      <w:r>
        <w:rPr>
          <w:rFonts w:ascii="Times New Roman" w:hAnsi="Times New Roman" w:cs="Times New Roman"/>
          <w:sz w:val="28"/>
          <w:szCs w:val="28"/>
          <w:lang w:val="fr-FR"/>
        </w:rPr>
        <w:t>5. Malgré cette mesure générale de protection, les femmes LBTQ sont confrontées à un vide juridique en matière de reconnaissance et de protection liées à l’orientation sexuelle et à l’identité de genre au Bénin.</w:t>
      </w:r>
    </w:p>
    <w:p w14:paraId="0DD532CB" w14:textId="77777777" w:rsidR="00193CEE" w:rsidRDefault="0028152A" w:rsidP="002D0934">
      <w:pPr>
        <w:spacing w:line="360" w:lineRule="auto"/>
        <w:ind w:left="720"/>
        <w:jc w:val="both"/>
        <w:rPr>
          <w:rFonts w:ascii="Times New Roman" w:hAnsi="Times New Roman" w:cs="Times New Roman"/>
          <w:sz w:val="28"/>
          <w:szCs w:val="28"/>
          <w:lang w:val="fr-FR"/>
        </w:rPr>
      </w:pPr>
      <w:r>
        <w:rPr>
          <w:rFonts w:ascii="Times New Roman" w:hAnsi="Times New Roman" w:cs="Times New Roman"/>
          <w:sz w:val="28"/>
          <w:szCs w:val="28"/>
          <w:lang w:val="fr-FR"/>
        </w:rPr>
        <w:t>6. En effet, ni la Constitution originelle du Bénin ni la Constitution révisée en 2019 ne mentionnent l’orientation sexuelle ou l’identité de genre comme motif de non-discrimination, ce motif de discrimination n’étant pas mentionné dans le nouvel article 26 de la Constitution béninoise, cité au-dessus</w:t>
      </w:r>
      <w:r w:rsidR="00193CEE">
        <w:rPr>
          <w:rFonts w:ascii="Times New Roman" w:hAnsi="Times New Roman" w:cs="Times New Roman"/>
          <w:sz w:val="28"/>
          <w:szCs w:val="28"/>
          <w:lang w:val="fr-FR"/>
        </w:rPr>
        <w:t xml:space="preserve">. </w:t>
      </w:r>
      <w:r w:rsidR="00193CEE" w:rsidRPr="00656E89">
        <w:rPr>
          <w:rFonts w:ascii="Times New Roman" w:hAnsi="Times New Roman" w:cs="Times New Roman"/>
          <w:sz w:val="28"/>
          <w:szCs w:val="28"/>
        </w:rPr>
        <w:t xml:space="preserve">Cette omission contrevient aux articles 1 et 2 de la CEDAW, qui exigent des États qu'ils éliminent la discrimination à l'égard des femmes et garantissent une protection égale devant la loi, y compris sur la base de l'orientation sexuelle et de l'identité de genre. En ne s'attaquant pas </w:t>
      </w:r>
      <w:r w:rsidR="00193CEE" w:rsidRPr="00656E89">
        <w:rPr>
          <w:rFonts w:ascii="Times New Roman" w:hAnsi="Times New Roman" w:cs="Times New Roman"/>
          <w:sz w:val="28"/>
          <w:szCs w:val="28"/>
        </w:rPr>
        <w:lastRenderedPageBreak/>
        <w:t>explicitement à ces motifs de discrimination, le cadre juridique du Bénin ne s'aligne pas pleinement sur le mandat de la CEDAW de garantir que toutes les femmes, y compris les femmes LBTQ, sont protégées contre la discrimination et la violence.</w:t>
      </w:r>
    </w:p>
    <w:p w14:paraId="470A3F7B" w14:textId="77777777" w:rsidR="00193CEE" w:rsidRDefault="00193CEE" w:rsidP="002D0934">
      <w:pPr>
        <w:spacing w:line="360" w:lineRule="auto"/>
        <w:ind w:left="720"/>
        <w:jc w:val="both"/>
        <w:rPr>
          <w:rFonts w:ascii="Times New Roman" w:hAnsi="Times New Roman" w:cs="Times New Roman"/>
          <w:sz w:val="28"/>
          <w:szCs w:val="28"/>
          <w:lang w:val="fr-FR"/>
        </w:rPr>
      </w:pPr>
      <w:r>
        <w:rPr>
          <w:rFonts w:ascii="Times New Roman" w:hAnsi="Times New Roman" w:cs="Times New Roman"/>
          <w:sz w:val="28"/>
          <w:szCs w:val="28"/>
        </w:rPr>
        <w:t>Recommandation.</w:t>
      </w:r>
    </w:p>
    <w:p w14:paraId="6F323230" w14:textId="77777777" w:rsidR="00193CEE" w:rsidRPr="00A5423A" w:rsidRDefault="00193CEE" w:rsidP="002D0934">
      <w:pPr>
        <w:spacing w:line="360" w:lineRule="auto"/>
        <w:ind w:left="720"/>
        <w:jc w:val="both"/>
        <w:rPr>
          <w:rFonts w:ascii="Times New Roman" w:hAnsi="Times New Roman" w:cs="Times New Roman"/>
          <w:sz w:val="28"/>
          <w:szCs w:val="28"/>
          <w:lang w:val="fr-FR"/>
        </w:rPr>
      </w:pPr>
      <w:r>
        <w:rPr>
          <w:rFonts w:ascii="Times New Roman" w:hAnsi="Times New Roman" w:cs="Times New Roman"/>
          <w:sz w:val="28"/>
          <w:szCs w:val="28"/>
        </w:rPr>
        <w:t xml:space="preserve">Une loi anti-discrimination devrait être promulguée pour lutter contre la discrimination et la violence fondées sur l'orientation sexuelle et l'identité de genre. Ce cadre législatif devrait s'accompagner de campagnes de sensibilisation du public et de programmes de renforcement des capacités visant à promouvoir le respect, le dialogue et la tolérance mutuelle, conformément à l'article 36 de la Constitution, afin de favoriser la paix et la cohésion nationale. </w:t>
      </w:r>
    </w:p>
    <w:p w14:paraId="21D66186" w14:textId="590ED461" w:rsidR="00FB1D25" w:rsidRPr="00193CEE" w:rsidRDefault="00FB1D25" w:rsidP="001A0B90">
      <w:pPr>
        <w:pStyle w:val="Paragraphedeliste"/>
        <w:numPr>
          <w:ilvl w:val="0"/>
          <w:numId w:val="7"/>
        </w:numPr>
        <w:spacing w:line="360" w:lineRule="auto"/>
        <w:jc w:val="both"/>
        <w:rPr>
          <w:rFonts w:ascii="Times New Roman" w:hAnsi="Times New Roman" w:cs="Times New Roman"/>
          <w:b/>
          <w:bCs/>
          <w:sz w:val="28"/>
          <w:szCs w:val="28"/>
          <w:lang w:val="fr-FR"/>
        </w:rPr>
      </w:pPr>
      <w:r w:rsidRPr="00193CEE">
        <w:rPr>
          <w:rFonts w:ascii="Times New Roman" w:hAnsi="Times New Roman" w:cs="Times New Roman"/>
          <w:b/>
          <w:bCs/>
          <w:sz w:val="28"/>
          <w:szCs w:val="28"/>
          <w:lang w:val="fr-FR"/>
        </w:rPr>
        <w:t>Contexte social</w:t>
      </w:r>
    </w:p>
    <w:p w14:paraId="22C298F6" w14:textId="77777777" w:rsidR="00A96125" w:rsidRPr="007F4282" w:rsidRDefault="0097378E" w:rsidP="00EE531C">
      <w:pPr>
        <w:pStyle w:val="Paragraphedeliste"/>
        <w:tabs>
          <w:tab w:val="num" w:pos="720"/>
        </w:tabs>
        <w:spacing w:line="360" w:lineRule="auto"/>
        <w:ind w:hanging="720"/>
        <w:jc w:val="both"/>
        <w:rPr>
          <w:rFonts w:ascii="Times New Roman" w:hAnsi="Times New Roman" w:cs="Times New Roman"/>
          <w:b/>
          <w:sz w:val="28"/>
          <w:szCs w:val="28"/>
          <w:lang w:val="fr-FR"/>
        </w:rPr>
      </w:pPr>
      <w:r w:rsidRPr="007F4282">
        <w:rPr>
          <w:rFonts w:ascii="Times New Roman" w:hAnsi="Times New Roman" w:cs="Times New Roman"/>
          <w:sz w:val="28"/>
          <w:szCs w:val="28"/>
          <w:lang w:val="fr-FR"/>
        </w:rPr>
        <w:t xml:space="preserve">Le Bénin est l’un des pays où, même en l’absence de lois criminalisant l’homosexualité et l’expression d’une identité de genre différente du sexe biologique, l’homophobie et la transphobie radicales s’expriment dans sa société. L’environnement social, culturel et religieux ajouté à cela, des mouvements anti-genre se développent, créant et promouvant l’agressivité et le patriarcat comme norme sociale à respecter par tous. </w:t>
      </w:r>
      <w:proofErr w:type="gramStart"/>
      <w:r w:rsidRPr="007F4282">
        <w:rPr>
          <w:rFonts w:ascii="Times New Roman" w:hAnsi="Times New Roman" w:cs="Times New Roman"/>
          <w:sz w:val="28"/>
          <w:szCs w:val="28"/>
          <w:lang w:val="fr-FR"/>
        </w:rPr>
        <w:t>Malheureusement ,</w:t>
      </w:r>
      <w:proofErr w:type="gramEnd"/>
      <w:r w:rsidRPr="007F4282">
        <w:rPr>
          <w:rFonts w:ascii="Times New Roman" w:hAnsi="Times New Roman" w:cs="Times New Roman"/>
          <w:sz w:val="28"/>
          <w:szCs w:val="28"/>
          <w:lang w:val="fr-FR"/>
        </w:rPr>
        <w:t xml:space="preserve"> la violence contre les femmes est une norme sociale qui doit être respectée par tous.</w:t>
      </w:r>
      <w:r w:rsidR="00DA5929">
        <w:rPr>
          <w:rFonts w:ascii="Times New Roman" w:hAnsi="Times New Roman" w:cs="Times New Roman"/>
          <w:sz w:val="28"/>
          <w:szCs w:val="28"/>
          <w:lang w:val="fr-FR"/>
        </w:rPr>
        <w:t xml:space="preserve"> </w:t>
      </w:r>
      <w:r w:rsidR="00DA5929" w:rsidRPr="00656E89">
        <w:rPr>
          <w:rFonts w:ascii="Times New Roman" w:hAnsi="Times New Roman" w:cs="Times New Roman"/>
          <w:sz w:val="28"/>
          <w:szCs w:val="28"/>
        </w:rPr>
        <w:t>L'article 5 de la Convention sur l'élimination de toutes les formes de discrimination à l'égard des femmes (CEDAW) appelle les États à modifier les modèles de comportement sociaux et culturels afin d'éliminer les préjugés et les pratiques discriminatoires à l'égard des femmes.</w:t>
      </w:r>
      <w:r w:rsidR="00DA5929">
        <w:rPr>
          <w:rFonts w:ascii="Times New Roman" w:hAnsi="Times New Roman" w:cs="Times New Roman"/>
          <w:sz w:val="28"/>
          <w:szCs w:val="28"/>
        </w:rPr>
        <w:t xml:space="preserve"> </w:t>
      </w:r>
      <w:r w:rsidRPr="007F4282">
        <w:rPr>
          <w:rFonts w:ascii="Times New Roman" w:hAnsi="Times New Roman" w:cs="Times New Roman"/>
          <w:sz w:val="28"/>
          <w:szCs w:val="28"/>
          <w:lang w:val="fr-FR"/>
        </w:rPr>
        <w:t xml:space="preserve">La violence envers les filles et femmes cisgenres reste taboue malgré l’existence de textes punitifs car la pression sociale de l’entourage ainsi que le harcèlement dont les victimes sont soumises renforcent la peur et l’effroi du rejet et des représailles sociétales. Pourtant, les lois punitives n’abordent </w:t>
      </w:r>
      <w:r w:rsidRPr="007F4282">
        <w:rPr>
          <w:rFonts w:ascii="Times New Roman" w:hAnsi="Times New Roman" w:cs="Times New Roman"/>
          <w:sz w:val="28"/>
          <w:szCs w:val="28"/>
          <w:lang w:val="fr-FR"/>
        </w:rPr>
        <w:lastRenderedPageBreak/>
        <w:t>aucune spécificité liée à la considération du genre féminin comme construction sociale mais l’abordent uniquement sur la considération d’une féminité liée au sexe biologique. Cela pousse une partie de la population à exercer des violences contre les femmes transgenres en utilisant le viol correctif comme recours pour « corriger » et le mariage forcé pour les femmes lesbiennes afin de les faire changer d’orientation sexuelle.</w:t>
      </w:r>
      <w:r w:rsidR="00656E89" w:rsidRPr="00656E89">
        <w:rPr>
          <w:rFonts w:ascii="-webkit-standard" w:hAnsi="-webkit-standard"/>
          <w:color w:val="000000"/>
          <w:sz w:val="27"/>
          <w:szCs w:val="27"/>
        </w:rPr>
        <w:t xml:space="preserve"> </w:t>
      </w:r>
      <w:r w:rsidR="00A96125" w:rsidRPr="00656E89">
        <w:rPr>
          <w:rFonts w:ascii="Times New Roman" w:hAnsi="Times New Roman" w:cs="Times New Roman"/>
          <w:sz w:val="28"/>
          <w:szCs w:val="28"/>
        </w:rPr>
        <w:t>Ces pratiques violent les articles 1, 2 et 3 de la CEDAW, qui obligent les États à éliminer la discrimination à l'égard de toutes les femmes et à assurer le plein développement et la promotion des femmes, quelle que soit leur orientation sexuelle ou leur identité de genre.</w:t>
      </w:r>
    </w:p>
    <w:p w14:paraId="2E172366" w14:textId="77777777" w:rsidR="00F81AC4" w:rsidRPr="00A5423A" w:rsidRDefault="00F81AC4" w:rsidP="00F81AC4">
      <w:pPr>
        <w:pStyle w:val="Numberedlist"/>
        <w:numPr>
          <w:ilvl w:val="0"/>
          <w:numId w:val="0"/>
        </w:numPr>
        <w:spacing w:after="0" w:line="360" w:lineRule="auto"/>
        <w:jc w:val="both"/>
        <w:rPr>
          <w:rFonts w:ascii="Times New Roman" w:hAnsi="Times New Roman" w:cs="Times New Roman"/>
          <w:b/>
          <w:color w:val="auto"/>
          <w:sz w:val="28"/>
          <w:szCs w:val="28"/>
          <w:lang w:val="fr-FR"/>
        </w:rPr>
      </w:pPr>
    </w:p>
    <w:p w14:paraId="4359AFA9" w14:textId="10C7B245" w:rsidR="003B5792" w:rsidRPr="00EE531C" w:rsidRDefault="00F81AC4" w:rsidP="007F4282">
      <w:pPr>
        <w:pStyle w:val="Numberedlist"/>
        <w:numPr>
          <w:ilvl w:val="0"/>
          <w:numId w:val="9"/>
        </w:numPr>
        <w:spacing w:after="0" w:line="360" w:lineRule="auto"/>
        <w:jc w:val="both"/>
        <w:rPr>
          <w:rFonts w:ascii="Times New Roman" w:hAnsi="Times New Roman" w:cs="Times New Roman"/>
          <w:color w:val="auto"/>
          <w:sz w:val="28"/>
          <w:szCs w:val="28"/>
          <w:lang w:val="fr-FR"/>
        </w:rPr>
      </w:pPr>
      <w:r w:rsidRPr="00A5423A">
        <w:rPr>
          <w:rFonts w:ascii="Times New Roman" w:hAnsi="Times New Roman" w:cs="Times New Roman"/>
          <w:color w:val="auto"/>
          <w:sz w:val="28"/>
          <w:szCs w:val="28"/>
          <w:lang w:val="fr-FR"/>
        </w:rPr>
        <w:t xml:space="preserve">Le rapport de recherche </w:t>
      </w:r>
      <w:r w:rsidRPr="00A5423A">
        <w:rPr>
          <w:rFonts w:ascii="Times New Roman" w:hAnsi="Times New Roman" w:cs="Times New Roman"/>
          <w:i/>
          <w:color w:val="auto"/>
          <w:sz w:val="28"/>
          <w:szCs w:val="28"/>
          <w:lang w:val="fr-FR"/>
        </w:rPr>
        <w:t xml:space="preserve">« Pour en finir avec les labyrinthes » </w:t>
      </w:r>
      <w:r w:rsidRPr="00A5423A">
        <w:rPr>
          <w:rFonts w:ascii="Times New Roman" w:hAnsi="Times New Roman" w:cs="Times New Roman"/>
          <w:color w:val="auto"/>
          <w:sz w:val="28"/>
          <w:szCs w:val="28"/>
          <w:lang w:val="fr-FR"/>
        </w:rPr>
        <w:t xml:space="preserve">sur la situation des personnes LBTQ dans 6 pays d’Afrique de l’Ouest et du Centre, dont le Bénin </w:t>
      </w:r>
      <w:r w:rsidRPr="00A5423A">
        <w:rPr>
          <w:rStyle w:val="Appelnotedebasdep"/>
          <w:rFonts w:ascii="Times New Roman" w:hAnsi="Times New Roman" w:cs="Times New Roman"/>
          <w:color w:val="auto"/>
          <w:sz w:val="28"/>
          <w:szCs w:val="28"/>
          <w:lang w:val="fr-FR"/>
        </w:rPr>
        <w:footnoteReference w:id="2"/>
      </w:r>
      <w:r w:rsidRPr="00A5423A">
        <w:rPr>
          <w:rFonts w:ascii="Times New Roman" w:hAnsi="Times New Roman" w:cs="Times New Roman"/>
          <w:color w:val="auto"/>
          <w:sz w:val="28"/>
          <w:szCs w:val="28"/>
          <w:lang w:val="fr-FR"/>
        </w:rPr>
        <w:t>. Au Bénin, 65% des personnes LBTQ ont subi des agressions verbales, 28% ont subi des agressions physiques, 28% ont subi des agressions sexuelles.</w:t>
      </w:r>
      <w:r w:rsidRPr="00A5423A">
        <w:rPr>
          <w:rFonts w:ascii="Times New Roman" w:hAnsi="Times New Roman" w:cs="Times New Roman"/>
          <w:sz w:val="28"/>
          <w:szCs w:val="28"/>
          <w:lang w:val="fr-FR"/>
        </w:rPr>
        <w:t xml:space="preserve"> </w:t>
      </w:r>
      <w:r w:rsidRPr="00A5423A">
        <w:rPr>
          <w:rFonts w:ascii="Times New Roman" w:hAnsi="Times New Roman" w:cs="Times New Roman"/>
          <w:color w:val="auto"/>
          <w:sz w:val="28"/>
          <w:szCs w:val="28"/>
          <w:lang w:val="fr-FR"/>
        </w:rPr>
        <w:t xml:space="preserve">Les résultats de cette étude démontrent que les différentes formes de discriminations subies par les femmes LBTQ accentuent leur positionnement social et économique défavorable, limitent leur accès à des services de santé de qualité et appropriés ; alimentent la violation des droits ; tout cela conduisant à une altération progressive de leur intégrité physique et mentale </w:t>
      </w:r>
      <w:r w:rsidR="00DB72ED" w:rsidRPr="00A5423A">
        <w:rPr>
          <w:rFonts w:ascii="Times New Roman" w:hAnsi="Times New Roman" w:cs="Times New Roman"/>
          <w:sz w:val="28"/>
          <w:szCs w:val="28"/>
          <w:lang w:val="fr-FR"/>
        </w:rPr>
        <w:t>comme le viol correctif, le mariage forcé, les agressions sexuelles et physiques agression.</w:t>
      </w:r>
    </w:p>
    <w:p w14:paraId="1EBE3FF9" w14:textId="77777777" w:rsidR="003F40FC" w:rsidRDefault="003F40FC" w:rsidP="00EE531C">
      <w:pPr>
        <w:pStyle w:val="Paragraphedeliste"/>
        <w:rPr>
          <w:rFonts w:ascii="Times New Roman" w:hAnsi="Times New Roman" w:cs="Times New Roman"/>
          <w:sz w:val="28"/>
          <w:szCs w:val="28"/>
          <w:lang w:val="fr-FR"/>
        </w:rPr>
      </w:pPr>
    </w:p>
    <w:p w14:paraId="4C7BC61A" w14:textId="77777777" w:rsidR="00543D67" w:rsidRDefault="00543D67" w:rsidP="00EE531C">
      <w:pPr>
        <w:pStyle w:val="Paragraphedeliste"/>
        <w:rPr>
          <w:rFonts w:ascii="Times New Roman" w:hAnsi="Times New Roman" w:cs="Times New Roman"/>
          <w:sz w:val="28"/>
          <w:szCs w:val="28"/>
          <w:lang w:val="fr-FR"/>
        </w:rPr>
      </w:pPr>
    </w:p>
    <w:p w14:paraId="150BD962" w14:textId="77777777" w:rsidR="00543D67" w:rsidRDefault="00543D67" w:rsidP="00EE531C">
      <w:pPr>
        <w:pStyle w:val="Paragraphedeliste"/>
        <w:rPr>
          <w:rFonts w:ascii="Times New Roman" w:hAnsi="Times New Roman" w:cs="Times New Roman"/>
          <w:sz w:val="28"/>
          <w:szCs w:val="28"/>
          <w:lang w:val="fr-FR"/>
        </w:rPr>
      </w:pPr>
    </w:p>
    <w:p w14:paraId="340008DE" w14:textId="77777777" w:rsidR="00543D67" w:rsidRDefault="00543D67" w:rsidP="00EE531C">
      <w:pPr>
        <w:pStyle w:val="Paragraphedeliste"/>
        <w:rPr>
          <w:rFonts w:ascii="Times New Roman" w:hAnsi="Times New Roman" w:cs="Times New Roman"/>
          <w:sz w:val="28"/>
          <w:szCs w:val="28"/>
          <w:lang w:val="fr-FR"/>
        </w:rPr>
      </w:pPr>
    </w:p>
    <w:p w14:paraId="4F729685" w14:textId="2063C16F" w:rsidR="003F40FC" w:rsidRPr="009A20C9" w:rsidRDefault="003F40FC" w:rsidP="003F40FC">
      <w:pPr>
        <w:pStyle w:val="Numberedlist"/>
        <w:numPr>
          <w:ilvl w:val="0"/>
          <w:numId w:val="0"/>
        </w:numPr>
        <w:spacing w:after="0" w:line="360" w:lineRule="auto"/>
        <w:ind w:left="360" w:hanging="360"/>
        <w:jc w:val="both"/>
        <w:rPr>
          <w:rFonts w:ascii="Times New Roman" w:hAnsi="Times New Roman" w:cs="Times New Roman"/>
          <w:color w:val="auto"/>
          <w:sz w:val="28"/>
          <w:szCs w:val="28"/>
          <w:lang w:val="fr-FR"/>
        </w:rPr>
      </w:pPr>
      <w:proofErr w:type="spellStart"/>
      <w:r w:rsidRPr="009A20C9">
        <w:rPr>
          <w:rFonts w:ascii="Times New Roman" w:hAnsi="Times New Roman" w:cs="Times New Roman"/>
          <w:color w:val="auto"/>
          <w:sz w:val="28"/>
          <w:szCs w:val="28"/>
          <w:lang w:val="fr-FR"/>
        </w:rPr>
        <w:lastRenderedPageBreak/>
        <w:t>Recommendations</w:t>
      </w:r>
      <w:proofErr w:type="spellEnd"/>
      <w:r w:rsidRPr="009A20C9">
        <w:rPr>
          <w:rFonts w:ascii="Times New Roman" w:hAnsi="Times New Roman" w:cs="Times New Roman"/>
          <w:color w:val="auto"/>
          <w:sz w:val="28"/>
          <w:szCs w:val="28"/>
          <w:lang w:val="fr-FR"/>
        </w:rPr>
        <w:t>.</w:t>
      </w:r>
    </w:p>
    <w:p w14:paraId="48B1D1CF" w14:textId="77777777" w:rsidR="003F40FC" w:rsidRPr="009A20C9" w:rsidRDefault="003F40FC" w:rsidP="003F40FC">
      <w:pPr>
        <w:pStyle w:val="Numberedlist"/>
        <w:numPr>
          <w:ilvl w:val="0"/>
          <w:numId w:val="0"/>
        </w:numPr>
        <w:spacing w:after="0" w:line="360" w:lineRule="auto"/>
        <w:ind w:left="360" w:hanging="360"/>
        <w:jc w:val="both"/>
        <w:rPr>
          <w:rFonts w:ascii="Times New Roman" w:hAnsi="Times New Roman" w:cs="Times New Roman"/>
          <w:color w:val="auto"/>
          <w:sz w:val="28"/>
          <w:szCs w:val="28"/>
          <w:lang w:val="fr-FR"/>
        </w:rPr>
      </w:pPr>
    </w:p>
    <w:p w14:paraId="2E386E59" w14:textId="77777777" w:rsidR="00543D67" w:rsidRPr="009A20C9" w:rsidRDefault="00EE531C" w:rsidP="00543D67">
      <w:pPr>
        <w:pStyle w:val="Paragraphedeliste"/>
        <w:numPr>
          <w:ilvl w:val="0"/>
          <w:numId w:val="23"/>
        </w:numPr>
        <w:spacing w:line="360" w:lineRule="auto"/>
        <w:jc w:val="both"/>
        <w:rPr>
          <w:rFonts w:ascii="Times New Roman" w:hAnsi="Times New Roman" w:cs="Times New Roman"/>
          <w:sz w:val="28"/>
          <w:szCs w:val="28"/>
        </w:rPr>
      </w:pPr>
      <w:r w:rsidRPr="009A20C9">
        <w:rPr>
          <w:rFonts w:ascii="Times New Roman" w:hAnsi="Times New Roman" w:cs="Times New Roman"/>
          <w:b/>
          <w:bCs/>
          <w:sz w:val="28"/>
          <w:szCs w:val="28"/>
        </w:rPr>
        <w:t xml:space="preserve">Réformes juridiques pour protéger les femmes LBTQ : </w:t>
      </w:r>
      <w:r w:rsidRPr="009A20C9">
        <w:rPr>
          <w:rFonts w:ascii="Times New Roman" w:hAnsi="Times New Roman" w:cs="Times New Roman"/>
          <w:sz w:val="28"/>
          <w:szCs w:val="28"/>
        </w:rPr>
        <w:br/>
        <w:t xml:space="preserve">Le gouvernement du Bénin devrait promulguer des lois anti-discrimination et </w:t>
      </w:r>
      <w:proofErr w:type="spellStart"/>
      <w:r w:rsidRPr="009A20C9">
        <w:rPr>
          <w:rFonts w:ascii="Times New Roman" w:hAnsi="Times New Roman" w:cs="Times New Roman"/>
          <w:sz w:val="28"/>
          <w:szCs w:val="28"/>
        </w:rPr>
        <w:t>anti-violence</w:t>
      </w:r>
      <w:proofErr w:type="spellEnd"/>
      <w:r w:rsidRPr="009A20C9">
        <w:rPr>
          <w:rFonts w:ascii="Times New Roman" w:hAnsi="Times New Roman" w:cs="Times New Roman"/>
          <w:sz w:val="28"/>
          <w:szCs w:val="28"/>
        </w:rPr>
        <w:t xml:space="preserve"> complètes qui protègent spécifiquement les individus en fonction de leur orientation sexuelle et de leur identité de genre. Ces lois devraient s'attaquer aux défis uniques auxquels sont confrontées les femmes LBTQ, notamment en criminalisant des pratiques telles que le viol correctif et le mariage forcé, et en veillant à ce que les auteurs soient tenus responsables par le biais de mécanismes d'application efficaces.</w:t>
      </w:r>
    </w:p>
    <w:p w14:paraId="5BED65F5" w14:textId="77777777" w:rsidR="00543D67" w:rsidRPr="009A20C9" w:rsidRDefault="00EE531C" w:rsidP="00543D67">
      <w:pPr>
        <w:pStyle w:val="Paragraphedeliste"/>
        <w:numPr>
          <w:ilvl w:val="0"/>
          <w:numId w:val="23"/>
        </w:numPr>
        <w:spacing w:line="360" w:lineRule="auto"/>
        <w:jc w:val="both"/>
        <w:rPr>
          <w:rFonts w:ascii="Times New Roman" w:hAnsi="Times New Roman" w:cs="Times New Roman"/>
          <w:sz w:val="28"/>
          <w:szCs w:val="28"/>
        </w:rPr>
      </w:pPr>
      <w:r w:rsidRPr="009A20C9">
        <w:rPr>
          <w:rFonts w:ascii="Times New Roman" w:hAnsi="Times New Roman" w:cs="Times New Roman"/>
          <w:b/>
          <w:bCs/>
          <w:sz w:val="28"/>
          <w:szCs w:val="28"/>
        </w:rPr>
        <w:t xml:space="preserve">Campagnes de sensibilisation et d'éducation du public : Des </w:t>
      </w:r>
      <w:r w:rsidRPr="009A20C9">
        <w:rPr>
          <w:rFonts w:ascii="Times New Roman" w:hAnsi="Times New Roman" w:cs="Times New Roman"/>
          <w:sz w:val="28"/>
          <w:szCs w:val="28"/>
        </w:rPr>
        <w:br/>
        <w:t>campagnes nationales devraient être lancées pour éduquer le public sur la diversité des genres et l'orientation sexuelle, dans le but de démanteler les normes sociétales néfastes telles que le patriarcat, l'homophobie et la transphobie. Ces campagnes devraient impliquer les dirigeants religieux, communautaires et politiques pour promouvoir le dialogue, le respect et la tolérance, et pour lutter contre les mouvements radicaux anti-genre qui alimentent l'agression contre les femmes LBTQ.</w:t>
      </w:r>
    </w:p>
    <w:p w14:paraId="4234781C" w14:textId="77777777" w:rsidR="00543D67" w:rsidRPr="009A20C9" w:rsidRDefault="00EE531C" w:rsidP="00543D67">
      <w:pPr>
        <w:pStyle w:val="Paragraphedeliste"/>
        <w:numPr>
          <w:ilvl w:val="0"/>
          <w:numId w:val="23"/>
        </w:numPr>
        <w:spacing w:line="360" w:lineRule="auto"/>
        <w:jc w:val="both"/>
        <w:rPr>
          <w:rFonts w:ascii="Times New Roman" w:hAnsi="Times New Roman" w:cs="Times New Roman"/>
          <w:sz w:val="28"/>
          <w:szCs w:val="28"/>
        </w:rPr>
      </w:pPr>
      <w:r w:rsidRPr="009A20C9">
        <w:rPr>
          <w:rFonts w:ascii="Times New Roman" w:hAnsi="Times New Roman" w:cs="Times New Roman"/>
          <w:b/>
          <w:bCs/>
          <w:sz w:val="28"/>
          <w:szCs w:val="28"/>
        </w:rPr>
        <w:t xml:space="preserve">Systèmes de soutien pour les survivants LBTQ de la violence : Mettre </w:t>
      </w:r>
      <w:r w:rsidRPr="009A20C9">
        <w:rPr>
          <w:rFonts w:ascii="Times New Roman" w:hAnsi="Times New Roman" w:cs="Times New Roman"/>
          <w:sz w:val="28"/>
          <w:szCs w:val="28"/>
        </w:rPr>
        <w:br/>
        <w:t>en place des services de soutien spécialisés pour les survivants LBTQ de la violence, y compris des refuges, des conseils, de l'aide juridique et des soins médicaux. Ces services devraient tenir compte des traumatismes et tenir compte des besoins uniques des femmes LBTQ, en garantissant l'accès à des soins de santé complets, y compris des services de santé mentale, et à des espaces sûrs pour le rétablissement.</w:t>
      </w:r>
    </w:p>
    <w:p w14:paraId="2424B745" w14:textId="77777777" w:rsidR="00543D67" w:rsidRPr="009A20C9" w:rsidRDefault="00EE531C" w:rsidP="00543D67">
      <w:pPr>
        <w:pStyle w:val="Paragraphedeliste"/>
        <w:numPr>
          <w:ilvl w:val="0"/>
          <w:numId w:val="23"/>
        </w:numPr>
        <w:spacing w:line="360" w:lineRule="auto"/>
        <w:jc w:val="both"/>
        <w:rPr>
          <w:rFonts w:ascii="Times New Roman" w:hAnsi="Times New Roman" w:cs="Times New Roman"/>
          <w:sz w:val="28"/>
          <w:szCs w:val="28"/>
        </w:rPr>
      </w:pPr>
      <w:r w:rsidRPr="009A20C9">
        <w:rPr>
          <w:rFonts w:ascii="Times New Roman" w:hAnsi="Times New Roman" w:cs="Times New Roman"/>
          <w:b/>
          <w:bCs/>
          <w:sz w:val="28"/>
          <w:szCs w:val="28"/>
        </w:rPr>
        <w:t xml:space="preserve">Collecte de données et recherche : Développer </w:t>
      </w:r>
      <w:r w:rsidRPr="009A20C9">
        <w:rPr>
          <w:rFonts w:ascii="Times New Roman" w:hAnsi="Times New Roman" w:cs="Times New Roman"/>
          <w:sz w:val="28"/>
          <w:szCs w:val="28"/>
        </w:rPr>
        <w:br/>
        <w:t xml:space="preserve">des systèmes de collecte systématique de données sur la violence et la discrimination à l'égard des femmes LBTQ au Bénin. Ces données devraient éclairer les interventions politiques fondées sur des données </w:t>
      </w:r>
      <w:r w:rsidRPr="009A20C9">
        <w:rPr>
          <w:rFonts w:ascii="Times New Roman" w:hAnsi="Times New Roman" w:cs="Times New Roman"/>
          <w:sz w:val="28"/>
          <w:szCs w:val="28"/>
        </w:rPr>
        <w:lastRenderedPageBreak/>
        <w:t>probantes et aider à suivre la prévalence des crimes haineux, l'accès à la justice et l'efficacité des mesures de protection existantes. De plus, le gouvernement devrait soutenir la recherche visant à mieux comprendre les obstacles intersectionnels auxquels sont confrontées les femmes LBTQ, notamment dans les domaines de la santé, de l'éducation et de l'emploi.</w:t>
      </w:r>
    </w:p>
    <w:p w14:paraId="68131DB8" w14:textId="77777777" w:rsidR="00543D67" w:rsidRPr="009A20C9" w:rsidRDefault="00EE531C" w:rsidP="00543D67">
      <w:pPr>
        <w:pStyle w:val="Paragraphedeliste"/>
        <w:numPr>
          <w:ilvl w:val="0"/>
          <w:numId w:val="23"/>
        </w:numPr>
        <w:spacing w:line="360" w:lineRule="auto"/>
        <w:jc w:val="both"/>
        <w:rPr>
          <w:rFonts w:ascii="Times New Roman" w:hAnsi="Times New Roman" w:cs="Times New Roman"/>
          <w:sz w:val="28"/>
          <w:szCs w:val="28"/>
        </w:rPr>
      </w:pPr>
      <w:r w:rsidRPr="009A20C9">
        <w:rPr>
          <w:rFonts w:ascii="Times New Roman" w:hAnsi="Times New Roman" w:cs="Times New Roman"/>
          <w:b/>
          <w:bCs/>
          <w:sz w:val="28"/>
          <w:szCs w:val="28"/>
        </w:rPr>
        <w:t xml:space="preserve">Renforcer l'application de la loi et la formation judiciaire : </w:t>
      </w:r>
      <w:r w:rsidRPr="009A20C9">
        <w:rPr>
          <w:rFonts w:ascii="Times New Roman" w:hAnsi="Times New Roman" w:cs="Times New Roman"/>
          <w:sz w:val="28"/>
          <w:szCs w:val="28"/>
        </w:rPr>
        <w:br/>
        <w:t>Former les agents des forces de l'ordre et le système judiciaire au traitement des cas de violence à l'égard des femmes LBTQ, en mettant l'accent sur l'importance des pratiques non discriminatoires et des principes des droits de l'homme. Cela garantira que les cas impliquant des femmes LBTQ sont traités sérieusement et équitablement, ce qui favorisera l'accès à la justice et réduira l'impunité des auteurs de violences basées sur le genre.</w:t>
      </w:r>
    </w:p>
    <w:p w14:paraId="24D9118F" w14:textId="124E7CB6" w:rsidR="00EE531C" w:rsidRPr="009A20C9" w:rsidRDefault="00EE531C" w:rsidP="00543D67">
      <w:pPr>
        <w:pStyle w:val="Paragraphedeliste"/>
        <w:numPr>
          <w:ilvl w:val="0"/>
          <w:numId w:val="23"/>
        </w:numPr>
        <w:spacing w:line="360" w:lineRule="auto"/>
        <w:jc w:val="both"/>
        <w:rPr>
          <w:rFonts w:ascii="Times New Roman" w:hAnsi="Times New Roman" w:cs="Times New Roman"/>
          <w:sz w:val="28"/>
          <w:szCs w:val="28"/>
        </w:rPr>
      </w:pPr>
      <w:r w:rsidRPr="009A20C9">
        <w:rPr>
          <w:rFonts w:ascii="Times New Roman" w:hAnsi="Times New Roman" w:cs="Times New Roman"/>
          <w:b/>
          <w:bCs/>
          <w:sz w:val="28"/>
          <w:szCs w:val="28"/>
        </w:rPr>
        <w:t>Programmes d'autonomisation économique : Élaborer</w:t>
      </w:r>
      <w:r w:rsidRPr="009A20C9">
        <w:rPr>
          <w:rFonts w:ascii="Times New Roman" w:hAnsi="Times New Roman" w:cs="Times New Roman"/>
          <w:sz w:val="28"/>
          <w:szCs w:val="28"/>
        </w:rPr>
        <w:br/>
        <w:t xml:space="preserve"> des initiatives d'autonomisation économique ciblant les femmes LBTQ, visant à améliorer leur accès à l'emploi, à l'éducation et aux possibilités d'entrepreneuriat. En renforçant leur positionnement économique, ces programmes contribueront à atténuer la vulnérabilité sociale et économique qui exacerbe leur exposition à la violence et à la discrimination.</w:t>
      </w:r>
    </w:p>
    <w:p w14:paraId="4386C492" w14:textId="580EC2A1" w:rsidR="003B5792" w:rsidRPr="00A5423A" w:rsidRDefault="003F40FC" w:rsidP="00EE531C">
      <w:pPr>
        <w:pStyle w:val="Numberedlist"/>
        <w:numPr>
          <w:ilvl w:val="0"/>
          <w:numId w:val="0"/>
        </w:numPr>
        <w:spacing w:after="0" w:line="360" w:lineRule="auto"/>
        <w:ind w:left="360" w:hanging="360"/>
        <w:jc w:val="both"/>
        <w:rPr>
          <w:lang w:val="fr-FR"/>
        </w:rPr>
      </w:pPr>
      <w:r>
        <w:rPr>
          <w:rFonts w:ascii="Times New Roman" w:hAnsi="Times New Roman" w:cs="Times New Roman"/>
          <w:color w:val="auto"/>
          <w:sz w:val="28"/>
          <w:szCs w:val="28"/>
          <w:lang w:val="fr-FR"/>
        </w:rPr>
        <w:t xml:space="preserve"> </w:t>
      </w:r>
    </w:p>
    <w:p w14:paraId="0275ECC2" w14:textId="7C7F7440" w:rsidR="003B5792" w:rsidRPr="007F4282" w:rsidRDefault="00284F77" w:rsidP="001A0B90">
      <w:pPr>
        <w:pStyle w:val="Paragraphedeliste"/>
        <w:keepNext/>
        <w:keepLines/>
        <w:numPr>
          <w:ilvl w:val="0"/>
          <w:numId w:val="7"/>
        </w:numPr>
        <w:spacing w:after="0" w:line="360" w:lineRule="auto"/>
        <w:ind w:right="38"/>
        <w:jc w:val="both"/>
        <w:outlineLvl w:val="0"/>
        <w:rPr>
          <w:rFonts w:ascii="Times New Roman" w:hAnsi="Times New Roman" w:cs="Times New Roman"/>
          <w:sz w:val="28"/>
          <w:szCs w:val="28"/>
          <w:lang w:val="fr-FR"/>
        </w:rPr>
      </w:pPr>
      <w:r>
        <w:rPr>
          <w:rFonts w:ascii="Times New Roman" w:hAnsi="Times New Roman" w:cs="Times New Roman"/>
          <w:b/>
          <w:sz w:val="28"/>
          <w:szCs w:val="28"/>
          <w:lang w:val="fr-FR"/>
        </w:rPr>
        <w:t>Le droit à la santé</w:t>
      </w:r>
    </w:p>
    <w:p w14:paraId="5DD22093" w14:textId="77777777" w:rsidR="003B5792" w:rsidRPr="00A5423A" w:rsidRDefault="003B5792" w:rsidP="003B5792">
      <w:pPr>
        <w:keepNext/>
        <w:keepLines/>
        <w:spacing w:after="0" w:line="360" w:lineRule="auto"/>
        <w:ind w:right="38"/>
        <w:jc w:val="both"/>
        <w:outlineLvl w:val="0"/>
        <w:rPr>
          <w:rFonts w:ascii="Times New Roman" w:hAnsi="Times New Roman" w:cs="Times New Roman"/>
          <w:b/>
          <w:sz w:val="28"/>
          <w:szCs w:val="28"/>
        </w:rPr>
      </w:pPr>
    </w:p>
    <w:p w14:paraId="45861B35" w14:textId="77777777" w:rsidR="00656E89" w:rsidRPr="00EE531C" w:rsidRDefault="00284F77" w:rsidP="0028152A">
      <w:pPr>
        <w:pStyle w:val="Paragraphedeliste"/>
        <w:numPr>
          <w:ilvl w:val="0"/>
          <w:numId w:val="9"/>
        </w:numPr>
        <w:spacing w:line="360" w:lineRule="auto"/>
        <w:ind w:right="41"/>
        <w:jc w:val="both"/>
        <w:rPr>
          <w:rFonts w:ascii="Times New Roman" w:hAnsi="Times New Roman" w:cs="Times New Roman"/>
          <w:sz w:val="28"/>
          <w:szCs w:val="28"/>
          <w:lang w:val="fr-FR"/>
        </w:rPr>
      </w:pPr>
      <w:r w:rsidRPr="00E63ECE">
        <w:rPr>
          <w:rFonts w:ascii="Times New Roman" w:hAnsi="Times New Roman" w:cs="Times New Roman"/>
          <w:sz w:val="28"/>
          <w:szCs w:val="28"/>
        </w:rPr>
        <w:t>La Convention CEDAW reconnaît l’importance d’éliminer toutes les formes de discrimination à l’égard des femmes, notamment dans le domaine des soins de santé et de la protection contre les pratiques néfastes. L’article 12 de la CEDAW souligne le droit à un accès égal aux services de santé, mais les programmes de santé au Bénin ne répondent pas aux besoins spécifiques des femmes lesbiennes, qui sont exclues des principaux groupes de population bénéficiant d’interventions ciblées sur le VIH.</w:t>
      </w:r>
    </w:p>
    <w:p w14:paraId="3868156A" w14:textId="002FD189" w:rsidR="00FB1D25" w:rsidRDefault="003B5792" w:rsidP="0028152A">
      <w:pPr>
        <w:pStyle w:val="Paragraphedeliste"/>
        <w:numPr>
          <w:ilvl w:val="0"/>
          <w:numId w:val="9"/>
        </w:numPr>
        <w:spacing w:line="360" w:lineRule="auto"/>
        <w:ind w:right="41"/>
        <w:jc w:val="both"/>
        <w:rPr>
          <w:rFonts w:ascii="Times New Roman" w:hAnsi="Times New Roman" w:cs="Times New Roman"/>
          <w:sz w:val="28"/>
          <w:szCs w:val="28"/>
          <w:lang w:val="fr-FR"/>
        </w:rPr>
      </w:pPr>
      <w:r w:rsidRPr="00A5423A">
        <w:rPr>
          <w:rFonts w:ascii="Times New Roman" w:hAnsi="Times New Roman" w:cs="Times New Roman"/>
          <w:sz w:val="28"/>
          <w:szCs w:val="28"/>
          <w:lang w:val="fr-FR"/>
        </w:rPr>
        <w:lastRenderedPageBreak/>
        <w:t xml:space="preserve">La stigmatisation associée avec Le fait d’être lesbienne, bisexuelle ou transgenre et les discriminations et abus qui en découlent ont également un impact négatif sur la prévention du VIH au Bénin. Le manque de données sur la vulnérabilité et le taux de prévalence du VIH chez les femmes lesbiennes s’explique par l’échec des programmes de santé à répondre aux besoins des femmes lesbiennes, qui à ce jour ne sont pas considérées comme membres des populations clés et ne bénéficient pas des services de santé disponibles pour ces communautés. Il est clair que de nombreuses femmes non conformes au genre au Bénin sont poussées ou, dans certains cas, forcées à épouser des hommes et à se conformer aux attentes de leur famille de se marier et d’avoir des enfants afin d’éviter la violence et/ou d’essayer de cacher leur identité de genre ou leur orientation sexuelle. Ces femmes sont quasiment invisibles dans le </w:t>
      </w:r>
      <w:r w:rsidRPr="00A5423A">
        <w:rPr>
          <w:rFonts w:ascii="Times New Roman" w:hAnsi="Times New Roman" w:cs="Times New Roman"/>
          <w:bCs/>
          <w:sz w:val="28"/>
          <w:szCs w:val="28"/>
          <w:shd w:val="clear" w:color="auto" w:fill="FFFFFF"/>
          <w:lang w:val="fr-FR"/>
        </w:rPr>
        <w:t xml:space="preserve">Plan stratégique intégré pour l’élimination des maladies prioritaires telles que le VIH/sida, le paludisme, la tuberculose, les hépatites virales, les infections sexuellement transmissibles et les maladies à potentiel épidémique 2020-2024 (PSNIE), </w:t>
      </w:r>
      <w:r w:rsidRPr="00A5423A">
        <w:rPr>
          <w:rFonts w:ascii="Times New Roman" w:hAnsi="Times New Roman" w:cs="Times New Roman"/>
          <w:sz w:val="28"/>
          <w:szCs w:val="28"/>
          <w:lang w:val="fr-FR"/>
        </w:rPr>
        <w:t>qui, dans ses rares mentions de l’orientation sexuelle, ne parle que des hommes ayant des rapports sexuels avec des hommes et des personnes transgenres, ou du simple fait que l’homosexualité existe. Pourtant, les femmes lesbiennes ou bisexuelles constituent une communauté passerelle entre les communautés LGBT et hétérosexuelles et sont donc vulnérables au même titre que les autres communautés.</w:t>
      </w:r>
    </w:p>
    <w:p w14:paraId="27A2D2AC" w14:textId="77777777" w:rsidR="007C0827" w:rsidRDefault="007C0827" w:rsidP="00CB171A">
      <w:pPr>
        <w:spacing w:line="360" w:lineRule="auto"/>
        <w:ind w:right="41"/>
        <w:jc w:val="both"/>
        <w:rPr>
          <w:rFonts w:ascii="Times New Roman" w:hAnsi="Times New Roman" w:cs="Times New Roman"/>
          <w:b/>
          <w:bCs/>
          <w:sz w:val="28"/>
          <w:szCs w:val="28"/>
          <w:lang w:val="fr-FR"/>
        </w:rPr>
      </w:pPr>
      <w:r w:rsidRPr="007F4282">
        <w:rPr>
          <w:rFonts w:ascii="Times New Roman" w:hAnsi="Times New Roman" w:cs="Times New Roman"/>
          <w:b/>
          <w:bCs/>
          <w:sz w:val="28"/>
          <w:szCs w:val="28"/>
        </w:rPr>
        <w:t>Recommandations.</w:t>
      </w:r>
    </w:p>
    <w:p w14:paraId="2C78C7B5" w14:textId="7154B8B8" w:rsidR="007C0827" w:rsidRDefault="007C0827" w:rsidP="00CB171A">
      <w:pPr>
        <w:spacing w:line="360" w:lineRule="auto"/>
        <w:ind w:right="41"/>
        <w:jc w:val="both"/>
        <w:rPr>
          <w:rFonts w:ascii="Times New Roman" w:hAnsi="Times New Roman" w:cs="Times New Roman"/>
          <w:b/>
          <w:bCs/>
          <w:sz w:val="28"/>
          <w:szCs w:val="28"/>
          <w:lang w:val="fr-FR"/>
        </w:rPr>
      </w:pPr>
      <w:r>
        <w:rPr>
          <w:rFonts w:ascii="Times New Roman" w:hAnsi="Times New Roman" w:cs="Times New Roman"/>
          <w:b/>
          <w:bCs/>
          <w:sz w:val="28"/>
          <w:szCs w:val="28"/>
        </w:rPr>
        <w:t>Le gouvernement devrait</w:t>
      </w:r>
    </w:p>
    <w:p w14:paraId="30923F93" w14:textId="2B948057" w:rsidR="007C0827" w:rsidRPr="00AA0C9E" w:rsidRDefault="007C0827" w:rsidP="00EE531C">
      <w:pPr>
        <w:pStyle w:val="Paragraphedeliste"/>
        <w:numPr>
          <w:ilvl w:val="0"/>
          <w:numId w:val="19"/>
        </w:numPr>
        <w:spacing w:line="360" w:lineRule="auto"/>
        <w:jc w:val="both"/>
        <w:rPr>
          <w:rFonts w:ascii="Times New Roman" w:hAnsi="Times New Roman" w:cs="Times New Roman"/>
          <w:sz w:val="28"/>
          <w:szCs w:val="28"/>
        </w:rPr>
      </w:pPr>
      <w:r w:rsidRPr="00AA0C9E">
        <w:rPr>
          <w:rFonts w:ascii="Times New Roman" w:hAnsi="Times New Roman" w:cs="Times New Roman"/>
          <w:sz w:val="28"/>
          <w:szCs w:val="28"/>
        </w:rPr>
        <w:t xml:space="preserve">Élargir la définition des populations clés : Le Gouvernement du Bénin devrait réviser le Plan Stratégique Intégré pour l’Élimination des Maladies Prioritaires (PSNIE) 2020-2024 pour inclure explicitement les femmes lesbiennes et bisexuelles comme populations clés, en veillant à ce qu’elles </w:t>
      </w:r>
      <w:r w:rsidRPr="00AA0C9E">
        <w:rPr>
          <w:rFonts w:ascii="Times New Roman" w:hAnsi="Times New Roman" w:cs="Times New Roman"/>
          <w:sz w:val="28"/>
          <w:szCs w:val="28"/>
        </w:rPr>
        <w:lastRenderedPageBreak/>
        <w:t>bénéficient de services de santé ciblés, notamment de programmes de prévention et de traitement du VIH.</w:t>
      </w:r>
    </w:p>
    <w:p w14:paraId="759DB58D" w14:textId="09C3F3D7" w:rsidR="007C0827" w:rsidRPr="007C0827" w:rsidRDefault="007C0827" w:rsidP="00EE531C">
      <w:pPr>
        <w:pStyle w:val="Paragraphedeliste"/>
        <w:numPr>
          <w:ilvl w:val="0"/>
          <w:numId w:val="19"/>
        </w:numPr>
        <w:spacing w:line="360" w:lineRule="auto"/>
        <w:jc w:val="both"/>
        <w:rPr>
          <w:rFonts w:ascii="Times New Roman" w:hAnsi="Times New Roman" w:cs="Times New Roman"/>
          <w:sz w:val="28"/>
          <w:szCs w:val="28"/>
        </w:rPr>
      </w:pPr>
      <w:r w:rsidRPr="007C0827">
        <w:rPr>
          <w:rFonts w:ascii="Times New Roman" w:hAnsi="Times New Roman" w:cs="Times New Roman"/>
          <w:sz w:val="28"/>
          <w:szCs w:val="28"/>
        </w:rPr>
        <w:t>Élaborer des politiques de santé inclusives : les politiques nationales de santé doivent être actualisées pour garantir que les besoins spécifiques des femmes lesbiennes, bisexuelles et transgenres soient pris en compte dans les cadres de santé publique. Cela comprend l’intégration de dispositions pour des programmes personnalisés de prévention du VIH, l’accès à des services de santé sexuelle et reproductive et un soutien en matière de santé mentale pour les femmes LBT.</w:t>
      </w:r>
    </w:p>
    <w:p w14:paraId="3E4AE98B" w14:textId="190DD5EF" w:rsidR="007C0827" w:rsidRPr="007C0827" w:rsidRDefault="007C0827" w:rsidP="00EE531C">
      <w:pPr>
        <w:pStyle w:val="Paragraphedeliste"/>
        <w:numPr>
          <w:ilvl w:val="0"/>
          <w:numId w:val="19"/>
        </w:numPr>
        <w:spacing w:line="360" w:lineRule="auto"/>
        <w:jc w:val="both"/>
        <w:rPr>
          <w:rFonts w:ascii="Times New Roman" w:hAnsi="Times New Roman" w:cs="Times New Roman"/>
          <w:sz w:val="28"/>
          <w:szCs w:val="28"/>
        </w:rPr>
      </w:pPr>
      <w:r w:rsidRPr="007C0827">
        <w:rPr>
          <w:rFonts w:ascii="Times New Roman" w:hAnsi="Times New Roman" w:cs="Times New Roman"/>
          <w:sz w:val="28"/>
          <w:szCs w:val="28"/>
        </w:rPr>
        <w:t>Améliorer la collecte de données : le gouvernement devrait mettre en place un mécanisme de collecte de données complètes et ventilées sur la santé et les taux de prévalence du VIH parmi les femmes LBT. Ces données sont essentielles pour éclairer l’élaboration des politiques et des programmes et pour garantir que les interventions répondent efficacement aux vulnérabilités spécifiques de cette population.</w:t>
      </w:r>
    </w:p>
    <w:p w14:paraId="5AEE5522" w14:textId="7A3A74D9" w:rsidR="007C0827" w:rsidRPr="007C0827" w:rsidRDefault="007C0827" w:rsidP="00EE531C">
      <w:pPr>
        <w:pStyle w:val="Paragraphedeliste"/>
        <w:numPr>
          <w:ilvl w:val="0"/>
          <w:numId w:val="19"/>
        </w:numPr>
        <w:spacing w:line="360" w:lineRule="auto"/>
        <w:jc w:val="both"/>
        <w:rPr>
          <w:rFonts w:ascii="Times New Roman" w:hAnsi="Times New Roman" w:cs="Times New Roman"/>
          <w:sz w:val="28"/>
          <w:szCs w:val="28"/>
        </w:rPr>
      </w:pPr>
      <w:r w:rsidRPr="007C0827">
        <w:rPr>
          <w:rFonts w:ascii="Times New Roman" w:hAnsi="Times New Roman" w:cs="Times New Roman"/>
          <w:sz w:val="28"/>
          <w:szCs w:val="28"/>
        </w:rPr>
        <w:t>Accroître la sensibilisation : mettre en œuvre des campagnes de sensibilisation à l’échelle nationale visant à réduire la stigmatisation et la discrimination à l’égard des femmes LBT dans les établissements de santé. Ces campagnes doivent cibler les prestataires de soins de santé, les décideurs politiques et le grand public afin de promouvoir la compréhension et l’inclusion.</w:t>
      </w:r>
    </w:p>
    <w:p w14:paraId="603E66C6" w14:textId="08D4D860" w:rsidR="007C0827" w:rsidRPr="005E6A66" w:rsidRDefault="007C0827" w:rsidP="00EE531C">
      <w:pPr>
        <w:pStyle w:val="Paragraphedeliste"/>
        <w:numPr>
          <w:ilvl w:val="0"/>
          <w:numId w:val="19"/>
        </w:numPr>
        <w:spacing w:line="360" w:lineRule="auto"/>
        <w:jc w:val="both"/>
        <w:rPr>
          <w:rFonts w:ascii="Times New Roman" w:hAnsi="Times New Roman" w:cs="Times New Roman"/>
          <w:sz w:val="28"/>
          <w:szCs w:val="28"/>
        </w:rPr>
      </w:pPr>
      <w:r w:rsidRPr="007C0827">
        <w:rPr>
          <w:rFonts w:ascii="Times New Roman" w:hAnsi="Times New Roman" w:cs="Times New Roman"/>
          <w:sz w:val="28"/>
          <w:szCs w:val="28"/>
        </w:rPr>
        <w:t>Interventions ciblées en faveur des femmes transgenres : L’État devrait mettre en œuvre des stratégies spécifiques de prévention et de traitement du VIH pour les femmes transgenres, qui présentent la prévalence du VIH la plus élevée parmi les populations clés. Ces interventions devraient s’attaquer à la stigmatisation et à l’exclusion sociale sous-jacentes qui aggravent leur vulnérabilité.</w:t>
      </w:r>
    </w:p>
    <w:p w14:paraId="080C9B17" w14:textId="77777777" w:rsidR="00FB1D25" w:rsidRPr="00A5423A" w:rsidRDefault="00FB1D25" w:rsidP="00FB1D25">
      <w:pPr>
        <w:rPr>
          <w:rFonts w:ascii="Times New Roman" w:hAnsi="Times New Roman" w:cs="Times New Roman"/>
          <w:lang w:val="fr-FR"/>
        </w:rPr>
      </w:pPr>
    </w:p>
    <w:p w14:paraId="599E04ED" w14:textId="77777777" w:rsidR="00656E89" w:rsidRPr="00A5423A" w:rsidRDefault="00656E89" w:rsidP="00C257FB">
      <w:pPr>
        <w:spacing w:line="360" w:lineRule="auto"/>
        <w:jc w:val="both"/>
        <w:rPr>
          <w:rFonts w:ascii="Times New Roman" w:hAnsi="Times New Roman" w:cs="Times New Roman"/>
          <w:lang w:val="en-US"/>
        </w:rPr>
      </w:pPr>
    </w:p>
    <w:p w14:paraId="5FAA810B" w14:textId="4BF9D08E" w:rsidR="00FB1D25" w:rsidRPr="00EE531C" w:rsidRDefault="00FB1D25" w:rsidP="00EE531C">
      <w:pPr>
        <w:pStyle w:val="Paragraphedeliste"/>
        <w:numPr>
          <w:ilvl w:val="0"/>
          <w:numId w:val="7"/>
        </w:numPr>
        <w:spacing w:line="360" w:lineRule="auto"/>
        <w:jc w:val="both"/>
        <w:rPr>
          <w:rFonts w:ascii="Times New Roman" w:hAnsi="Times New Roman" w:cs="Times New Roman"/>
          <w:b/>
          <w:sz w:val="28"/>
          <w:szCs w:val="28"/>
          <w:lang w:val="fr-FR"/>
        </w:rPr>
      </w:pPr>
      <w:r w:rsidRPr="00EE531C">
        <w:rPr>
          <w:rFonts w:ascii="Times New Roman" w:hAnsi="Times New Roman" w:cs="Times New Roman"/>
          <w:b/>
          <w:sz w:val="28"/>
          <w:szCs w:val="28"/>
          <w:lang w:val="fr-FR"/>
        </w:rPr>
        <w:lastRenderedPageBreak/>
        <w:t>Droit à la non-discrimination et à une égale protection de la loi en vertu des articles 1, 2 et 5 de la Convention</w:t>
      </w:r>
    </w:p>
    <w:p w14:paraId="19B486B3" w14:textId="77777777" w:rsidR="001E28FC" w:rsidRPr="00A5423A" w:rsidRDefault="00FB1D25" w:rsidP="007F4282">
      <w:pPr>
        <w:pStyle w:val="Paragraphedeliste"/>
        <w:numPr>
          <w:ilvl w:val="0"/>
          <w:numId w:val="9"/>
        </w:numPr>
        <w:spacing w:line="360" w:lineRule="auto"/>
        <w:jc w:val="both"/>
        <w:rPr>
          <w:rFonts w:ascii="Times New Roman" w:hAnsi="Times New Roman" w:cs="Times New Roman"/>
          <w:sz w:val="28"/>
          <w:szCs w:val="28"/>
          <w:lang w:val="fr-FR"/>
        </w:rPr>
      </w:pPr>
      <w:r w:rsidRPr="00A5423A">
        <w:rPr>
          <w:rFonts w:ascii="Times New Roman" w:hAnsi="Times New Roman" w:cs="Times New Roman"/>
          <w:sz w:val="28"/>
          <w:szCs w:val="28"/>
          <w:lang w:val="fr-FR"/>
        </w:rPr>
        <w:t>La Convention sur l’élimination de toutes les formes de discrimination à l’égard des femmes (CEDAW ou la Convention) garantit le droit à la non-discrimination et à une égale protection de la loi et définit les obligations des États à cet égard. Par exemple, l’article 2 de la Convention exige des États qu’ils « condamnent la discrimination à l’égard des femmes sous toutes ses formes et conviennent de poursuivre par tous les moyens appropriés et sans délai une politique visant à éliminer la discrimination à l’égard des femmes ». L’article 1 définit la discrimination comme « toute distinction, exclusion ou restriction fondée sur le sexe qui a pour effet ou pour but de compromettre ou de détruire la reconnaissance, la jouissance ou l’exercice par les femmes… des droits de l’homme et des libertés fondamentales ».</w:t>
      </w:r>
    </w:p>
    <w:p w14:paraId="488B8519" w14:textId="2B7DF1DD" w:rsidR="001E28FC" w:rsidRPr="00A5423A" w:rsidRDefault="00FB1D25" w:rsidP="00C257FB">
      <w:pPr>
        <w:pStyle w:val="Paragraphedeliste"/>
        <w:spacing w:line="360" w:lineRule="auto"/>
        <w:ind w:left="360"/>
        <w:jc w:val="both"/>
        <w:rPr>
          <w:rFonts w:ascii="Times New Roman" w:hAnsi="Times New Roman" w:cs="Times New Roman"/>
          <w:sz w:val="28"/>
          <w:szCs w:val="28"/>
          <w:lang w:val="fr-FR"/>
        </w:rPr>
      </w:pPr>
      <w:r w:rsidRPr="00A5423A">
        <w:rPr>
          <w:rFonts w:ascii="Times New Roman" w:hAnsi="Times New Roman" w:cs="Times New Roman"/>
          <w:sz w:val="28"/>
          <w:szCs w:val="28"/>
          <w:lang w:val="fr-FR"/>
        </w:rPr>
        <w:t xml:space="preserve"> </w:t>
      </w:r>
    </w:p>
    <w:p w14:paraId="0E69F7B7" w14:textId="77777777" w:rsidR="001E28FC" w:rsidRPr="00A5423A" w:rsidRDefault="00FB1D25" w:rsidP="007F4282">
      <w:pPr>
        <w:pStyle w:val="Paragraphedeliste"/>
        <w:numPr>
          <w:ilvl w:val="0"/>
          <w:numId w:val="9"/>
        </w:numPr>
        <w:spacing w:line="360" w:lineRule="auto"/>
        <w:jc w:val="both"/>
        <w:rPr>
          <w:rFonts w:ascii="Times New Roman" w:hAnsi="Times New Roman" w:cs="Times New Roman"/>
          <w:sz w:val="28"/>
          <w:szCs w:val="28"/>
          <w:lang w:val="fr-FR"/>
        </w:rPr>
      </w:pPr>
      <w:r w:rsidRPr="00A5423A">
        <w:rPr>
          <w:rFonts w:ascii="Times New Roman" w:hAnsi="Times New Roman" w:cs="Times New Roman"/>
          <w:sz w:val="28"/>
          <w:szCs w:val="28"/>
          <w:lang w:val="fr-FR"/>
        </w:rPr>
        <w:t>Le Comité pour l'élimination de la discrimination à l'égard des femmes (Comité CEDAW) a précisé que la Convention couvre la discrimination fondée sur le sexe ainsi que la discrimination fondée sur le genre. Dans sa recommandation générale n° 28, le Comité note que « bien que la Convention ne fasse référence qu'à la discrimination fondée sur le sexe, l'interprétation de l'article 1 en conjonction avec les articles 2 f) et 5 a) indique que la Convention couvre la discrimination à l'égard des femmes fondée sur le sexe ».</w:t>
      </w:r>
      <w:r w:rsidRPr="00A5423A">
        <w:rPr>
          <w:rFonts w:ascii="Times New Roman" w:hAnsi="Times New Roman" w:cs="Times New Roman"/>
          <w:sz w:val="28"/>
          <w:szCs w:val="28"/>
          <w:vertAlign w:val="superscript"/>
          <w:lang w:val="fr-FR"/>
        </w:rPr>
        <w:t xml:space="preserve"> </w:t>
      </w:r>
      <w:r w:rsidRPr="00A5423A">
        <w:rPr>
          <w:rFonts w:ascii="Times New Roman" w:hAnsi="Times New Roman" w:cs="Times New Roman"/>
          <w:sz w:val="28"/>
          <w:szCs w:val="28"/>
          <w:vertAlign w:val="superscript"/>
          <w:lang w:val="en-US"/>
        </w:rPr>
        <w:footnoteReference w:id="3"/>
      </w:r>
      <w:r w:rsidRPr="00A5423A">
        <w:rPr>
          <w:rFonts w:ascii="Times New Roman" w:hAnsi="Times New Roman" w:cs="Times New Roman"/>
          <w:sz w:val="28"/>
          <w:szCs w:val="28"/>
          <w:lang w:val="fr-FR"/>
        </w:rPr>
        <w:t xml:space="preserve">À cet égard, le Comité définit le genre comme « les identités, les attributs et les rôles construits par la société et attribués aux femmes et aux hommes, ainsi que la signification sociale et culturelle que la société attribue à ces différences biologiques, créant des relations </w:t>
      </w:r>
      <w:r w:rsidRPr="00A5423A">
        <w:rPr>
          <w:rFonts w:ascii="Times New Roman" w:hAnsi="Times New Roman" w:cs="Times New Roman"/>
          <w:sz w:val="28"/>
          <w:szCs w:val="28"/>
          <w:lang w:val="fr-FR"/>
        </w:rPr>
        <w:lastRenderedPageBreak/>
        <w:t>hiérarchiques entre les femmes et les hommes et, dans la répartition des relations de pouvoir et des droits, favorisant les hommes au détriment des femmes ».</w:t>
      </w:r>
      <w:r w:rsidRPr="00A5423A">
        <w:rPr>
          <w:rFonts w:ascii="Times New Roman" w:hAnsi="Times New Roman" w:cs="Times New Roman"/>
          <w:sz w:val="28"/>
          <w:szCs w:val="28"/>
          <w:vertAlign w:val="superscript"/>
          <w:lang w:val="en-US"/>
        </w:rPr>
        <w:footnoteReference w:id="4"/>
      </w:r>
      <w:r w:rsidRPr="00A5423A">
        <w:rPr>
          <w:rFonts w:ascii="Times New Roman" w:hAnsi="Times New Roman" w:cs="Times New Roman"/>
          <w:sz w:val="28"/>
          <w:szCs w:val="28"/>
          <w:lang w:val="fr-FR"/>
        </w:rPr>
        <w:t xml:space="preserve">  </w:t>
      </w:r>
    </w:p>
    <w:p w14:paraId="1250E958" w14:textId="77777777" w:rsidR="001E28FC" w:rsidRPr="00A5423A" w:rsidRDefault="001E28FC" w:rsidP="00C257FB">
      <w:pPr>
        <w:pStyle w:val="Paragraphedeliste"/>
        <w:spacing w:line="360" w:lineRule="auto"/>
        <w:jc w:val="both"/>
        <w:rPr>
          <w:rFonts w:ascii="Times New Roman" w:hAnsi="Times New Roman" w:cs="Times New Roman"/>
          <w:sz w:val="28"/>
          <w:szCs w:val="28"/>
          <w:lang w:val="fr-FR"/>
        </w:rPr>
      </w:pPr>
    </w:p>
    <w:p w14:paraId="423E8260" w14:textId="77777777" w:rsidR="00F1159C" w:rsidRPr="00A5423A" w:rsidRDefault="00FB1D25" w:rsidP="007F4282">
      <w:pPr>
        <w:pStyle w:val="Paragraphedeliste"/>
        <w:numPr>
          <w:ilvl w:val="0"/>
          <w:numId w:val="9"/>
        </w:numPr>
        <w:spacing w:line="360" w:lineRule="auto"/>
        <w:jc w:val="both"/>
        <w:rPr>
          <w:rFonts w:ascii="Times New Roman" w:hAnsi="Times New Roman" w:cs="Times New Roman"/>
          <w:sz w:val="28"/>
          <w:szCs w:val="28"/>
          <w:lang w:val="fr-FR"/>
        </w:rPr>
      </w:pPr>
      <w:r w:rsidRPr="00A5423A">
        <w:rPr>
          <w:rFonts w:ascii="Times New Roman" w:hAnsi="Times New Roman" w:cs="Times New Roman"/>
          <w:sz w:val="28"/>
          <w:szCs w:val="28"/>
          <w:lang w:val="fr-FR"/>
        </w:rPr>
        <w:t>Il est essentiel que cette analyse de genre soit appliquée dans le contexte de la discrimination à l’égard des femmes lesbiennes, bisexuelles et transgenres au Bénin. Les stéréotypes de genre brouillent souvent les réalités, justifiant la discrimination et les abus contre les personnes qui ne se conforment pas aux stéréotypes de genre. Les stéréotypes discriminatoires ont un impact négatif sur toutes les femmes, en particulier celles qui ne se conforment pas visiblement aux normes ou expressions de genre dominantes, telles que les personnes trans et celles qui sont identifiées comme lesbiennes ou bisexuelles.</w:t>
      </w:r>
    </w:p>
    <w:p w14:paraId="731C66AE" w14:textId="77777777" w:rsidR="00F1159C" w:rsidRPr="00A5423A" w:rsidRDefault="00F1159C" w:rsidP="00C257FB">
      <w:pPr>
        <w:pStyle w:val="Paragraphedeliste"/>
        <w:spacing w:line="360" w:lineRule="auto"/>
        <w:jc w:val="both"/>
        <w:rPr>
          <w:rFonts w:ascii="Times New Roman" w:hAnsi="Times New Roman" w:cs="Times New Roman"/>
          <w:sz w:val="28"/>
          <w:szCs w:val="28"/>
          <w:lang w:val="fr-FR"/>
        </w:rPr>
      </w:pPr>
    </w:p>
    <w:p w14:paraId="2699D452" w14:textId="13E1D4D2" w:rsidR="00FB1D25" w:rsidRPr="00A5423A" w:rsidRDefault="00FB1D25" w:rsidP="007F4282">
      <w:pPr>
        <w:pStyle w:val="Paragraphedeliste"/>
        <w:numPr>
          <w:ilvl w:val="0"/>
          <w:numId w:val="9"/>
        </w:numPr>
        <w:spacing w:line="360" w:lineRule="auto"/>
        <w:jc w:val="both"/>
        <w:rPr>
          <w:rFonts w:ascii="Times New Roman" w:hAnsi="Times New Roman" w:cs="Times New Roman"/>
          <w:sz w:val="28"/>
          <w:szCs w:val="28"/>
          <w:lang w:val="fr-FR"/>
        </w:rPr>
      </w:pPr>
      <w:r w:rsidRPr="00A5423A">
        <w:rPr>
          <w:rFonts w:ascii="Times New Roman" w:hAnsi="Times New Roman" w:cs="Times New Roman"/>
          <w:sz w:val="28"/>
          <w:szCs w:val="28"/>
          <w:lang w:val="fr-FR"/>
        </w:rPr>
        <w:t>Ces remarques s’appliquent concrètement aux personnes considérées coupables de transgression des normes de genre au Bénin. Les femmes lesbiennes, bisexuelles et transgenres sont régulièrement suspectées par la justice, qui ne leur fait pas confiance lorsqu’elles sont témoins de crimes, arrêtées ou condamnées en raison de leur identité ou de leur apparence, ou parce qu’elles tentent de faire valoir leur autonomie corporelle ou leur droit à la vie privée. Cette situation est contraire aux obligations contenues dans l’article 2 de la CEDEF, lu conjointement avec les articles 2 et 5(a).</w:t>
      </w:r>
    </w:p>
    <w:p w14:paraId="76731558" w14:textId="77777777" w:rsidR="00FB1D25" w:rsidRPr="00A5423A" w:rsidRDefault="00FB1D25" w:rsidP="00C257FB">
      <w:pPr>
        <w:spacing w:line="360" w:lineRule="auto"/>
        <w:jc w:val="both"/>
        <w:rPr>
          <w:rFonts w:ascii="Times New Roman" w:hAnsi="Times New Roman" w:cs="Times New Roman"/>
          <w:sz w:val="28"/>
          <w:szCs w:val="28"/>
          <w:lang w:val="fr-FR"/>
        </w:rPr>
      </w:pPr>
      <w:r w:rsidRPr="00A5423A">
        <w:rPr>
          <w:rFonts w:ascii="Times New Roman" w:hAnsi="Times New Roman" w:cs="Times New Roman"/>
          <w:sz w:val="28"/>
          <w:szCs w:val="28"/>
          <w:lang w:val="fr-FR"/>
        </w:rPr>
        <w:t xml:space="preserve"> </w:t>
      </w:r>
    </w:p>
    <w:p w14:paraId="1BCFED37" w14:textId="77777777" w:rsidR="001A2B00" w:rsidRDefault="001A2B00" w:rsidP="00511C75">
      <w:pPr>
        <w:spacing w:line="360" w:lineRule="auto"/>
        <w:ind w:left="284"/>
        <w:jc w:val="both"/>
        <w:rPr>
          <w:rFonts w:ascii="Times New Roman" w:hAnsi="Times New Roman" w:cs="Times New Roman"/>
          <w:b/>
          <w:bCs/>
          <w:sz w:val="28"/>
          <w:szCs w:val="28"/>
          <w:lang w:val="fr-FR"/>
        </w:rPr>
      </w:pPr>
      <w:r w:rsidRPr="007F4282">
        <w:rPr>
          <w:rFonts w:ascii="Times New Roman" w:hAnsi="Times New Roman" w:cs="Times New Roman"/>
          <w:b/>
          <w:bCs/>
          <w:sz w:val="28"/>
          <w:szCs w:val="28"/>
        </w:rPr>
        <w:t>Recommandations.</w:t>
      </w:r>
    </w:p>
    <w:p w14:paraId="12CC092F" w14:textId="16D95043" w:rsidR="001A2B00" w:rsidRPr="00CC21D2" w:rsidRDefault="001A2B00" w:rsidP="00511C75">
      <w:pPr>
        <w:spacing w:line="360" w:lineRule="auto"/>
        <w:jc w:val="both"/>
        <w:rPr>
          <w:rFonts w:ascii="Times New Roman" w:hAnsi="Times New Roman" w:cs="Times New Roman"/>
          <w:sz w:val="28"/>
          <w:szCs w:val="28"/>
          <w:lang w:val="fr-FR"/>
        </w:rPr>
      </w:pPr>
      <w:r w:rsidRPr="00CC21D2">
        <w:rPr>
          <w:rFonts w:ascii="Times New Roman" w:hAnsi="Times New Roman" w:cs="Times New Roman"/>
          <w:sz w:val="28"/>
          <w:szCs w:val="28"/>
        </w:rPr>
        <w:t>Le gouvernement devrait :</w:t>
      </w:r>
    </w:p>
    <w:p w14:paraId="38891E60" w14:textId="304DDB60" w:rsidR="001A2B00" w:rsidRPr="00CC21D2" w:rsidRDefault="001A2B00" w:rsidP="00EE531C">
      <w:pPr>
        <w:pStyle w:val="Paragraphedeliste"/>
        <w:numPr>
          <w:ilvl w:val="0"/>
          <w:numId w:val="22"/>
        </w:numPr>
        <w:spacing w:line="360" w:lineRule="auto"/>
        <w:jc w:val="both"/>
        <w:rPr>
          <w:rFonts w:ascii="Times New Roman" w:hAnsi="Times New Roman" w:cs="Times New Roman"/>
          <w:sz w:val="28"/>
          <w:szCs w:val="28"/>
        </w:rPr>
      </w:pPr>
      <w:r w:rsidRPr="00CC21D2">
        <w:rPr>
          <w:rFonts w:ascii="Times New Roman" w:hAnsi="Times New Roman" w:cs="Times New Roman"/>
          <w:sz w:val="28"/>
          <w:szCs w:val="28"/>
        </w:rPr>
        <w:lastRenderedPageBreak/>
        <w:t>Renforcer les protections juridiques contre la discrimination fondée sur le sexe : Le gouvernement du Bénin doit veiller à ce que les lois nationales protègent pleinement contre la discrimination fondée sur le sexe et le genre, comme le prévoit l’article 1 de la CEDAW, et interdisent explicitement la discrimination fondée sur l’orientation sexuelle et l’identité de genre. Ces protections doivent être activement appliquées pour prévenir et lutter contre toute forme de violence, d’exclusion ou de stigmatisation à laquelle sont confrontées les personnes lesbiennes, bisexuelles et transgenres.</w:t>
      </w:r>
    </w:p>
    <w:p w14:paraId="7F5F1B98" w14:textId="6DE2DF71" w:rsidR="001A2B00" w:rsidRPr="00CC21D2" w:rsidRDefault="001A2B00" w:rsidP="00EE531C">
      <w:pPr>
        <w:pStyle w:val="Paragraphedeliste"/>
        <w:numPr>
          <w:ilvl w:val="0"/>
          <w:numId w:val="22"/>
        </w:numPr>
        <w:spacing w:line="360" w:lineRule="auto"/>
        <w:jc w:val="both"/>
        <w:rPr>
          <w:rFonts w:ascii="Times New Roman" w:hAnsi="Times New Roman" w:cs="Times New Roman"/>
          <w:sz w:val="28"/>
          <w:szCs w:val="28"/>
        </w:rPr>
      </w:pPr>
      <w:r w:rsidRPr="00CC21D2">
        <w:rPr>
          <w:rFonts w:ascii="Times New Roman" w:hAnsi="Times New Roman" w:cs="Times New Roman"/>
          <w:sz w:val="28"/>
          <w:szCs w:val="28"/>
        </w:rPr>
        <w:t>Lutte contre les stéréotypes sexistes discriminatoires : Conformément aux articles 2 f) et 5 a) de la CEDEF, l’État doit mettre en œuvre des campagnes publiques et des programmes d’éducation visant à démanteler les stéréotypes sexistes néfastes. Ces efforts doivent promouvoir l’égalité des sexes, lutter contre les significations sociales et culturelles qui renforcent les relations hiérarchiques entre hommes et femmes et remettre en question les normes qui perpétuent la discrimination à l’encontre de ceux qui ne se conforment pas aux rôles et expressions de genre dominants.</w:t>
      </w:r>
    </w:p>
    <w:p w14:paraId="40BA9982" w14:textId="23AAD9D7" w:rsidR="001A2B00" w:rsidRPr="00CC21D2" w:rsidRDefault="001A2B00" w:rsidP="00EE531C">
      <w:pPr>
        <w:pStyle w:val="Paragraphedeliste"/>
        <w:numPr>
          <w:ilvl w:val="0"/>
          <w:numId w:val="22"/>
        </w:numPr>
        <w:spacing w:line="360" w:lineRule="auto"/>
        <w:jc w:val="both"/>
        <w:rPr>
          <w:rFonts w:ascii="Times New Roman" w:hAnsi="Times New Roman" w:cs="Times New Roman"/>
          <w:sz w:val="28"/>
          <w:szCs w:val="28"/>
        </w:rPr>
      </w:pPr>
      <w:r w:rsidRPr="00CC21D2">
        <w:rPr>
          <w:rFonts w:ascii="Times New Roman" w:hAnsi="Times New Roman" w:cs="Times New Roman"/>
          <w:sz w:val="28"/>
          <w:szCs w:val="28"/>
        </w:rPr>
        <w:t>Garantir l’accès à la justice et un traitement équitable : Le gouvernement du Bénin devrait prendre des mesures pour garantir que les personnes lesbiennes, bisexuelles et transgenres bénéficient d’un traitement juste et équitable dans le système judiciaire. Les forces de l’ordre et les autorités judiciaires devraient recevoir une formation sur l’identité de genre et l’orientation sexuelle afin de réduire les préjugés et de veiller à ce que ces personnes ne soient pas arrêtées, condamnées à tort ou discriminées dans le cadre de procédures judiciaires en raison de leur genre ou de leur identité sexuelle.</w:t>
      </w:r>
    </w:p>
    <w:p w14:paraId="4793DBD0" w14:textId="77777777" w:rsidR="00CC796D" w:rsidRPr="00CC21D2" w:rsidRDefault="001A2B00" w:rsidP="00EE531C">
      <w:pPr>
        <w:pStyle w:val="Paragraphedeliste"/>
        <w:numPr>
          <w:ilvl w:val="0"/>
          <w:numId w:val="22"/>
        </w:numPr>
        <w:spacing w:line="360" w:lineRule="auto"/>
        <w:jc w:val="both"/>
        <w:rPr>
          <w:rFonts w:ascii="Times New Roman" w:hAnsi="Times New Roman" w:cs="Times New Roman"/>
          <w:sz w:val="28"/>
          <w:szCs w:val="28"/>
        </w:rPr>
      </w:pPr>
      <w:r w:rsidRPr="00CC21D2">
        <w:rPr>
          <w:rFonts w:ascii="Times New Roman" w:hAnsi="Times New Roman" w:cs="Times New Roman"/>
          <w:sz w:val="28"/>
          <w:szCs w:val="28"/>
        </w:rPr>
        <w:t xml:space="preserve">Promouvoir l’autonomie corporelle et le droit à la vie privée : L’État doit veiller à ce que toutes les femmes, y compris les lesbiennes, les bisexuelles et les transgenres, jouissent du droit à l’autonomie corporelle et à la vie privée sans crainte de discrimination ou de sanction. Ces droits doivent être </w:t>
      </w:r>
      <w:r w:rsidRPr="00CC21D2">
        <w:rPr>
          <w:rFonts w:ascii="Times New Roman" w:hAnsi="Times New Roman" w:cs="Times New Roman"/>
          <w:sz w:val="28"/>
          <w:szCs w:val="28"/>
        </w:rPr>
        <w:lastRenderedPageBreak/>
        <w:t>garantis dans les cadres juridiques et dans les pratiques, conformément aux obligations du Bénin au titre de l’article 2 de la CEDAW.</w:t>
      </w:r>
    </w:p>
    <w:p w14:paraId="1628EF01" w14:textId="1830C933" w:rsidR="00CC796D" w:rsidRPr="00CC21D2" w:rsidRDefault="001A2B00" w:rsidP="00EE531C">
      <w:pPr>
        <w:pStyle w:val="Paragraphedeliste"/>
        <w:numPr>
          <w:ilvl w:val="0"/>
          <w:numId w:val="22"/>
        </w:numPr>
        <w:spacing w:line="360" w:lineRule="auto"/>
        <w:jc w:val="both"/>
        <w:rPr>
          <w:rFonts w:ascii="Times New Roman" w:hAnsi="Times New Roman" w:cs="Times New Roman"/>
          <w:sz w:val="28"/>
          <w:szCs w:val="28"/>
        </w:rPr>
      </w:pPr>
      <w:r w:rsidRPr="00CC21D2">
        <w:rPr>
          <w:rFonts w:ascii="Times New Roman" w:hAnsi="Times New Roman" w:cs="Times New Roman"/>
          <w:sz w:val="28"/>
          <w:szCs w:val="28"/>
        </w:rPr>
        <w:t>Offrir une formation complète aux fonctionnaires : Les fonctionnaires, y compris la police, les prestataires de soins de santé et le système judiciaire, devraient recevoir une formation obligatoire sur les dispositions de la CEDAW et les droits des femmes, en mettant l’accent sur les besoins et les vulnérabilités des femmes lesbiennes, bisexuelles et transgenres, en mettant l’accent sur la non-discrimination, la sensibilité au genre et la nécessité de respecter la vie privée et l’autonomie.</w:t>
      </w:r>
    </w:p>
    <w:p w14:paraId="6C50BC36" w14:textId="22A36552" w:rsidR="00EC44F7" w:rsidRPr="00CC21D2" w:rsidRDefault="001A2B00" w:rsidP="00EE531C">
      <w:pPr>
        <w:pStyle w:val="Paragraphedeliste"/>
        <w:numPr>
          <w:ilvl w:val="0"/>
          <w:numId w:val="22"/>
        </w:numPr>
        <w:spacing w:line="360" w:lineRule="auto"/>
        <w:jc w:val="both"/>
        <w:rPr>
          <w:rFonts w:ascii="Times New Roman" w:hAnsi="Times New Roman" w:cs="Times New Roman"/>
          <w:sz w:val="28"/>
          <w:szCs w:val="28"/>
        </w:rPr>
      </w:pPr>
      <w:r w:rsidRPr="00CC21D2">
        <w:rPr>
          <w:rFonts w:ascii="Times New Roman" w:hAnsi="Times New Roman" w:cs="Times New Roman"/>
          <w:sz w:val="28"/>
          <w:szCs w:val="28"/>
        </w:rPr>
        <w:t>Surveiller et combattre la violence sexuelle et sexiste : mettre en place des mécanismes de surveillance, d’enquête et de lutte contre la violence sexuelle et sexiste qui cible spécifiquement les femmes lesbiennes, bisexuelles et transgenres. Ces mécanismes devraient garantir que les victimes ont accès à la justice, à une assistance juridique et à des services de santé et sociaux appropriés, et que les auteurs présumés sont tenus responsables de leurs actes.</w:t>
      </w:r>
    </w:p>
    <w:p w14:paraId="12AC62F3" w14:textId="77777777" w:rsidR="00CC21D2" w:rsidRPr="00CC21D2" w:rsidRDefault="00CC21D2" w:rsidP="00CC21D2">
      <w:pPr>
        <w:pStyle w:val="Paragraphedeliste"/>
        <w:spacing w:line="360" w:lineRule="auto"/>
        <w:jc w:val="both"/>
        <w:rPr>
          <w:rFonts w:ascii="Times New Roman" w:hAnsi="Times New Roman" w:cs="Times New Roman"/>
          <w:sz w:val="28"/>
          <w:szCs w:val="28"/>
        </w:rPr>
      </w:pPr>
    </w:p>
    <w:p w14:paraId="49F113CD" w14:textId="1080558C" w:rsidR="00FB1D25" w:rsidRPr="007F4282" w:rsidRDefault="00FB1D25" w:rsidP="00EE531C">
      <w:pPr>
        <w:pStyle w:val="Paragraphedeliste"/>
        <w:numPr>
          <w:ilvl w:val="0"/>
          <w:numId w:val="7"/>
        </w:numPr>
        <w:spacing w:line="360" w:lineRule="auto"/>
        <w:jc w:val="both"/>
        <w:rPr>
          <w:rFonts w:ascii="Times New Roman" w:hAnsi="Times New Roman" w:cs="Times New Roman"/>
          <w:b/>
          <w:sz w:val="28"/>
          <w:szCs w:val="28"/>
          <w:lang w:val="en-US"/>
        </w:rPr>
      </w:pPr>
      <w:bookmarkStart w:id="1" w:name="_Toc13543"/>
      <w:r w:rsidRPr="007F4282">
        <w:rPr>
          <w:rFonts w:ascii="Times New Roman" w:hAnsi="Times New Roman" w:cs="Times New Roman"/>
          <w:b/>
          <w:sz w:val="28"/>
          <w:szCs w:val="28"/>
          <w:lang w:val="fr-FR"/>
        </w:rPr>
        <w:t xml:space="preserve">Articles 1 et 3 et la sécurité des femmes lesbiennes, bisexuelles et transgenres </w:t>
      </w:r>
      <w:bookmarkStart w:id="2" w:name="_Toc13544"/>
      <w:bookmarkEnd w:id="1"/>
      <w:r w:rsidRPr="007F4282">
        <w:rPr>
          <w:rFonts w:ascii="Times New Roman" w:hAnsi="Times New Roman" w:cs="Times New Roman"/>
          <w:b/>
          <w:sz w:val="28"/>
          <w:szCs w:val="28"/>
          <w:lang w:val="fr-FR"/>
        </w:rPr>
        <w:t>au Bénin</w:t>
      </w:r>
      <w:bookmarkEnd w:id="2"/>
    </w:p>
    <w:p w14:paraId="09065964" w14:textId="6306CCCE" w:rsidR="0013527E" w:rsidRPr="00A5423A" w:rsidRDefault="00FB1D25" w:rsidP="007F4282">
      <w:pPr>
        <w:pStyle w:val="Paragraphedeliste"/>
        <w:numPr>
          <w:ilvl w:val="0"/>
          <w:numId w:val="9"/>
        </w:numPr>
        <w:spacing w:line="360" w:lineRule="auto"/>
        <w:jc w:val="both"/>
        <w:rPr>
          <w:rFonts w:ascii="Times New Roman" w:hAnsi="Times New Roman" w:cs="Times New Roman"/>
          <w:sz w:val="28"/>
          <w:szCs w:val="28"/>
          <w:lang w:val="fr-FR"/>
        </w:rPr>
      </w:pPr>
      <w:r w:rsidRPr="00A5423A">
        <w:rPr>
          <w:rFonts w:ascii="Times New Roman" w:hAnsi="Times New Roman" w:cs="Times New Roman"/>
          <w:sz w:val="28"/>
          <w:szCs w:val="28"/>
          <w:lang w:val="fr-FR"/>
        </w:rPr>
        <w:t xml:space="preserve">La Convention oblige les États à protéger les femmes et les filles contre la violence fondée sur le genre. Le Comité CEDAW a noté que la violence fondée sur le genre, bien que non explicitement mentionnée dans la Convention, constitue une forme de discrimination car elle « empêche les femmes de jouir de leurs droits humains et de leurs libertés fondamentales en vertu du droit international et des conventions relatives aux droits de l’homme ». </w:t>
      </w:r>
      <w:r w:rsidRPr="00A5423A">
        <w:rPr>
          <w:rFonts w:ascii="Times New Roman" w:hAnsi="Times New Roman" w:cs="Times New Roman"/>
          <w:sz w:val="28"/>
          <w:szCs w:val="28"/>
          <w:vertAlign w:val="superscript"/>
          <w:lang w:val="en-US"/>
        </w:rPr>
        <w:footnoteReference w:id="5"/>
      </w:r>
      <w:r w:rsidRPr="00A5423A">
        <w:rPr>
          <w:rFonts w:ascii="Times New Roman" w:hAnsi="Times New Roman" w:cs="Times New Roman"/>
          <w:sz w:val="28"/>
          <w:szCs w:val="28"/>
          <w:lang w:val="fr-FR"/>
        </w:rPr>
        <w:t xml:space="preserve">Les États sont bien sûr responsables de la prévention de la </w:t>
      </w:r>
      <w:r w:rsidRPr="00A5423A">
        <w:rPr>
          <w:rFonts w:ascii="Times New Roman" w:hAnsi="Times New Roman" w:cs="Times New Roman"/>
          <w:sz w:val="28"/>
          <w:szCs w:val="28"/>
          <w:lang w:val="fr-FR"/>
        </w:rPr>
        <w:lastRenderedPageBreak/>
        <w:t>violence fondée sur le genre – y compris la violence fondée sur des stéréotypes discriminatoires – commise par leurs propres représentants. Cependant, ils peuvent également être tenus responsables d’actes privés « s’ils n’agissent pas avec la diligence requise pour prévenir, enquêter et punir les violations des droits ».</w:t>
      </w:r>
      <w:r w:rsidRPr="00A5423A">
        <w:rPr>
          <w:rFonts w:ascii="Times New Roman" w:hAnsi="Times New Roman" w:cs="Times New Roman"/>
          <w:sz w:val="28"/>
          <w:szCs w:val="28"/>
          <w:vertAlign w:val="superscript"/>
          <w:lang w:val="en-US"/>
        </w:rPr>
        <w:footnoteReference w:id="6"/>
      </w:r>
      <w:r w:rsidRPr="00A5423A">
        <w:rPr>
          <w:rFonts w:ascii="Times New Roman" w:hAnsi="Times New Roman" w:cs="Times New Roman"/>
          <w:sz w:val="28"/>
          <w:szCs w:val="28"/>
          <w:lang w:val="fr-FR"/>
        </w:rPr>
        <w:t xml:space="preserve">  </w:t>
      </w:r>
    </w:p>
    <w:p w14:paraId="3A921F47" w14:textId="77777777" w:rsidR="0013527E" w:rsidRPr="00A5423A" w:rsidRDefault="0013527E" w:rsidP="00C257FB">
      <w:pPr>
        <w:pStyle w:val="Paragraphedeliste"/>
        <w:spacing w:line="360" w:lineRule="auto"/>
        <w:ind w:left="360"/>
        <w:jc w:val="both"/>
        <w:rPr>
          <w:rFonts w:ascii="Times New Roman" w:hAnsi="Times New Roman" w:cs="Times New Roman"/>
          <w:sz w:val="28"/>
          <w:szCs w:val="28"/>
          <w:lang w:val="fr-FR"/>
        </w:rPr>
      </w:pPr>
    </w:p>
    <w:p w14:paraId="2237E228" w14:textId="2AE0B181" w:rsidR="00FB1D25" w:rsidRPr="00A5423A" w:rsidRDefault="00FB1D25" w:rsidP="007F4282">
      <w:pPr>
        <w:pStyle w:val="Paragraphedeliste"/>
        <w:numPr>
          <w:ilvl w:val="0"/>
          <w:numId w:val="9"/>
        </w:numPr>
        <w:spacing w:line="360" w:lineRule="auto"/>
        <w:jc w:val="both"/>
        <w:rPr>
          <w:rFonts w:ascii="Times New Roman" w:hAnsi="Times New Roman" w:cs="Times New Roman"/>
          <w:sz w:val="28"/>
          <w:szCs w:val="28"/>
          <w:lang w:val="fr-FR"/>
        </w:rPr>
      </w:pPr>
      <w:r w:rsidRPr="00A5423A">
        <w:rPr>
          <w:rFonts w:ascii="Times New Roman" w:hAnsi="Times New Roman" w:cs="Times New Roman"/>
          <w:sz w:val="28"/>
          <w:szCs w:val="28"/>
          <w:lang w:val="fr-FR"/>
        </w:rPr>
        <w:t>La Rapporteuse spéciale sur la violence contre les femmes a souligné le lien entre la violence sexiste et les stéréotypes discriminatoires lorsqu’elle a observé dans un rapport de 2012 au Conseil des droits de l’homme que les personnes lesbiennes, gays, bisexuelles, transgenres, intersexuées et queer (LGBTIQ) sont la cible de violences « parce qu’elles ne se conforment pas aux stéréotypes de genre, de sexualité et/ou d’identité de genre, devenant ainsi victimes de crimes homophobes ».</w:t>
      </w:r>
      <w:r w:rsidRPr="00A5423A">
        <w:rPr>
          <w:rFonts w:ascii="Times New Roman" w:hAnsi="Times New Roman" w:cs="Times New Roman"/>
          <w:sz w:val="28"/>
          <w:szCs w:val="28"/>
          <w:vertAlign w:val="superscript"/>
          <w:lang w:val="fr-FR"/>
        </w:rPr>
        <w:t xml:space="preserve"> </w:t>
      </w:r>
      <w:r w:rsidRPr="00A5423A">
        <w:rPr>
          <w:rFonts w:ascii="Times New Roman" w:hAnsi="Times New Roman" w:cs="Times New Roman"/>
          <w:sz w:val="28"/>
          <w:szCs w:val="28"/>
          <w:vertAlign w:val="superscript"/>
          <w:lang w:val="en-US"/>
        </w:rPr>
        <w:footnoteReference w:id="7"/>
      </w:r>
      <w:r w:rsidRPr="00A5423A">
        <w:rPr>
          <w:rFonts w:ascii="Times New Roman" w:hAnsi="Times New Roman" w:cs="Times New Roman"/>
          <w:sz w:val="28"/>
          <w:szCs w:val="28"/>
          <w:lang w:val="fr-FR"/>
        </w:rPr>
        <w:t>Cette analyse devrait être appliquée à l’étude en cours du Comité sur la situation au Bénin en matière de violences basées sur le genre et de violences faites aux femmes.</w:t>
      </w:r>
    </w:p>
    <w:p w14:paraId="54EBE2C9" w14:textId="77777777" w:rsidR="00FB1D25" w:rsidRPr="00A5423A" w:rsidRDefault="00FB1D25" w:rsidP="00FB1D25">
      <w:pPr>
        <w:rPr>
          <w:rFonts w:ascii="Times New Roman" w:hAnsi="Times New Roman" w:cs="Times New Roman"/>
          <w:lang w:val="fr-FR"/>
        </w:rPr>
      </w:pPr>
    </w:p>
    <w:p w14:paraId="08B41083" w14:textId="427BFBBF" w:rsidR="008447C6" w:rsidRPr="00A5423A" w:rsidRDefault="008447C6" w:rsidP="007F4282">
      <w:pPr>
        <w:spacing w:line="360" w:lineRule="auto"/>
        <w:jc w:val="both"/>
        <w:rPr>
          <w:rFonts w:ascii="Times New Roman" w:hAnsi="Times New Roman" w:cs="Times New Roman"/>
          <w:sz w:val="28"/>
          <w:szCs w:val="28"/>
          <w:lang w:val="fr-FR"/>
        </w:rPr>
      </w:pPr>
      <w:r>
        <w:rPr>
          <w:rFonts w:ascii="Times New Roman" w:hAnsi="Times New Roman" w:cs="Times New Roman"/>
          <w:sz w:val="28"/>
          <w:szCs w:val="28"/>
          <w:lang w:val="fr-FR"/>
        </w:rPr>
        <w:t xml:space="preserve">Recommandations </w:t>
      </w:r>
      <w:r>
        <w:rPr>
          <w:rFonts w:ascii="Times New Roman" w:hAnsi="Times New Roman" w:cs="Times New Roman"/>
          <w:sz w:val="28"/>
          <w:szCs w:val="28"/>
          <w:lang w:val="fr-FR"/>
        </w:rPr>
        <w:br/>
      </w:r>
      <w:r w:rsidR="00DA34F9">
        <w:rPr>
          <w:rFonts w:ascii="Times New Roman" w:hAnsi="Times New Roman" w:cs="Times New Roman"/>
          <w:b/>
          <w:bCs/>
          <w:sz w:val="28"/>
          <w:szCs w:val="28"/>
          <w:lang w:val="fr-FR"/>
        </w:rPr>
        <w:t>Le gouvernement devrait,</w:t>
      </w:r>
    </w:p>
    <w:p w14:paraId="642D4A60" w14:textId="2BF7CA8D" w:rsidR="00FB1D25" w:rsidRPr="00EE531C" w:rsidRDefault="00FB1D25" w:rsidP="00EE531C">
      <w:pPr>
        <w:pStyle w:val="Paragraphedeliste"/>
        <w:numPr>
          <w:ilvl w:val="2"/>
          <w:numId w:val="21"/>
        </w:numPr>
        <w:spacing w:line="360" w:lineRule="auto"/>
        <w:jc w:val="both"/>
        <w:rPr>
          <w:rFonts w:ascii="Times New Roman" w:hAnsi="Times New Roman" w:cs="Times New Roman"/>
          <w:sz w:val="28"/>
          <w:szCs w:val="28"/>
          <w:lang w:val="fr-FR"/>
        </w:rPr>
      </w:pPr>
      <w:r w:rsidRPr="00EE531C">
        <w:rPr>
          <w:rFonts w:ascii="Times New Roman" w:hAnsi="Times New Roman" w:cs="Times New Roman"/>
          <w:sz w:val="28"/>
          <w:szCs w:val="28"/>
          <w:lang w:val="fr-FR"/>
        </w:rPr>
        <w:t>Réviser la loi n° 2021-21 du 20 décembre 2021, maintenant le genre comme une construction sociale et un motif de non- discrimination ;</w:t>
      </w:r>
    </w:p>
    <w:p w14:paraId="6E0FB254" w14:textId="5C225019" w:rsidR="00FB1D25" w:rsidRPr="00EE531C" w:rsidRDefault="00493DCF" w:rsidP="00EE531C">
      <w:pPr>
        <w:pStyle w:val="Paragraphedeliste"/>
        <w:numPr>
          <w:ilvl w:val="2"/>
          <w:numId w:val="21"/>
        </w:numPr>
        <w:spacing w:line="360" w:lineRule="auto"/>
        <w:jc w:val="both"/>
        <w:rPr>
          <w:rFonts w:ascii="Times New Roman" w:hAnsi="Times New Roman" w:cs="Times New Roman"/>
          <w:sz w:val="28"/>
          <w:szCs w:val="28"/>
          <w:lang w:val="fr-FR"/>
        </w:rPr>
      </w:pPr>
      <w:r w:rsidRPr="00EE531C">
        <w:rPr>
          <w:rFonts w:ascii="Times New Roman" w:hAnsi="Times New Roman" w:cs="Times New Roman"/>
          <w:sz w:val="28"/>
          <w:szCs w:val="28"/>
          <w:lang w:val="fr-FR"/>
        </w:rPr>
        <w:t>Faciliter le cadre de collaboration et augmenter le champ d’intervention de l’Institut National des Femmes avec les organisations LBT afin de permettre la reconnaissance des identités de genre non conformes au sexe.</w:t>
      </w:r>
    </w:p>
    <w:p w14:paraId="6B393C72" w14:textId="77777777" w:rsidR="00FB1D25" w:rsidRPr="00A5423A" w:rsidRDefault="00FB1D25" w:rsidP="00FB1D25">
      <w:pPr>
        <w:rPr>
          <w:rFonts w:ascii="Times New Roman" w:hAnsi="Times New Roman" w:cs="Times New Roman"/>
          <w:lang w:val="fr-FR"/>
        </w:rPr>
      </w:pPr>
    </w:p>
    <w:bookmarkEnd w:id="0"/>
    <w:p w14:paraId="249D25FE" w14:textId="77777777" w:rsidR="00B91242" w:rsidRPr="00A5423A" w:rsidRDefault="00B91242">
      <w:pPr>
        <w:rPr>
          <w:rFonts w:ascii="Times New Roman" w:hAnsi="Times New Roman" w:cs="Times New Roman"/>
        </w:rPr>
      </w:pPr>
    </w:p>
    <w:sectPr w:rsidR="00B91242" w:rsidRPr="00A5423A" w:rsidSect="00F21E77">
      <w:footerReference w:type="even" r:id="rId11"/>
      <w:footerReference w:type="default" r:id="rId12"/>
      <w:pgSz w:w="11906" w:h="16838"/>
      <w:pgMar w:top="1417" w:right="1417" w:bottom="1417" w:left="1417" w:header="708" w:footer="708" w:gutter="0"/>
      <w:pgBorders w:offsetFrom="page">
        <w:top w:val="flowersTiny" w:sz="14" w:space="24" w:color="auto"/>
        <w:left w:val="flowersTiny" w:sz="14" w:space="24" w:color="auto"/>
        <w:bottom w:val="flowersTiny" w:sz="14" w:space="24" w:color="auto"/>
        <w:right w:val="flowersTiny" w:sz="1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171C95" w14:textId="77777777" w:rsidR="00F35BA1" w:rsidRDefault="00F35BA1" w:rsidP="00FB1D25">
      <w:pPr>
        <w:spacing w:after="0" w:line="240" w:lineRule="auto"/>
      </w:pPr>
      <w:r>
        <w:separator/>
      </w:r>
    </w:p>
  </w:endnote>
  <w:endnote w:type="continuationSeparator" w:id="0">
    <w:p w14:paraId="1D24071D" w14:textId="77777777" w:rsidR="00F35BA1" w:rsidRDefault="00F35BA1" w:rsidP="00FB1D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dobe Kaiti Std R">
    <w:panose1 w:val="00000000000000000000"/>
    <w:charset w:val="80"/>
    <w:family w:val="roman"/>
    <w:notTrueType/>
    <w:pitch w:val="variable"/>
    <w:sig w:usb0="00000207" w:usb1="0A0F1810" w:usb2="00000016" w:usb3="00000000" w:csb0="00060007"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webkit-standard">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umrodepage"/>
      </w:rPr>
      <w:id w:val="-772558666"/>
      <w:docPartObj>
        <w:docPartGallery w:val="Page Numbers (Bottom of Page)"/>
        <w:docPartUnique/>
      </w:docPartObj>
    </w:sdtPr>
    <w:sdtContent>
      <w:p w14:paraId="108891B3" w14:textId="541108C0" w:rsidR="00E63ECE" w:rsidRDefault="00E63ECE" w:rsidP="00886888">
        <w:pPr>
          <w:pStyle w:val="Pieddepage"/>
          <w:framePr w:wrap="none" w:vAnchor="text" w:hAnchor="margin" w:xAlign="center"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63856BE1" w14:textId="77777777" w:rsidR="00E63ECE" w:rsidRDefault="00E63ECE">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umrodepage"/>
      </w:rPr>
      <w:id w:val="1825396891"/>
      <w:docPartObj>
        <w:docPartGallery w:val="Page Numbers (Bottom of Page)"/>
        <w:docPartUnique/>
      </w:docPartObj>
    </w:sdtPr>
    <w:sdtContent>
      <w:p w14:paraId="30D7DDD3" w14:textId="74900A99" w:rsidR="00E63ECE" w:rsidRDefault="00E63ECE" w:rsidP="00886888">
        <w:pPr>
          <w:pStyle w:val="Pieddepage"/>
          <w:framePr w:wrap="none" w:vAnchor="text" w:hAnchor="margin" w:xAlign="center"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5</w:t>
        </w:r>
        <w:r>
          <w:rPr>
            <w:rStyle w:val="Numrodepage"/>
          </w:rPr>
          <w:fldChar w:fldCharType="end"/>
        </w:r>
      </w:p>
    </w:sdtContent>
  </w:sdt>
  <w:p w14:paraId="38E7D4B4" w14:textId="77777777" w:rsidR="00E63ECE" w:rsidRDefault="00E63ECE">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8E2713" w14:textId="77777777" w:rsidR="00F35BA1" w:rsidRDefault="00F35BA1" w:rsidP="00FB1D25">
      <w:pPr>
        <w:spacing w:after="0" w:line="240" w:lineRule="auto"/>
      </w:pPr>
      <w:r>
        <w:separator/>
      </w:r>
    </w:p>
  </w:footnote>
  <w:footnote w:type="continuationSeparator" w:id="0">
    <w:p w14:paraId="019AC54E" w14:textId="77777777" w:rsidR="00F35BA1" w:rsidRDefault="00F35BA1" w:rsidP="00FB1D25">
      <w:pPr>
        <w:spacing w:after="0" w:line="240" w:lineRule="auto"/>
      </w:pPr>
      <w:r>
        <w:continuationSeparator/>
      </w:r>
    </w:p>
  </w:footnote>
  <w:footnote w:id="1">
    <w:p w14:paraId="1E306165" w14:textId="68FE98B9" w:rsidR="00FB1D25" w:rsidRDefault="00FB1D25" w:rsidP="00FB1D25">
      <w:pPr>
        <w:pStyle w:val="Notedebasdepage"/>
        <w:rPr>
          <w:lang w:val="fr-FR"/>
        </w:rPr>
      </w:pPr>
      <w:r>
        <w:rPr>
          <w:rStyle w:val="Appelnotedebasdep"/>
        </w:rPr>
        <w:footnoteRef/>
      </w:r>
      <w:r>
        <w:t xml:space="preserve">Rapport sur les extensions Chrome 2022 : // </w:t>
      </w:r>
      <w:proofErr w:type="spellStart"/>
      <w:r w:rsidR="00570DEC" w:rsidRPr="00570DEC">
        <w:t>mhjfbmdgcfjbbpaeojofohoefgiehjai</w:t>
      </w:r>
      <w:proofErr w:type="spellEnd"/>
      <w:r w:rsidR="00570DEC" w:rsidRPr="00570DEC">
        <w:t xml:space="preserve"> /index.html</w:t>
      </w:r>
    </w:p>
  </w:footnote>
  <w:footnote w:id="2">
    <w:p w14:paraId="4985BC0A" w14:textId="77777777" w:rsidR="00F81AC4" w:rsidRDefault="00F81AC4" w:rsidP="00F81AC4">
      <w:pPr>
        <w:pStyle w:val="Notedebasdepage"/>
        <w:rPr>
          <w:lang w:val="fr-FR"/>
        </w:rPr>
      </w:pPr>
      <w:r>
        <w:rPr>
          <w:rStyle w:val="Appelnotedebasdep"/>
        </w:rPr>
        <w:footnoteRef/>
      </w:r>
      <w:r>
        <w:t xml:space="preserve"> </w:t>
      </w:r>
      <w:r>
        <w:rPr>
          <w:lang w:val="fr-FR"/>
        </w:rPr>
        <w:t xml:space="preserve">Annexe 3 - </w:t>
      </w:r>
      <w:proofErr w:type="spellStart"/>
      <w:proofErr w:type="gramStart"/>
      <w:r>
        <w:rPr>
          <w:lang w:val="fr-FR"/>
        </w:rPr>
        <w:t>Kugbe</w:t>
      </w:r>
      <w:proofErr w:type="spellEnd"/>
      <w:r>
        <w:rPr>
          <w:lang w:val="fr-FR"/>
        </w:rPr>
        <w:t xml:space="preserve"> ,</w:t>
      </w:r>
      <w:proofErr w:type="gramEnd"/>
      <w:r>
        <w:rPr>
          <w:lang w:val="fr-FR"/>
        </w:rPr>
        <w:t xml:space="preserve"> Y. &amp; </w:t>
      </w:r>
      <w:proofErr w:type="spellStart"/>
      <w:r>
        <w:rPr>
          <w:lang w:val="fr-FR"/>
        </w:rPr>
        <w:t>Akpokli</w:t>
      </w:r>
      <w:proofErr w:type="spellEnd"/>
      <w:r>
        <w:rPr>
          <w:lang w:val="fr-FR"/>
        </w:rPr>
        <w:t xml:space="preserve"> , S. (2020). </w:t>
      </w:r>
      <w:r>
        <w:t>Mettre fin aux « labyrinthes » : un portrait de nos expériences vécues. Recherche communautaire sur l'évaluation des besoins des communautés de femmes lesbiennes, bisexuelles et queer prioritaires dans six pays francophones d'Afrique de l'Ouest et du Centre. Amsterdam, COC Nederland.</w:t>
      </w:r>
    </w:p>
  </w:footnote>
  <w:footnote w:id="3">
    <w:p w14:paraId="1A0A17D0" w14:textId="77777777" w:rsidR="00FB1D25" w:rsidRDefault="00FB1D25" w:rsidP="00FB1D25">
      <w:pPr>
        <w:spacing w:line="244" w:lineRule="auto"/>
        <w:rPr>
          <w:lang w:val="fr-FR"/>
        </w:rPr>
      </w:pPr>
      <w:r>
        <w:footnoteRef/>
      </w:r>
      <w:r>
        <w:rPr>
          <w:lang w:val="fr-FR"/>
        </w:rPr>
        <w:t>Comité CEDAW, « Recommandation générale n° 28 sur les obligations fondamentales des États parties au titre de l’article 2 de la Convention sur l’élimination de toutes les formes de discrimination à l’égard des femmes », CEDAW/C/GC/28, 16 décembre 2010, paragr. 5.</w:t>
      </w:r>
    </w:p>
  </w:footnote>
  <w:footnote w:id="4">
    <w:p w14:paraId="10405205" w14:textId="77777777" w:rsidR="00FB1D25" w:rsidRDefault="00FB1D25" w:rsidP="00FB1D25">
      <w:pPr>
        <w:spacing w:after="29" w:line="256" w:lineRule="auto"/>
        <w:rPr>
          <w:lang w:val="fr-FR"/>
        </w:rPr>
      </w:pPr>
      <w:r>
        <w:footnoteRef/>
      </w:r>
      <w:r>
        <w:rPr>
          <w:lang w:val="fr-FR"/>
        </w:rPr>
        <w:t>Ibid.</w:t>
      </w:r>
    </w:p>
  </w:footnote>
  <w:footnote w:id="5">
    <w:p w14:paraId="42686EAE" w14:textId="77777777" w:rsidR="00FB1D25" w:rsidRDefault="00FB1D25" w:rsidP="00FB1D25">
      <w:pPr>
        <w:jc w:val="both"/>
        <w:rPr>
          <w:lang w:val="fr-FR"/>
        </w:rPr>
      </w:pPr>
      <w:r>
        <w:footnoteRef/>
      </w:r>
      <w:r>
        <w:rPr>
          <w:lang w:val="fr-FR"/>
        </w:rPr>
        <w:t>Comité CEDAW, « Recommandation générale CEDAW n° 19 », contenue dans le document A/47/38, 1992, para. 7.</w:t>
      </w:r>
    </w:p>
  </w:footnote>
  <w:footnote w:id="6">
    <w:p w14:paraId="3B6AECF1" w14:textId="77777777" w:rsidR="00FB1D25" w:rsidRDefault="00FB1D25" w:rsidP="00FB1D25">
      <w:pPr>
        <w:spacing w:after="22" w:line="256" w:lineRule="auto"/>
        <w:rPr>
          <w:lang w:val="fr-FR"/>
        </w:rPr>
      </w:pPr>
      <w:r>
        <w:footnoteRef/>
      </w:r>
      <w:r>
        <w:rPr>
          <w:lang w:val="fr-FR"/>
        </w:rPr>
        <w:t xml:space="preserve"> </w:t>
      </w:r>
      <w:proofErr w:type="spellStart"/>
      <w:r>
        <w:rPr>
          <w:i/>
          <w:lang w:val="fr-FR"/>
        </w:rPr>
        <w:t>Ibid</w:t>
      </w:r>
      <w:proofErr w:type="spellEnd"/>
      <w:r>
        <w:rPr>
          <w:i/>
          <w:lang w:val="fr-FR"/>
        </w:rPr>
        <w:t xml:space="preserve"> </w:t>
      </w:r>
      <w:r>
        <w:rPr>
          <w:lang w:val="fr-FR"/>
        </w:rPr>
        <w:t>, note 1, paragraphe 9.</w:t>
      </w:r>
    </w:p>
  </w:footnote>
  <w:footnote w:id="7">
    <w:p w14:paraId="1010AA54" w14:textId="77777777" w:rsidR="00FB1D25" w:rsidRDefault="00FB1D25" w:rsidP="00FB1D25">
      <w:pPr>
        <w:spacing w:after="5" w:line="247" w:lineRule="auto"/>
        <w:rPr>
          <w:lang w:val="fr-FR"/>
        </w:rPr>
      </w:pPr>
      <w:r>
        <w:footnoteRef/>
      </w:r>
      <w:r>
        <w:rPr>
          <w:lang w:val="fr-FR"/>
        </w:rPr>
        <w:t xml:space="preserve">Rashida </w:t>
      </w:r>
      <w:proofErr w:type="spellStart"/>
      <w:r>
        <w:rPr>
          <w:lang w:val="fr-FR"/>
        </w:rPr>
        <w:t>Manjoo</w:t>
      </w:r>
      <w:proofErr w:type="spellEnd"/>
      <w:r>
        <w:rPr>
          <w:lang w:val="fr-FR"/>
        </w:rPr>
        <w:t xml:space="preserve"> , « Rapport de la Rapporteuse spéciale sur la violence contre les femmes, ses causes et ses conséquences », A/HRC/20/16, 23 mai 2012, para. 72.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E0F72"/>
    <w:multiLevelType w:val="multilevel"/>
    <w:tmpl w:val="073C04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FE40CC"/>
    <w:multiLevelType w:val="hybridMultilevel"/>
    <w:tmpl w:val="7CFC6F26"/>
    <w:lvl w:ilvl="0" w:tplc="E2C89CD0">
      <w:start w:val="4"/>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317672"/>
    <w:multiLevelType w:val="hybridMultilevel"/>
    <w:tmpl w:val="3CE0B09A"/>
    <w:lvl w:ilvl="0" w:tplc="FFE81C5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1CC76C3"/>
    <w:multiLevelType w:val="hybridMultilevel"/>
    <w:tmpl w:val="C8D4EE1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8C10FB"/>
    <w:multiLevelType w:val="hybridMultilevel"/>
    <w:tmpl w:val="623882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230C43"/>
    <w:multiLevelType w:val="hybridMultilevel"/>
    <w:tmpl w:val="4B568520"/>
    <w:lvl w:ilvl="0" w:tplc="0DE08A98">
      <w:start w:val="39"/>
      <w:numFmt w:val="bullet"/>
      <w:lvlText w:val=""/>
      <w:lvlJc w:val="left"/>
      <w:pPr>
        <w:ind w:left="345" w:hanging="360"/>
      </w:pPr>
      <w:rPr>
        <w:rFonts w:ascii="Symbol" w:eastAsia="Adobe Kaiti Std R" w:hAnsi="Symbol" w:cs="Times New Roman" w:hint="default"/>
      </w:rPr>
    </w:lvl>
    <w:lvl w:ilvl="1" w:tplc="20000003">
      <w:start w:val="1"/>
      <w:numFmt w:val="bullet"/>
      <w:lvlText w:val="o"/>
      <w:lvlJc w:val="left"/>
      <w:pPr>
        <w:ind w:left="1065" w:hanging="360"/>
      </w:pPr>
      <w:rPr>
        <w:rFonts w:ascii="Courier New" w:hAnsi="Courier New" w:cs="Courier New" w:hint="default"/>
      </w:rPr>
    </w:lvl>
    <w:lvl w:ilvl="2" w:tplc="20000005">
      <w:start w:val="1"/>
      <w:numFmt w:val="bullet"/>
      <w:lvlText w:val=""/>
      <w:lvlJc w:val="left"/>
      <w:pPr>
        <w:ind w:left="1785" w:hanging="360"/>
      </w:pPr>
      <w:rPr>
        <w:rFonts w:ascii="Wingdings" w:hAnsi="Wingdings" w:hint="default"/>
      </w:rPr>
    </w:lvl>
    <w:lvl w:ilvl="3" w:tplc="20000001">
      <w:start w:val="1"/>
      <w:numFmt w:val="bullet"/>
      <w:lvlText w:val=""/>
      <w:lvlJc w:val="left"/>
      <w:pPr>
        <w:ind w:left="2505" w:hanging="360"/>
      </w:pPr>
      <w:rPr>
        <w:rFonts w:ascii="Symbol" w:hAnsi="Symbol" w:hint="default"/>
      </w:rPr>
    </w:lvl>
    <w:lvl w:ilvl="4" w:tplc="20000003">
      <w:start w:val="1"/>
      <w:numFmt w:val="bullet"/>
      <w:lvlText w:val="o"/>
      <w:lvlJc w:val="left"/>
      <w:pPr>
        <w:ind w:left="3225" w:hanging="360"/>
      </w:pPr>
      <w:rPr>
        <w:rFonts w:ascii="Courier New" w:hAnsi="Courier New" w:cs="Courier New" w:hint="default"/>
      </w:rPr>
    </w:lvl>
    <w:lvl w:ilvl="5" w:tplc="20000005">
      <w:start w:val="1"/>
      <w:numFmt w:val="bullet"/>
      <w:lvlText w:val=""/>
      <w:lvlJc w:val="left"/>
      <w:pPr>
        <w:ind w:left="3945" w:hanging="360"/>
      </w:pPr>
      <w:rPr>
        <w:rFonts w:ascii="Wingdings" w:hAnsi="Wingdings" w:hint="default"/>
      </w:rPr>
    </w:lvl>
    <w:lvl w:ilvl="6" w:tplc="20000001">
      <w:start w:val="1"/>
      <w:numFmt w:val="bullet"/>
      <w:lvlText w:val=""/>
      <w:lvlJc w:val="left"/>
      <w:pPr>
        <w:ind w:left="4665" w:hanging="360"/>
      </w:pPr>
      <w:rPr>
        <w:rFonts w:ascii="Symbol" w:hAnsi="Symbol" w:hint="default"/>
      </w:rPr>
    </w:lvl>
    <w:lvl w:ilvl="7" w:tplc="20000003">
      <w:start w:val="1"/>
      <w:numFmt w:val="bullet"/>
      <w:lvlText w:val="o"/>
      <w:lvlJc w:val="left"/>
      <w:pPr>
        <w:ind w:left="5385" w:hanging="360"/>
      </w:pPr>
      <w:rPr>
        <w:rFonts w:ascii="Courier New" w:hAnsi="Courier New" w:cs="Courier New" w:hint="default"/>
      </w:rPr>
    </w:lvl>
    <w:lvl w:ilvl="8" w:tplc="20000005">
      <w:start w:val="1"/>
      <w:numFmt w:val="bullet"/>
      <w:lvlText w:val=""/>
      <w:lvlJc w:val="left"/>
      <w:pPr>
        <w:ind w:left="6105" w:hanging="360"/>
      </w:pPr>
      <w:rPr>
        <w:rFonts w:ascii="Wingdings" w:hAnsi="Wingdings" w:hint="default"/>
      </w:rPr>
    </w:lvl>
  </w:abstractNum>
  <w:abstractNum w:abstractNumId="6" w15:restartNumberingAfterBreak="0">
    <w:nsid w:val="22886BD6"/>
    <w:multiLevelType w:val="hybridMultilevel"/>
    <w:tmpl w:val="4D46ED54"/>
    <w:lvl w:ilvl="0" w:tplc="6DCA5162">
      <w:start w:val="1"/>
      <w:numFmt w:val="decimal"/>
      <w:lvlText w:val="%1-"/>
      <w:lvlJc w:val="left"/>
      <w:pPr>
        <w:ind w:left="360" w:hanging="360"/>
      </w:pPr>
    </w:lvl>
    <w:lvl w:ilvl="1" w:tplc="20000019">
      <w:start w:val="1"/>
      <w:numFmt w:val="lowerLetter"/>
      <w:lvlText w:val="%2."/>
      <w:lvlJc w:val="left"/>
      <w:pPr>
        <w:ind w:left="1080" w:hanging="360"/>
      </w:pPr>
    </w:lvl>
    <w:lvl w:ilvl="2" w:tplc="2000001B">
      <w:start w:val="1"/>
      <w:numFmt w:val="lowerRoman"/>
      <w:lvlText w:val="%3."/>
      <w:lvlJc w:val="right"/>
      <w:pPr>
        <w:ind w:left="1800" w:hanging="180"/>
      </w:pPr>
    </w:lvl>
    <w:lvl w:ilvl="3" w:tplc="2000000F">
      <w:start w:val="1"/>
      <w:numFmt w:val="decimal"/>
      <w:lvlText w:val="%4."/>
      <w:lvlJc w:val="left"/>
      <w:pPr>
        <w:ind w:left="2520" w:hanging="360"/>
      </w:pPr>
    </w:lvl>
    <w:lvl w:ilvl="4" w:tplc="20000019">
      <w:start w:val="1"/>
      <w:numFmt w:val="lowerLetter"/>
      <w:lvlText w:val="%5."/>
      <w:lvlJc w:val="left"/>
      <w:pPr>
        <w:ind w:left="3240" w:hanging="360"/>
      </w:pPr>
    </w:lvl>
    <w:lvl w:ilvl="5" w:tplc="2000001B">
      <w:start w:val="1"/>
      <w:numFmt w:val="lowerRoman"/>
      <w:lvlText w:val="%6."/>
      <w:lvlJc w:val="right"/>
      <w:pPr>
        <w:ind w:left="3960" w:hanging="180"/>
      </w:pPr>
    </w:lvl>
    <w:lvl w:ilvl="6" w:tplc="2000000F">
      <w:start w:val="1"/>
      <w:numFmt w:val="decimal"/>
      <w:lvlText w:val="%7."/>
      <w:lvlJc w:val="left"/>
      <w:pPr>
        <w:ind w:left="4680" w:hanging="360"/>
      </w:pPr>
    </w:lvl>
    <w:lvl w:ilvl="7" w:tplc="20000019">
      <w:start w:val="1"/>
      <w:numFmt w:val="lowerLetter"/>
      <w:lvlText w:val="%8."/>
      <w:lvlJc w:val="left"/>
      <w:pPr>
        <w:ind w:left="5400" w:hanging="360"/>
      </w:pPr>
    </w:lvl>
    <w:lvl w:ilvl="8" w:tplc="2000001B">
      <w:start w:val="1"/>
      <w:numFmt w:val="lowerRoman"/>
      <w:lvlText w:val="%9."/>
      <w:lvlJc w:val="right"/>
      <w:pPr>
        <w:ind w:left="6120" w:hanging="180"/>
      </w:pPr>
    </w:lvl>
  </w:abstractNum>
  <w:abstractNum w:abstractNumId="7" w15:restartNumberingAfterBreak="0">
    <w:nsid w:val="2C3479BC"/>
    <w:multiLevelType w:val="hybridMultilevel"/>
    <w:tmpl w:val="E85CC90C"/>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448974F5"/>
    <w:multiLevelType w:val="hybridMultilevel"/>
    <w:tmpl w:val="A17459AE"/>
    <w:lvl w:ilvl="0" w:tplc="0809000F">
      <w:start w:val="7"/>
      <w:numFmt w:val="decimal"/>
      <w:lvlText w:val="%1."/>
      <w:lvlJc w:val="left"/>
      <w:pPr>
        <w:ind w:left="720" w:hanging="360"/>
      </w:pPr>
      <w:rPr>
        <w:rFonts w:hint="default"/>
        <w:b w:val="0"/>
      </w:rPr>
    </w:lvl>
    <w:lvl w:ilvl="1" w:tplc="82EE88F0">
      <w:numFmt w:val="bullet"/>
      <w:lvlText w:val=""/>
      <w:lvlJc w:val="left"/>
      <w:pPr>
        <w:ind w:left="1440" w:hanging="360"/>
      </w:pPr>
      <w:rPr>
        <w:rFonts w:ascii="Times New Roman" w:eastAsiaTheme="minorHAnsi" w:hAnsi="Times New Roman" w:cs="Times New Roman" w:hint="default"/>
      </w:rPr>
    </w:lvl>
    <w:lvl w:ilvl="2" w:tplc="BB60F0B0">
      <w:start w:val="36"/>
      <w:numFmt w:val="bullet"/>
      <w:lvlText w:val="-"/>
      <w:lvlJc w:val="left"/>
      <w:pPr>
        <w:ind w:left="2340" w:hanging="360"/>
      </w:pPr>
      <w:rPr>
        <w:rFonts w:ascii="Times New Roman" w:eastAsiaTheme="minorHAnsi" w:hAnsi="Times New Roman" w:cs="Times New Roman"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A55DB3"/>
    <w:multiLevelType w:val="hybridMultilevel"/>
    <w:tmpl w:val="E6DC397C"/>
    <w:lvl w:ilvl="0" w:tplc="8A0A149C">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847206D"/>
    <w:multiLevelType w:val="hybridMultilevel"/>
    <w:tmpl w:val="DE3C5C1C"/>
    <w:lvl w:ilvl="0" w:tplc="08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D230330"/>
    <w:multiLevelType w:val="hybridMultilevel"/>
    <w:tmpl w:val="A632590E"/>
    <w:lvl w:ilvl="0" w:tplc="0809001B">
      <w:start w:val="1"/>
      <w:numFmt w:val="low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29D162F"/>
    <w:multiLevelType w:val="hybridMultilevel"/>
    <w:tmpl w:val="D99CCF14"/>
    <w:lvl w:ilvl="0" w:tplc="27EE28F6">
      <w:start w:val="5"/>
      <w:numFmt w:val="bullet"/>
      <w:lvlText w:val="-"/>
      <w:lvlJc w:val="left"/>
      <w:pPr>
        <w:ind w:left="1080" w:hanging="360"/>
      </w:pPr>
      <w:rPr>
        <w:rFonts w:ascii="Times New Roman" w:eastAsiaTheme="minorHAnsi" w:hAnsi="Times New Roman" w:cs="Times New Roman"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3" w15:restartNumberingAfterBreak="0">
    <w:nsid w:val="553513ED"/>
    <w:multiLevelType w:val="hybridMultilevel"/>
    <w:tmpl w:val="8DBA9FB2"/>
    <w:lvl w:ilvl="0" w:tplc="09986470">
      <w:start w:val="1"/>
      <w:numFmt w:val="decimal"/>
      <w:pStyle w:val="Numberedlist"/>
      <w:lvlText w:val="%1."/>
      <w:lvlJc w:val="left"/>
      <w:pPr>
        <w:ind w:left="360" w:hanging="360"/>
      </w:pPr>
      <w:rPr>
        <w:rFonts w:ascii="Corbel" w:hAnsi="Corbel" w:hint="default"/>
        <w:b w:val="0"/>
        <w:bCs w:val="0"/>
        <w:i w:val="0"/>
        <w:iCs w:val="0"/>
        <w:sz w:val="22"/>
        <w:szCs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56A10F1"/>
    <w:multiLevelType w:val="hybridMultilevel"/>
    <w:tmpl w:val="53FEAE68"/>
    <w:lvl w:ilvl="0" w:tplc="6AACA0C2">
      <w:start w:val="1"/>
      <w:numFmt w:val="decimal"/>
      <w:lvlText w:val="%1."/>
      <w:lvlJc w:val="left"/>
      <w:pPr>
        <w:ind w:left="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E0EEB5B2">
      <w:start w:val="1"/>
      <w:numFmt w:val="lowerLetter"/>
      <w:lvlText w:val="%2"/>
      <w:lvlJc w:val="left"/>
      <w:pPr>
        <w:ind w:left="7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0532A7A8">
      <w:start w:val="1"/>
      <w:numFmt w:val="lowerRoman"/>
      <w:lvlText w:val="%3"/>
      <w:lvlJc w:val="left"/>
      <w:pPr>
        <w:ind w:left="14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57222416">
      <w:start w:val="1"/>
      <w:numFmt w:val="decimal"/>
      <w:lvlText w:val="%4"/>
      <w:lvlJc w:val="left"/>
      <w:pPr>
        <w:ind w:left="21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B758427E">
      <w:start w:val="1"/>
      <w:numFmt w:val="lowerLetter"/>
      <w:lvlText w:val="%5"/>
      <w:lvlJc w:val="left"/>
      <w:pPr>
        <w:ind w:left="28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6EB6C796">
      <w:start w:val="1"/>
      <w:numFmt w:val="lowerRoman"/>
      <w:lvlText w:val="%6"/>
      <w:lvlJc w:val="left"/>
      <w:pPr>
        <w:ind w:left="36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4D4EF848">
      <w:start w:val="1"/>
      <w:numFmt w:val="decimal"/>
      <w:lvlText w:val="%7"/>
      <w:lvlJc w:val="left"/>
      <w:pPr>
        <w:ind w:left="43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64822A56">
      <w:start w:val="1"/>
      <w:numFmt w:val="lowerLetter"/>
      <w:lvlText w:val="%8"/>
      <w:lvlJc w:val="left"/>
      <w:pPr>
        <w:ind w:left="50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A3881752">
      <w:start w:val="1"/>
      <w:numFmt w:val="lowerRoman"/>
      <w:lvlText w:val="%9"/>
      <w:lvlJc w:val="left"/>
      <w:pPr>
        <w:ind w:left="57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15" w15:restartNumberingAfterBreak="0">
    <w:nsid w:val="5B854A62"/>
    <w:multiLevelType w:val="hybridMultilevel"/>
    <w:tmpl w:val="CC5A409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DFD6AC8"/>
    <w:multiLevelType w:val="multilevel"/>
    <w:tmpl w:val="8BEEC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EFD50AD"/>
    <w:multiLevelType w:val="hybridMultilevel"/>
    <w:tmpl w:val="625E456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2F517FE"/>
    <w:multiLevelType w:val="hybridMultilevel"/>
    <w:tmpl w:val="2284880C"/>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DD37565"/>
    <w:multiLevelType w:val="hybridMultilevel"/>
    <w:tmpl w:val="9AA2B278"/>
    <w:lvl w:ilvl="0" w:tplc="08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2027938"/>
    <w:multiLevelType w:val="hybridMultilevel"/>
    <w:tmpl w:val="B6625826"/>
    <w:lvl w:ilvl="0" w:tplc="461AA7A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755465B7"/>
    <w:multiLevelType w:val="hybridMultilevel"/>
    <w:tmpl w:val="F39673D6"/>
    <w:lvl w:ilvl="0" w:tplc="3DF67040">
      <w:start w:val="1"/>
      <w:numFmt w:val="decimal"/>
      <w:lvlText w:val="%1."/>
      <w:lvlJc w:val="left"/>
      <w:pPr>
        <w:ind w:left="284"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A16C314E">
      <w:start w:val="1"/>
      <w:numFmt w:val="lowerLetter"/>
      <w:lvlText w:val="%2"/>
      <w:lvlJc w:val="left"/>
      <w:pPr>
        <w:ind w:left="14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0CE4C5BC">
      <w:start w:val="1"/>
      <w:numFmt w:val="lowerRoman"/>
      <w:lvlText w:val="%3"/>
      <w:lvlJc w:val="left"/>
      <w:pPr>
        <w:ind w:left="21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7B0E4A18">
      <w:start w:val="1"/>
      <w:numFmt w:val="decimal"/>
      <w:lvlText w:val="%4"/>
      <w:lvlJc w:val="left"/>
      <w:pPr>
        <w:ind w:left="28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D512B52E">
      <w:start w:val="1"/>
      <w:numFmt w:val="lowerLetter"/>
      <w:lvlText w:val="%5"/>
      <w:lvlJc w:val="left"/>
      <w:pPr>
        <w:ind w:left="36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2E5013DA">
      <w:start w:val="1"/>
      <w:numFmt w:val="lowerRoman"/>
      <w:lvlText w:val="%6"/>
      <w:lvlJc w:val="left"/>
      <w:pPr>
        <w:ind w:left="43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E65E24E4">
      <w:start w:val="1"/>
      <w:numFmt w:val="decimal"/>
      <w:lvlText w:val="%7"/>
      <w:lvlJc w:val="left"/>
      <w:pPr>
        <w:ind w:left="50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A1409D5E">
      <w:start w:val="1"/>
      <w:numFmt w:val="lowerLetter"/>
      <w:lvlText w:val="%8"/>
      <w:lvlJc w:val="left"/>
      <w:pPr>
        <w:ind w:left="57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88F23A22">
      <w:start w:val="1"/>
      <w:numFmt w:val="lowerRoman"/>
      <w:lvlText w:val="%9"/>
      <w:lvlJc w:val="left"/>
      <w:pPr>
        <w:ind w:left="64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22" w15:restartNumberingAfterBreak="0">
    <w:nsid w:val="7CE820AE"/>
    <w:multiLevelType w:val="hybridMultilevel"/>
    <w:tmpl w:val="F0C42908"/>
    <w:lvl w:ilvl="0" w:tplc="97CC02F8">
      <w:start w:val="1"/>
      <w:numFmt w:val="decimal"/>
      <w:lvlText w:val="%1."/>
      <w:lvlJc w:val="left"/>
      <w:pPr>
        <w:ind w:left="142"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61C40094">
      <w:start w:val="1"/>
      <w:numFmt w:val="lowerLetter"/>
      <w:lvlText w:val="%2"/>
      <w:lvlJc w:val="left"/>
      <w:pPr>
        <w:ind w:left="862"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AEF43812">
      <w:start w:val="1"/>
      <w:numFmt w:val="lowerRoman"/>
      <w:lvlText w:val="%3"/>
      <w:lvlJc w:val="left"/>
      <w:pPr>
        <w:ind w:left="1582"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912A94E4">
      <w:start w:val="1"/>
      <w:numFmt w:val="decimal"/>
      <w:lvlText w:val="%4"/>
      <w:lvlJc w:val="left"/>
      <w:pPr>
        <w:ind w:left="2302"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52C6EEB0">
      <w:start w:val="1"/>
      <w:numFmt w:val="lowerLetter"/>
      <w:lvlText w:val="%5"/>
      <w:lvlJc w:val="left"/>
      <w:pPr>
        <w:ind w:left="3022"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99CA6F00">
      <w:start w:val="1"/>
      <w:numFmt w:val="lowerRoman"/>
      <w:lvlText w:val="%6"/>
      <w:lvlJc w:val="left"/>
      <w:pPr>
        <w:ind w:left="3742"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BB368152">
      <w:start w:val="1"/>
      <w:numFmt w:val="decimal"/>
      <w:lvlText w:val="%7"/>
      <w:lvlJc w:val="left"/>
      <w:pPr>
        <w:ind w:left="4462"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8F924448">
      <w:start w:val="1"/>
      <w:numFmt w:val="lowerLetter"/>
      <w:lvlText w:val="%8"/>
      <w:lvlJc w:val="left"/>
      <w:pPr>
        <w:ind w:left="5182"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E5FCA83A">
      <w:start w:val="1"/>
      <w:numFmt w:val="lowerRoman"/>
      <w:lvlText w:val="%9"/>
      <w:lvlJc w:val="left"/>
      <w:pPr>
        <w:ind w:left="5902"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num w:numId="1" w16cid:durableId="1926306655">
    <w:abstractNumId w:val="5"/>
  </w:num>
  <w:num w:numId="2" w16cid:durableId="6613981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854250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5749506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9688395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9257818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3923593">
    <w:abstractNumId w:val="15"/>
  </w:num>
  <w:num w:numId="8" w16cid:durableId="1653481258">
    <w:abstractNumId w:val="9"/>
  </w:num>
  <w:num w:numId="9" w16cid:durableId="745104560">
    <w:abstractNumId w:val="8"/>
  </w:num>
  <w:num w:numId="10" w16cid:durableId="2144955985">
    <w:abstractNumId w:val="17"/>
  </w:num>
  <w:num w:numId="11" w16cid:durableId="13966719">
    <w:abstractNumId w:val="16"/>
  </w:num>
  <w:num w:numId="12" w16cid:durableId="763771437">
    <w:abstractNumId w:val="0"/>
  </w:num>
  <w:num w:numId="13" w16cid:durableId="571547399">
    <w:abstractNumId w:val="12"/>
  </w:num>
  <w:num w:numId="14" w16cid:durableId="1407990490">
    <w:abstractNumId w:val="2"/>
  </w:num>
  <w:num w:numId="15" w16cid:durableId="1374618844">
    <w:abstractNumId w:val="20"/>
  </w:num>
  <w:num w:numId="16" w16cid:durableId="642081575">
    <w:abstractNumId w:val="4"/>
  </w:num>
  <w:num w:numId="17" w16cid:durableId="1536309464">
    <w:abstractNumId w:val="1"/>
  </w:num>
  <w:num w:numId="18" w16cid:durableId="1612318972">
    <w:abstractNumId w:val="18"/>
  </w:num>
  <w:num w:numId="19" w16cid:durableId="1945335967">
    <w:abstractNumId w:val="19"/>
  </w:num>
  <w:num w:numId="20" w16cid:durableId="1861578677">
    <w:abstractNumId w:val="11"/>
  </w:num>
  <w:num w:numId="21" w16cid:durableId="1091047381">
    <w:abstractNumId w:val="3"/>
  </w:num>
  <w:num w:numId="22" w16cid:durableId="666786057">
    <w:abstractNumId w:val="10"/>
  </w:num>
  <w:num w:numId="23" w16cid:durableId="510066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D25"/>
    <w:rsid w:val="0001391B"/>
    <w:rsid w:val="0004242A"/>
    <w:rsid w:val="00045B1F"/>
    <w:rsid w:val="0006404E"/>
    <w:rsid w:val="00091C21"/>
    <w:rsid w:val="000B0F22"/>
    <w:rsid w:val="000C77DF"/>
    <w:rsid w:val="00107194"/>
    <w:rsid w:val="0013527E"/>
    <w:rsid w:val="00143537"/>
    <w:rsid w:val="001561F6"/>
    <w:rsid w:val="00165819"/>
    <w:rsid w:val="00173FBA"/>
    <w:rsid w:val="00193CEE"/>
    <w:rsid w:val="001A0B90"/>
    <w:rsid w:val="001A2B00"/>
    <w:rsid w:val="001A4B40"/>
    <w:rsid w:val="001E28FC"/>
    <w:rsid w:val="00224265"/>
    <w:rsid w:val="0028152A"/>
    <w:rsid w:val="00284F77"/>
    <w:rsid w:val="002A0332"/>
    <w:rsid w:val="002A5A1F"/>
    <w:rsid w:val="002C28CF"/>
    <w:rsid w:val="00315798"/>
    <w:rsid w:val="00324D46"/>
    <w:rsid w:val="00330CC8"/>
    <w:rsid w:val="00335A52"/>
    <w:rsid w:val="003379E7"/>
    <w:rsid w:val="003443E7"/>
    <w:rsid w:val="00363C4C"/>
    <w:rsid w:val="00370B75"/>
    <w:rsid w:val="003740DE"/>
    <w:rsid w:val="003A34A7"/>
    <w:rsid w:val="003B5792"/>
    <w:rsid w:val="003C56BD"/>
    <w:rsid w:val="003D46E3"/>
    <w:rsid w:val="003D4755"/>
    <w:rsid w:val="003D7783"/>
    <w:rsid w:val="003F40FC"/>
    <w:rsid w:val="0042743C"/>
    <w:rsid w:val="0045340D"/>
    <w:rsid w:val="00455475"/>
    <w:rsid w:val="00476075"/>
    <w:rsid w:val="00491DA1"/>
    <w:rsid w:val="004938E9"/>
    <w:rsid w:val="00493DCF"/>
    <w:rsid w:val="00495CAE"/>
    <w:rsid w:val="004A226B"/>
    <w:rsid w:val="004C5BCD"/>
    <w:rsid w:val="004D2850"/>
    <w:rsid w:val="00521706"/>
    <w:rsid w:val="00525617"/>
    <w:rsid w:val="005264A0"/>
    <w:rsid w:val="00540C05"/>
    <w:rsid w:val="00543D67"/>
    <w:rsid w:val="005475D7"/>
    <w:rsid w:val="00560431"/>
    <w:rsid w:val="00570DEC"/>
    <w:rsid w:val="00581E83"/>
    <w:rsid w:val="00585593"/>
    <w:rsid w:val="005C5290"/>
    <w:rsid w:val="005E044E"/>
    <w:rsid w:val="005E44AA"/>
    <w:rsid w:val="005E6A66"/>
    <w:rsid w:val="006009A0"/>
    <w:rsid w:val="0060440A"/>
    <w:rsid w:val="006054A9"/>
    <w:rsid w:val="0061414C"/>
    <w:rsid w:val="00645237"/>
    <w:rsid w:val="00656E89"/>
    <w:rsid w:val="0068042B"/>
    <w:rsid w:val="0068531B"/>
    <w:rsid w:val="006952DE"/>
    <w:rsid w:val="006A079D"/>
    <w:rsid w:val="006B4769"/>
    <w:rsid w:val="006C297D"/>
    <w:rsid w:val="006F4C0A"/>
    <w:rsid w:val="0072148F"/>
    <w:rsid w:val="007236C1"/>
    <w:rsid w:val="007306B4"/>
    <w:rsid w:val="00731952"/>
    <w:rsid w:val="007770E4"/>
    <w:rsid w:val="007837F3"/>
    <w:rsid w:val="007C0827"/>
    <w:rsid w:val="007D45FA"/>
    <w:rsid w:val="007E0037"/>
    <w:rsid w:val="007F4282"/>
    <w:rsid w:val="00820647"/>
    <w:rsid w:val="008254E3"/>
    <w:rsid w:val="00830A8F"/>
    <w:rsid w:val="008447C6"/>
    <w:rsid w:val="008457A9"/>
    <w:rsid w:val="00851277"/>
    <w:rsid w:val="008553AA"/>
    <w:rsid w:val="00880899"/>
    <w:rsid w:val="008A7FEE"/>
    <w:rsid w:val="008C62C8"/>
    <w:rsid w:val="008D7CC4"/>
    <w:rsid w:val="008E09E9"/>
    <w:rsid w:val="00902B82"/>
    <w:rsid w:val="00906475"/>
    <w:rsid w:val="00946298"/>
    <w:rsid w:val="009715BD"/>
    <w:rsid w:val="0097378E"/>
    <w:rsid w:val="00975DFE"/>
    <w:rsid w:val="009867E7"/>
    <w:rsid w:val="009A20C9"/>
    <w:rsid w:val="009D1DBE"/>
    <w:rsid w:val="009F3FEE"/>
    <w:rsid w:val="009F4524"/>
    <w:rsid w:val="00A50EC2"/>
    <w:rsid w:val="00A532B5"/>
    <w:rsid w:val="00A5423A"/>
    <w:rsid w:val="00A85C38"/>
    <w:rsid w:val="00A96125"/>
    <w:rsid w:val="00A96B4A"/>
    <w:rsid w:val="00AA0C9E"/>
    <w:rsid w:val="00AE1C18"/>
    <w:rsid w:val="00B109B9"/>
    <w:rsid w:val="00B12FE4"/>
    <w:rsid w:val="00B248ED"/>
    <w:rsid w:val="00B41749"/>
    <w:rsid w:val="00B6628C"/>
    <w:rsid w:val="00B67B50"/>
    <w:rsid w:val="00B91242"/>
    <w:rsid w:val="00B913C6"/>
    <w:rsid w:val="00BC3E2D"/>
    <w:rsid w:val="00BD2FC3"/>
    <w:rsid w:val="00BE5364"/>
    <w:rsid w:val="00C17D39"/>
    <w:rsid w:val="00C257FB"/>
    <w:rsid w:val="00C75F83"/>
    <w:rsid w:val="00CA06A4"/>
    <w:rsid w:val="00CB525A"/>
    <w:rsid w:val="00CC21D2"/>
    <w:rsid w:val="00CC796D"/>
    <w:rsid w:val="00CD5227"/>
    <w:rsid w:val="00D11A70"/>
    <w:rsid w:val="00D14AFF"/>
    <w:rsid w:val="00D15BC6"/>
    <w:rsid w:val="00D32559"/>
    <w:rsid w:val="00D64034"/>
    <w:rsid w:val="00DA34F9"/>
    <w:rsid w:val="00DA5929"/>
    <w:rsid w:val="00DB72ED"/>
    <w:rsid w:val="00DF1A6D"/>
    <w:rsid w:val="00E03824"/>
    <w:rsid w:val="00E2723F"/>
    <w:rsid w:val="00E45615"/>
    <w:rsid w:val="00E51F27"/>
    <w:rsid w:val="00E63DE5"/>
    <w:rsid w:val="00E63ECE"/>
    <w:rsid w:val="00EA7DA0"/>
    <w:rsid w:val="00EC1B6A"/>
    <w:rsid w:val="00EC44F7"/>
    <w:rsid w:val="00EC52FC"/>
    <w:rsid w:val="00EE531C"/>
    <w:rsid w:val="00F1159C"/>
    <w:rsid w:val="00F21E77"/>
    <w:rsid w:val="00F35BA1"/>
    <w:rsid w:val="00F6713A"/>
    <w:rsid w:val="00F81AC4"/>
    <w:rsid w:val="00F8312C"/>
    <w:rsid w:val="00FB14B1"/>
    <w:rsid w:val="00FB1D25"/>
    <w:rsid w:val="00FB7256"/>
    <w:rsid w:val="00FE19C8"/>
  </w:rsids>
  <m:mathPr>
    <m:mathFont m:val="Cambria Math"/>
    <m:brkBin m:val="before"/>
    <m:brkBinSub m:val="--"/>
    <m:smallFrac m:val="0"/>
    <m:dispDef/>
    <m:lMargin m:val="0"/>
    <m:rMargin m:val="0"/>
    <m:defJc m:val="centerGroup"/>
    <m:wrapIndent m:val="1440"/>
    <m:intLim m:val="subSup"/>
    <m:naryLim m:val="undOvr"/>
  </m:mathPr>
  <w:themeFontLang w:val="fr-BJ"/>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CAABE"/>
  <w15:chartTrackingRefBased/>
  <w15:docId w15:val="{3492CE6F-B98D-46A5-ADF0-A43BBB9F7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fin">
    <w:name w:val="endnote text"/>
    <w:basedOn w:val="Normal"/>
    <w:link w:val="NotedefinCar"/>
    <w:uiPriority w:val="99"/>
    <w:semiHidden/>
    <w:unhideWhenUsed/>
    <w:rsid w:val="00FB1D25"/>
    <w:pPr>
      <w:spacing w:after="0" w:line="240" w:lineRule="auto"/>
    </w:pPr>
    <w:rPr>
      <w:sz w:val="20"/>
      <w:szCs w:val="20"/>
    </w:rPr>
  </w:style>
  <w:style w:type="character" w:customStyle="1" w:styleId="NotedefinCar">
    <w:name w:val="Note de fin Car"/>
    <w:basedOn w:val="Policepardfaut"/>
    <w:link w:val="Notedefin"/>
    <w:uiPriority w:val="99"/>
    <w:semiHidden/>
    <w:rsid w:val="00FB1D25"/>
    <w:rPr>
      <w:sz w:val="20"/>
      <w:szCs w:val="20"/>
    </w:rPr>
  </w:style>
  <w:style w:type="character" w:styleId="Lienhypertexte">
    <w:name w:val="Hyperlink"/>
    <w:basedOn w:val="Policepardfaut"/>
    <w:uiPriority w:val="99"/>
    <w:unhideWhenUsed/>
    <w:rsid w:val="00FB1D25"/>
    <w:rPr>
      <w:color w:val="0000FF"/>
      <w:u w:val="single"/>
    </w:rPr>
  </w:style>
  <w:style w:type="paragraph" w:styleId="Notedebasdepage">
    <w:name w:val="footnote text"/>
    <w:basedOn w:val="Normal"/>
    <w:link w:val="NotedebasdepageCar"/>
    <w:uiPriority w:val="99"/>
    <w:semiHidden/>
    <w:unhideWhenUsed/>
    <w:rsid w:val="00FB1D25"/>
    <w:pPr>
      <w:spacing w:after="0" w:line="240" w:lineRule="auto"/>
      <w:ind w:left="10" w:right="53" w:hanging="10"/>
      <w:jc w:val="both"/>
    </w:pPr>
    <w:rPr>
      <w:rFonts w:ascii="Times New Roman" w:eastAsia="Times New Roman" w:hAnsi="Times New Roman" w:cs="Times New Roman"/>
      <w:color w:val="000000"/>
      <w:kern w:val="0"/>
      <w:sz w:val="20"/>
      <w:szCs w:val="20"/>
      <w14:ligatures w14:val="none"/>
    </w:rPr>
  </w:style>
  <w:style w:type="character" w:customStyle="1" w:styleId="NotedebasdepageCar">
    <w:name w:val="Note de bas de page Car"/>
    <w:basedOn w:val="Policepardfaut"/>
    <w:link w:val="Notedebasdepage"/>
    <w:uiPriority w:val="99"/>
    <w:semiHidden/>
    <w:rsid w:val="00FB1D25"/>
    <w:rPr>
      <w:rFonts w:ascii="Times New Roman" w:eastAsia="Times New Roman" w:hAnsi="Times New Roman" w:cs="Times New Roman"/>
      <w:color w:val="000000"/>
      <w:kern w:val="0"/>
      <w:sz w:val="20"/>
      <w:szCs w:val="20"/>
      <w:lang w:val="fr"/>
      <w14:ligatures w14:val="none"/>
    </w:rPr>
  </w:style>
  <w:style w:type="character" w:styleId="Appelnotedebasdep">
    <w:name w:val="footnote reference"/>
    <w:basedOn w:val="Policepardfaut"/>
    <w:uiPriority w:val="99"/>
    <w:semiHidden/>
    <w:unhideWhenUsed/>
    <w:rsid w:val="00FB1D25"/>
    <w:rPr>
      <w:vertAlign w:val="superscript"/>
    </w:rPr>
  </w:style>
  <w:style w:type="character" w:styleId="Mentionnonrsolue">
    <w:name w:val="Unresolved Mention"/>
    <w:basedOn w:val="Policepardfaut"/>
    <w:uiPriority w:val="99"/>
    <w:semiHidden/>
    <w:unhideWhenUsed/>
    <w:rsid w:val="00FB1D25"/>
    <w:rPr>
      <w:color w:val="605E5C"/>
      <w:shd w:val="clear" w:color="auto" w:fill="E1DFDD"/>
    </w:rPr>
  </w:style>
  <w:style w:type="paragraph" w:styleId="Paragraphedeliste">
    <w:name w:val="List Paragraph"/>
    <w:basedOn w:val="Normal"/>
    <w:uiPriority w:val="34"/>
    <w:qFormat/>
    <w:rsid w:val="006952DE"/>
    <w:pPr>
      <w:ind w:left="720"/>
      <w:contextualSpacing/>
    </w:pPr>
  </w:style>
  <w:style w:type="character" w:customStyle="1" w:styleId="NumberedlistTeken">
    <w:name w:val="Numbered list Teken"/>
    <w:link w:val="Numberedlist"/>
    <w:locked/>
    <w:rsid w:val="00F81AC4"/>
    <w:rPr>
      <w:rFonts w:ascii="Corbel" w:eastAsia="MS Mincho" w:hAnsi="Corbel" w:cs="Corbel"/>
      <w:color w:val="3C3C3C"/>
    </w:rPr>
  </w:style>
  <w:style w:type="paragraph" w:customStyle="1" w:styleId="Numberedlist">
    <w:name w:val="Numbered list"/>
    <w:basedOn w:val="Normal"/>
    <w:link w:val="NumberedlistTeken"/>
    <w:qFormat/>
    <w:rsid w:val="00F81AC4"/>
    <w:pPr>
      <w:numPr>
        <w:numId w:val="6"/>
      </w:numPr>
      <w:spacing w:after="120" w:line="300" w:lineRule="exact"/>
    </w:pPr>
    <w:rPr>
      <w:rFonts w:ascii="Corbel" w:eastAsia="MS Mincho" w:hAnsi="Corbel" w:cs="Corbel"/>
      <w:color w:val="3C3C3C"/>
    </w:rPr>
  </w:style>
  <w:style w:type="paragraph" w:styleId="Rvision">
    <w:name w:val="Revision"/>
    <w:hidden/>
    <w:uiPriority w:val="99"/>
    <w:semiHidden/>
    <w:rsid w:val="00A5423A"/>
    <w:pPr>
      <w:spacing w:after="0" w:line="240" w:lineRule="auto"/>
    </w:pPr>
  </w:style>
  <w:style w:type="character" w:styleId="Marquedecommentaire">
    <w:name w:val="annotation reference"/>
    <w:basedOn w:val="Policepardfaut"/>
    <w:uiPriority w:val="99"/>
    <w:semiHidden/>
    <w:unhideWhenUsed/>
    <w:rsid w:val="0028152A"/>
    <w:rPr>
      <w:sz w:val="16"/>
      <w:szCs w:val="16"/>
    </w:rPr>
  </w:style>
  <w:style w:type="paragraph" w:styleId="Commentaire">
    <w:name w:val="annotation text"/>
    <w:basedOn w:val="Normal"/>
    <w:link w:val="CommentaireCar"/>
    <w:uiPriority w:val="99"/>
    <w:semiHidden/>
    <w:unhideWhenUsed/>
    <w:rsid w:val="0028152A"/>
    <w:pPr>
      <w:spacing w:line="240" w:lineRule="auto"/>
    </w:pPr>
    <w:rPr>
      <w:sz w:val="20"/>
      <w:szCs w:val="20"/>
    </w:rPr>
  </w:style>
  <w:style w:type="character" w:customStyle="1" w:styleId="CommentaireCar">
    <w:name w:val="Commentaire Car"/>
    <w:basedOn w:val="Policepardfaut"/>
    <w:link w:val="Commentaire"/>
    <w:uiPriority w:val="99"/>
    <w:semiHidden/>
    <w:rsid w:val="0028152A"/>
    <w:rPr>
      <w:sz w:val="20"/>
      <w:szCs w:val="20"/>
    </w:rPr>
  </w:style>
  <w:style w:type="paragraph" w:styleId="Objetducommentaire">
    <w:name w:val="annotation subject"/>
    <w:basedOn w:val="Commentaire"/>
    <w:next w:val="Commentaire"/>
    <w:link w:val="ObjetducommentaireCar"/>
    <w:uiPriority w:val="99"/>
    <w:semiHidden/>
    <w:unhideWhenUsed/>
    <w:rsid w:val="0028152A"/>
    <w:rPr>
      <w:b/>
      <w:bCs/>
    </w:rPr>
  </w:style>
  <w:style w:type="character" w:customStyle="1" w:styleId="ObjetducommentaireCar">
    <w:name w:val="Objet du commentaire Car"/>
    <w:basedOn w:val="CommentaireCar"/>
    <w:link w:val="Objetducommentaire"/>
    <w:uiPriority w:val="99"/>
    <w:semiHidden/>
    <w:rsid w:val="0028152A"/>
    <w:rPr>
      <w:b/>
      <w:bCs/>
      <w:sz w:val="20"/>
      <w:szCs w:val="20"/>
    </w:rPr>
  </w:style>
  <w:style w:type="paragraph" w:styleId="Pieddepage">
    <w:name w:val="footer"/>
    <w:basedOn w:val="Normal"/>
    <w:link w:val="PieddepageCar"/>
    <w:uiPriority w:val="99"/>
    <w:unhideWhenUsed/>
    <w:rsid w:val="00E63ECE"/>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E63ECE"/>
  </w:style>
  <w:style w:type="character" w:styleId="Numrodepage">
    <w:name w:val="page number"/>
    <w:basedOn w:val="Policepardfaut"/>
    <w:uiPriority w:val="99"/>
    <w:semiHidden/>
    <w:unhideWhenUsed/>
    <w:rsid w:val="00E63ECE"/>
  </w:style>
  <w:style w:type="paragraph" w:styleId="En-tte">
    <w:name w:val="header"/>
    <w:basedOn w:val="Normal"/>
    <w:link w:val="En-tteCar"/>
    <w:uiPriority w:val="99"/>
    <w:unhideWhenUsed/>
    <w:rsid w:val="00DA34F9"/>
    <w:pPr>
      <w:tabs>
        <w:tab w:val="center" w:pos="4536"/>
        <w:tab w:val="right" w:pos="9072"/>
      </w:tabs>
      <w:spacing w:after="0" w:line="240" w:lineRule="auto"/>
    </w:pPr>
  </w:style>
  <w:style w:type="character" w:customStyle="1" w:styleId="En-tteCar">
    <w:name w:val="En-tête Car"/>
    <w:basedOn w:val="Policepardfaut"/>
    <w:link w:val="En-tte"/>
    <w:uiPriority w:val="99"/>
    <w:rsid w:val="00DA34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5765784">
      <w:bodyDiv w:val="1"/>
      <w:marLeft w:val="0"/>
      <w:marRight w:val="0"/>
      <w:marTop w:val="0"/>
      <w:marBottom w:val="0"/>
      <w:divBdr>
        <w:top w:val="none" w:sz="0" w:space="0" w:color="auto"/>
        <w:left w:val="none" w:sz="0" w:space="0" w:color="auto"/>
        <w:bottom w:val="none" w:sz="0" w:space="0" w:color="auto"/>
        <w:right w:val="none" w:sz="0" w:space="0" w:color="auto"/>
      </w:divBdr>
    </w:div>
    <w:div w:id="406071674">
      <w:bodyDiv w:val="1"/>
      <w:marLeft w:val="0"/>
      <w:marRight w:val="0"/>
      <w:marTop w:val="0"/>
      <w:marBottom w:val="0"/>
      <w:divBdr>
        <w:top w:val="none" w:sz="0" w:space="0" w:color="auto"/>
        <w:left w:val="none" w:sz="0" w:space="0" w:color="auto"/>
        <w:bottom w:val="none" w:sz="0" w:space="0" w:color="auto"/>
        <w:right w:val="none" w:sz="0" w:space="0" w:color="auto"/>
      </w:divBdr>
    </w:div>
    <w:div w:id="616721747">
      <w:bodyDiv w:val="1"/>
      <w:marLeft w:val="0"/>
      <w:marRight w:val="0"/>
      <w:marTop w:val="0"/>
      <w:marBottom w:val="0"/>
      <w:divBdr>
        <w:top w:val="none" w:sz="0" w:space="0" w:color="auto"/>
        <w:left w:val="none" w:sz="0" w:space="0" w:color="auto"/>
        <w:bottom w:val="none" w:sz="0" w:space="0" w:color="auto"/>
        <w:right w:val="none" w:sz="0" w:space="0" w:color="auto"/>
      </w:divBdr>
    </w:div>
    <w:div w:id="708840627">
      <w:bodyDiv w:val="1"/>
      <w:marLeft w:val="0"/>
      <w:marRight w:val="0"/>
      <w:marTop w:val="0"/>
      <w:marBottom w:val="0"/>
      <w:divBdr>
        <w:top w:val="none" w:sz="0" w:space="0" w:color="auto"/>
        <w:left w:val="none" w:sz="0" w:space="0" w:color="auto"/>
        <w:bottom w:val="none" w:sz="0" w:space="0" w:color="auto"/>
        <w:right w:val="none" w:sz="0" w:space="0" w:color="auto"/>
      </w:divBdr>
    </w:div>
    <w:div w:id="867372411">
      <w:bodyDiv w:val="1"/>
      <w:marLeft w:val="0"/>
      <w:marRight w:val="0"/>
      <w:marTop w:val="0"/>
      <w:marBottom w:val="0"/>
      <w:divBdr>
        <w:top w:val="none" w:sz="0" w:space="0" w:color="auto"/>
        <w:left w:val="none" w:sz="0" w:space="0" w:color="auto"/>
        <w:bottom w:val="none" w:sz="0" w:space="0" w:color="auto"/>
        <w:right w:val="none" w:sz="0" w:space="0" w:color="auto"/>
      </w:divBdr>
    </w:div>
    <w:div w:id="1402026412">
      <w:bodyDiv w:val="1"/>
      <w:marLeft w:val="0"/>
      <w:marRight w:val="0"/>
      <w:marTop w:val="0"/>
      <w:marBottom w:val="0"/>
      <w:divBdr>
        <w:top w:val="none" w:sz="0" w:space="0" w:color="auto"/>
        <w:left w:val="none" w:sz="0" w:space="0" w:color="auto"/>
        <w:bottom w:val="none" w:sz="0" w:space="0" w:color="auto"/>
        <w:right w:val="none" w:sz="0" w:space="0" w:color="auto"/>
      </w:divBdr>
    </w:div>
    <w:div w:id="1644770301">
      <w:bodyDiv w:val="1"/>
      <w:marLeft w:val="0"/>
      <w:marRight w:val="0"/>
      <w:marTop w:val="0"/>
      <w:marBottom w:val="0"/>
      <w:divBdr>
        <w:top w:val="none" w:sz="0" w:space="0" w:color="auto"/>
        <w:left w:val="none" w:sz="0" w:space="0" w:color="auto"/>
        <w:bottom w:val="none" w:sz="0" w:space="0" w:color="auto"/>
        <w:right w:val="none" w:sz="0" w:space="0" w:color="auto"/>
      </w:divBdr>
    </w:div>
    <w:div w:id="1698265843">
      <w:bodyDiv w:val="1"/>
      <w:marLeft w:val="0"/>
      <w:marRight w:val="0"/>
      <w:marTop w:val="0"/>
      <w:marBottom w:val="0"/>
      <w:divBdr>
        <w:top w:val="none" w:sz="0" w:space="0" w:color="auto"/>
        <w:left w:val="none" w:sz="0" w:space="0" w:color="auto"/>
        <w:bottom w:val="none" w:sz="0" w:space="0" w:color="auto"/>
        <w:right w:val="none" w:sz="0" w:space="0" w:color="auto"/>
      </w:divBdr>
    </w:div>
    <w:div w:id="1833519298">
      <w:bodyDiv w:val="1"/>
      <w:marLeft w:val="0"/>
      <w:marRight w:val="0"/>
      <w:marTop w:val="0"/>
      <w:marBottom w:val="0"/>
      <w:divBdr>
        <w:top w:val="none" w:sz="0" w:space="0" w:color="auto"/>
        <w:left w:val="none" w:sz="0" w:space="0" w:color="auto"/>
        <w:bottom w:val="none" w:sz="0" w:space="0" w:color="auto"/>
        <w:right w:val="none" w:sz="0" w:space="0" w:color="auto"/>
      </w:divBdr>
    </w:div>
    <w:div w:id="1922330151">
      <w:bodyDiv w:val="1"/>
      <w:marLeft w:val="0"/>
      <w:marRight w:val="0"/>
      <w:marTop w:val="0"/>
      <w:marBottom w:val="0"/>
      <w:divBdr>
        <w:top w:val="none" w:sz="0" w:space="0" w:color="auto"/>
        <w:left w:val="none" w:sz="0" w:space="0" w:color="auto"/>
        <w:bottom w:val="none" w:sz="0" w:space="0" w:color="auto"/>
        <w:right w:val="none" w:sz="0" w:space="0" w:color="auto"/>
      </w:divBdr>
    </w:div>
    <w:div w:id="1938172963">
      <w:bodyDiv w:val="1"/>
      <w:marLeft w:val="0"/>
      <w:marRight w:val="0"/>
      <w:marTop w:val="0"/>
      <w:marBottom w:val="0"/>
      <w:divBdr>
        <w:top w:val="none" w:sz="0" w:space="0" w:color="auto"/>
        <w:left w:val="none" w:sz="0" w:space="0" w:color="auto"/>
        <w:bottom w:val="none" w:sz="0" w:space="0" w:color="auto"/>
        <w:right w:val="none" w:sz="0" w:space="0" w:color="auto"/>
      </w:divBdr>
    </w:div>
    <w:div w:id="2078086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file:///C:\var\folders\db\bk59n4552zg_jffr3mnvxvd00000gn\T\com.microsoft.Word\WebArchiveCopyPasteTempFiles\page1image2271051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yperlink" Target="mailto:synergietransbenin2018@gmail.com"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8CD507-AD24-41CF-BD4B-913BA350B5E2}"/>
</file>

<file path=customXml/itemProps2.xml><?xml version="1.0" encoding="utf-8"?>
<ds:datastoreItem xmlns:ds="http://schemas.openxmlformats.org/officeDocument/2006/customXml" ds:itemID="{A949427E-3646-4C05-A3DA-3BACDC49F230}"/>
</file>

<file path=docProps/app.xml><?xml version="1.0" encoding="utf-8"?>
<Properties xmlns="http://schemas.openxmlformats.org/officeDocument/2006/extended-properties" xmlns:vt="http://schemas.openxmlformats.org/officeDocument/2006/docPropsVTypes">
  <Template>Normal</Template>
  <TotalTime>4295</TotalTime>
  <Pages>16</Pages>
  <Words>3567</Words>
  <Characters>20333</Characters>
  <Application>Microsoft Office Word</Application>
  <DocSecurity>0</DocSecurity>
  <Lines>169</Lines>
  <Paragraphs>47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GENERAL STORE</dc:creator>
  <cp:keywords/>
  <dc:description/>
  <cp:lastModifiedBy>GENERAL STORE</cp:lastModifiedBy>
  <cp:revision>7</cp:revision>
  <dcterms:created xsi:type="dcterms:W3CDTF">2024-09-05T13:41:00Z</dcterms:created>
  <dcterms:modified xsi:type="dcterms:W3CDTF">2024-09-09T09:57:00Z</dcterms:modified>
</cp:coreProperties>
</file>