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41281" w14:textId="77777777" w:rsidR="003F5CAD" w:rsidRDefault="00563BAC">
      <w:pPr>
        <w:jc w:val="center"/>
        <w:rPr>
          <w:b/>
          <w:sz w:val="28"/>
        </w:rPr>
      </w:pPr>
      <w:bookmarkStart w:id="0" w:name="_Toc163035040"/>
      <w:r>
        <w:rPr>
          <w:b/>
          <w:sz w:val="28"/>
        </w:rPr>
        <w:t>Rapport alternatif conjoint pour l’adoption d’une liste de points à traiter avant rédaction du rapport à l’occasion de l’examen du 5</w:t>
      </w:r>
      <w:r>
        <w:rPr>
          <w:b/>
          <w:sz w:val="28"/>
          <w:vertAlign w:val="superscript"/>
        </w:rPr>
        <w:t>e</w:t>
      </w:r>
      <w:r>
        <w:rPr>
          <w:b/>
          <w:sz w:val="28"/>
        </w:rPr>
        <w:t xml:space="preserve"> rapport périodique de la République démocratique du Congo sur la mise en œuvre du Pacte international relatif aux droits civils et politiques</w:t>
      </w:r>
      <w:bookmarkEnd w:id="0"/>
    </w:p>
    <w:p w14:paraId="0306BDF4" w14:textId="77777777" w:rsidR="003F5CAD" w:rsidRDefault="00563BAC">
      <w:pPr>
        <w:jc w:val="center"/>
        <w:rPr>
          <w:bCs/>
          <w:sz w:val="24"/>
          <w:szCs w:val="20"/>
        </w:rPr>
      </w:pPr>
      <w:r>
        <w:rPr>
          <w:bCs/>
          <w:sz w:val="24"/>
          <w:szCs w:val="20"/>
        </w:rPr>
        <w:t>Comité des droits de l’homme des Nations Unies</w:t>
      </w:r>
    </w:p>
    <w:p w14:paraId="34B1DA03" w14:textId="77777777" w:rsidR="003F5CAD" w:rsidRDefault="00563BAC">
      <w:pPr>
        <w:jc w:val="center"/>
        <w:rPr>
          <w:bCs/>
          <w:sz w:val="24"/>
          <w:szCs w:val="20"/>
        </w:rPr>
      </w:pPr>
      <w:r>
        <w:rPr>
          <w:bCs/>
          <w:sz w:val="24"/>
          <w:szCs w:val="20"/>
        </w:rPr>
        <w:t>145</w:t>
      </w:r>
      <w:r>
        <w:rPr>
          <w:bCs/>
          <w:sz w:val="24"/>
          <w:szCs w:val="20"/>
          <w:vertAlign w:val="superscript"/>
        </w:rPr>
        <w:t>e</w:t>
      </w:r>
      <w:r>
        <w:rPr>
          <w:bCs/>
          <w:sz w:val="24"/>
          <w:szCs w:val="20"/>
        </w:rPr>
        <w:t xml:space="preserve"> session – Mars 2026</w:t>
      </w:r>
    </w:p>
    <w:p w14:paraId="26056A8D" w14:textId="7A58734E" w:rsidR="003F5CAD" w:rsidRDefault="00563BAC">
      <w:pPr>
        <w:jc w:val="right"/>
        <w:rPr>
          <w:bCs/>
          <w:i/>
          <w:iCs/>
          <w:sz w:val="24"/>
          <w:szCs w:val="20"/>
        </w:rPr>
      </w:pPr>
      <w:r>
        <w:rPr>
          <w:bCs/>
          <w:i/>
          <w:iCs/>
          <w:sz w:val="24"/>
          <w:szCs w:val="20"/>
        </w:rPr>
        <w:t xml:space="preserve">Soumis </w:t>
      </w:r>
      <w:r w:rsidR="006C4087">
        <w:rPr>
          <w:bCs/>
          <w:i/>
          <w:iCs/>
          <w:sz w:val="24"/>
          <w:szCs w:val="20"/>
        </w:rPr>
        <w:t>le 5 janvier</w:t>
      </w:r>
      <w:r w:rsidR="001B1951">
        <w:rPr>
          <w:bCs/>
          <w:i/>
          <w:iCs/>
          <w:sz w:val="24"/>
          <w:szCs w:val="20"/>
        </w:rPr>
        <w:t xml:space="preserve"> </w:t>
      </w:r>
      <w:r>
        <w:rPr>
          <w:bCs/>
          <w:i/>
          <w:iCs/>
          <w:sz w:val="24"/>
          <w:szCs w:val="20"/>
        </w:rPr>
        <w:t>202</w:t>
      </w:r>
      <w:r w:rsidR="006C4087">
        <w:rPr>
          <w:bCs/>
          <w:i/>
          <w:iCs/>
          <w:sz w:val="24"/>
          <w:szCs w:val="20"/>
        </w:rPr>
        <w:t>6</w:t>
      </w:r>
    </w:p>
    <w:p w14:paraId="38D57C50" w14:textId="77777777" w:rsidR="003F5CAD" w:rsidRDefault="003F5CAD">
      <w:pPr>
        <w:rPr>
          <w:rFonts w:cs="Times New Roman"/>
        </w:rPr>
      </w:pPr>
    </w:p>
    <w:p w14:paraId="710EE1C6" w14:textId="77777777" w:rsidR="003F5CAD" w:rsidRDefault="00563BAC">
      <w:pPr>
        <w:rPr>
          <w:b/>
          <w:sz w:val="28"/>
        </w:rPr>
      </w:pPr>
      <w:r>
        <w:rPr>
          <w:b/>
          <w:sz w:val="28"/>
        </w:rPr>
        <w:t>Organisations à l’origine de la soumission</w:t>
      </w:r>
    </w:p>
    <w:p w14:paraId="62F86B87" w14:textId="77777777" w:rsidR="003F5CAD" w:rsidRPr="006C4087" w:rsidRDefault="00563BAC">
      <w:pPr>
        <w:spacing w:line="240" w:lineRule="auto"/>
        <w:rPr>
          <w:rFonts w:cs="Times New Roman"/>
        </w:rPr>
      </w:pPr>
      <w:r w:rsidRPr="006C4087">
        <w:rPr>
          <w:rFonts w:cs="Times New Roman"/>
          <w:b/>
          <w:bCs/>
        </w:rPr>
        <w:t>Culture pour la paix et la justice (CPJ)</w:t>
      </w:r>
      <w:r w:rsidRPr="006C4087">
        <w:t xml:space="preserve"> – </w:t>
      </w:r>
      <w:r w:rsidRPr="006C4087">
        <w:rPr>
          <w:rFonts w:cs="Times New Roman"/>
        </w:rPr>
        <w:t xml:space="preserve">Créée en 1999, CPJ est une organisation non gouvernementale congolaise œuvrant à la défense des droits humains, la lutte contre la peine de mort et l’impunité en République démocratique du Congo. Elle est membre fondatrice de la Coalition mondiale contre la peine de mort et coordonne la Coalition congolaise contre la peine de mort (CCPM-RDC). </w:t>
      </w:r>
      <w:r w:rsidRPr="006C4087">
        <w:rPr>
          <w:rFonts w:cs="Times New Roman"/>
          <w:i/>
          <w:iCs/>
        </w:rPr>
        <w:t xml:space="preserve">Contact : </w:t>
      </w:r>
      <w:hyperlink r:id="rId8" w:history="1">
        <w:r w:rsidRPr="006C4087">
          <w:rPr>
            <w:rStyle w:val="Lienhypertexte"/>
            <w:i/>
            <w:iCs/>
          </w:rPr>
          <w:t>cpj1asbl@gmail.com</w:t>
        </w:r>
      </w:hyperlink>
      <w:r w:rsidRPr="006C4087">
        <w:t xml:space="preserve"> </w:t>
      </w:r>
      <w:r w:rsidRPr="006C4087">
        <w:rPr>
          <w:rFonts w:cs="Times New Roman"/>
          <w:i/>
          <w:iCs/>
        </w:rPr>
        <w:t xml:space="preserve"> </w:t>
      </w:r>
    </w:p>
    <w:p w14:paraId="6F420AF5" w14:textId="77777777" w:rsidR="003F5CAD" w:rsidRPr="006C4087" w:rsidRDefault="003F5CAD">
      <w:pPr>
        <w:spacing w:line="240" w:lineRule="auto"/>
        <w:rPr>
          <w:rFonts w:cs="Times New Roman"/>
          <w:b/>
          <w:bCs/>
        </w:rPr>
      </w:pPr>
    </w:p>
    <w:p w14:paraId="53AB4EF1" w14:textId="77777777" w:rsidR="003F5CAD" w:rsidRDefault="00563BAC">
      <w:pPr>
        <w:spacing w:line="240" w:lineRule="auto"/>
        <w:rPr>
          <w:rFonts w:cs="Times New Roman"/>
          <w:i/>
          <w:iCs/>
        </w:rPr>
      </w:pPr>
      <w:r w:rsidRPr="006C4087">
        <w:rPr>
          <w:rFonts w:cs="Times New Roman"/>
          <w:b/>
          <w:bCs/>
        </w:rPr>
        <w:t xml:space="preserve">Coalition congolaise contre la peine de mort en République démocratique du Congo (CCPM-RDC) – </w:t>
      </w:r>
      <w:r w:rsidRPr="006C4087">
        <w:rPr>
          <w:rFonts w:cs="Times New Roman"/>
        </w:rPr>
        <w:t>La CCPM-RDC est</w:t>
      </w:r>
      <w:r w:rsidRPr="006C4087">
        <w:rPr>
          <w:rFonts w:cs="Times New Roman"/>
          <w:b/>
          <w:bCs/>
        </w:rPr>
        <w:t xml:space="preserve"> </w:t>
      </w:r>
      <w:r w:rsidRPr="006C4087">
        <w:rPr>
          <w:rFonts w:cs="Times New Roman"/>
        </w:rPr>
        <w:t xml:space="preserve">une </w:t>
      </w:r>
      <w:r w:rsidR="00941889" w:rsidRPr="006C4087">
        <w:rPr>
          <w:rFonts w:cs="Times New Roman"/>
        </w:rPr>
        <w:t>plateforme d’organisations et</w:t>
      </w:r>
      <w:r w:rsidRPr="006C4087">
        <w:rPr>
          <w:rFonts w:cs="Times New Roman"/>
        </w:rPr>
        <w:t xml:space="preserve"> acteurs de la société civile en R.D. Congo qui partagent un même objectif principal : « l’abolition totale de la peine de mort en R.D. Congo et dans le monde » et des objectifs secondaires : « l’assistance psychologique, sociale et juridique aux condamnés à mort et à leurs familles par un monitoring de leurs cas ou de ceux qui risquent la condamnation à mort, le renforcement de la synergie entre acteurs de la lutte contre la peine de mort, la coordination des actions fortes notamment le lobbying et la sensibilisation pour une grande visibilité, l’identification et le rassemblement de nouveaux acteurs autour du combat abolitionniste. » </w:t>
      </w:r>
      <w:r w:rsidRPr="006C4087">
        <w:rPr>
          <w:rFonts w:cs="Times New Roman"/>
          <w:i/>
          <w:iCs/>
        </w:rPr>
        <w:t xml:space="preserve">Contact : </w:t>
      </w:r>
      <w:hyperlink r:id="rId9" w:history="1">
        <w:r w:rsidR="00A67E8C" w:rsidRPr="006C4087">
          <w:rPr>
            <w:rStyle w:val="Lienhypertexte"/>
            <w:rFonts w:cs="Times New Roman"/>
            <w:i/>
            <w:iCs/>
          </w:rPr>
          <w:t>ccpmrdcongo@gmail.com</w:t>
        </w:r>
      </w:hyperlink>
      <w:r w:rsidR="00A67E8C" w:rsidRPr="006C4087">
        <w:rPr>
          <w:rFonts w:cs="Times New Roman"/>
          <w:i/>
          <w:iCs/>
        </w:rPr>
        <w:t xml:space="preserve"> </w:t>
      </w:r>
    </w:p>
    <w:p w14:paraId="44765331" w14:textId="77777777" w:rsidR="006C4087" w:rsidRPr="006C4087" w:rsidRDefault="006C4087">
      <w:pPr>
        <w:spacing w:line="240" w:lineRule="auto"/>
        <w:rPr>
          <w:rFonts w:cs="Times New Roman"/>
        </w:rPr>
      </w:pPr>
    </w:p>
    <w:p w14:paraId="7DA60AB2" w14:textId="694F5F57" w:rsidR="006C4087" w:rsidRPr="006C4087" w:rsidRDefault="006C4087" w:rsidP="006C4087">
      <w:pPr>
        <w:spacing w:line="240" w:lineRule="auto"/>
        <w:rPr>
          <w:rFonts w:cs="Times New Roman"/>
          <w:i/>
          <w:iCs/>
        </w:rPr>
      </w:pPr>
      <w:r>
        <w:rPr>
          <w:rFonts w:cs="Times New Roman"/>
          <w:b/>
          <w:bCs/>
        </w:rPr>
        <w:t>ACAT République démocratique du Congo</w:t>
      </w:r>
      <w:r w:rsidRPr="006C4087">
        <w:t xml:space="preserve"> </w:t>
      </w:r>
      <w:r>
        <w:t xml:space="preserve">(ACAT RDC) </w:t>
      </w:r>
      <w:r w:rsidRPr="006C4087">
        <w:t xml:space="preserve">– </w:t>
      </w:r>
      <w:r w:rsidR="00E4212E">
        <w:t>L</w:t>
      </w:r>
      <w:r w:rsidRPr="006C4087">
        <w:rPr>
          <w:rFonts w:cs="Times New Roman"/>
        </w:rPr>
        <w:t>’ACAT RDC a principalement pour objectif de lutter contre la torture, la peine de mort, l’impunité et la violence</w:t>
      </w:r>
      <w:r w:rsidR="00E4212E">
        <w:rPr>
          <w:rFonts w:cs="Times New Roman"/>
        </w:rPr>
        <w:t xml:space="preserve"> en RDC</w:t>
      </w:r>
      <w:r w:rsidRPr="006C4087">
        <w:rPr>
          <w:rFonts w:cs="Times New Roman"/>
        </w:rPr>
        <w:t>.</w:t>
      </w:r>
      <w:r>
        <w:rPr>
          <w:rFonts w:cs="Times New Roman"/>
        </w:rPr>
        <w:t xml:space="preserve"> </w:t>
      </w:r>
      <w:r w:rsidRPr="006C4087">
        <w:rPr>
          <w:rFonts w:cs="Times New Roman"/>
        </w:rPr>
        <w:t xml:space="preserve">Les activités de l’ACAT RDC se concentrent prioritairement sur la lutte contre les violences liées aux élections, sur le respect du processus électoral, sur la sensibilisation à la lutte contre la torture et sur les visites des lieux privatifs de liberté. </w:t>
      </w:r>
      <w:r w:rsidRPr="006C4087">
        <w:rPr>
          <w:rFonts w:cs="Times New Roman"/>
          <w:i/>
          <w:iCs/>
        </w:rPr>
        <w:t xml:space="preserve">Contact : </w:t>
      </w:r>
      <w:hyperlink r:id="rId10" w:history="1">
        <w:r w:rsidRPr="00AA102D">
          <w:rPr>
            <w:rStyle w:val="Lienhypertexte"/>
            <w:i/>
            <w:iCs/>
          </w:rPr>
          <w:t>acatrdc2013@gmail.com</w:t>
        </w:r>
      </w:hyperlink>
      <w:r>
        <w:rPr>
          <w:i/>
          <w:iCs/>
        </w:rPr>
        <w:t xml:space="preserve"> </w:t>
      </w:r>
      <w:r w:rsidRPr="006C4087">
        <w:rPr>
          <w:i/>
          <w:iCs/>
        </w:rPr>
        <w:t xml:space="preserve"> </w:t>
      </w:r>
    </w:p>
    <w:p w14:paraId="63EA199F" w14:textId="65F55AB4" w:rsidR="006C4087" w:rsidRPr="006C4087" w:rsidRDefault="006C4087" w:rsidP="006C4087">
      <w:pPr>
        <w:spacing w:line="240" w:lineRule="auto"/>
        <w:rPr>
          <w:rFonts w:cs="Times New Roman"/>
          <w:i/>
          <w:iCs/>
        </w:rPr>
      </w:pPr>
    </w:p>
    <w:p w14:paraId="26E5D722" w14:textId="51D91FDE" w:rsidR="006C4087" w:rsidRPr="006C4087" w:rsidRDefault="006C4087" w:rsidP="006C4087">
      <w:pPr>
        <w:spacing w:line="240" w:lineRule="auto"/>
        <w:rPr>
          <w:rFonts w:cs="Times New Roman"/>
        </w:rPr>
      </w:pPr>
      <w:proofErr w:type="spellStart"/>
      <w:r>
        <w:rPr>
          <w:rFonts w:cs="Times New Roman"/>
          <w:b/>
          <w:bCs/>
        </w:rPr>
        <w:t>Haki</w:t>
      </w:r>
      <w:proofErr w:type="spellEnd"/>
      <w:r>
        <w:rPr>
          <w:rFonts w:cs="Times New Roman"/>
          <w:b/>
          <w:bCs/>
        </w:rPr>
        <w:t xml:space="preserve"> </w:t>
      </w:r>
      <w:proofErr w:type="spellStart"/>
      <w:r>
        <w:rPr>
          <w:rFonts w:cs="Times New Roman"/>
          <w:b/>
          <w:bCs/>
        </w:rPr>
        <w:t>Zangu</w:t>
      </w:r>
      <w:proofErr w:type="spellEnd"/>
      <w:r w:rsidRPr="006C4087">
        <w:t xml:space="preserve"> </w:t>
      </w:r>
      <w:r w:rsidRPr="006C4087">
        <w:rPr>
          <w:b/>
          <w:bCs/>
        </w:rPr>
        <w:t>Asbl</w:t>
      </w:r>
      <w:r>
        <w:rPr>
          <w:b/>
          <w:bCs/>
        </w:rPr>
        <w:t xml:space="preserve"> </w:t>
      </w:r>
      <w:r w:rsidRPr="006C4087">
        <w:t xml:space="preserve">– </w:t>
      </w:r>
      <w:r>
        <w:rPr>
          <w:rFonts w:cs="Times New Roman"/>
        </w:rPr>
        <w:t xml:space="preserve">Cofondée par </w:t>
      </w:r>
      <w:proofErr w:type="spellStart"/>
      <w:r>
        <w:rPr>
          <w:rFonts w:cs="Times New Roman"/>
        </w:rPr>
        <w:t>Vascos</w:t>
      </w:r>
      <w:proofErr w:type="spellEnd"/>
      <w:r>
        <w:rPr>
          <w:rFonts w:cs="Times New Roman"/>
        </w:rPr>
        <w:t xml:space="preserve"> </w:t>
      </w:r>
      <w:proofErr w:type="spellStart"/>
      <w:r>
        <w:rPr>
          <w:rFonts w:cs="Times New Roman"/>
        </w:rPr>
        <w:t>Saasita</w:t>
      </w:r>
      <w:proofErr w:type="spellEnd"/>
      <w:r>
        <w:rPr>
          <w:rFonts w:cs="Times New Roman"/>
        </w:rPr>
        <w:t xml:space="preserve">, l’organisation congolaise </w:t>
      </w:r>
      <w:proofErr w:type="spellStart"/>
      <w:r>
        <w:rPr>
          <w:rFonts w:cs="Times New Roman"/>
        </w:rPr>
        <w:t>Haki</w:t>
      </w:r>
      <w:proofErr w:type="spellEnd"/>
      <w:r>
        <w:rPr>
          <w:rFonts w:cs="Times New Roman"/>
        </w:rPr>
        <w:t xml:space="preserve"> </w:t>
      </w:r>
      <w:proofErr w:type="spellStart"/>
      <w:r>
        <w:rPr>
          <w:rFonts w:cs="Times New Roman"/>
        </w:rPr>
        <w:t>Zangu</w:t>
      </w:r>
      <w:proofErr w:type="spellEnd"/>
      <w:r>
        <w:rPr>
          <w:rFonts w:cs="Times New Roman"/>
        </w:rPr>
        <w:t xml:space="preserve"> </w:t>
      </w:r>
      <w:r w:rsidRPr="006C4087">
        <w:rPr>
          <w:rFonts w:cs="Times New Roman"/>
        </w:rPr>
        <w:t xml:space="preserve">lutte pour l’éradication de la torture et l’abolition de la peine de mort en apportant protection, assistance judiciaire et aide légale en faveur des </w:t>
      </w:r>
      <w:proofErr w:type="spellStart"/>
      <w:r w:rsidRPr="006C4087">
        <w:rPr>
          <w:rFonts w:cs="Times New Roman"/>
        </w:rPr>
        <w:t>défenseur.e.s</w:t>
      </w:r>
      <w:proofErr w:type="spellEnd"/>
      <w:r w:rsidRPr="006C4087">
        <w:rPr>
          <w:rFonts w:cs="Times New Roman"/>
        </w:rPr>
        <w:t xml:space="preserve"> des droits humains et </w:t>
      </w:r>
      <w:proofErr w:type="spellStart"/>
      <w:r w:rsidRPr="006C4087">
        <w:rPr>
          <w:rFonts w:cs="Times New Roman"/>
        </w:rPr>
        <w:t>militant.e.s</w:t>
      </w:r>
      <w:proofErr w:type="spellEnd"/>
      <w:r w:rsidRPr="006C4087">
        <w:rPr>
          <w:rFonts w:cs="Times New Roman"/>
        </w:rPr>
        <w:t xml:space="preserve"> en danger ainsi qu’aux victimes des violences sexuelles et sexistes. </w:t>
      </w:r>
      <w:r w:rsidRPr="006C4087">
        <w:rPr>
          <w:rFonts w:cs="Times New Roman"/>
          <w:i/>
          <w:iCs/>
        </w:rPr>
        <w:t xml:space="preserve">Contact : </w:t>
      </w:r>
      <w:hyperlink r:id="rId11" w:history="1">
        <w:r w:rsidRPr="006C4087">
          <w:rPr>
            <w:rStyle w:val="Lienhypertexte"/>
            <w:i/>
            <w:iCs/>
          </w:rPr>
          <w:t>vascos238@gmail.com</w:t>
        </w:r>
      </w:hyperlink>
      <w:r>
        <w:t xml:space="preserve"> </w:t>
      </w:r>
    </w:p>
    <w:p w14:paraId="4A45FAAA" w14:textId="77777777" w:rsidR="006C4087" w:rsidRPr="006C4087" w:rsidRDefault="006C4087">
      <w:pPr>
        <w:spacing w:after="60" w:line="240" w:lineRule="auto"/>
        <w:outlineLvl w:val="0"/>
        <w:rPr>
          <w:rFonts w:cs="Times New Roman"/>
          <w:b/>
          <w:bCs/>
        </w:rPr>
      </w:pPr>
    </w:p>
    <w:p w14:paraId="1C1BCD36" w14:textId="77777777" w:rsidR="003F5CAD" w:rsidRPr="006C4087" w:rsidRDefault="00563BAC">
      <w:pPr>
        <w:spacing w:line="240" w:lineRule="auto"/>
        <w:rPr>
          <w:rFonts w:cs="Times New Roman"/>
        </w:rPr>
      </w:pPr>
      <w:r w:rsidRPr="006C4087">
        <w:rPr>
          <w:rFonts w:cs="Times New Roman"/>
          <w:b/>
          <w:bCs/>
        </w:rPr>
        <w:t>Ensemble contre la peine de mort (ECPM)</w:t>
      </w:r>
      <w:r w:rsidRPr="006C4087">
        <w:rPr>
          <w:rFonts w:cs="Times New Roman"/>
        </w:rPr>
        <w:t xml:space="preserve"> – ECPM est une association française qui lutte contre la peine de mort en tous lieux et en toutes circonstances en unissant et en ralliant les forces abolitionnistes à travers le monde. L’organisation plaide auprès des instances internationales et encourage l’abolition universelle par l’éducation, l’information, les partenariats locaux et les campagnes de sensibilisation. ECPM organise les Congrès mondiaux contre la peine de mort et est membre fondateur de la Coalition mondiale contre la peine de mort. En 2016, ECPM a obtenu le statut consultatif auprès de l’ECOSOC. </w:t>
      </w:r>
      <w:r w:rsidRPr="006C4087">
        <w:rPr>
          <w:rFonts w:cs="Times New Roman"/>
          <w:i/>
          <w:iCs/>
        </w:rPr>
        <w:t xml:space="preserve">Contact : </w:t>
      </w:r>
      <w:hyperlink r:id="rId12" w:history="1">
        <w:r w:rsidRPr="006C4087">
          <w:rPr>
            <w:rStyle w:val="Lienhypertexte"/>
            <w:rFonts w:cs="Times New Roman"/>
            <w:i/>
            <w:iCs/>
          </w:rPr>
          <w:t>mperez@ecpm.org</w:t>
        </w:r>
      </w:hyperlink>
      <w:r w:rsidRPr="006C4087">
        <w:rPr>
          <w:rFonts w:cs="Times New Roman"/>
        </w:rPr>
        <w:t xml:space="preserve"> </w:t>
      </w:r>
    </w:p>
    <w:p w14:paraId="719C49C9" w14:textId="77777777" w:rsidR="003F5CAD" w:rsidRPr="006C4087" w:rsidRDefault="003F5CAD">
      <w:pPr>
        <w:spacing w:line="240" w:lineRule="auto"/>
        <w:rPr>
          <w:rFonts w:cs="Times New Roman"/>
          <w:b/>
          <w:bCs/>
        </w:rPr>
      </w:pPr>
    </w:p>
    <w:p w14:paraId="13C79491" w14:textId="214C85B9" w:rsidR="003F5CAD" w:rsidRDefault="00563BAC">
      <w:pPr>
        <w:spacing w:line="240" w:lineRule="auto"/>
        <w:rPr>
          <w:rFonts w:cs="Times New Roman"/>
        </w:rPr>
      </w:pPr>
      <w:r w:rsidRPr="006C4087">
        <w:rPr>
          <w:rFonts w:cs="Times New Roman"/>
          <w:b/>
          <w:bCs/>
        </w:rPr>
        <w:t>Coalition mondiale contre la peine de mort (WCADP)</w:t>
      </w:r>
      <w:r w:rsidRPr="006C4087">
        <w:rPr>
          <w:rFonts w:cs="Times New Roman"/>
        </w:rPr>
        <w:t xml:space="preserve"> – Composée de plus de 180 organisations non gouvernementales, barreaux d'avocats, collectivités locales et syndicats, la Coalition mondiale contre la peine de mort est née à Rome le 13 mai 2002. Elle vise à renforcer la dimension internationale du combat contre la peine de mort. Son objectif final est d’obtenir l’abolition universelle de la peine </w:t>
      </w:r>
      <w:r w:rsidRPr="006C4087">
        <w:rPr>
          <w:rFonts w:cs="Times New Roman"/>
        </w:rPr>
        <w:lastRenderedPageBreak/>
        <w:t xml:space="preserve">capitale. La Coalition mondiale apporte une dimension globale à l’action que poursuivent ses membres sur le terrain, parfois de manière isolée. Elle agit de façon complémentaire à leurs initiatives, dans le respect de l’indépendance de chacun. </w:t>
      </w:r>
      <w:r w:rsidRPr="006C4087">
        <w:rPr>
          <w:rFonts w:cs="Times New Roman"/>
          <w:i/>
          <w:iCs/>
        </w:rPr>
        <w:t xml:space="preserve">Contact : </w:t>
      </w:r>
      <w:hyperlink r:id="rId13" w:history="1">
        <w:r w:rsidR="006C4087" w:rsidRPr="006C4087">
          <w:rPr>
            <w:rStyle w:val="Lienhypertexte"/>
            <w:i/>
            <w:iCs/>
          </w:rPr>
          <w:t>mszwarcberg@worldcoalition.org</w:t>
        </w:r>
      </w:hyperlink>
      <w:r w:rsidR="006C4087">
        <w:t xml:space="preserve"> </w:t>
      </w:r>
    </w:p>
    <w:p w14:paraId="0B725923" w14:textId="77777777" w:rsidR="006C4087" w:rsidRDefault="006C4087">
      <w:pPr>
        <w:spacing w:line="240" w:lineRule="auto"/>
        <w:rPr>
          <w:rFonts w:cs="Times New Roman"/>
        </w:rPr>
      </w:pPr>
    </w:p>
    <w:p w14:paraId="74041F56" w14:textId="058ADBC0" w:rsidR="006C4087" w:rsidRPr="006C4087" w:rsidRDefault="006C4087" w:rsidP="006C4087">
      <w:pPr>
        <w:spacing w:line="240" w:lineRule="auto"/>
        <w:rPr>
          <w:rFonts w:cs="Times New Roman"/>
        </w:rPr>
      </w:pPr>
      <w:r>
        <w:rPr>
          <w:rFonts w:cs="Times New Roman"/>
          <w:b/>
          <w:bCs/>
        </w:rPr>
        <w:t>Fédération internationale</w:t>
      </w:r>
      <w:r w:rsidRPr="006C4087">
        <w:t xml:space="preserve"> </w:t>
      </w:r>
      <w:r w:rsidR="00E4212E">
        <w:t xml:space="preserve">des </w:t>
      </w:r>
      <w:r w:rsidR="00E4212E" w:rsidRPr="00E4212E">
        <w:rPr>
          <w:b/>
          <w:bCs/>
        </w:rPr>
        <w:t>ACAT</w:t>
      </w:r>
      <w:r w:rsidR="00E4212E">
        <w:rPr>
          <w:b/>
          <w:bCs/>
        </w:rPr>
        <w:t xml:space="preserve"> (FIACAT) </w:t>
      </w:r>
      <w:r w:rsidRPr="006C4087">
        <w:t xml:space="preserve">– </w:t>
      </w:r>
      <w:r w:rsidR="00E4212E" w:rsidRPr="00E4212E">
        <w:rPr>
          <w:rFonts w:cs="Times New Roman"/>
        </w:rPr>
        <w:t>La FIACAT est une organisation internationale non gouvernementale de défense des droits humains d'inspiration chrétienne, créée en 1987, qui lutte pour l’éradication de la torture et l’abolition de la peine de mort. La Fédération regroupe une trentaine d’associations nationales, les ACAT, présentes sur trois continents.</w:t>
      </w:r>
      <w:r w:rsidR="00E4212E">
        <w:rPr>
          <w:rFonts w:cs="Times New Roman"/>
        </w:rPr>
        <w:t xml:space="preserve"> </w:t>
      </w:r>
      <w:r w:rsidRPr="006C4087">
        <w:rPr>
          <w:rFonts w:cs="Times New Roman"/>
          <w:i/>
          <w:iCs/>
        </w:rPr>
        <w:t xml:space="preserve">Contact : </w:t>
      </w:r>
      <w:hyperlink r:id="rId14" w:history="1">
        <w:r w:rsidRPr="006C4087">
          <w:rPr>
            <w:rStyle w:val="Lienhypertexte"/>
            <w:i/>
            <w:iCs/>
          </w:rPr>
          <w:t>e.swiderski@fiacat.org</w:t>
        </w:r>
      </w:hyperlink>
      <w:r>
        <w:t xml:space="preserve"> </w:t>
      </w:r>
    </w:p>
    <w:p w14:paraId="2BA1AA04" w14:textId="77777777" w:rsidR="006C4087" w:rsidRPr="006C4087" w:rsidRDefault="006C4087">
      <w:pPr>
        <w:spacing w:line="240" w:lineRule="auto"/>
        <w:rPr>
          <w:rFonts w:cs="Times New Roman"/>
        </w:rPr>
      </w:pPr>
    </w:p>
    <w:p w14:paraId="6A9B2B8E" w14:textId="77777777" w:rsidR="003F5CAD" w:rsidRDefault="003F5CAD">
      <w:pPr>
        <w:spacing w:line="240" w:lineRule="auto"/>
        <w:rPr>
          <w:rFonts w:cs="Times New Roman"/>
          <w:sz w:val="20"/>
          <w:szCs w:val="20"/>
        </w:rPr>
      </w:pPr>
    </w:p>
    <w:p w14:paraId="5DE2DF38" w14:textId="77777777" w:rsidR="003F5CAD" w:rsidRDefault="00563BAC">
      <w:pPr>
        <w:pStyle w:val="En-ttedetabledesmatires"/>
        <w:pBdr>
          <w:top w:val="single" w:sz="4" w:space="1" w:color="auto"/>
          <w:left w:val="single" w:sz="4" w:space="4" w:color="auto"/>
          <w:bottom w:val="single" w:sz="4" w:space="1" w:color="auto"/>
          <w:right w:val="single" w:sz="4" w:space="4" w:color="auto"/>
        </w:pBdr>
        <w:rPr>
          <w:color w:val="auto"/>
          <w:sz w:val="28"/>
          <w:szCs w:val="28"/>
        </w:rPr>
      </w:pPr>
      <w:r>
        <w:rPr>
          <w:color w:val="auto"/>
          <w:sz w:val="28"/>
          <w:szCs w:val="28"/>
        </w:rPr>
        <w:t>Table des matières</w:t>
      </w:r>
    </w:p>
    <w:p w14:paraId="639A521D" w14:textId="26BD7630" w:rsidR="003F5CAD"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eastAsia="SimSun"/>
          <w:noProof/>
          <w:kern w:val="2"/>
          <w:sz w:val="24"/>
          <w:szCs w:val="24"/>
          <w:lang w:eastAsia="fr-FR"/>
          <w14:ligatures w14:val="standardContextual"/>
        </w:rPr>
      </w:pPr>
      <w:r>
        <w:fldChar w:fldCharType="begin"/>
      </w:r>
      <w:r>
        <w:instrText xml:space="preserve"> TOC \o "1-3" \h \z \u </w:instrText>
      </w:r>
      <w:r>
        <w:fldChar w:fldCharType="separate"/>
      </w:r>
      <w:hyperlink w:anchor="_Toc204345832" w:history="1">
        <w:r>
          <w:rPr>
            <w:rStyle w:val="Lienhypertexte"/>
            <w:b/>
            <w:noProof/>
          </w:rPr>
          <w:t>Introduction</w:t>
        </w:r>
        <w:r>
          <w:rPr>
            <w:noProof/>
            <w:webHidden/>
          </w:rPr>
          <w:tab/>
        </w:r>
        <w:r>
          <w:rPr>
            <w:noProof/>
            <w:webHidden/>
          </w:rPr>
          <w:fldChar w:fldCharType="begin"/>
        </w:r>
        <w:r>
          <w:rPr>
            <w:noProof/>
            <w:webHidden/>
          </w:rPr>
          <w:instrText xml:space="preserve"> PAGEREF _Toc204345832 \h </w:instrText>
        </w:r>
        <w:r>
          <w:rPr>
            <w:noProof/>
            <w:webHidden/>
          </w:rPr>
        </w:r>
        <w:r>
          <w:rPr>
            <w:noProof/>
            <w:webHidden/>
          </w:rPr>
          <w:fldChar w:fldCharType="separate"/>
        </w:r>
        <w:r w:rsidR="006C4087">
          <w:rPr>
            <w:noProof/>
            <w:webHidden/>
          </w:rPr>
          <w:t>3</w:t>
        </w:r>
        <w:r>
          <w:rPr>
            <w:noProof/>
            <w:webHidden/>
          </w:rPr>
          <w:fldChar w:fldCharType="end"/>
        </w:r>
      </w:hyperlink>
    </w:p>
    <w:p w14:paraId="324D1C85" w14:textId="60F32CDC" w:rsidR="003F5CAD"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eastAsia="SimSun"/>
          <w:noProof/>
          <w:kern w:val="2"/>
          <w:sz w:val="24"/>
          <w:szCs w:val="24"/>
          <w:lang w:eastAsia="fr-FR"/>
          <w14:ligatures w14:val="standardContextual"/>
        </w:rPr>
      </w:pPr>
      <w:hyperlink w:anchor="_Toc204345833" w:history="1">
        <w:r>
          <w:rPr>
            <w:rStyle w:val="Lienhypertexte"/>
            <w:rFonts w:cs="Calibri"/>
            <w:b/>
            <w:bCs/>
            <w:noProof/>
          </w:rPr>
          <w:t>Contexte national et développements récents</w:t>
        </w:r>
        <w:r>
          <w:rPr>
            <w:noProof/>
            <w:webHidden/>
          </w:rPr>
          <w:tab/>
        </w:r>
        <w:r>
          <w:rPr>
            <w:noProof/>
            <w:webHidden/>
          </w:rPr>
          <w:fldChar w:fldCharType="begin"/>
        </w:r>
        <w:r>
          <w:rPr>
            <w:noProof/>
            <w:webHidden/>
          </w:rPr>
          <w:instrText xml:space="preserve"> PAGEREF _Toc204345833 \h </w:instrText>
        </w:r>
        <w:r>
          <w:rPr>
            <w:noProof/>
            <w:webHidden/>
          </w:rPr>
        </w:r>
        <w:r>
          <w:rPr>
            <w:noProof/>
            <w:webHidden/>
          </w:rPr>
          <w:fldChar w:fldCharType="separate"/>
        </w:r>
        <w:r w:rsidR="006C4087">
          <w:rPr>
            <w:noProof/>
            <w:webHidden/>
          </w:rPr>
          <w:t>3</w:t>
        </w:r>
        <w:r>
          <w:rPr>
            <w:noProof/>
            <w:webHidden/>
          </w:rPr>
          <w:fldChar w:fldCharType="end"/>
        </w:r>
      </w:hyperlink>
    </w:p>
    <w:p w14:paraId="534BE911" w14:textId="313C3F61" w:rsidR="003F5CAD"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eastAsia="SimSun"/>
          <w:noProof/>
          <w:kern w:val="2"/>
          <w:sz w:val="24"/>
          <w:szCs w:val="24"/>
          <w:lang w:eastAsia="fr-FR"/>
          <w14:ligatures w14:val="standardContextual"/>
        </w:rPr>
      </w:pPr>
      <w:hyperlink w:anchor="_Toc204345834" w:history="1">
        <w:r>
          <w:rPr>
            <w:rStyle w:val="Lienhypertexte"/>
            <w:rFonts w:cs="Calibri"/>
            <w:b/>
            <w:bCs/>
            <w:noProof/>
          </w:rPr>
          <w:t>Application de la peine de mort en République démocratique du Congo</w:t>
        </w:r>
        <w:r>
          <w:rPr>
            <w:noProof/>
            <w:webHidden/>
          </w:rPr>
          <w:tab/>
        </w:r>
        <w:r>
          <w:rPr>
            <w:noProof/>
            <w:webHidden/>
          </w:rPr>
          <w:fldChar w:fldCharType="begin"/>
        </w:r>
        <w:r>
          <w:rPr>
            <w:noProof/>
            <w:webHidden/>
          </w:rPr>
          <w:instrText xml:space="preserve"> PAGEREF _Toc204345834 \h </w:instrText>
        </w:r>
        <w:r>
          <w:rPr>
            <w:noProof/>
            <w:webHidden/>
          </w:rPr>
        </w:r>
        <w:r>
          <w:rPr>
            <w:noProof/>
            <w:webHidden/>
          </w:rPr>
          <w:fldChar w:fldCharType="separate"/>
        </w:r>
        <w:r w:rsidR="006C4087">
          <w:rPr>
            <w:noProof/>
            <w:webHidden/>
          </w:rPr>
          <w:t>6</w:t>
        </w:r>
        <w:r>
          <w:rPr>
            <w:noProof/>
            <w:webHidden/>
          </w:rPr>
          <w:fldChar w:fldCharType="end"/>
        </w:r>
      </w:hyperlink>
    </w:p>
    <w:p w14:paraId="22390758" w14:textId="666AA67C" w:rsidR="003F5CAD"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eastAsia="SimSun"/>
          <w:noProof/>
          <w:kern w:val="2"/>
          <w:sz w:val="24"/>
          <w:szCs w:val="24"/>
          <w:lang w:eastAsia="fr-FR"/>
          <w14:ligatures w14:val="standardContextual"/>
        </w:rPr>
      </w:pPr>
      <w:hyperlink w:anchor="_Toc204345835" w:history="1">
        <w:r>
          <w:rPr>
            <w:rStyle w:val="Lienhypertexte"/>
            <w:rFonts w:cs="Calibri"/>
            <w:b/>
            <w:bCs/>
            <w:noProof/>
          </w:rPr>
          <w:t>Droits procéduraux des personnes risquant la peine de mort</w:t>
        </w:r>
        <w:r>
          <w:rPr>
            <w:noProof/>
            <w:webHidden/>
          </w:rPr>
          <w:tab/>
        </w:r>
        <w:r>
          <w:rPr>
            <w:noProof/>
            <w:webHidden/>
          </w:rPr>
          <w:fldChar w:fldCharType="begin"/>
        </w:r>
        <w:r>
          <w:rPr>
            <w:noProof/>
            <w:webHidden/>
          </w:rPr>
          <w:instrText xml:space="preserve"> PAGEREF _Toc204345835 \h </w:instrText>
        </w:r>
        <w:r>
          <w:rPr>
            <w:noProof/>
            <w:webHidden/>
          </w:rPr>
        </w:r>
        <w:r>
          <w:rPr>
            <w:noProof/>
            <w:webHidden/>
          </w:rPr>
          <w:fldChar w:fldCharType="separate"/>
        </w:r>
        <w:r w:rsidR="006C4087">
          <w:rPr>
            <w:noProof/>
            <w:webHidden/>
          </w:rPr>
          <w:t>6</w:t>
        </w:r>
        <w:r>
          <w:rPr>
            <w:noProof/>
            <w:webHidden/>
          </w:rPr>
          <w:fldChar w:fldCharType="end"/>
        </w:r>
      </w:hyperlink>
    </w:p>
    <w:p w14:paraId="00DB9077" w14:textId="7E408693" w:rsidR="003F5CAD"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eastAsia="SimSun"/>
          <w:noProof/>
          <w:kern w:val="2"/>
          <w:sz w:val="24"/>
          <w:szCs w:val="24"/>
          <w:lang w:eastAsia="fr-FR"/>
          <w14:ligatures w14:val="standardContextual"/>
        </w:rPr>
      </w:pPr>
      <w:hyperlink w:anchor="_Toc204345836" w:history="1">
        <w:r>
          <w:rPr>
            <w:rStyle w:val="Lienhypertexte"/>
            <w:b/>
            <w:bCs/>
            <w:noProof/>
          </w:rPr>
          <w:t>Conditions de détention des personnes condamnées à mort</w:t>
        </w:r>
        <w:r>
          <w:rPr>
            <w:noProof/>
            <w:webHidden/>
          </w:rPr>
          <w:tab/>
        </w:r>
        <w:r>
          <w:rPr>
            <w:noProof/>
            <w:webHidden/>
          </w:rPr>
          <w:fldChar w:fldCharType="begin"/>
        </w:r>
        <w:r>
          <w:rPr>
            <w:noProof/>
            <w:webHidden/>
          </w:rPr>
          <w:instrText xml:space="preserve"> PAGEREF _Toc204345836 \h </w:instrText>
        </w:r>
        <w:r>
          <w:rPr>
            <w:noProof/>
            <w:webHidden/>
          </w:rPr>
        </w:r>
        <w:r>
          <w:rPr>
            <w:noProof/>
            <w:webHidden/>
          </w:rPr>
          <w:fldChar w:fldCharType="separate"/>
        </w:r>
        <w:r w:rsidR="006C4087">
          <w:rPr>
            <w:noProof/>
            <w:webHidden/>
          </w:rPr>
          <w:t>8</w:t>
        </w:r>
        <w:r>
          <w:rPr>
            <w:noProof/>
            <w:webHidden/>
          </w:rPr>
          <w:fldChar w:fldCharType="end"/>
        </w:r>
      </w:hyperlink>
    </w:p>
    <w:p w14:paraId="0241E260" w14:textId="23000BF4" w:rsidR="003F5CAD"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rPr>
          <w:rFonts w:eastAsia="SimSun"/>
          <w:noProof/>
          <w:kern w:val="2"/>
          <w:sz w:val="24"/>
          <w:szCs w:val="24"/>
          <w:lang w:eastAsia="fr-FR"/>
          <w14:ligatures w14:val="standardContextual"/>
        </w:rPr>
      </w:pPr>
      <w:hyperlink w:anchor="_Toc204345837" w:history="1">
        <w:r>
          <w:rPr>
            <w:rStyle w:val="Lienhypertexte"/>
            <w:b/>
            <w:bCs/>
            <w:smallCaps/>
            <w:noProof/>
          </w:rPr>
          <w:t>Focus : La justice militaire et la peine de mort en République démocratique du Congo</w:t>
        </w:r>
        <w:r>
          <w:rPr>
            <w:noProof/>
            <w:webHidden/>
          </w:rPr>
          <w:tab/>
        </w:r>
        <w:r>
          <w:rPr>
            <w:noProof/>
            <w:webHidden/>
          </w:rPr>
          <w:fldChar w:fldCharType="begin"/>
        </w:r>
        <w:r>
          <w:rPr>
            <w:noProof/>
            <w:webHidden/>
          </w:rPr>
          <w:instrText xml:space="preserve"> PAGEREF _Toc204345837 \h </w:instrText>
        </w:r>
        <w:r>
          <w:rPr>
            <w:noProof/>
            <w:webHidden/>
          </w:rPr>
        </w:r>
        <w:r>
          <w:rPr>
            <w:noProof/>
            <w:webHidden/>
          </w:rPr>
          <w:fldChar w:fldCharType="separate"/>
        </w:r>
        <w:r w:rsidR="006C4087">
          <w:rPr>
            <w:noProof/>
            <w:webHidden/>
          </w:rPr>
          <w:t>9</w:t>
        </w:r>
        <w:r>
          <w:rPr>
            <w:noProof/>
            <w:webHidden/>
          </w:rPr>
          <w:fldChar w:fldCharType="end"/>
        </w:r>
      </w:hyperlink>
    </w:p>
    <w:p w14:paraId="349638BF" w14:textId="711DC35A" w:rsidR="003F5CAD" w:rsidRDefault="00563BAC">
      <w:pPr>
        <w:pStyle w:val="TM1"/>
        <w:pBdr>
          <w:top w:val="single" w:sz="4" w:space="1" w:color="auto"/>
          <w:left w:val="single" w:sz="4" w:space="4" w:color="auto"/>
          <w:bottom w:val="single" w:sz="4" w:space="1" w:color="auto"/>
          <w:right w:val="single" w:sz="4" w:space="4" w:color="auto"/>
        </w:pBdr>
        <w:tabs>
          <w:tab w:val="right" w:leader="dot" w:pos="9062"/>
        </w:tabs>
        <w:spacing w:line="240" w:lineRule="auto"/>
      </w:pPr>
      <w:hyperlink w:anchor="_Toc204345838" w:history="1">
        <w:r>
          <w:rPr>
            <w:rStyle w:val="Lienhypertexte"/>
            <w:b/>
            <w:bCs/>
            <w:i/>
            <w:iCs/>
            <w:noProof/>
          </w:rPr>
          <w:t>Suggestions de questions pour le gouvernement de la République démocratique du Congo</w:t>
        </w:r>
        <w:r>
          <w:rPr>
            <w:noProof/>
            <w:webHidden/>
          </w:rPr>
          <w:tab/>
        </w:r>
        <w:r>
          <w:rPr>
            <w:noProof/>
            <w:webHidden/>
          </w:rPr>
          <w:fldChar w:fldCharType="begin"/>
        </w:r>
        <w:r>
          <w:rPr>
            <w:noProof/>
            <w:webHidden/>
          </w:rPr>
          <w:instrText xml:space="preserve"> PAGEREF _Toc204345838 \h </w:instrText>
        </w:r>
        <w:r>
          <w:rPr>
            <w:noProof/>
            <w:webHidden/>
          </w:rPr>
        </w:r>
        <w:r>
          <w:rPr>
            <w:noProof/>
            <w:webHidden/>
          </w:rPr>
          <w:fldChar w:fldCharType="separate"/>
        </w:r>
        <w:r w:rsidR="006C4087">
          <w:rPr>
            <w:noProof/>
            <w:webHidden/>
          </w:rPr>
          <w:t>10</w:t>
        </w:r>
        <w:r>
          <w:rPr>
            <w:noProof/>
            <w:webHidden/>
          </w:rPr>
          <w:fldChar w:fldCharType="end"/>
        </w:r>
      </w:hyperlink>
      <w:r>
        <w:rPr>
          <w:b/>
          <w:bCs/>
        </w:rPr>
        <w:fldChar w:fldCharType="end"/>
      </w:r>
    </w:p>
    <w:p w14:paraId="4C5E1D63" w14:textId="77777777" w:rsidR="006C4087" w:rsidRDefault="006C4087">
      <w:pPr>
        <w:spacing w:after="160" w:line="259" w:lineRule="auto"/>
        <w:jc w:val="left"/>
        <w:rPr>
          <w:b/>
          <w:sz w:val="28"/>
        </w:rPr>
      </w:pPr>
      <w:bookmarkStart w:id="1" w:name="_Toc204345832"/>
      <w:bookmarkStart w:id="2" w:name="_Toc163035049"/>
      <w:r>
        <w:rPr>
          <w:b/>
          <w:sz w:val="28"/>
        </w:rPr>
        <w:br w:type="page"/>
      </w:r>
    </w:p>
    <w:p w14:paraId="020BBB63" w14:textId="0130E8C2" w:rsidR="003F5CAD" w:rsidRDefault="00563BAC">
      <w:pPr>
        <w:spacing w:after="60"/>
        <w:ind w:left="567" w:hanging="567"/>
        <w:outlineLvl w:val="0"/>
        <w:rPr>
          <w:b/>
          <w:sz w:val="28"/>
        </w:rPr>
      </w:pPr>
      <w:r>
        <w:rPr>
          <w:b/>
          <w:sz w:val="28"/>
        </w:rPr>
        <w:lastRenderedPageBreak/>
        <w:t>Introduction</w:t>
      </w:r>
      <w:bookmarkEnd w:id="1"/>
    </w:p>
    <w:p w14:paraId="17206E71" w14:textId="77777777" w:rsidR="003F5CAD" w:rsidRDefault="003F5CAD">
      <w:pPr>
        <w:rPr>
          <w:rFonts w:cs="Times New Roman"/>
        </w:rPr>
      </w:pPr>
    </w:p>
    <w:p w14:paraId="523999FD" w14:textId="03CD5F5A" w:rsidR="003F5CAD" w:rsidRDefault="00563BAC">
      <w:pPr>
        <w:numPr>
          <w:ilvl w:val="0"/>
          <w:numId w:val="2"/>
        </w:numPr>
        <w:tabs>
          <w:tab w:val="clear" w:pos="360"/>
        </w:tabs>
        <w:spacing w:after="60" w:line="240" w:lineRule="auto"/>
        <w:ind w:left="567" w:hanging="567"/>
        <w:rPr>
          <w:rFonts w:cs="Times New Roman"/>
        </w:rPr>
      </w:pPr>
      <w:r>
        <w:rPr>
          <w:rFonts w:cs="Times New Roman"/>
        </w:rPr>
        <w:t xml:space="preserve">Le présent rapport s'appuie principalement sur des informations recueillies par l'organisation Culture pour la paix et la justice (CPJ) et ses partenaires congolais de la Coalition contre la peine de mort en République démocratique du Congo (CCPM-RDC). Ces données proviennent de diverses sources : visites en prisons, une mission d'enquête conjointe sur les conditions de détention menée par la CPJ et ECPM, ainsi que des actualités, rapports et témoignages d'avocats, de membres d'ONG et de condamnés à mort. ECPM, qui </w:t>
      </w:r>
      <w:r w:rsidR="00424425">
        <w:rPr>
          <w:rFonts w:cs="Times New Roman"/>
        </w:rPr>
        <w:t xml:space="preserve">a </w:t>
      </w:r>
      <w:proofErr w:type="spellStart"/>
      <w:r>
        <w:rPr>
          <w:rFonts w:cs="Times New Roman"/>
        </w:rPr>
        <w:t>co-rédigé</w:t>
      </w:r>
      <w:proofErr w:type="spellEnd"/>
      <w:r>
        <w:rPr>
          <w:rFonts w:cs="Times New Roman"/>
        </w:rPr>
        <w:t xml:space="preserve"> ce rapport, </w:t>
      </w:r>
      <w:r w:rsidR="00424425">
        <w:rPr>
          <w:rFonts w:cs="Times New Roman"/>
        </w:rPr>
        <w:t>a</w:t>
      </w:r>
      <w:r>
        <w:rPr>
          <w:rFonts w:cs="Times New Roman"/>
        </w:rPr>
        <w:t xml:space="preserve"> complété ces informations</w:t>
      </w:r>
      <w:r w:rsidR="00424425">
        <w:rPr>
          <w:rFonts w:cs="Times New Roman"/>
        </w:rPr>
        <w:t xml:space="preserve">, avec le soutien de l’ACAT RDC, </w:t>
      </w:r>
      <w:proofErr w:type="spellStart"/>
      <w:r w:rsidR="00424425">
        <w:rPr>
          <w:rFonts w:cs="Times New Roman"/>
        </w:rPr>
        <w:t>Haki</w:t>
      </w:r>
      <w:proofErr w:type="spellEnd"/>
      <w:r w:rsidR="00424425">
        <w:rPr>
          <w:rFonts w:cs="Times New Roman"/>
        </w:rPr>
        <w:t xml:space="preserve"> </w:t>
      </w:r>
      <w:proofErr w:type="spellStart"/>
      <w:r w:rsidR="00424425">
        <w:rPr>
          <w:rFonts w:cs="Times New Roman"/>
        </w:rPr>
        <w:t>Zangu</w:t>
      </w:r>
      <w:proofErr w:type="spellEnd"/>
      <w:r w:rsidR="00424425">
        <w:rPr>
          <w:rFonts w:cs="Times New Roman"/>
        </w:rPr>
        <w:t xml:space="preserve"> Asbl, la Coalition mondiale contre la peine de mort et la FIACAT</w:t>
      </w:r>
      <w:r>
        <w:rPr>
          <w:rFonts w:cs="Times New Roman"/>
        </w:rPr>
        <w:t>.</w:t>
      </w:r>
    </w:p>
    <w:p w14:paraId="06D56933" w14:textId="77777777" w:rsidR="003F5CAD" w:rsidRDefault="003F5CAD">
      <w:pPr>
        <w:tabs>
          <w:tab w:val="left" w:pos="567"/>
        </w:tabs>
        <w:spacing w:after="60" w:line="240" w:lineRule="auto"/>
        <w:ind w:left="567" w:hanging="567"/>
        <w:rPr>
          <w:rFonts w:cs="Times New Roman"/>
        </w:rPr>
      </w:pPr>
    </w:p>
    <w:p w14:paraId="44318313" w14:textId="77777777" w:rsidR="003F5CAD" w:rsidRDefault="00563BAC">
      <w:pPr>
        <w:numPr>
          <w:ilvl w:val="0"/>
          <w:numId w:val="2"/>
        </w:numPr>
        <w:tabs>
          <w:tab w:val="clear" w:pos="360"/>
        </w:tabs>
        <w:spacing w:after="60" w:line="240" w:lineRule="auto"/>
        <w:ind w:left="567" w:hanging="567"/>
        <w:rPr>
          <w:rFonts w:cs="Times New Roman"/>
        </w:rPr>
      </w:pPr>
      <w:r>
        <w:rPr>
          <w:rFonts w:cs="Times New Roman"/>
        </w:rPr>
        <w:t>Pour appréhender la situation de la peine de mort en République Démocratique du Congo (RDC), il est essentiel de comprendre les fondements de son système politique et administratif. La RDC est un État unitaire fonctionnant sur le principe de la décentralisation. Les pouvoirs et compétences sont ainsi répartis entre l'État central et les provinces. À ce titre, les gouverneurs provinciaux sont responsables de la gestion des prisons, sous l'autorité des ministères de la Justice et de la Défense.</w:t>
      </w:r>
    </w:p>
    <w:p w14:paraId="3A7E368F" w14:textId="77777777" w:rsidR="003F5CAD" w:rsidRDefault="003F5CAD">
      <w:pPr>
        <w:tabs>
          <w:tab w:val="left" w:pos="567"/>
        </w:tabs>
        <w:spacing w:after="60" w:line="240" w:lineRule="auto"/>
        <w:rPr>
          <w:rFonts w:cs="Times New Roman"/>
        </w:rPr>
      </w:pPr>
    </w:p>
    <w:p w14:paraId="16FFF0CE" w14:textId="77777777" w:rsidR="003F5CAD" w:rsidRDefault="00563BAC">
      <w:pPr>
        <w:numPr>
          <w:ilvl w:val="0"/>
          <w:numId w:val="2"/>
        </w:numPr>
        <w:tabs>
          <w:tab w:val="clear" w:pos="360"/>
        </w:tabs>
        <w:spacing w:after="60" w:line="240" w:lineRule="auto"/>
        <w:ind w:left="567" w:hanging="567"/>
        <w:rPr>
          <w:rFonts w:cs="Times New Roman"/>
        </w:rPr>
      </w:pPr>
      <w:r>
        <w:rPr>
          <w:rFonts w:cs="Times New Roman"/>
        </w:rPr>
        <w:t xml:space="preserve">Le pays observait un moratoire de fait sur les exécutions des condamnés à mort depuis 2003, mais depuis 2021, plusieurs signaux négatifs ont mis en lumière la fragilité de cette suspension. Tel est le cas des juges qui continuent de prononcer des condamnations à mort avec une augmentation significative, à partir de 2021, du nombre de condamnations prononcées par les juridictions militaires à l'encontre de militaires, de policiers, de personnels assimilés, et même de civils. </w:t>
      </w:r>
    </w:p>
    <w:p w14:paraId="73C5D50A" w14:textId="77777777" w:rsidR="003F5CAD" w:rsidRDefault="003F5CAD">
      <w:pPr>
        <w:tabs>
          <w:tab w:val="left" w:pos="567"/>
        </w:tabs>
        <w:spacing w:after="60" w:line="240" w:lineRule="auto"/>
        <w:ind w:left="567"/>
        <w:rPr>
          <w:rFonts w:cs="Times New Roman"/>
        </w:rPr>
      </w:pPr>
    </w:p>
    <w:p w14:paraId="078AE868" w14:textId="77777777" w:rsidR="003F5CAD" w:rsidRDefault="00563BAC">
      <w:pPr>
        <w:numPr>
          <w:ilvl w:val="0"/>
          <w:numId w:val="2"/>
        </w:numPr>
        <w:tabs>
          <w:tab w:val="clear" w:pos="360"/>
        </w:tabs>
        <w:spacing w:after="60" w:line="240" w:lineRule="auto"/>
        <w:ind w:left="567" w:hanging="567"/>
        <w:rPr>
          <w:rFonts w:cs="Times New Roman"/>
        </w:rPr>
      </w:pPr>
      <w:r>
        <w:rPr>
          <w:rFonts w:cs="Times New Roman"/>
        </w:rPr>
        <w:t xml:space="preserve">Un tournant notable a eu lieu en décembre 2022, lorsque la RDC a voté pour la première fois contre la Résolution appelant au moratoire universel sur l'application de la peine de mort. Le 5 février 2024, le ministre de la Défense, au nom du Conseil supérieur de défense, a sollicité du Président de la République la levée du moratoire, afin d'exécuter les militaires condamnés à mort pour trahison au front. Cette demande a ensuite fait l'objet d'une note d'information au Conseil des ministres par la ministre de la Justice, aboutissant à la Note Circulaire du 13 mars 2024. Ce document confirme la levée du moratoire sur l'exécution de la peine de mort en RDC pour la quasi-totalité des infractions passibles de cette peine. </w:t>
      </w:r>
    </w:p>
    <w:p w14:paraId="77029659" w14:textId="77777777" w:rsidR="003F5CAD" w:rsidRDefault="003F5CAD">
      <w:pPr>
        <w:tabs>
          <w:tab w:val="left" w:pos="567"/>
        </w:tabs>
        <w:spacing w:after="60" w:line="240" w:lineRule="auto"/>
        <w:rPr>
          <w:rFonts w:cs="Times New Roman"/>
        </w:rPr>
      </w:pPr>
    </w:p>
    <w:p w14:paraId="394ED9DB" w14:textId="7D61C9A7" w:rsidR="003F5CAD" w:rsidRDefault="00563BAC">
      <w:pPr>
        <w:numPr>
          <w:ilvl w:val="0"/>
          <w:numId w:val="2"/>
        </w:numPr>
        <w:tabs>
          <w:tab w:val="clear" w:pos="360"/>
        </w:tabs>
        <w:spacing w:after="60" w:line="240" w:lineRule="auto"/>
        <w:ind w:left="567" w:hanging="567"/>
        <w:rPr>
          <w:rFonts w:cs="Times New Roman"/>
        </w:rPr>
      </w:pPr>
      <w:r>
        <w:rPr>
          <w:rFonts w:cs="Times New Roman"/>
        </w:rPr>
        <w:t>Bien que les exécutions n'aient pas encore repris dans la pratique, cette levée de moratoire s'est accompagnée d'une nette augmentation du nombre de condamnations à mort en 2024 (plus de 300 % par rapport à 2023)</w:t>
      </w:r>
      <w:r w:rsidR="00DB4186">
        <w:rPr>
          <w:rFonts w:cs="Times New Roman"/>
        </w:rPr>
        <w:t>, qui s’est maintenu à un niveau très élevé en 2025</w:t>
      </w:r>
      <w:r>
        <w:rPr>
          <w:rFonts w:cs="Times New Roman"/>
        </w:rPr>
        <w:t>.</w:t>
      </w:r>
    </w:p>
    <w:p w14:paraId="21087469" w14:textId="77777777" w:rsidR="003F5CAD" w:rsidRDefault="00563BAC">
      <w:pPr>
        <w:pStyle w:val="Titre1"/>
        <w:rPr>
          <w:rFonts w:ascii="Calibri" w:hAnsi="Calibri" w:cs="Calibri"/>
          <w:b/>
          <w:bCs/>
          <w:color w:val="000000"/>
          <w:sz w:val="32"/>
          <w:szCs w:val="32"/>
        </w:rPr>
      </w:pPr>
      <w:bookmarkStart w:id="3" w:name="_Toc204345833"/>
      <w:r>
        <w:rPr>
          <w:rFonts w:ascii="Calibri" w:hAnsi="Calibri" w:cs="Calibri"/>
          <w:b/>
          <w:bCs/>
          <w:color w:val="000000"/>
          <w:sz w:val="32"/>
          <w:szCs w:val="32"/>
        </w:rPr>
        <w:t>Contexte national et développements récents</w:t>
      </w:r>
      <w:bookmarkEnd w:id="2"/>
      <w:bookmarkEnd w:id="3"/>
    </w:p>
    <w:p w14:paraId="5C66AF6B" w14:textId="77777777" w:rsidR="003F5CAD" w:rsidRDefault="00563BAC">
      <w:pPr>
        <w:numPr>
          <w:ilvl w:val="0"/>
          <w:numId w:val="2"/>
        </w:numPr>
        <w:tabs>
          <w:tab w:val="clear" w:pos="360"/>
        </w:tabs>
        <w:spacing w:after="60" w:line="240" w:lineRule="auto"/>
        <w:ind w:left="567" w:hanging="567"/>
      </w:pPr>
      <w:r>
        <w:rPr>
          <w:rFonts w:cs="Times New Roman"/>
        </w:rPr>
        <w:t>La situation de moratoire de fait, que la République démocratique du Congo connaissait depuis 2003, témoigne en elle-même d’une grande avancée, puisqu’avant cette date la République démocratique du Congo faisait partie des 5 pays exécutant le plus au monde. Le débat national, notamment au sein de la société civile, est assez dynamique grâce au travail des membres de la Coalition contre la peine de mort en République démocratique du Congo (CCPM-RDC), du réseau des avocats congolais contre la peine de mort, du réseau des magistrats et du réseau des parlementaires congolais contre la peine de mort.</w:t>
      </w:r>
    </w:p>
    <w:p w14:paraId="6A647C74" w14:textId="77777777" w:rsidR="003F5CAD" w:rsidRDefault="003F5CAD">
      <w:pPr>
        <w:tabs>
          <w:tab w:val="left" w:pos="567"/>
          <w:tab w:val="left" w:pos="1134"/>
        </w:tabs>
        <w:spacing w:after="60" w:line="240" w:lineRule="auto"/>
      </w:pPr>
    </w:p>
    <w:p w14:paraId="2C074D27" w14:textId="77777777" w:rsidR="003F5CAD" w:rsidRDefault="00563BAC">
      <w:pPr>
        <w:numPr>
          <w:ilvl w:val="0"/>
          <w:numId w:val="2"/>
        </w:numPr>
        <w:tabs>
          <w:tab w:val="clear" w:pos="360"/>
        </w:tabs>
        <w:spacing w:after="60" w:line="240" w:lineRule="auto"/>
        <w:ind w:left="567" w:hanging="567"/>
        <w:rPr>
          <w:rFonts w:cs="Times New Roman"/>
        </w:rPr>
      </w:pPr>
      <w:r>
        <w:rPr>
          <w:rFonts w:cs="Times New Roman"/>
        </w:rPr>
        <w:lastRenderedPageBreak/>
        <w:t>Un plaidoyer appuyé ainsi que plusieurs actions autour du thème de la peine de mort et de son abolition ont eu lieu ces dernières années.  De nombreux événements ont été organisés à Kinshasa mais également dans d’autres villes du pays comme Lubumbashi, Likasi ou Kisangani. La Journée mondiale contre la peine de mort est célébrée tous les ans, le 10 octobre. Des autorités nationales y ont régulièrement participé, comme l</w:t>
      </w:r>
      <w:r w:rsidR="00941889">
        <w:rPr>
          <w:rFonts w:cs="Times New Roman"/>
        </w:rPr>
        <w:t>a</w:t>
      </w:r>
      <w:r>
        <w:rPr>
          <w:rFonts w:cs="Times New Roman"/>
        </w:rPr>
        <w:t xml:space="preserve"> CNDH-RDC, le ministère de la Justice, au niveau du/de la ministre ou vice-ministre. Des rendez-vous de plaidoyer, en particulier concernant la Résolution pour un moratoire universel sur l’application de la peine de mort, ont pu être menés auprès des ministres des Affaires étrangères, de la Justice, des Droits humains, et également de la Présidence. Cependant en 2024, ce dialogue avec les autorités a été empêché, les autorités ne répondant plus aux demandes d’audience sur la question.</w:t>
      </w:r>
    </w:p>
    <w:p w14:paraId="2F2790EF" w14:textId="77777777" w:rsidR="003F5CAD" w:rsidRDefault="003F5CAD">
      <w:pPr>
        <w:tabs>
          <w:tab w:val="left" w:pos="567"/>
          <w:tab w:val="left" w:pos="1134"/>
        </w:tabs>
        <w:spacing w:after="60" w:line="240" w:lineRule="auto"/>
        <w:rPr>
          <w:rFonts w:cs="Times New Roman"/>
        </w:rPr>
      </w:pPr>
    </w:p>
    <w:p w14:paraId="1BEFEA68" w14:textId="77777777" w:rsidR="003F5CAD" w:rsidRDefault="00563BAC">
      <w:pPr>
        <w:pStyle w:val="Listenumros"/>
        <w:tabs>
          <w:tab w:val="clear" w:pos="360"/>
        </w:tabs>
        <w:ind w:left="567" w:hanging="567"/>
      </w:pPr>
      <w:r>
        <w:t>Depuis 2017, la Commission nationale des droits de l’Homme s’était investie dans la thématique et soutenait les acteurs abolitionnistes lors d’événements ou visites de prisons et participe régulièrement aux événements régionaux et internationaux sur l’abolition de la peine de mort.</w:t>
      </w:r>
      <w:r>
        <w:rPr>
          <w:color w:val="FF0000"/>
        </w:rPr>
        <w:t xml:space="preserve"> </w:t>
      </w:r>
      <w:r>
        <w:rPr>
          <w:color w:val="000000"/>
        </w:rPr>
        <w:t>Cependant, depuis 2022, cette dynamique a connu un net recul.</w:t>
      </w:r>
    </w:p>
    <w:p w14:paraId="5E00597E" w14:textId="77777777" w:rsidR="003F5CAD" w:rsidRDefault="003F5CAD">
      <w:pPr>
        <w:pStyle w:val="Listenumros"/>
        <w:numPr>
          <w:ilvl w:val="0"/>
          <w:numId w:val="0"/>
        </w:numPr>
        <w:ind w:left="360" w:hanging="360"/>
      </w:pPr>
    </w:p>
    <w:p w14:paraId="4E761C13" w14:textId="77777777" w:rsidR="003F5CAD" w:rsidRDefault="00563BAC">
      <w:pPr>
        <w:pStyle w:val="Listenumros"/>
        <w:tabs>
          <w:tab w:val="clear" w:pos="360"/>
        </w:tabs>
        <w:ind w:left="567" w:hanging="567"/>
      </w:pPr>
      <w:r>
        <w:t xml:space="preserve">Depuis 2021, la tendance positive en faveur de l’abolition prend une tournure négative. Les condamnations à mort n’ont cessé d’augmenter depuis 2020, atteignant un premier pic en 2022 (163+ condamnations à mort) puis en 2024 (480+). Lors de son allocution au 8e Congrès mondial contre la peine de mort à Berlin, en novembre 2022, le ministre des Droits humains, S.E.M Albert-Fabrice </w:t>
      </w:r>
      <w:proofErr w:type="spellStart"/>
      <w:r>
        <w:t>Puela</w:t>
      </w:r>
      <w:proofErr w:type="spellEnd"/>
      <w:r>
        <w:t xml:space="preserve"> a expliqué que l’abolition de la peine de mort ne pouvait survenir dans le contexte de violente crise sécuritaire à l’Est du pays au risque d’envoyer un message d’impunité aux criminels de guerre. </w:t>
      </w:r>
    </w:p>
    <w:p w14:paraId="241FF4EC" w14:textId="77777777" w:rsidR="003F5CAD" w:rsidRDefault="003F5CAD">
      <w:pPr>
        <w:pStyle w:val="Listenumros"/>
        <w:numPr>
          <w:ilvl w:val="0"/>
          <w:numId w:val="0"/>
        </w:numPr>
      </w:pPr>
    </w:p>
    <w:p w14:paraId="7903CA69" w14:textId="77777777" w:rsidR="003F5CAD" w:rsidRDefault="00563BAC">
      <w:pPr>
        <w:pStyle w:val="Listenumros"/>
        <w:tabs>
          <w:tab w:val="clear" w:pos="360"/>
        </w:tabs>
        <w:ind w:left="567" w:hanging="567"/>
      </w:pPr>
      <w:r>
        <w:t>La lutte contre l’impunité face aux différents épisodes d’instabilité à l’Est demeure le principal argument utilisé par les autorités congolaises pour justifier le maintien de la peine de mort. Ceci a précédé le premier vote négatif de l’État à l’AGNU à New York, en décembre 2022, contre la Résolution pour un moratoire universel sur l’application de la peine de mort. Enfin, le 13 mars 2024, la note circulaire de la ministre de la Justice a officialisé la demande du Conseil supérieur de défense de lever le moratoire pour exécuter les militaires condamnés à mort pour trahison au front – circulaire étendant la levée du moratoire à la quasi-totalité des crimes passibles de la peine de mort, dont terrorisme et banditisme urbain.</w:t>
      </w:r>
    </w:p>
    <w:p w14:paraId="217925B1" w14:textId="77777777" w:rsidR="003F5CAD" w:rsidRDefault="003F5CAD">
      <w:pPr>
        <w:pStyle w:val="Listenumros"/>
        <w:numPr>
          <w:ilvl w:val="0"/>
          <w:numId w:val="0"/>
        </w:numPr>
      </w:pPr>
    </w:p>
    <w:p w14:paraId="3FA7C168" w14:textId="2B288012" w:rsidR="003F5CAD" w:rsidRDefault="00563BAC">
      <w:pPr>
        <w:pStyle w:val="Listenumros"/>
        <w:tabs>
          <w:tab w:val="left" w:pos="709"/>
        </w:tabs>
        <w:ind w:left="567" w:hanging="567"/>
      </w:pPr>
      <w:r>
        <w:t>En 2024, au moins 480 condamnations à mort ont été recensé</w:t>
      </w:r>
      <w:r w:rsidR="00D84D3F">
        <w:t>e</w:t>
      </w:r>
      <w:r>
        <w:t xml:space="preserve">s en RDC, représentant une augmentation de près de 300% par rapport à 2023. </w:t>
      </w:r>
      <w:r w:rsidR="00D84D3F">
        <w:t>En 2025, au moins 344 personnes ont été condamnées à mort, dont deux femmes.</w:t>
      </w:r>
      <w:r w:rsidR="00D84D3F">
        <w:rPr>
          <w:rStyle w:val="Appeldenotedefin"/>
        </w:rPr>
        <w:endnoteReference w:id="1"/>
      </w:r>
    </w:p>
    <w:p w14:paraId="21B37EE9" w14:textId="77777777" w:rsidR="003F5CAD" w:rsidRDefault="003F5CAD">
      <w:pPr>
        <w:pStyle w:val="Listenumros"/>
        <w:numPr>
          <w:ilvl w:val="0"/>
          <w:numId w:val="0"/>
        </w:numPr>
        <w:tabs>
          <w:tab w:val="clear" w:pos="1134"/>
        </w:tabs>
        <w:ind w:left="1134" w:hanging="567"/>
      </w:pPr>
    </w:p>
    <w:p w14:paraId="7E187919" w14:textId="77777777" w:rsidR="003F5CAD" w:rsidRDefault="003F5CAD">
      <w:pPr>
        <w:pStyle w:val="Listenumros"/>
        <w:numPr>
          <w:ilvl w:val="0"/>
          <w:numId w:val="0"/>
        </w:numPr>
        <w:ind w:left="1134"/>
        <w:rPr>
          <w:b/>
          <w:bCs/>
        </w:rPr>
      </w:pPr>
    </w:p>
    <w:p w14:paraId="0BEAA6BA" w14:textId="77777777" w:rsidR="003F5CAD" w:rsidRDefault="00563BAC">
      <w:pPr>
        <w:pStyle w:val="Listenumros"/>
        <w:numPr>
          <w:ilvl w:val="0"/>
          <w:numId w:val="0"/>
        </w:numPr>
        <w:ind w:left="1134"/>
        <w:rPr>
          <w:b/>
          <w:bCs/>
          <w:sz w:val="28"/>
          <w:szCs w:val="28"/>
        </w:rPr>
      </w:pPr>
      <w:r>
        <w:rPr>
          <w:b/>
          <w:bCs/>
          <w:sz w:val="28"/>
          <w:szCs w:val="28"/>
        </w:rPr>
        <w:t xml:space="preserve">Cadre législatif </w:t>
      </w:r>
    </w:p>
    <w:p w14:paraId="440ADDC0" w14:textId="77777777" w:rsidR="003F5CAD" w:rsidRDefault="00563BAC">
      <w:pPr>
        <w:pStyle w:val="Listenumros"/>
        <w:numPr>
          <w:ilvl w:val="0"/>
          <w:numId w:val="5"/>
        </w:numPr>
        <w:rPr>
          <w:sz w:val="28"/>
          <w:szCs w:val="28"/>
        </w:rPr>
      </w:pPr>
      <w:r>
        <w:rPr>
          <w:sz w:val="28"/>
          <w:szCs w:val="28"/>
        </w:rPr>
        <w:t>National</w:t>
      </w:r>
    </w:p>
    <w:p w14:paraId="6FE9E0B8" w14:textId="77777777" w:rsidR="003F5CAD" w:rsidRDefault="003F5CAD">
      <w:pPr>
        <w:pStyle w:val="Listenumros"/>
        <w:numPr>
          <w:ilvl w:val="0"/>
          <w:numId w:val="0"/>
        </w:numPr>
        <w:ind w:left="1134"/>
      </w:pPr>
    </w:p>
    <w:p w14:paraId="7A5EE81A" w14:textId="77777777" w:rsidR="003F5CAD" w:rsidRDefault="00563BAC">
      <w:pPr>
        <w:pStyle w:val="Listenumros"/>
      </w:pPr>
      <w:r>
        <w:t>La Constitution de la République démocratique du Congo protège le droit à la vie sans exception aucune</w:t>
      </w:r>
      <w:r>
        <w:rPr>
          <w:vertAlign w:val="superscript"/>
        </w:rPr>
        <w:endnoteReference w:id="2"/>
      </w:r>
      <w:r>
        <w:t>, y compris en cas de circonstances exceptionnelles</w:t>
      </w:r>
      <w:r>
        <w:rPr>
          <w:vertAlign w:val="superscript"/>
        </w:rPr>
        <w:endnoteReference w:id="3"/>
      </w:r>
      <w:r>
        <w:t>. Malgré cela, de nombreux crimes restent passibles de la peine de mort dans la législation congolaise.</w:t>
      </w:r>
    </w:p>
    <w:p w14:paraId="25FB37FD" w14:textId="77777777" w:rsidR="003F5CAD" w:rsidRDefault="003F5CAD">
      <w:pPr>
        <w:pStyle w:val="Listenumros"/>
        <w:numPr>
          <w:ilvl w:val="0"/>
          <w:numId w:val="0"/>
        </w:numPr>
        <w:ind w:left="360" w:hanging="360"/>
      </w:pPr>
    </w:p>
    <w:p w14:paraId="319FB935" w14:textId="77777777" w:rsidR="003F5CAD" w:rsidRDefault="00563BAC">
      <w:pPr>
        <w:pStyle w:val="Listenumros"/>
      </w:pPr>
      <w:r>
        <w:t>Le Code pénal</w:t>
      </w:r>
      <w:r>
        <w:rPr>
          <w:vertAlign w:val="superscript"/>
        </w:rPr>
        <w:endnoteReference w:id="4"/>
      </w:r>
      <w:r>
        <w:t xml:space="preserve"> permet l’application de la peine de mort pour au moins 19 crimes, dont les crimes de sang et certaines infractions politiques et militaires. Les crimes passibles de la peine de mort ne sont pas limités aux « crimes les plus graves » ; plusieurs d’entre eux n’incluent pas un élément </w:t>
      </w:r>
      <w:r>
        <w:lastRenderedPageBreak/>
        <w:t>d’homicide intentionnel. Depuis 2015, les crimes de guerre, le génocide et les crimes contre l’humanité relèvent du Code pénal et sont punis de mort, alors même que le Statut de Rome, ratifié par la RDC en 2002, ne prévoit pas le recours à la peine capitale.</w:t>
      </w:r>
    </w:p>
    <w:p w14:paraId="5790E6FE" w14:textId="77777777" w:rsidR="003F5CAD" w:rsidRDefault="003F5CAD">
      <w:pPr>
        <w:pStyle w:val="Listenumros"/>
        <w:numPr>
          <w:ilvl w:val="0"/>
          <w:numId w:val="0"/>
        </w:numPr>
      </w:pPr>
    </w:p>
    <w:p w14:paraId="6CFA75B6" w14:textId="77777777" w:rsidR="003F5CAD" w:rsidRDefault="00563BAC">
      <w:pPr>
        <w:pStyle w:val="Listenumros"/>
      </w:pPr>
      <w:r>
        <w:t>Le Code pénal militaire prévoit la peine capitale pour au moins 74 crimes, la majorité ne comportant aucun élément de meurtre intentionnel.</w:t>
      </w:r>
      <w:r>
        <w:rPr>
          <w:vertAlign w:val="superscript"/>
        </w:rPr>
        <w:t xml:space="preserve"> </w:t>
      </w:r>
      <w:r>
        <w:rPr>
          <w:vertAlign w:val="superscript"/>
        </w:rPr>
        <w:endnoteReference w:id="5"/>
      </w:r>
      <w:r>
        <w:t xml:space="preserve"> La majorité des condamnations à mort en RDC sont prononcées en vertu du Code pénal militaire. Le Code judiciaire militaire autorise, selon certaines dispositions demeurant assez larges, la poursuite et le jugement de civils devant les tribunaux militaires</w:t>
      </w:r>
      <w:r>
        <w:rPr>
          <w:vertAlign w:val="superscript"/>
        </w:rPr>
        <w:endnoteReference w:id="6"/>
      </w:r>
      <w:r>
        <w:t xml:space="preserve">. </w:t>
      </w:r>
    </w:p>
    <w:p w14:paraId="5F82C658" w14:textId="77777777" w:rsidR="003F5CAD" w:rsidRDefault="003F5CAD">
      <w:pPr>
        <w:pStyle w:val="Listenumros"/>
        <w:numPr>
          <w:ilvl w:val="0"/>
          <w:numId w:val="0"/>
        </w:numPr>
      </w:pPr>
    </w:p>
    <w:p w14:paraId="017B5C46" w14:textId="4DFFCE98" w:rsidR="009231F6" w:rsidRDefault="00563BAC" w:rsidP="009231F6">
      <w:pPr>
        <w:pStyle w:val="Listenumros"/>
      </w:pPr>
      <w:r>
        <w:t xml:space="preserve">La loi no. 09/001 portant protection de l’enfant interdit le recours à la peine capitale pour tous les crimes commis par des mineurs de moins de dix-huit ans. </w:t>
      </w:r>
    </w:p>
    <w:p w14:paraId="643CBAB3" w14:textId="77777777" w:rsidR="009231F6" w:rsidRDefault="009231F6" w:rsidP="00766CBC">
      <w:pPr>
        <w:pStyle w:val="Listenumros"/>
        <w:numPr>
          <w:ilvl w:val="0"/>
          <w:numId w:val="0"/>
        </w:numPr>
        <w:ind w:left="360"/>
      </w:pPr>
    </w:p>
    <w:p w14:paraId="7C57C4D2" w14:textId="3CFEF755" w:rsidR="009231F6" w:rsidRDefault="00563BAC" w:rsidP="009231F6">
      <w:pPr>
        <w:pStyle w:val="Listenumros"/>
      </w:pPr>
      <w:r>
        <w:t>La peine de mort obligatoire n’a plus court en RDC depuis 2002 ; le Code pénal et le Code pénal militaire permettent au juge d’utiliser sa discrétion en toutes circonstances</w:t>
      </w:r>
      <w:r>
        <w:rPr>
          <w:vertAlign w:val="superscript"/>
        </w:rPr>
        <w:endnoteReference w:id="7"/>
      </w:r>
      <w:r>
        <w:t xml:space="preserve">. </w:t>
      </w:r>
      <w:r w:rsidR="009231F6">
        <w:br/>
      </w:r>
    </w:p>
    <w:p w14:paraId="77E3E30E" w14:textId="186400A7" w:rsidR="003F5CAD" w:rsidRDefault="00563BAC" w:rsidP="00766CBC">
      <w:pPr>
        <w:pStyle w:val="Listenumros"/>
      </w:pPr>
      <w:r>
        <w:t>Cependant les articles</w:t>
      </w:r>
      <w:r w:rsidR="005E39F5" w:rsidRPr="005E39F5">
        <w:rPr>
          <w:sz w:val="20"/>
        </w:rPr>
        <w:t xml:space="preserve"> 49, 81bis, 157 et 158, 200, et 221 à 223 </w:t>
      </w:r>
      <w:r>
        <w:t>du Code pénal</w:t>
      </w:r>
      <w:r>
        <w:rPr>
          <w:rStyle w:val="Appeldenotedefin"/>
        </w:rPr>
        <w:endnoteReference w:id="8"/>
      </w:r>
      <w:r>
        <w:t xml:space="preserve"> ne prévoient</w:t>
      </w:r>
      <w:r w:rsidR="005E39F5">
        <w:t xml:space="preserve"> </w:t>
      </w:r>
      <w:r>
        <w:t>que la peine de mort</w:t>
      </w:r>
      <w:r w:rsidR="009231F6">
        <w:t>,</w:t>
      </w:r>
      <w:r>
        <w:t xml:space="preserve"> </w:t>
      </w:r>
      <w:r w:rsidR="009231F6" w:rsidRPr="005E39F5">
        <w:t>lorsqu’aucune circonstance atténuante n’est retenue</w:t>
      </w:r>
      <w:r w:rsidR="009231F6">
        <w:t xml:space="preserve">, </w:t>
      </w:r>
      <w:r>
        <w:t>pour l</w:t>
      </w:r>
      <w:r w:rsidR="005E39F5">
        <w:t xml:space="preserve">es </w:t>
      </w:r>
      <w:r>
        <w:t>infraction</w:t>
      </w:r>
      <w:r w:rsidR="005E39F5">
        <w:t>s</w:t>
      </w:r>
      <w:r>
        <w:t xml:space="preserve"> d’association de malfaiteurs</w:t>
      </w:r>
      <w:r w:rsidR="005E39F5">
        <w:t>, de</w:t>
      </w:r>
      <w:r w:rsidR="005E39F5" w:rsidRPr="005E39F5">
        <w:t xml:space="preserve"> vol à mains armées, </w:t>
      </w:r>
      <w:r w:rsidR="005E39F5">
        <w:t>d</w:t>
      </w:r>
      <w:r w:rsidR="005E39F5" w:rsidRPr="005E39F5">
        <w:t xml:space="preserve">’empoisonnement, </w:t>
      </w:r>
      <w:r w:rsidR="005E39F5">
        <w:t>d’</w:t>
      </w:r>
      <w:r w:rsidR="005E39F5" w:rsidRPr="005E39F5">
        <w:t>attentats visant le massacre,</w:t>
      </w:r>
      <w:r w:rsidR="005E39F5">
        <w:t xml:space="preserve"> de</w:t>
      </w:r>
      <w:r w:rsidR="005E39F5" w:rsidRPr="005E39F5">
        <w:t xml:space="preserve"> dévastation ou pillage, ou encore </w:t>
      </w:r>
      <w:r w:rsidR="005E39F5">
        <w:t>pour le crime de</w:t>
      </w:r>
      <w:r w:rsidR="005E39F5" w:rsidRPr="005E39F5">
        <w:t xml:space="preserve"> génocide, crimes contre l’humanité et crimes de guerre</w:t>
      </w:r>
      <w:r>
        <w:t xml:space="preserve">. </w:t>
      </w:r>
    </w:p>
    <w:p w14:paraId="05030BB2" w14:textId="77777777" w:rsidR="009231F6" w:rsidRDefault="009231F6" w:rsidP="005E39F5">
      <w:pPr>
        <w:pStyle w:val="Listenumros"/>
        <w:numPr>
          <w:ilvl w:val="0"/>
          <w:numId w:val="0"/>
        </w:numPr>
      </w:pPr>
    </w:p>
    <w:p w14:paraId="7C8A8D96" w14:textId="77777777" w:rsidR="003F5CAD" w:rsidRDefault="00563BAC" w:rsidP="00766CBC">
      <w:pPr>
        <w:pStyle w:val="Listenumros"/>
        <w:tabs>
          <w:tab w:val="clear" w:pos="360"/>
          <w:tab w:val="left" w:pos="0"/>
        </w:tabs>
      </w:pPr>
      <w:r>
        <w:t>L’Arrêté du Gouverneur général relatif aux exécutions capitales de 1898</w:t>
      </w:r>
      <w:r>
        <w:rPr>
          <w:vertAlign w:val="superscript"/>
        </w:rPr>
        <w:endnoteReference w:id="9"/>
      </w:r>
      <w:r>
        <w:t>, toujours en vigueur aujourd'hui, impose la pendaison comme méthode d’exécution. Il ne concerne cependant que les civils, les militaires étant passés par les armes selon les dispositions du Code pénal militaire</w:t>
      </w:r>
      <w:r>
        <w:rPr>
          <w:vertAlign w:val="superscript"/>
        </w:rPr>
        <w:endnoteReference w:id="10"/>
      </w:r>
      <w:r>
        <w:t>.</w:t>
      </w:r>
    </w:p>
    <w:p w14:paraId="6A66BD48" w14:textId="77777777" w:rsidR="003F5CAD" w:rsidRDefault="003F5CAD">
      <w:pPr>
        <w:pStyle w:val="Listenumros"/>
        <w:numPr>
          <w:ilvl w:val="0"/>
          <w:numId w:val="0"/>
        </w:numPr>
        <w:ind w:left="1134"/>
      </w:pPr>
    </w:p>
    <w:p w14:paraId="027874DC" w14:textId="77777777" w:rsidR="003F5CAD" w:rsidRDefault="00563BAC">
      <w:pPr>
        <w:pStyle w:val="Listenumros"/>
        <w:numPr>
          <w:ilvl w:val="0"/>
          <w:numId w:val="5"/>
        </w:numPr>
        <w:rPr>
          <w:sz w:val="28"/>
          <w:szCs w:val="28"/>
        </w:rPr>
      </w:pPr>
      <w:r>
        <w:rPr>
          <w:sz w:val="28"/>
          <w:szCs w:val="28"/>
        </w:rPr>
        <w:t xml:space="preserve">International </w:t>
      </w:r>
    </w:p>
    <w:p w14:paraId="6227DF81" w14:textId="77777777" w:rsidR="003F5CAD" w:rsidRDefault="003F5CAD">
      <w:pPr>
        <w:pStyle w:val="Listenumros"/>
        <w:numPr>
          <w:ilvl w:val="0"/>
          <w:numId w:val="0"/>
        </w:numPr>
        <w:ind w:left="1494"/>
        <w:rPr>
          <w:sz w:val="28"/>
          <w:szCs w:val="28"/>
        </w:rPr>
      </w:pPr>
    </w:p>
    <w:p w14:paraId="2EB651ED" w14:textId="77777777" w:rsidR="003F5CAD" w:rsidRDefault="00563BAC">
      <w:pPr>
        <w:pStyle w:val="Listenumros"/>
        <w:numPr>
          <w:ilvl w:val="0"/>
          <w:numId w:val="0"/>
        </w:numPr>
        <w:ind w:left="360" w:hanging="360"/>
        <w:rPr>
          <w:sz w:val="28"/>
          <w:szCs w:val="28"/>
        </w:rPr>
      </w:pPr>
      <w:r>
        <w:rPr>
          <w:sz w:val="28"/>
          <w:szCs w:val="28"/>
        </w:rPr>
        <w:t>Ratification du Second protocole facultatif au PIDCP</w:t>
      </w:r>
    </w:p>
    <w:p w14:paraId="2371B775" w14:textId="77777777" w:rsidR="003F5CAD" w:rsidRDefault="00563BAC">
      <w:pPr>
        <w:pStyle w:val="Listenumros"/>
      </w:pPr>
      <w:r>
        <w:t xml:space="preserve">La République démocratique du Congo est partie à la majorité des instruments internationaux des droits de l’Homme. Elle a notamment ratifié le Pacte international relatif aux droits civils et politiques (PIDCP) en 1976, cependant l’État n’a engagé aucune démarche en vue de la ratification du Second protocole facultatif au PIDCP visant à abolir la peine de mort (OP2), malgré les recommandations de plusieurs mécanismes onusiens l’y enjoignant. </w:t>
      </w:r>
    </w:p>
    <w:p w14:paraId="5C97CC7C" w14:textId="77777777" w:rsidR="003F5CAD" w:rsidRDefault="003F5CAD">
      <w:pPr>
        <w:pStyle w:val="Listenumros"/>
        <w:numPr>
          <w:ilvl w:val="0"/>
          <w:numId w:val="0"/>
        </w:numPr>
        <w:ind w:left="360" w:hanging="360"/>
      </w:pPr>
    </w:p>
    <w:p w14:paraId="468C87BD" w14:textId="77777777" w:rsidR="003F5CAD" w:rsidRDefault="00563BAC">
      <w:pPr>
        <w:pStyle w:val="Listenumros"/>
      </w:pPr>
      <w:r>
        <w:t>La République démocratique du Congo a indiqué, lors de l’examen de son rapport périodique par le Comité des droits de l’Homme en 2017, que la ratification de l’OP2 était subordonnée à une consultation nationale préalable</w:t>
      </w:r>
      <w:r>
        <w:rPr>
          <w:vertAlign w:val="superscript"/>
        </w:rPr>
        <w:endnoteReference w:id="11"/>
      </w:r>
      <w:r>
        <w:t>. Celle-ci n’a toujours pas été enclenchée. Le Comité des droits de l’Homme, dans ses observations finales à la République démocratique du Congo, a recommandé la commutation de toutes les condamnations à mort et la ratification de l’OP2</w:t>
      </w:r>
      <w:r>
        <w:rPr>
          <w:vertAlign w:val="superscript"/>
        </w:rPr>
        <w:endnoteReference w:id="12"/>
      </w:r>
      <w:r>
        <w:t>.</w:t>
      </w:r>
    </w:p>
    <w:p w14:paraId="18403D92" w14:textId="77777777" w:rsidR="003F5CAD" w:rsidRDefault="003F5CAD">
      <w:pPr>
        <w:pStyle w:val="Listenumros"/>
        <w:numPr>
          <w:ilvl w:val="0"/>
          <w:numId w:val="0"/>
        </w:numPr>
      </w:pPr>
    </w:p>
    <w:p w14:paraId="7386D0B2" w14:textId="77777777" w:rsidR="003F5CAD" w:rsidRDefault="00563BAC">
      <w:pPr>
        <w:pStyle w:val="Listenumros"/>
      </w:pPr>
      <w:r>
        <w:t xml:space="preserve">La ratification de l’OP2 faisait également partie des recommandations faites à la République démocratique du Congo lors de son précédent cycle de l’Examen périodique universel en 2024. Celles-ci, ainsi que le reste des 36 recommandations qui portaient sur l’abolition dans la loi, le maintien du moratoire ou encore la commutation des peines des condamnés à mort, ont toutes été rejetées par le pays. </w:t>
      </w:r>
    </w:p>
    <w:p w14:paraId="16012185" w14:textId="77777777" w:rsidR="003F5CAD" w:rsidRDefault="003F5CAD">
      <w:pPr>
        <w:pStyle w:val="Listenumros"/>
        <w:numPr>
          <w:ilvl w:val="0"/>
          <w:numId w:val="0"/>
        </w:numPr>
        <w:ind w:left="1134"/>
      </w:pPr>
    </w:p>
    <w:p w14:paraId="446FB1AD" w14:textId="77777777" w:rsidR="003F5CAD" w:rsidRDefault="00563BAC">
      <w:pPr>
        <w:pStyle w:val="Titre1"/>
        <w:rPr>
          <w:rFonts w:ascii="Calibri" w:hAnsi="Calibri" w:cs="Calibri"/>
          <w:b/>
          <w:bCs/>
          <w:color w:val="auto"/>
          <w:sz w:val="28"/>
          <w:szCs w:val="28"/>
        </w:rPr>
      </w:pPr>
      <w:bookmarkStart w:id="4" w:name="_Toc163035044"/>
      <w:bookmarkStart w:id="5" w:name="_Toc204345834"/>
      <w:r>
        <w:rPr>
          <w:rFonts w:ascii="Calibri" w:hAnsi="Calibri" w:cs="Calibri"/>
          <w:b/>
          <w:bCs/>
          <w:color w:val="auto"/>
          <w:sz w:val="28"/>
          <w:szCs w:val="28"/>
        </w:rPr>
        <w:lastRenderedPageBreak/>
        <w:t>Application de la peine de mort en République démocratique du Congo</w:t>
      </w:r>
      <w:bookmarkEnd w:id="4"/>
      <w:bookmarkEnd w:id="5"/>
    </w:p>
    <w:p w14:paraId="0C0002D5" w14:textId="77777777" w:rsidR="003F5CAD" w:rsidRDefault="00563BAC">
      <w:pPr>
        <w:rPr>
          <w:sz w:val="28"/>
          <w:szCs w:val="28"/>
        </w:rPr>
      </w:pPr>
      <w:bookmarkStart w:id="6" w:name="_Toc163035045"/>
      <w:r>
        <w:rPr>
          <w:sz w:val="28"/>
          <w:szCs w:val="28"/>
        </w:rPr>
        <w:t>Données</w:t>
      </w:r>
      <w:bookmarkEnd w:id="6"/>
    </w:p>
    <w:p w14:paraId="777955B4" w14:textId="1161230D" w:rsidR="003F5CAD" w:rsidRDefault="00563BAC">
      <w:pPr>
        <w:pStyle w:val="Listenumros"/>
      </w:pPr>
      <w:r>
        <w:t>La République démocratique du Congo n’a procédé à aucune exécution depuis 2003. Les juges continuent néanmoins de prononcer des condamnations à mort qui connaissent une augmentation importante ces trois dernières années : au moins 122 en 2023</w:t>
      </w:r>
      <w:r>
        <w:rPr>
          <w:vertAlign w:val="superscript"/>
        </w:rPr>
        <w:endnoteReference w:id="13"/>
      </w:r>
      <w:r w:rsidR="00DB4186">
        <w:t xml:space="preserve">, </w:t>
      </w:r>
      <w:r>
        <w:t>480 en 2024</w:t>
      </w:r>
      <w:r>
        <w:rPr>
          <w:vertAlign w:val="superscript"/>
        </w:rPr>
        <w:endnoteReference w:id="14"/>
      </w:r>
      <w:r w:rsidR="00DB4186">
        <w:t xml:space="preserve"> et 344 en 2025</w:t>
      </w:r>
      <w:r w:rsidR="00DB4186">
        <w:rPr>
          <w:rStyle w:val="Appeldenotedefin"/>
        </w:rPr>
        <w:endnoteReference w:id="15"/>
      </w:r>
      <w:r>
        <w:t xml:space="preserve">. </w:t>
      </w:r>
    </w:p>
    <w:p w14:paraId="04D9E0AB" w14:textId="77777777" w:rsidR="003F5CAD" w:rsidRDefault="003F5CAD">
      <w:pPr>
        <w:pStyle w:val="Listenumros"/>
        <w:numPr>
          <w:ilvl w:val="0"/>
          <w:numId w:val="0"/>
        </w:numPr>
        <w:ind w:left="360" w:hanging="360"/>
      </w:pPr>
    </w:p>
    <w:p w14:paraId="358CA06B" w14:textId="77777777" w:rsidR="003F5CAD" w:rsidRDefault="00563BAC">
      <w:pPr>
        <w:pStyle w:val="Listenumros"/>
      </w:pPr>
      <w:r>
        <w:t>On estime à plus de 1380 le nombre de condamnés dans les couloirs de la mort congolais à la fin 2024, détenus dans au moins 23 des 80 prisons congolaises, principalement dans les prisons d’</w:t>
      </w:r>
      <w:proofErr w:type="spellStart"/>
      <w:r>
        <w:t>Angenga</w:t>
      </w:r>
      <w:proofErr w:type="spellEnd"/>
      <w:r>
        <w:t xml:space="preserve">, de </w:t>
      </w:r>
      <w:r w:rsidRPr="00EC7D5C">
        <w:t>Bunia</w:t>
      </w:r>
      <w:r>
        <w:t>, de Kisangani (</w:t>
      </w:r>
      <w:proofErr w:type="spellStart"/>
      <w:r>
        <w:t>Osio</w:t>
      </w:r>
      <w:proofErr w:type="spellEnd"/>
      <w:r>
        <w:t xml:space="preserve">), de Kinshasa (Makala et </w:t>
      </w:r>
      <w:proofErr w:type="spellStart"/>
      <w:r>
        <w:t>Ndolo</w:t>
      </w:r>
      <w:proofErr w:type="spellEnd"/>
      <w:r>
        <w:t>), de Likasi (</w:t>
      </w:r>
      <w:proofErr w:type="spellStart"/>
      <w:r>
        <w:t>Buluwo</w:t>
      </w:r>
      <w:proofErr w:type="spellEnd"/>
      <w:r>
        <w:t>) et de Lubumbashi (</w:t>
      </w:r>
      <w:proofErr w:type="spellStart"/>
      <w:r>
        <w:t>Kasapa</w:t>
      </w:r>
      <w:proofErr w:type="spellEnd"/>
      <w:r>
        <w:t>). Parmi eux se trouvent au moins 12 ressortissants d’autres pays africains, et au moins une femme. Au cours de la mission d’enquête menée par CPJ et ECPM en 2019, la situation dramatique du camp de détention d’</w:t>
      </w:r>
      <w:proofErr w:type="spellStart"/>
      <w:r>
        <w:t>Angenga</w:t>
      </w:r>
      <w:proofErr w:type="spellEnd"/>
      <w:r>
        <w:t>, dans l’Equateur, avait été mise au jour. Cet établissement pénitentiaire quasi-inaccessible et isolé comptait alors 269 condamnés à mort</w:t>
      </w:r>
      <w:r>
        <w:rPr>
          <w:rStyle w:val="Appeldenotedefin"/>
        </w:rPr>
        <w:endnoteReference w:id="16"/>
      </w:r>
      <w:r>
        <w:t>, 350 en 2025</w:t>
      </w:r>
      <w:r>
        <w:rPr>
          <w:rStyle w:val="Appeldenotedefin"/>
        </w:rPr>
        <w:endnoteReference w:id="17"/>
      </w:r>
      <w:r>
        <w:t xml:space="preserve">. Parmi eux, certains </w:t>
      </w:r>
      <w:r>
        <w:rPr>
          <w:rFonts w:cs="Campton Light"/>
          <w:color w:val="000000"/>
        </w:rPr>
        <w:t>avaient indiqué qu’aucun avocat ne venait à la prison et que leurs familles ne pouvaient leur rendre visite</w:t>
      </w:r>
      <w:r>
        <w:rPr>
          <w:rStyle w:val="Appeldenotedefin"/>
          <w:rFonts w:cs="Campton Light"/>
          <w:color w:val="000000"/>
        </w:rPr>
        <w:endnoteReference w:id="18"/>
      </w:r>
      <w:r>
        <w:rPr>
          <w:rFonts w:cs="Campton Light"/>
          <w:color w:val="000000"/>
        </w:rPr>
        <w:t xml:space="preserve">. </w:t>
      </w:r>
    </w:p>
    <w:p w14:paraId="6EF2E75C" w14:textId="77777777" w:rsidR="003F5CAD" w:rsidRDefault="003F5CAD">
      <w:pPr>
        <w:pStyle w:val="Listenumros"/>
        <w:numPr>
          <w:ilvl w:val="0"/>
          <w:numId w:val="0"/>
        </w:numPr>
      </w:pPr>
    </w:p>
    <w:p w14:paraId="77A2A0FD" w14:textId="77777777" w:rsidR="003F5CAD" w:rsidRDefault="00563BAC">
      <w:pPr>
        <w:pStyle w:val="Listenumros"/>
      </w:pPr>
      <w:r>
        <w:t>Il est très difficile d’obtenir des données précises sur l’application de la peine de mort, du fait d’un manque de transparence des autorités – principalement judiciaires et pénitentiaires. Ce difficile accès est dû autant à la faiblesse de l’administration dans le suivi, la collecte et l’archivage d’informations précises qu’à une volonté manifeste de maintenir le secret autour des condamnations à mort, notamment de la part de la justice militaire. A titre d’exemple, les transfèrements des condamnés à mort vers une autre prison ne sont pas systématiquement documentés, les familles perdant ainsi trace de leurs proches</w:t>
      </w:r>
      <w:r>
        <w:rPr>
          <w:rStyle w:val="Appeldenotedefin"/>
        </w:rPr>
        <w:endnoteReference w:id="19"/>
      </w:r>
      <w:r>
        <w:t>.</w:t>
      </w:r>
    </w:p>
    <w:p w14:paraId="350711C2" w14:textId="77777777" w:rsidR="003F5CAD" w:rsidRDefault="003F5CAD">
      <w:pPr>
        <w:pStyle w:val="Listenumros"/>
        <w:numPr>
          <w:ilvl w:val="0"/>
          <w:numId w:val="0"/>
        </w:numPr>
        <w:ind w:left="1134" w:hanging="567"/>
      </w:pPr>
    </w:p>
    <w:p w14:paraId="6B40FF17" w14:textId="77777777" w:rsidR="003F5CAD" w:rsidRDefault="00563BAC">
      <w:pPr>
        <w:pStyle w:val="Titre1"/>
        <w:rPr>
          <w:rFonts w:ascii="Calibri" w:hAnsi="Calibri" w:cs="Calibri"/>
          <w:b/>
          <w:bCs/>
          <w:color w:val="auto"/>
          <w:sz w:val="28"/>
          <w:szCs w:val="28"/>
        </w:rPr>
      </w:pPr>
      <w:bookmarkStart w:id="7" w:name="_Toc163035046"/>
      <w:bookmarkStart w:id="8" w:name="_Toc204345835"/>
      <w:r>
        <w:rPr>
          <w:rFonts w:ascii="Calibri" w:hAnsi="Calibri" w:cs="Calibri"/>
          <w:b/>
          <w:bCs/>
          <w:color w:val="auto"/>
          <w:sz w:val="28"/>
          <w:szCs w:val="28"/>
        </w:rPr>
        <w:t>Droits procéduraux des personnes risquant la peine de mort</w:t>
      </w:r>
      <w:bookmarkEnd w:id="7"/>
      <w:bookmarkEnd w:id="8"/>
    </w:p>
    <w:p w14:paraId="3786F75D" w14:textId="77777777" w:rsidR="003F5CAD" w:rsidRDefault="00563BAC">
      <w:pPr>
        <w:rPr>
          <w:sz w:val="28"/>
          <w:szCs w:val="28"/>
        </w:rPr>
      </w:pPr>
      <w:r>
        <w:rPr>
          <w:sz w:val="28"/>
          <w:szCs w:val="28"/>
        </w:rPr>
        <w:t>Avant le procès</w:t>
      </w:r>
    </w:p>
    <w:p w14:paraId="4FCC74BD" w14:textId="77777777" w:rsidR="003F5CAD" w:rsidRDefault="00563BAC">
      <w:pPr>
        <w:pStyle w:val="Listenumros"/>
      </w:pPr>
      <w:r>
        <w:t xml:space="preserve">Dès l’arrestation, les personnes arrêtées peuvent faire face aux violences policières toujours très prégnantes, malgré leur interdiction dans la législation nationale et internationale. Souvent, un « premier » interrogatoire a lieu, pendant lequel les autorités usent de torture et mauvais traitements, avant un « deuxième » interrogatoire officiel, réalisé dans le respect des procédures, utilisant les aveux obtenus sous la torture. </w:t>
      </w:r>
    </w:p>
    <w:p w14:paraId="71A75B36" w14:textId="77777777" w:rsidR="003F5CAD" w:rsidRDefault="003F5CAD">
      <w:pPr>
        <w:pStyle w:val="Listenumros"/>
        <w:numPr>
          <w:ilvl w:val="0"/>
          <w:numId w:val="0"/>
        </w:numPr>
        <w:ind w:left="360"/>
      </w:pPr>
    </w:p>
    <w:p w14:paraId="3C631DAE" w14:textId="77777777" w:rsidR="003F5CAD" w:rsidRDefault="00563BAC">
      <w:pPr>
        <w:pStyle w:val="Listenumros"/>
      </w:pPr>
      <w:r>
        <w:t>L’accès à un interprète dès l’arrestation est censé être garanti pour les personnes ne parlant pas la langue</w:t>
      </w:r>
      <w:r>
        <w:rPr>
          <w:vertAlign w:val="superscript"/>
        </w:rPr>
        <w:endnoteReference w:id="20"/>
      </w:r>
      <w:r>
        <w:t>, mais laissé à la libre appréciation des officiers de police et du Ministère public</w:t>
      </w:r>
      <w:r>
        <w:rPr>
          <w:vertAlign w:val="superscript"/>
        </w:rPr>
        <w:endnoteReference w:id="21"/>
      </w:r>
      <w:r>
        <w:t>. Quand il est accordé, l’interprétariat est souvent peu fiable, car les interprètes ne sont généralement pas formés à ce travail et à ces circonstances précises.</w:t>
      </w:r>
    </w:p>
    <w:p w14:paraId="417667D0" w14:textId="77777777" w:rsidR="003F5CAD" w:rsidRDefault="003F5CAD">
      <w:pPr>
        <w:pStyle w:val="Listenumros"/>
        <w:numPr>
          <w:ilvl w:val="0"/>
          <w:numId w:val="0"/>
        </w:numPr>
      </w:pPr>
    </w:p>
    <w:p w14:paraId="76797AF7" w14:textId="77777777" w:rsidR="003F5CAD" w:rsidRDefault="00563BAC">
      <w:pPr>
        <w:pStyle w:val="Listenumros"/>
      </w:pPr>
      <w:r>
        <w:t>Une assistance juridique n’est rendue obligatoire par la loi qu’à partir du début du procès. Avant cela, l’accès à un avocat n’est garanti qu’à la demande de la personne arrêtée. Une personne soupçonnée d’un crime capital, dans les cas où elle n’a pas connaissance de ses droits ou n’a ni les contacts, ni les moyens de faire appel à un avocat, peut passer l’ensemble de sa garde à vue sans conseil juridique.</w:t>
      </w:r>
    </w:p>
    <w:p w14:paraId="2D6F3EDB" w14:textId="77777777" w:rsidR="003F5CAD" w:rsidRDefault="003F5CAD">
      <w:pPr>
        <w:pStyle w:val="Listenumros"/>
        <w:numPr>
          <w:ilvl w:val="0"/>
          <w:numId w:val="0"/>
        </w:numPr>
      </w:pPr>
    </w:p>
    <w:p w14:paraId="1FCB2B68" w14:textId="77777777" w:rsidR="003F5CAD" w:rsidRDefault="00563BAC">
      <w:pPr>
        <w:pStyle w:val="Listenumros"/>
      </w:pPr>
      <w:r>
        <w:t>Le suivi médical pendant la garde à vue n’est pas expressément garanti par la loi : un examen n’est censé être garanti que lorsque la personne arrêtée en fait la demande</w:t>
      </w:r>
      <w:r>
        <w:rPr>
          <w:vertAlign w:val="superscript"/>
        </w:rPr>
        <w:endnoteReference w:id="22"/>
      </w:r>
      <w:r>
        <w:t xml:space="preserve">. Les violences exposées </w:t>
      </w:r>
      <w:r>
        <w:lastRenderedPageBreak/>
        <w:t>précédemment, la menace de celles-ci ou la méconnaissance de ce droit peut conduire la personne concernée à ne pas faire cette demande.</w:t>
      </w:r>
    </w:p>
    <w:p w14:paraId="504CF212" w14:textId="77777777" w:rsidR="003F5CAD" w:rsidRDefault="003F5CAD">
      <w:pPr>
        <w:pStyle w:val="Listenumros"/>
        <w:numPr>
          <w:ilvl w:val="0"/>
          <w:numId w:val="0"/>
        </w:numPr>
      </w:pPr>
    </w:p>
    <w:p w14:paraId="32EF8CB5" w14:textId="77777777" w:rsidR="003F5CAD" w:rsidRDefault="00563BAC">
      <w:pPr>
        <w:pStyle w:val="Listenumros"/>
      </w:pPr>
      <w:r>
        <w:t>Enfin, la République démocratique du Congo est partie à la Convention de Vienne sur les relations diplomatiques. Les droits consulaires des ressortissants étrangers arrêtés sont généralement respectés.</w:t>
      </w:r>
    </w:p>
    <w:p w14:paraId="2AF5D25F" w14:textId="77777777" w:rsidR="003F5CAD" w:rsidRDefault="003F5CAD">
      <w:pPr>
        <w:pStyle w:val="Listenumros"/>
        <w:numPr>
          <w:ilvl w:val="0"/>
          <w:numId w:val="0"/>
        </w:numPr>
        <w:ind w:left="1134" w:hanging="567"/>
      </w:pPr>
    </w:p>
    <w:p w14:paraId="33945F74" w14:textId="77777777" w:rsidR="003F5CAD" w:rsidRDefault="00563BAC">
      <w:pPr>
        <w:rPr>
          <w:sz w:val="28"/>
          <w:szCs w:val="28"/>
        </w:rPr>
      </w:pPr>
      <w:r>
        <w:rPr>
          <w:sz w:val="28"/>
          <w:szCs w:val="28"/>
        </w:rPr>
        <w:t>Pendant le procès</w:t>
      </w:r>
    </w:p>
    <w:p w14:paraId="5E1EAFEB" w14:textId="77777777" w:rsidR="003F5CAD" w:rsidRDefault="00563BAC">
      <w:pPr>
        <w:pStyle w:val="Listenumros"/>
      </w:pPr>
      <w:r>
        <w:t>La législation congolaise garantit une assistance juridique et l’accès à un interprète dès le début du procès</w:t>
      </w:r>
      <w:r>
        <w:rPr>
          <w:vertAlign w:val="superscript"/>
        </w:rPr>
        <w:endnoteReference w:id="23"/>
      </w:r>
      <w:r>
        <w:rPr>
          <w:vertAlign w:val="superscript"/>
        </w:rPr>
        <w:t xml:space="preserve">, </w:t>
      </w:r>
      <w:r>
        <w:rPr>
          <w:vertAlign w:val="superscript"/>
        </w:rPr>
        <w:endnoteReference w:id="24"/>
      </w:r>
      <w:r>
        <w:rPr>
          <w:vertAlign w:val="superscript"/>
        </w:rPr>
        <w:t xml:space="preserve">, </w:t>
      </w:r>
      <w:r>
        <w:rPr>
          <w:vertAlign w:val="superscript"/>
        </w:rPr>
        <w:endnoteReference w:id="25"/>
      </w:r>
      <w:r>
        <w:t xml:space="preserve">. Souvent débutants, et sur un service </w:t>
      </w:r>
      <w:r>
        <w:rPr>
          <w:i/>
        </w:rPr>
        <w:t xml:space="preserve">pro </w:t>
      </w:r>
      <w:proofErr w:type="spellStart"/>
      <w:r>
        <w:rPr>
          <w:i/>
        </w:rPr>
        <w:t>bono</w:t>
      </w:r>
      <w:proofErr w:type="spellEnd"/>
      <w:r>
        <w:t>, ils n’ont pas les ressources matérielles et humaines et ont trop peu de temps accordé pour préparer les dossiers et organiser une défense adéquate. Ces faits, ajoutés à des aveux souvent obtenus par la torture ou des mauvais traitements, conduisent à un non-respect des normes et standards internationaux du procès équitable, et à des condamnations à mort contraires au droit international</w:t>
      </w:r>
      <w:r>
        <w:rPr>
          <w:vertAlign w:val="superscript"/>
        </w:rPr>
        <w:endnoteReference w:id="26"/>
      </w:r>
      <w:r>
        <w:t>.</w:t>
      </w:r>
    </w:p>
    <w:p w14:paraId="5A4FAED9" w14:textId="77777777" w:rsidR="003F5CAD" w:rsidRDefault="003F5CAD">
      <w:pPr>
        <w:pStyle w:val="Listenumros"/>
        <w:numPr>
          <w:ilvl w:val="0"/>
          <w:numId w:val="0"/>
        </w:numPr>
        <w:ind w:left="360" w:hanging="360"/>
      </w:pPr>
    </w:p>
    <w:p w14:paraId="3DF3AAED" w14:textId="77777777" w:rsidR="003F5CAD" w:rsidRDefault="00563BAC">
      <w:pPr>
        <w:pStyle w:val="Listenumros"/>
      </w:pPr>
      <w:r>
        <w:t>Il n’existe pas non plus d’obligation légale d’un examen médical et psychologique, notamment dans les procès pouvant mener à la peine capitale. S’il est sous-entendu par l’obligation d’établir la responsabilité juridique de l’accusé avant toute condamnation à mort, l’absence de mention explicite pousse à une interprétation floue et à une absence d’usage en pratique.</w:t>
      </w:r>
    </w:p>
    <w:p w14:paraId="47F115BF" w14:textId="77777777" w:rsidR="003F5CAD" w:rsidRDefault="003F5CAD">
      <w:pPr>
        <w:pStyle w:val="Listenumros"/>
        <w:numPr>
          <w:ilvl w:val="0"/>
          <w:numId w:val="0"/>
        </w:numPr>
      </w:pPr>
    </w:p>
    <w:p w14:paraId="06DC1D74" w14:textId="77777777" w:rsidR="003F5CAD" w:rsidRDefault="00563BAC">
      <w:pPr>
        <w:pStyle w:val="Listenumros"/>
      </w:pPr>
      <w:r>
        <w:t xml:space="preserve">En vertu de l’article 149 de la Constitution de 2006, tel que révisée en 2011, la législation congolaise prévoit l’indépendance du pouvoir judiciaire. Le ministre de la Justice, s’il ne peut siéger à un procès, peut y assister mais ne peux y intervenir. Cette participation fait pourtant l’objet de controverses, d’aucun indiquant que cela vient compromettre l’indépendance de la justice. Le ministre de la Justice alors en poste, Constant </w:t>
      </w:r>
      <w:proofErr w:type="spellStart"/>
      <w:r>
        <w:t>Mutamba</w:t>
      </w:r>
      <w:proofErr w:type="spellEnd"/>
      <w:r>
        <w:t xml:space="preserve">, a assisté à au moins 3 procès concernant les M23 (août 2024) et les </w:t>
      </w:r>
      <w:proofErr w:type="spellStart"/>
      <w:r>
        <w:t>Kulunas</w:t>
      </w:r>
      <w:proofErr w:type="spellEnd"/>
      <w:r>
        <w:t xml:space="preserve"> (décembre 2024 et mars 2025)</w:t>
      </w:r>
      <w:r>
        <w:rPr>
          <w:rStyle w:val="Appeldenotedefin"/>
        </w:rPr>
        <w:endnoteReference w:id="27"/>
      </w:r>
      <w:r>
        <w:t xml:space="preserve">. Les personnes inculpées étant toutes passibles de la peine de mort. En décembre 2024, le ministre </w:t>
      </w:r>
      <w:proofErr w:type="spellStart"/>
      <w:r>
        <w:t>Mutamba</w:t>
      </w:r>
      <w:proofErr w:type="spellEnd"/>
      <w:r>
        <w:t xml:space="preserve"> avait menacé de faire exécuter les accusés juste après le procès. Cette ingérence a été dénoncée notamment par des parlementaires en 2025</w:t>
      </w:r>
      <w:r>
        <w:rPr>
          <w:rStyle w:val="Appeldenotedefin"/>
        </w:rPr>
        <w:endnoteReference w:id="28"/>
      </w:r>
      <w:r>
        <w:t xml:space="preserve">. </w:t>
      </w:r>
    </w:p>
    <w:p w14:paraId="45628F2E" w14:textId="77777777" w:rsidR="003F5CAD" w:rsidRDefault="003F5CAD">
      <w:pPr>
        <w:pStyle w:val="Listenumros"/>
        <w:numPr>
          <w:ilvl w:val="0"/>
          <w:numId w:val="0"/>
        </w:numPr>
        <w:ind w:left="1134"/>
      </w:pPr>
    </w:p>
    <w:p w14:paraId="711BBFB5" w14:textId="77777777" w:rsidR="003F5CAD" w:rsidRDefault="00563BAC">
      <w:pPr>
        <w:rPr>
          <w:sz w:val="28"/>
          <w:szCs w:val="28"/>
        </w:rPr>
      </w:pPr>
      <w:r>
        <w:rPr>
          <w:sz w:val="28"/>
          <w:szCs w:val="28"/>
        </w:rPr>
        <w:t>Après le procès</w:t>
      </w:r>
    </w:p>
    <w:p w14:paraId="50968774" w14:textId="77777777" w:rsidR="003F5CAD" w:rsidRDefault="00563BAC">
      <w:pPr>
        <w:pStyle w:val="Listenumros"/>
      </w:pPr>
      <w:r>
        <w:t>La grâce fait l’objet d’une procédure claire, mais loin d’être transparente. Le droit de grâce est une prérogative du Président de la République</w:t>
      </w:r>
      <w:r>
        <w:rPr>
          <w:vertAlign w:val="superscript"/>
        </w:rPr>
        <w:endnoteReference w:id="29"/>
      </w:r>
      <w:r>
        <w:t xml:space="preserve">. Aucune exécution ne peut avoir lieu sans l’avis officiel du rejet de la demande de grâce. </w:t>
      </w:r>
    </w:p>
    <w:p w14:paraId="39D73AFE" w14:textId="77777777" w:rsidR="003F5CAD" w:rsidRDefault="003F5CAD">
      <w:pPr>
        <w:pStyle w:val="Listenumros"/>
        <w:numPr>
          <w:ilvl w:val="0"/>
          <w:numId w:val="0"/>
        </w:numPr>
        <w:ind w:left="360" w:hanging="360"/>
      </w:pPr>
    </w:p>
    <w:p w14:paraId="10FEF18D" w14:textId="77777777" w:rsidR="003F5CAD" w:rsidRDefault="00563BAC">
      <w:pPr>
        <w:pStyle w:val="Listenumros"/>
      </w:pPr>
      <w:r>
        <w:t xml:space="preserve">Pour tous les cas de condamnations à la peine capitale dont le jugement est devenu définitif, le Ministère public doit immédiatement introduire un recours en grâce auprès du Président de la République, conformément au droit commun (y compris pour les militaires, le Ministère public étant également chargé de l’exécution de leurs peines). La demande de grâce, si elle est automatique et donc garantie, ne se fait donc pas à l’initiative du condamné, qui n’est souvent ni informé de la demande, ni du statut de la procédure ; il reste donc dans une incertitude constante sur son sort. </w:t>
      </w:r>
    </w:p>
    <w:p w14:paraId="1F856872" w14:textId="77777777" w:rsidR="003F5CAD" w:rsidRDefault="003F5CAD">
      <w:pPr>
        <w:pStyle w:val="Listenumros"/>
        <w:numPr>
          <w:ilvl w:val="0"/>
          <w:numId w:val="0"/>
        </w:numPr>
      </w:pPr>
    </w:p>
    <w:p w14:paraId="5C04960F" w14:textId="77777777" w:rsidR="003F5CAD" w:rsidRDefault="00563BAC">
      <w:pPr>
        <w:pStyle w:val="Listenumros"/>
      </w:pPr>
      <w:r>
        <w:t xml:space="preserve">Enfin, si des grâces et commutations de peine sont régulièrement accordées par le Président de la République, elles excluent généralement les condamnés à mort à l’exception des ordonnances de juin et décembre 2020, ayant permis la commutation des peines de mort puis la grâce des personnes condamnées dans l’affaire de l’assassinat de Laurent-Désiré Kabila. </w:t>
      </w:r>
    </w:p>
    <w:p w14:paraId="3B792E59" w14:textId="77777777" w:rsidR="003F5CAD" w:rsidRDefault="00563BAC">
      <w:pPr>
        <w:rPr>
          <w:sz w:val="28"/>
          <w:szCs w:val="28"/>
        </w:rPr>
      </w:pPr>
      <w:r>
        <w:rPr>
          <w:sz w:val="28"/>
          <w:szCs w:val="28"/>
        </w:rPr>
        <w:lastRenderedPageBreak/>
        <w:t>Les difficultés d’accès aux voies de recours</w:t>
      </w:r>
    </w:p>
    <w:p w14:paraId="32F3CE0C" w14:textId="77777777" w:rsidR="003F5CAD" w:rsidRDefault="00563BAC">
      <w:pPr>
        <w:pStyle w:val="Listenumros"/>
      </w:pPr>
      <w:r>
        <w:t>En RDC, bien que la Constitution dispose expressément que le droit de former un recours contre un jugement est garanti à tous, et que le droit de faire appel ne peut jamais être suspendu, y compris devant les juridictions militaires</w:t>
      </w:r>
      <w:r>
        <w:rPr>
          <w:rStyle w:val="Appeldenotedefin"/>
        </w:rPr>
        <w:endnoteReference w:id="30"/>
      </w:r>
      <w:r>
        <w:t>, les décisions de la Cour militaire opérationnelle (CMO), à l’instar de l’ancienne Cour d’ordre militaire (COM), ne sont pas susceptibles d’appel</w:t>
      </w:r>
      <w:r>
        <w:rPr>
          <w:rStyle w:val="Appeldenotedefin"/>
        </w:rPr>
        <w:endnoteReference w:id="31"/>
      </w:r>
      <w:r>
        <w:t xml:space="preserve">. </w:t>
      </w:r>
    </w:p>
    <w:p w14:paraId="4E34614C" w14:textId="77777777" w:rsidR="003F5CAD" w:rsidRDefault="003F5CAD">
      <w:pPr>
        <w:pStyle w:val="Listenumros"/>
        <w:numPr>
          <w:ilvl w:val="0"/>
          <w:numId w:val="0"/>
        </w:numPr>
        <w:ind w:left="360" w:hanging="360"/>
      </w:pPr>
    </w:p>
    <w:p w14:paraId="4A8590A0" w14:textId="77777777" w:rsidR="003F5CAD" w:rsidRDefault="00563BAC">
      <w:pPr>
        <w:pStyle w:val="Listenumros"/>
      </w:pPr>
      <w:r>
        <w:t xml:space="preserve">Le taux des recours formés en cas de condamnations à mort par des tribunaux civils ou militaires (hors CMO et COM) demeure très faible, alors que la législation congolaise dispose que « le </w:t>
      </w:r>
      <w:r>
        <w:rPr>
          <w:rFonts w:cs="Campton Light"/>
          <w:color w:val="000000"/>
        </w:rPr>
        <w:t>Ministère public devra obligatoirement exercer son recours à toutes fins utiles, toutes les fois que le prévenu aura été condamné à la peine de mort</w:t>
      </w:r>
      <w:r>
        <w:rPr>
          <w:rStyle w:val="Appeldenotedefin"/>
          <w:rFonts w:cs="Campton Light"/>
          <w:color w:val="000000"/>
        </w:rPr>
        <w:endnoteReference w:id="32"/>
      </w:r>
      <w:r>
        <w:rPr>
          <w:rFonts w:cs="Campton Light"/>
          <w:color w:val="000000"/>
        </w:rPr>
        <w:t> »</w:t>
      </w:r>
      <w:r>
        <w:t>.</w:t>
      </w:r>
    </w:p>
    <w:p w14:paraId="010A392C" w14:textId="77777777" w:rsidR="003F5CAD" w:rsidRDefault="003F5CAD">
      <w:pPr>
        <w:pStyle w:val="Paragraphedeliste"/>
      </w:pPr>
    </w:p>
    <w:p w14:paraId="004007CF" w14:textId="77777777" w:rsidR="003F5CAD" w:rsidRDefault="00563BAC">
      <w:pPr>
        <w:pStyle w:val="Listenumros"/>
      </w:pPr>
      <w:r>
        <w:t>Cela a par exemple été le cas de huit (8) officiers condamnés à mort par Arrêt RP175/024 rendu par la Cour Militaire de Goma le 03/05/2024. Le Parquet n’a pas fait appel. Seuls les prévenus ont fait appel. Toutefois, leur dossier est resté sans être fixé en appel jusqu’à l’intervention de la CPJ et d’ECPM. Les Hautes Autorités militaires ont alors décidé de transférer les huit (8) prévenus à Kinshasa à la veille de la chute de Goma. En appel, par l’arrêt de la Haute Cour Militaire du 09/06/2025, sept officiers ont été acquittés et un officier, le Lieutenant-colonel PALUKU DUNIA Gabriel, a eu sa peine de mort commuée en 5 ans de servitude pénale principale.</w:t>
      </w:r>
    </w:p>
    <w:p w14:paraId="337833DE" w14:textId="77777777" w:rsidR="003F5CAD" w:rsidRDefault="003F5CAD">
      <w:pPr>
        <w:pStyle w:val="Listenumros"/>
        <w:numPr>
          <w:ilvl w:val="0"/>
          <w:numId w:val="0"/>
        </w:numPr>
      </w:pPr>
    </w:p>
    <w:p w14:paraId="256A9C4F" w14:textId="77777777" w:rsidR="003F5CAD" w:rsidRDefault="00563BAC">
      <w:pPr>
        <w:pStyle w:val="Listenumros"/>
      </w:pPr>
      <w:r>
        <w:rPr>
          <w:rFonts w:cs="Campton Light"/>
          <w:color w:val="000000"/>
        </w:rPr>
        <w:t>Les raisons du nombre limité d’appels formés par les condamnés à mort sont diverses : l’ignorance des procédures et des délais de recours par les prévenus, le manque de ressources financières</w:t>
      </w:r>
      <w:r>
        <w:rPr>
          <w:rStyle w:val="Appeldenotedefin"/>
          <w:rFonts w:cs="Campton Light"/>
          <w:color w:val="000000"/>
        </w:rPr>
        <w:endnoteReference w:id="33"/>
      </w:r>
      <w:r>
        <w:rPr>
          <w:rFonts w:cs="Campton Light"/>
          <w:color w:val="000000"/>
        </w:rPr>
        <w:t>, le transfèrement de prisonniers peu de temps après la condamnation et la demande de recours, les empêchant d’être présents aux audiences d’appel, et enfin l’exécution des décisions des juridictions de second degré réduisant les peines n’étant pas systématiquement communiquée officiellement aux autorités pénitentiaires</w:t>
      </w:r>
      <w:r>
        <w:rPr>
          <w:rStyle w:val="Appeldenotedefin"/>
          <w:rFonts w:cs="Campton Light"/>
          <w:color w:val="000000"/>
        </w:rPr>
        <w:endnoteReference w:id="34"/>
      </w:r>
      <w:r>
        <w:rPr>
          <w:rFonts w:cs="Campton Light"/>
          <w:color w:val="000000"/>
        </w:rPr>
        <w:t xml:space="preserve">. </w:t>
      </w:r>
    </w:p>
    <w:p w14:paraId="05FB49CF" w14:textId="77777777" w:rsidR="003F5CAD" w:rsidRDefault="003F5CAD">
      <w:pPr>
        <w:pStyle w:val="Listenumros"/>
        <w:numPr>
          <w:ilvl w:val="0"/>
          <w:numId w:val="0"/>
        </w:numPr>
        <w:ind w:left="1134"/>
      </w:pPr>
    </w:p>
    <w:p w14:paraId="144B4C24" w14:textId="77777777" w:rsidR="003F5CAD" w:rsidRDefault="003F5CAD"/>
    <w:p w14:paraId="27B4AE90" w14:textId="77777777" w:rsidR="003F5CAD" w:rsidRDefault="00563BAC">
      <w:pPr>
        <w:pStyle w:val="Titre1"/>
        <w:rPr>
          <w:b/>
          <w:bCs/>
          <w:color w:val="auto"/>
          <w:sz w:val="28"/>
          <w:szCs w:val="28"/>
        </w:rPr>
      </w:pPr>
      <w:bookmarkStart w:id="9" w:name="_Toc163035047"/>
      <w:bookmarkStart w:id="10" w:name="_Toc204345836"/>
      <w:r>
        <w:rPr>
          <w:b/>
          <w:bCs/>
          <w:color w:val="auto"/>
          <w:sz w:val="28"/>
          <w:szCs w:val="28"/>
        </w:rPr>
        <w:t>Conditions de détention des personnes condamnées à mort</w:t>
      </w:r>
      <w:bookmarkEnd w:id="9"/>
      <w:bookmarkEnd w:id="10"/>
    </w:p>
    <w:p w14:paraId="5999879A" w14:textId="77777777" w:rsidR="003F5CAD" w:rsidRDefault="00563BAC">
      <w:pPr>
        <w:pStyle w:val="Listenumros"/>
      </w:pPr>
      <w:r>
        <w:t>Les lieux de détention en République démocratique du Congo sont caractérisés par une surpopulation carcérale endémique et critique. Certains lieux de détention connaissent un taux de surpopulation carcérale allant jusqu’à 1000% (prison de Makala, Kinshasa)</w:t>
      </w:r>
      <w:r>
        <w:rPr>
          <w:rStyle w:val="Appeldenotedefin"/>
        </w:rPr>
        <w:endnoteReference w:id="35"/>
      </w:r>
      <w:r>
        <w:t>, ou encore la prison d’</w:t>
      </w:r>
      <w:proofErr w:type="spellStart"/>
      <w:r>
        <w:t>Angenga</w:t>
      </w:r>
      <w:proofErr w:type="spellEnd"/>
      <w:r>
        <w:t xml:space="preserve"> construite pour 1500 détenus en accueille aujourd’hui 2015</w:t>
      </w:r>
      <w:r>
        <w:rPr>
          <w:rStyle w:val="Appeldenotedefin"/>
        </w:rPr>
        <w:endnoteReference w:id="36"/>
      </w:r>
      <w:r>
        <w:t>.</w:t>
      </w:r>
    </w:p>
    <w:p w14:paraId="71F40F1C" w14:textId="77777777" w:rsidR="003F5CAD" w:rsidRDefault="003F5CAD">
      <w:pPr>
        <w:pStyle w:val="Listenumros"/>
        <w:numPr>
          <w:ilvl w:val="0"/>
          <w:numId w:val="0"/>
        </w:numPr>
        <w:ind w:left="360" w:hanging="360"/>
      </w:pPr>
    </w:p>
    <w:p w14:paraId="3AF4A227" w14:textId="77777777" w:rsidR="003F5CAD" w:rsidRDefault="00563BAC">
      <w:pPr>
        <w:pStyle w:val="Listenumros"/>
      </w:pPr>
      <w:r>
        <w:t>Les conditions de détention sont très difficiles en République démocratique du Congo. La Commission nationale des droits de l’Homme (CNDH) ainsi que le Réseau des avocats congolais contre la peine de mort (RACPM) ont mis en lumière de nombreuses problématiques au sein des prisons congolaises</w:t>
      </w:r>
      <w:r>
        <w:rPr>
          <w:vertAlign w:val="superscript"/>
        </w:rPr>
        <w:endnoteReference w:id="37"/>
      </w:r>
      <w:r>
        <w:t xml:space="preserve">, parmi lesquelles l’absence quasi-systématique de prise en charge médicale, l’absence ou l’insalubrité des infrastructures d’hygiène, l’absence de literie et d’espace pour s’allonger entièrement ou encore le monnayage des visites par les gardiens. </w:t>
      </w:r>
    </w:p>
    <w:p w14:paraId="55FD8B1B" w14:textId="77777777" w:rsidR="003F5CAD" w:rsidRDefault="003F5CAD">
      <w:pPr>
        <w:pStyle w:val="Listenumros"/>
        <w:numPr>
          <w:ilvl w:val="0"/>
          <w:numId w:val="0"/>
        </w:numPr>
      </w:pPr>
    </w:p>
    <w:p w14:paraId="7ACE7BF2" w14:textId="77777777" w:rsidR="003F5CAD" w:rsidRDefault="00563BAC">
      <w:pPr>
        <w:pStyle w:val="Listenumros"/>
      </w:pPr>
      <w:r>
        <w:t>Ces conditions de détention indignes s’appliquent à tous les prisonniers, condamnés à mort inclus. Elles sont d’autant plus graves pour les condamnés à mort qui vivent dans une peur chronique d’une mort annoncée pour une durée indéfinie et peuvent développer des pathologies physiques et psychologiques spécifiques.</w:t>
      </w:r>
    </w:p>
    <w:p w14:paraId="5E75FDC1" w14:textId="77777777" w:rsidR="003F5CAD" w:rsidRDefault="003F5CAD">
      <w:pPr>
        <w:pStyle w:val="Listenumros"/>
        <w:numPr>
          <w:ilvl w:val="0"/>
          <w:numId w:val="0"/>
        </w:numPr>
      </w:pPr>
    </w:p>
    <w:p w14:paraId="6F94C547" w14:textId="77777777" w:rsidR="003F5CAD" w:rsidRDefault="00563BAC">
      <w:pPr>
        <w:pStyle w:val="Listenumros"/>
      </w:pPr>
      <w:r>
        <w:t xml:space="preserve">Les organisations de la société civile, de même que la Commission nationale des droits de l’Homme, ont accès aux prisons. Néanmoins il arrive que les autorités pénitentiaires posent des obstacles, dès qu’il s’agit d’enquêter sur les conditions de détention des condamnés à mort ou de mener des entretiens plus approfondis auprès de ces derniers. En 2024 et 2025, les autorités gouvernementales n’ont pas fourni d’autorisation d’accès aux prisons et en ont parfois même interdit l’accès aux parlementaires qui ont voulu visiter la prison de </w:t>
      </w:r>
      <w:proofErr w:type="spellStart"/>
      <w:r>
        <w:t>Luzumu</w:t>
      </w:r>
      <w:proofErr w:type="spellEnd"/>
      <w:r>
        <w:t xml:space="preserve"> qui est censée héberger les condamnés à mort pour banditisme urbain</w:t>
      </w:r>
      <w:r>
        <w:rPr>
          <w:vertAlign w:val="superscript"/>
        </w:rPr>
        <w:endnoteReference w:id="38"/>
      </w:r>
      <w:r>
        <w:t>.</w:t>
      </w:r>
    </w:p>
    <w:p w14:paraId="396131C6" w14:textId="77777777" w:rsidR="003F5CAD" w:rsidRDefault="003F5CAD">
      <w:pPr>
        <w:pStyle w:val="Listenumros"/>
        <w:numPr>
          <w:ilvl w:val="0"/>
          <w:numId w:val="0"/>
        </w:numPr>
        <w:ind w:left="1134"/>
      </w:pPr>
    </w:p>
    <w:p w14:paraId="60BF51DE" w14:textId="77777777" w:rsidR="003F5CAD" w:rsidRDefault="00563BAC">
      <w:pPr>
        <w:pStyle w:val="Listenumros"/>
      </w:pPr>
      <w:r>
        <w:t>Face à la surpopulation carcérale et aux faibles ressources humaines et matérielles disponibles, une forme d’organisation sociale hiérarchisée informelle s’est mise en place dans les prisons en République démocratique du Congo</w:t>
      </w:r>
      <w:r>
        <w:rPr>
          <w:rStyle w:val="Appeldenotedefin"/>
        </w:rPr>
        <w:endnoteReference w:id="39"/>
      </w:r>
      <w:r>
        <w:t>. Ce système d’autorégulation donne un pouvoir de contrôle très important à certaines personnes détenues sur les autres. À la tête de ce système exerce un responsable, détenu également, appelé « capita général ». Dans la plupart des prisons, l’équipe du capita assure le maintien de l’ordre, l’accès à certaines ressources ou encore l’allocation des chambres et du matériel de couchage. Ce système est mis en place dans le cadre d’une délégation de pouvoir de la part des personnels pénitentiaires et est signalé sur l’ensemble du territoire national</w:t>
      </w:r>
      <w:r>
        <w:rPr>
          <w:rStyle w:val="Appeldenotedefin"/>
        </w:rPr>
        <w:endnoteReference w:id="40"/>
      </w:r>
      <w:r>
        <w:t>, bien que les normes internationales interdisent que des personnes détenues assurent la discipline dans les prisons ou bénéficient de pouvoirs</w:t>
      </w:r>
      <w:r>
        <w:rPr>
          <w:rStyle w:val="Appeldenotedefin"/>
        </w:rPr>
        <w:endnoteReference w:id="41"/>
      </w:r>
      <w:r>
        <w:t>.</w:t>
      </w:r>
    </w:p>
    <w:p w14:paraId="26B4A2CB" w14:textId="77777777" w:rsidR="00F65502" w:rsidRDefault="00F65502" w:rsidP="00F65502">
      <w:pPr>
        <w:pStyle w:val="Listenumros"/>
        <w:numPr>
          <w:ilvl w:val="0"/>
          <w:numId w:val="0"/>
        </w:numPr>
        <w:ind w:left="360"/>
      </w:pPr>
    </w:p>
    <w:p w14:paraId="7AD603DC" w14:textId="77777777" w:rsidR="00F65502" w:rsidRDefault="00F65502" w:rsidP="00F65502">
      <w:pPr>
        <w:pStyle w:val="Listenumros"/>
      </w:pPr>
      <w:r w:rsidRPr="00F65502">
        <w:t xml:space="preserve">Des cas d’évasions dans les prisons en RDC sont récurrentes, en septembre 2024 à Kinshasa à la prison centrale de Makala au moins 129 personnes ont été tuées lors d’une tentative d’évasion, à Goma dans la province du Nord-Kivu, à la prison centrale de </w:t>
      </w:r>
      <w:proofErr w:type="spellStart"/>
      <w:r w:rsidRPr="00F65502">
        <w:t>Munzenze</w:t>
      </w:r>
      <w:proofErr w:type="spellEnd"/>
      <w:r w:rsidRPr="00F65502">
        <w:t xml:space="preserve">, plus de 120 femmes et des enfants ont été tués calcinés dans l’incendie provoquée pendant une évasion à la veille de la prise de la ville par les rebelles du M23. D’autres évasions ont été documentées comme à la prison centrale de Bukavu, de Rutshuru, de </w:t>
      </w:r>
      <w:proofErr w:type="spellStart"/>
      <w:r w:rsidRPr="00F65502">
        <w:t>Masisi</w:t>
      </w:r>
      <w:proofErr w:type="spellEnd"/>
      <w:r w:rsidRPr="00F65502">
        <w:t>, de Kabare. Les anciens détenus font également peser une menace sur les juges qui les ont condamnés et les avocats qui ont plaidé la cause des femmes victimes de violences sexuelles.  Aucune mesure n’avait été prise par les autorités provinciales pour déplacer les prisonniers dans d’autres endroits sécurisés avant que les villes de l’est ne passent sous contrôlent des rebelles.</w:t>
      </w:r>
      <w:r>
        <w:t xml:space="preserve">                               </w:t>
      </w:r>
    </w:p>
    <w:p w14:paraId="7F5EFF03" w14:textId="77777777" w:rsidR="003F5CAD" w:rsidRDefault="00563BAC">
      <w:pPr>
        <w:pStyle w:val="Titre1"/>
        <w:rPr>
          <w:b/>
          <w:bCs/>
          <w:smallCaps/>
          <w:color w:val="auto"/>
          <w:sz w:val="28"/>
          <w:szCs w:val="24"/>
        </w:rPr>
      </w:pPr>
      <w:bookmarkStart w:id="11" w:name="_Toc163035048"/>
      <w:bookmarkStart w:id="12" w:name="_Toc204345837"/>
      <w:r>
        <w:rPr>
          <w:b/>
          <w:bCs/>
          <w:smallCaps/>
          <w:color w:val="auto"/>
          <w:sz w:val="28"/>
          <w:szCs w:val="24"/>
        </w:rPr>
        <w:t>Focus : La justice militaire et la peine de mort en République démocratique du Congo</w:t>
      </w:r>
      <w:bookmarkEnd w:id="11"/>
      <w:bookmarkEnd w:id="12"/>
    </w:p>
    <w:p w14:paraId="7A6A0C19" w14:textId="77777777" w:rsidR="003F5CAD" w:rsidRDefault="00563BAC">
      <w:pPr>
        <w:pStyle w:val="Listenumros"/>
      </w:pPr>
      <w:r>
        <w:t>La plupart des condamnations à mort en République démocratique du Congo sont prononcées par les tribunaux militaires</w:t>
      </w:r>
      <w:r>
        <w:rPr>
          <w:vertAlign w:val="superscript"/>
        </w:rPr>
        <w:endnoteReference w:id="42"/>
      </w:r>
      <w:r>
        <w:t>. Les tribunaux militaires sont compétents sur un panel de crimes très large : non seulement le Code pénal militaire compte au moins 74 crimes passibles de la peine de mort, mais le Code judiciaire militaire prévoit leur compétence sur les crimes de droits commun perpétrés par des militaires</w:t>
      </w:r>
      <w:r>
        <w:rPr>
          <w:vertAlign w:val="superscript"/>
        </w:rPr>
        <w:endnoteReference w:id="43"/>
      </w:r>
      <w:r>
        <w:t>. Ceci contrevient à de nombreuses dispositions de droit international en vertu desquelles les tribunaux militaires doivent être limités aux infractions strictement militaires</w:t>
      </w:r>
      <w:r>
        <w:rPr>
          <w:vertAlign w:val="superscript"/>
        </w:rPr>
        <w:endnoteReference w:id="44"/>
      </w:r>
      <w:r>
        <w:t xml:space="preserve"> et ne doivent pas se substituer aux juridictions de droit commun</w:t>
      </w:r>
      <w:r>
        <w:rPr>
          <w:vertAlign w:val="superscript"/>
        </w:rPr>
        <w:endnoteReference w:id="45"/>
      </w:r>
      <w:r>
        <w:t>.</w:t>
      </w:r>
    </w:p>
    <w:p w14:paraId="515F1E95" w14:textId="77777777" w:rsidR="003F5CAD" w:rsidRDefault="003F5CAD">
      <w:pPr>
        <w:pStyle w:val="Listenumros"/>
        <w:numPr>
          <w:ilvl w:val="0"/>
          <w:numId w:val="0"/>
        </w:numPr>
        <w:ind w:left="360"/>
      </w:pPr>
    </w:p>
    <w:p w14:paraId="49250B93" w14:textId="77777777" w:rsidR="003F5CAD" w:rsidRDefault="00563BAC">
      <w:pPr>
        <w:pStyle w:val="Listenumros"/>
      </w:pPr>
      <w:r>
        <w:t>Selon le Code judiciaire militaire, les civils peuvent être jugés par les tribunaux militaires selon des dispositions assez larges, puisque ceux-ci ont compétence sur tout civil dans les zones opérationnelles et en situation d’état d’urgence, qui concernent actuellement plusieurs régions de République démocratique du Congo (dont le Bas-Uélé, l’Ituri, le Nord et le Sud-Kivu, le Tanganyika, le Kasaï et le Kasaï central)</w:t>
      </w:r>
      <w:r>
        <w:rPr>
          <w:vertAlign w:val="superscript"/>
        </w:rPr>
        <w:endnoteReference w:id="46"/>
      </w:r>
      <w:r>
        <w:t>. La justice militaire peut également poursuivre tout civil assimilé (co-auteur ou complice) à un crime commis par des militaires</w:t>
      </w:r>
      <w:r>
        <w:rPr>
          <w:vertAlign w:val="superscript"/>
        </w:rPr>
        <w:endnoteReference w:id="47"/>
      </w:r>
      <w:r>
        <w:t xml:space="preserve">. Cette disposition est régulièrement utilisée de manière abusive, par exemple pour poursuivre les membres de familles de militaires. </w:t>
      </w:r>
    </w:p>
    <w:p w14:paraId="2D39F140" w14:textId="77777777" w:rsidR="003F5CAD" w:rsidRDefault="003F5CAD">
      <w:pPr>
        <w:pStyle w:val="Listenumros"/>
        <w:numPr>
          <w:ilvl w:val="0"/>
          <w:numId w:val="0"/>
        </w:numPr>
      </w:pPr>
    </w:p>
    <w:p w14:paraId="22E8FED7" w14:textId="77777777" w:rsidR="003F5CAD" w:rsidRDefault="00563BAC">
      <w:pPr>
        <w:pStyle w:val="Listenumros"/>
      </w:pPr>
      <w:r>
        <w:t>L’utilisation de la peine de mort par la justice militaire est une pratique courante en République démocratique du Congo. Elle demeure très obscure, du fait d’un manque de transparence volontaire sur les données et l’application de la peine capitale. Certains acteurs de la société civile ont reçu des menaces en demandant plus de transparence et en cherchant à accéder aux archives à ce sujet</w:t>
      </w:r>
      <w:r>
        <w:rPr>
          <w:vertAlign w:val="superscript"/>
        </w:rPr>
        <w:endnoteReference w:id="48"/>
      </w:r>
      <w:r>
        <w:t>.</w:t>
      </w:r>
    </w:p>
    <w:p w14:paraId="5F8548BC" w14:textId="77777777" w:rsidR="003F5CAD" w:rsidRDefault="003F5CAD">
      <w:pPr>
        <w:pStyle w:val="Listenumros"/>
        <w:numPr>
          <w:ilvl w:val="0"/>
          <w:numId w:val="0"/>
        </w:numPr>
      </w:pPr>
    </w:p>
    <w:p w14:paraId="17442AD8" w14:textId="77777777" w:rsidR="003F5CAD" w:rsidRDefault="00563BAC">
      <w:pPr>
        <w:pStyle w:val="Listenumros"/>
      </w:pPr>
      <w:r>
        <w:t>Les tribunaux militaires, s’ils ne sont pas formellement prohibés par le droit international, sont considérés par l’ONU comme une pratique d’exception</w:t>
      </w:r>
      <w:r>
        <w:rPr>
          <w:vertAlign w:val="superscript"/>
        </w:rPr>
        <w:endnoteReference w:id="49"/>
      </w:r>
      <w:r>
        <w:t xml:space="preserve"> à proscrire graduellement. S’ils doivent avoir lieu, ils doivent respecter les garanties de procès équitable telles qu’énoncées par le PIDCP et autres instruments internationaux et mécanismes onusiens. Les juridictions militaires sont loin d’être une exception en République démocratique du Congo ; l’obscurité les entourant et les violations régulières du droit à un procès équitable évoquées précédemment sont inquiétantes, au regard de ces obligations internationales.</w:t>
      </w:r>
    </w:p>
    <w:p w14:paraId="2D2C4C14" w14:textId="77777777" w:rsidR="003F5CAD" w:rsidRDefault="00563BAC">
      <w:pPr>
        <w:pStyle w:val="Titre1"/>
        <w:rPr>
          <w:b/>
          <w:bCs/>
          <w:i/>
          <w:iCs/>
          <w:color w:val="auto"/>
          <w:sz w:val="28"/>
          <w:szCs w:val="28"/>
          <w:u w:val="single"/>
        </w:rPr>
      </w:pPr>
      <w:bookmarkStart w:id="13" w:name="_Toc204345838"/>
      <w:r>
        <w:rPr>
          <w:b/>
          <w:bCs/>
          <w:i/>
          <w:iCs/>
          <w:color w:val="auto"/>
          <w:sz w:val="28"/>
          <w:szCs w:val="28"/>
          <w:u w:val="single"/>
        </w:rPr>
        <w:t>Suggestions de questions pour le gouvernement de la République démocratique du Congo</w:t>
      </w:r>
      <w:bookmarkEnd w:id="13"/>
    </w:p>
    <w:p w14:paraId="176F6A2B" w14:textId="77777777" w:rsidR="003F5CAD" w:rsidRDefault="003F5CAD">
      <w:pPr>
        <w:pStyle w:val="Listenumros"/>
        <w:numPr>
          <w:ilvl w:val="0"/>
          <w:numId w:val="0"/>
        </w:numPr>
        <w:ind w:left="1134" w:hanging="567"/>
        <w:rPr>
          <w:b/>
          <w:bCs/>
          <w:i/>
          <w:iCs/>
          <w:u w:val="single"/>
        </w:rPr>
      </w:pPr>
    </w:p>
    <w:p w14:paraId="2848B15D" w14:textId="77777777" w:rsidR="003F5CAD" w:rsidRDefault="00563BAC">
      <w:pPr>
        <w:numPr>
          <w:ilvl w:val="0"/>
          <w:numId w:val="18"/>
        </w:numPr>
        <w:spacing w:after="160" w:line="259" w:lineRule="auto"/>
      </w:pPr>
      <w:r>
        <w:t>Quelles sont les mesures envisagées pour concilier les préoccupations sécuritaires à l’Est du pays avec le respect du droit à la vie, tel que garanti par l’article 16 de la Constitution congolaise et le Pacte international relatif aux droits civils et politiques ratifié par l’État ?</w:t>
      </w:r>
    </w:p>
    <w:p w14:paraId="07C90A0A" w14:textId="77777777" w:rsidR="003F5CAD" w:rsidRDefault="00563BAC">
      <w:pPr>
        <w:numPr>
          <w:ilvl w:val="0"/>
          <w:numId w:val="18"/>
        </w:numPr>
        <w:spacing w:after="160" w:line="259" w:lineRule="auto"/>
      </w:pPr>
      <w:r>
        <w:t>Le gouvernement envisage-t-il d’adopter des mesures pour revenir sur la décision de lever le moratoire et officialiser à nouveau le moratoire sur les exécutions ?</w:t>
      </w:r>
    </w:p>
    <w:p w14:paraId="4692DF86" w14:textId="77777777" w:rsidR="003F5CAD" w:rsidRDefault="00563BAC">
      <w:pPr>
        <w:pStyle w:val="Paragraphedeliste"/>
        <w:numPr>
          <w:ilvl w:val="0"/>
          <w:numId w:val="18"/>
        </w:numPr>
      </w:pPr>
      <w:r>
        <w:t>Quelles mesures la RDC envisage-t-elle de prendre, le cas échéant, pour limiter l'application de la peine de mort uniquement aux crimes les plus graves ?</w:t>
      </w:r>
    </w:p>
    <w:p w14:paraId="0E6E3B24" w14:textId="0BCA476A" w:rsidR="00D659F4" w:rsidRDefault="00563BAC">
      <w:pPr>
        <w:numPr>
          <w:ilvl w:val="0"/>
          <w:numId w:val="18"/>
        </w:numPr>
        <w:spacing w:before="240" w:after="160" w:line="259" w:lineRule="auto"/>
      </w:pPr>
      <w:r>
        <w:t xml:space="preserve">Comment le Gouvernement justifie-t-il l'existence de dispositions prévoyant </w:t>
      </w:r>
      <w:r w:rsidR="005E39F5" w:rsidRPr="00017970">
        <w:rPr>
          <w:rFonts w:ascii="Arial" w:hAnsi="Arial"/>
          <w:b/>
          <w:bCs/>
          <w:szCs w:val="24"/>
        </w:rPr>
        <w:t>expressément</w:t>
      </w:r>
      <w:r w:rsidR="005E39F5">
        <w:t xml:space="preserve"> </w:t>
      </w:r>
      <w:r>
        <w:t xml:space="preserve">la peine de mort </w:t>
      </w:r>
      <w:r w:rsidR="005E39F5">
        <w:rPr>
          <w:rFonts w:ascii="Arial" w:hAnsi="Arial"/>
          <w:b/>
          <w:bCs/>
          <w:szCs w:val="24"/>
        </w:rPr>
        <w:t>comme</w:t>
      </w:r>
      <w:r w:rsidR="005E39F5" w:rsidRPr="00017970">
        <w:rPr>
          <w:rFonts w:ascii="Arial" w:hAnsi="Arial"/>
          <w:b/>
          <w:bCs/>
          <w:szCs w:val="24"/>
        </w:rPr>
        <w:t xml:space="preserve"> seule sanction </w:t>
      </w:r>
      <w:r w:rsidR="005E39F5" w:rsidRPr="00017970">
        <w:rPr>
          <w:rFonts w:ascii="Arial" w:hAnsi="Arial"/>
          <w:szCs w:val="24"/>
        </w:rPr>
        <w:t>pour plusieurs infractions</w:t>
      </w:r>
      <w:r w:rsidR="005E39F5">
        <w:rPr>
          <w:rFonts w:ascii="Arial" w:hAnsi="Arial"/>
          <w:szCs w:val="24"/>
        </w:rPr>
        <w:t>, dont l’infraction d’association de malfaiteurs,</w:t>
      </w:r>
      <w:r w:rsidR="005E39F5" w:rsidRPr="00017970">
        <w:rPr>
          <w:rFonts w:ascii="Arial" w:hAnsi="Arial"/>
          <w:szCs w:val="24"/>
        </w:rPr>
        <w:t xml:space="preserve"> lorsqu’aucune circonstance atténuante n’est retenue</w:t>
      </w:r>
      <w:r w:rsidR="00D659F4">
        <w:t> ?</w:t>
      </w:r>
    </w:p>
    <w:p w14:paraId="0B95F2DF" w14:textId="7DF5EE76" w:rsidR="003F5CAD" w:rsidRDefault="00D659F4">
      <w:pPr>
        <w:numPr>
          <w:ilvl w:val="0"/>
          <w:numId w:val="18"/>
        </w:numPr>
        <w:spacing w:before="240" w:after="160" w:line="259" w:lineRule="auto"/>
      </w:pPr>
      <w:r>
        <w:t>Comment le Gouvernement justifie-t-il de ne prévoir aucune peine alternative pour les auteurs ou les simples participants, au risque de s’apparenter à une peine de mort obligatoire, qui pourtant</w:t>
      </w:r>
      <w:r w:rsidR="00563BAC">
        <w:t xml:space="preserve"> n’a plus cours </w:t>
      </w:r>
      <w:r>
        <w:t xml:space="preserve">en RDC </w:t>
      </w:r>
      <w:r w:rsidR="00563BAC">
        <w:t>depuis 2002?</w:t>
      </w:r>
    </w:p>
    <w:p w14:paraId="12930AAA" w14:textId="77777777" w:rsidR="00B27AFF" w:rsidRDefault="00B27AFF">
      <w:pPr>
        <w:numPr>
          <w:ilvl w:val="0"/>
          <w:numId w:val="18"/>
        </w:numPr>
        <w:spacing w:before="240" w:after="160" w:line="259" w:lineRule="auto"/>
      </w:pPr>
      <w:r>
        <w:t xml:space="preserve">Comment le gouvernement compte concilier </w:t>
      </w:r>
      <w:r w:rsidR="00761187">
        <w:t xml:space="preserve">les garanties d’un procès équitable avec </w:t>
      </w:r>
      <w:r>
        <w:t xml:space="preserve">certaines </w:t>
      </w:r>
      <w:r w:rsidR="00761187">
        <w:t>fausses accusations</w:t>
      </w:r>
      <w:r>
        <w:t xml:space="preserve"> de trahison au sein des forces armées de la RDC, et dont les présumés auteurs, sont condamnées </w:t>
      </w:r>
      <w:r w:rsidR="00761187">
        <w:t xml:space="preserve">à mort </w:t>
      </w:r>
      <w:r>
        <w:t xml:space="preserve">en toute </w:t>
      </w:r>
      <w:r w:rsidR="00761187">
        <w:t>célérité comme il s’observe au cours de ces trois dernières années à l’Est du pays</w:t>
      </w:r>
      <w:r>
        <w:t>?</w:t>
      </w:r>
    </w:p>
    <w:p w14:paraId="2E0CD155" w14:textId="77777777" w:rsidR="003F5CAD" w:rsidRDefault="00563BAC" w:rsidP="00F65502">
      <w:pPr>
        <w:numPr>
          <w:ilvl w:val="0"/>
          <w:numId w:val="18"/>
        </w:numPr>
        <w:spacing w:before="240" w:after="160" w:line="259" w:lineRule="auto"/>
      </w:pPr>
      <w:r>
        <w:t>Au regard de la réponse des autorités congolaises au Comité des droits de l’Homme en 2017, quelles mesures la RDC a-t-elle prises, le cas échéant, pour engager la consultation nationale, dans le but de ratifier le deuxième protocole facultatif se rapportant au Pacte international relatif aux droits civils et politiques ?</w:t>
      </w:r>
    </w:p>
    <w:p w14:paraId="3CC77ED9" w14:textId="77777777" w:rsidR="003F5CAD" w:rsidRDefault="00563BAC">
      <w:pPr>
        <w:numPr>
          <w:ilvl w:val="0"/>
          <w:numId w:val="18"/>
        </w:numPr>
        <w:spacing w:after="160" w:line="259" w:lineRule="auto"/>
      </w:pPr>
      <w:r>
        <w:t>Les autorités congolaises ont-elles envisagé la mise en place de mesures spécifiques pour garantir que les personnes risquant la peine de mort soient informées, dès leur arrestation, de leur droit à un interprète, à une assistance légale et à un médecin ?</w:t>
      </w:r>
    </w:p>
    <w:p w14:paraId="4C5A23EC" w14:textId="77777777" w:rsidR="003F5CAD" w:rsidRDefault="00563BAC">
      <w:pPr>
        <w:pStyle w:val="Paragraphedeliste"/>
        <w:numPr>
          <w:ilvl w:val="0"/>
          <w:numId w:val="18"/>
        </w:numPr>
      </w:pPr>
      <w:r>
        <w:t>Le Gouvernement prévoit-il de mettre à disposition une évaluation médicale et psychologique dans toutes les affaires où la peine de mort est encourue, afin de garantir la responsabilité pénale effective de l’accusé ?</w:t>
      </w:r>
    </w:p>
    <w:p w14:paraId="3920ED73" w14:textId="77777777" w:rsidR="003F5CAD" w:rsidRDefault="00563BAC">
      <w:pPr>
        <w:numPr>
          <w:ilvl w:val="0"/>
          <w:numId w:val="18"/>
        </w:numPr>
        <w:spacing w:before="240" w:after="160" w:line="259" w:lineRule="auto"/>
      </w:pPr>
      <w:r>
        <w:t>Quelles actions sont prévues pour s’assurer que les personnes encourant la peine de mort soient interrogées en présence d’un avocat et d’un interprète, si nécessaire ?</w:t>
      </w:r>
    </w:p>
    <w:p w14:paraId="3F423104" w14:textId="77777777" w:rsidR="003F5CAD" w:rsidRDefault="00563BAC">
      <w:pPr>
        <w:numPr>
          <w:ilvl w:val="0"/>
          <w:numId w:val="18"/>
        </w:numPr>
        <w:spacing w:after="160" w:line="259" w:lineRule="auto"/>
      </w:pPr>
      <w:r>
        <w:t>Quelles garanties peuvent être instaurées pour interdire l’utilisation, lors des procès pouvant aboutir à des condamnations à mort, d’éléments de preuve obtenus par la torture ou par des traitements cruels, inhumains ou dégradants ?</w:t>
      </w:r>
    </w:p>
    <w:p w14:paraId="695F30EE" w14:textId="77777777" w:rsidR="003F5CAD" w:rsidRDefault="00563BAC">
      <w:pPr>
        <w:numPr>
          <w:ilvl w:val="0"/>
          <w:numId w:val="18"/>
        </w:numPr>
        <w:spacing w:before="240" w:after="160" w:line="259" w:lineRule="auto"/>
      </w:pPr>
      <w:r>
        <w:t>Le gouvernement prévoit-il des réformes pour limiter la compétence des juridictions militaires, renforcer leur transparence et garantir le respect du droit à un procès équitable ?</w:t>
      </w:r>
    </w:p>
    <w:p w14:paraId="03E5096F" w14:textId="77777777" w:rsidR="003F5CAD" w:rsidRDefault="00563BAC">
      <w:pPr>
        <w:numPr>
          <w:ilvl w:val="0"/>
          <w:numId w:val="18"/>
        </w:numPr>
        <w:spacing w:before="240" w:after="160" w:line="259" w:lineRule="auto"/>
      </w:pPr>
      <w:r>
        <w:t>Quelles réformes législatives sont prévues pour garantir que les civils ne soient plus jugés par des tribunaux militaires ?</w:t>
      </w:r>
    </w:p>
    <w:p w14:paraId="04A79B2E" w14:textId="77777777" w:rsidR="003F5CAD" w:rsidRDefault="00563BAC">
      <w:pPr>
        <w:numPr>
          <w:ilvl w:val="0"/>
          <w:numId w:val="18"/>
        </w:numPr>
        <w:spacing w:before="240" w:after="160" w:line="259" w:lineRule="auto"/>
      </w:pPr>
      <w:r>
        <w:t>Quelles mesures concrètes seront mises en place pour s’assurer que les tribunaux militaires ne se substituent p</w:t>
      </w:r>
      <w:r w:rsidR="00725A2D">
        <w:t>lus</w:t>
      </w:r>
      <w:r>
        <w:t xml:space="preserve"> aux juridictions de droit commun, même en cas de crimes commis par des militaires ou assimilés ?</w:t>
      </w:r>
    </w:p>
    <w:p w14:paraId="2CF8DB80" w14:textId="77777777" w:rsidR="003F5CAD" w:rsidRDefault="00563BAC">
      <w:pPr>
        <w:pStyle w:val="Paragraphedeliste"/>
        <w:numPr>
          <w:ilvl w:val="0"/>
          <w:numId w:val="18"/>
        </w:numPr>
      </w:pPr>
      <w:r>
        <w:t>Quelles initiatives seront prises pour améliorer la transparence de l’application de la peine de mort par les tribunaux militaires, notamment à travers le suivi public de tous les procès militaires ?</w:t>
      </w:r>
    </w:p>
    <w:p w14:paraId="62098248" w14:textId="77777777" w:rsidR="003F5CAD" w:rsidRDefault="003F5CAD">
      <w:pPr>
        <w:pStyle w:val="Paragraphedeliste"/>
      </w:pPr>
    </w:p>
    <w:p w14:paraId="21D7FA9F" w14:textId="77777777" w:rsidR="003F5CAD" w:rsidRDefault="00563BAC">
      <w:pPr>
        <w:numPr>
          <w:ilvl w:val="0"/>
          <w:numId w:val="18"/>
        </w:numPr>
        <w:spacing w:after="160" w:line="259" w:lineRule="auto"/>
      </w:pPr>
      <w:r>
        <w:t>Le Gouvernement congolais envisage-t-il la mise en place de mesures pour s’assurer que les transfèrements des personnes condamnées en première instance ne compromettent pas leur droit d’interjeter appel ni leur présence aux audiences devant les juridictions d’appel ?</w:t>
      </w:r>
    </w:p>
    <w:p w14:paraId="75B65FE7" w14:textId="77777777" w:rsidR="003F5CAD" w:rsidRDefault="00563BAC">
      <w:pPr>
        <w:numPr>
          <w:ilvl w:val="0"/>
          <w:numId w:val="18"/>
        </w:numPr>
        <w:spacing w:after="160" w:line="259" w:lineRule="auto"/>
      </w:pPr>
      <w:r>
        <w:t>Pour quels motifs les condamnés à mort sont-ils, par le jeu des exceptions, exclus de manière quasi systématique des ordonnances de commutation et de grâce, alors que ces mesures pourraient contribuer à la réduction de la population carcérale et à la protection du droit à la vie ?</w:t>
      </w:r>
    </w:p>
    <w:p w14:paraId="708A1F52" w14:textId="77777777" w:rsidR="009418B2" w:rsidRDefault="009418B2" w:rsidP="009418B2">
      <w:pPr>
        <w:numPr>
          <w:ilvl w:val="0"/>
          <w:numId w:val="18"/>
        </w:numPr>
        <w:spacing w:after="160" w:line="259" w:lineRule="auto"/>
      </w:pPr>
      <w:r>
        <w:t xml:space="preserve">Le gouvernement compte-t-il mettre fin à ces motifs pour garantir à ce que les personnes condamnées à la peine de mort soient aussi bénéficiaires des ordonnances de commutation et de grâce ? </w:t>
      </w:r>
    </w:p>
    <w:p w14:paraId="274663C9" w14:textId="77777777" w:rsidR="003F5CAD" w:rsidRDefault="00563BAC">
      <w:pPr>
        <w:numPr>
          <w:ilvl w:val="0"/>
          <w:numId w:val="18"/>
        </w:numPr>
        <w:spacing w:after="160" w:line="259" w:lineRule="auto"/>
      </w:pPr>
      <w:r>
        <w:t xml:space="preserve">Le gouvernement envisage-t-il de mettre en œuvre des mesures permettant d’assurer la publication annuelle de données détaillées sur le recours à la peine de mort, notamment le nombre de condamnations, la nature </w:t>
      </w:r>
      <w:r w:rsidR="00990092">
        <w:t xml:space="preserve">des faits et </w:t>
      </w:r>
      <w:r>
        <w:t>des infractions, les profils des condamnés, ainsi que les décisions d’appel et de grâce ?</w:t>
      </w:r>
    </w:p>
    <w:p w14:paraId="526EDE2D" w14:textId="77777777" w:rsidR="003F5CAD" w:rsidRDefault="00563BAC">
      <w:pPr>
        <w:numPr>
          <w:ilvl w:val="0"/>
          <w:numId w:val="18"/>
        </w:numPr>
        <w:spacing w:after="160" w:line="259" w:lineRule="auto"/>
      </w:pPr>
      <w:r>
        <w:t>Quelles mesures peuvent être envisagées pour garantir le respect des normes et standards internationaux relatifs au traitement des personnes détenues, notamment les règles Nelson Mandela et les règles de Bangkok, y compris celles condamnées à mort ?</w:t>
      </w:r>
    </w:p>
    <w:p w14:paraId="024E3B1E" w14:textId="77777777" w:rsidR="003F5CAD" w:rsidRDefault="00563BAC">
      <w:pPr>
        <w:numPr>
          <w:ilvl w:val="0"/>
          <w:numId w:val="18"/>
        </w:numPr>
        <w:spacing w:after="160" w:line="259" w:lineRule="auto"/>
      </w:pPr>
      <w:r>
        <w:t>Quelles initiatives sont envisagées par le Gouvernement pour améliorer les conditions de détention inhumaines dans les prisons congolaises, notamment pour les condamnés à mort vivant dans une précarité extrême et une anxiété prolongée ?</w:t>
      </w:r>
    </w:p>
    <w:p w14:paraId="0E3EAE6A" w14:textId="77777777" w:rsidR="003F5CAD" w:rsidRDefault="00563BAC">
      <w:pPr>
        <w:numPr>
          <w:ilvl w:val="0"/>
          <w:numId w:val="18"/>
        </w:numPr>
        <w:spacing w:after="160" w:line="259" w:lineRule="auto"/>
      </w:pPr>
      <w:r>
        <w:t xml:space="preserve">Le Gouvernement congolais envisage-t-il une réforme du système pénitentiaire visant à abolir les hiérarchies informelles de type "capita général", contraires aux normes internationales relatives à la détention ? </w:t>
      </w:r>
    </w:p>
    <w:p w14:paraId="15B5DB0D" w14:textId="77777777" w:rsidR="003F5CAD" w:rsidRDefault="00563BAC">
      <w:pPr>
        <w:numPr>
          <w:ilvl w:val="0"/>
          <w:numId w:val="18"/>
        </w:numPr>
        <w:spacing w:after="160" w:line="259" w:lineRule="auto"/>
      </w:pPr>
      <w:r>
        <w:t>Comment les autorités peuvent-elles justifier la restriction de l’accès aux prisons aux organisations de la société civile en 2024 ?</w:t>
      </w:r>
    </w:p>
    <w:p w14:paraId="7CA13139" w14:textId="77777777" w:rsidR="003F5CAD" w:rsidRDefault="003F5CAD">
      <w:pPr>
        <w:pStyle w:val="Paragraphedeliste"/>
      </w:pPr>
    </w:p>
    <w:p w14:paraId="4EEA5E0E" w14:textId="77777777" w:rsidR="003F5CAD" w:rsidRDefault="003F5CAD">
      <w:pPr>
        <w:pStyle w:val="Paragraphedeliste"/>
      </w:pPr>
    </w:p>
    <w:sectPr w:rsidR="003F5CAD">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BBD92" w14:textId="77777777" w:rsidR="00D1685A" w:rsidRDefault="00D1685A">
      <w:pPr>
        <w:spacing w:line="240" w:lineRule="auto"/>
      </w:pPr>
      <w:r>
        <w:separator/>
      </w:r>
    </w:p>
  </w:endnote>
  <w:endnote w:type="continuationSeparator" w:id="0">
    <w:p w14:paraId="296AEE4E" w14:textId="77777777" w:rsidR="00D1685A" w:rsidRDefault="00D1685A">
      <w:pPr>
        <w:spacing w:line="240" w:lineRule="auto"/>
      </w:pPr>
      <w:r>
        <w:continuationSeparator/>
      </w:r>
    </w:p>
  </w:endnote>
  <w:endnote w:id="1">
    <w:p w14:paraId="4BC60376" w14:textId="3E602733" w:rsidR="00D84D3F" w:rsidRDefault="00D84D3F">
      <w:pPr>
        <w:pStyle w:val="Notedefin"/>
      </w:pPr>
      <w:r>
        <w:rPr>
          <w:rStyle w:val="Appeldenotedefin"/>
        </w:rPr>
        <w:endnoteRef/>
      </w:r>
      <w:r>
        <w:t xml:space="preserve"> Données compilées et consolidées par la Coalition congolaise conte la peine de mort en RDC (CCPM-RDC) par le biais d’une veille médiatique. Les condamnations à mort recensées ont été prononcées par des tribunaux situés dans 10 provinces différentes.</w:t>
      </w:r>
    </w:p>
  </w:endnote>
  <w:endnote w:id="2">
    <w:p w14:paraId="6AAEDDF1"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{"citationID":"QOhGxTJ4","properties":{"formattedCitation":"R\\uc0\\u233{}publique d\\uc0\\u233{}mocratique du Congo, \\uc0\\u171{}\\uc0\\u160{}Constitution de la R\\uc0\\u233{}publique d\\uc0\\u233{}mocratique du Congo\\uc0\\u160{}\\uc0\\u187{}, {\\i{}Journal officiel} (num\\uc0\\u233{}ro sp\\uc0\\u233{}cial, 47\\uc0\\u232{}me ann\\uc0\\u233{}e), 18 f\\uc0\\u233{}vrier 2006, art. 16.","plainCitation":"République démocratique du Congo, « Constitution de la République démocratique du Congo », Journal officiel (numéro spécial, 47ème année), 18 février 2006, art. 16.","noteIndex":1,"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16"}],"schema":"https://github.com/citation-style-language/schema/raw/master/csl-citation.json"} </w:instrText>
      </w:r>
      <w:r>
        <w:fldChar w:fldCharType="separate"/>
      </w:r>
      <w:r>
        <w:rPr>
          <w:rFonts w:cs="Times New Roman"/>
        </w:rPr>
        <w:t xml:space="preserve">République démocratique du Congo, « Constitution de la République démocratique du Congo », </w:t>
      </w:r>
      <w:r>
        <w:rPr>
          <w:rFonts w:cs="Times New Roman"/>
          <w:i/>
          <w:iCs/>
        </w:rPr>
        <w:t>Journal officiel</w:t>
      </w:r>
      <w:r>
        <w:rPr>
          <w:rFonts w:cs="Times New Roman"/>
        </w:rPr>
        <w:t xml:space="preserve"> (numéro spécial, 47ème année), 18 février 2006, art. 16.</w:t>
      </w:r>
      <w:r>
        <w:fldChar w:fldCharType="end"/>
      </w:r>
    </w:p>
  </w:endnote>
  <w:endnote w:id="3">
    <w:p w14:paraId="51854D94"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{"citationID":"VnrWr0a7","properties":{"formattedCitation":"R\\uc0\\u233{}publique d\\uc0\\u233{}mocratique du Congo, \\uc0\\u171{}\\uc0\\u160{}Constitution de la R\\uc0\\u233{}publique d\\uc0\\u233{}mocratique du Congo\\uc0\\u160{}\\uc0\\u187{}, {\\i{}Journal officiel} (num\\uc0\\u233{}ro sp\\uc0\\u233{}cial, 47\\uc0\\u232{}me ann\\uc0\\u233{}e), 18 f\\uc0\\u233{}vrier 2006, art. 61.","plainCitation":"République démocratique du Congo, « Constitution de la République démocratique du Congo », Journal officiel (numéro spécial, 47ème année), 18 février 2006, art. 61.","noteIndex":2,"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61"}],"schema":"https://github.com/citation-style-language/schema/raw/master/csl-citation.json"} </w:instrText>
      </w:r>
      <w:r>
        <w:fldChar w:fldCharType="separate"/>
      </w:r>
      <w:r>
        <w:rPr>
          <w:rFonts w:cs="Times New Roman"/>
        </w:rPr>
        <w:t xml:space="preserve">République démocratique du Congo, « Constitution de la République démocratique du Congo », </w:t>
      </w:r>
      <w:r>
        <w:rPr>
          <w:rFonts w:cs="Times New Roman"/>
          <w:i/>
          <w:iCs/>
        </w:rPr>
        <w:t>Journal officiel</w:t>
      </w:r>
      <w:r>
        <w:rPr>
          <w:rFonts w:cs="Times New Roman"/>
        </w:rPr>
        <w:t xml:space="preserve"> (numéro spécial, 47ème année), 18 février 2006, art. 61.</w:t>
      </w:r>
      <w:r>
        <w:fldChar w:fldCharType="end"/>
      </w:r>
    </w:p>
  </w:endnote>
  <w:endnote w:id="4">
    <w:p w14:paraId="01FDF73E"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{"citationID":"RvDPx0cv","properties":{"formattedCitation":"R\\uc0\\u233{}publique d\\uc0\\u233{}mocratique du Congo, \\uc0\\u171{}\\uc0\\u160{}D\\uc0\\u233{}cret du 30 janvier 1940 portant Code p\\uc0\\u233{}nal (tel que modifi\\uc0\\u233{} et compl\\uc0\\u233{}t\\uc0\\u233{} par la loi n\\uc0\\u176{}15/022 du 31 d\\uc0\\u233{}cembre 2015)\\uc0\\u160{}\\uc0\\u187{}, {\\i{}Journal officiel} (num\\uc0\\u233{}ro sp\\uc0\\u233{}cial), 30 janvier 1940.","plainCitation":"République démocratique du Congo, « Décret du 30 janvier 1940 portant Code pénal (tel que modifié et complété par la loi n°15/022 du 31 décembre 2015) », Journal officiel (numéro spécial), 30 janvier 1940.","noteIndex":3,"suppress-trailing-punctuation":false},"citationItems":[{"id":238,"uris":["http://zotero.org/users/2532968/items/PQ7M5TMJ"],"uri":["http://zotero.org/users/2532968/items/PQ7M5TMJ"],"itemData":{"id":238,"type":"legislation","multi":{"main":{},"_keys":{}},"title":"Décret du 30 janvier 1940 portant Code pénal (tel que modifié et complété par la loi n°15/022 du 31 décembre 2015)","container-title":"Journal officiel","volume":"numéro spécial","references":"tel que modifié et complété par la loi n°15/022 du 31 décembre 2015","shortTitle":"Code pénal","jurisdiction":"cd","author":[{"literal":"République démocratique du Congo","multi":{"_key":{}}}],"issued":{"date-parts":[["1940",1,30]]}}}],"schema":"https://github.com/citation-style-language/schema/raw/master/csl-citation.json"} </w:instrText>
      </w:r>
      <w:r>
        <w:fldChar w:fldCharType="separate"/>
      </w:r>
      <w:r>
        <w:rPr>
          <w:rFonts w:cs="Times New Roman"/>
        </w:rPr>
        <w:t xml:space="preserve">République démocratique du Congo, « Décret du 30 janvier 1940 portant Code pénal (tel que modifié et complété par la loi n°15/022 du 31 décembre 2015) », </w:t>
      </w:r>
      <w:r>
        <w:rPr>
          <w:rFonts w:cs="Times New Roman"/>
          <w:i/>
          <w:iCs/>
        </w:rPr>
        <w:t>Journal officiel</w:t>
      </w:r>
      <w:r>
        <w:rPr>
          <w:rFonts w:cs="Times New Roman"/>
        </w:rPr>
        <w:t xml:space="preserve"> (numéro spécial), 30 janvier 1940.</w:t>
      </w:r>
      <w:r>
        <w:fldChar w:fldCharType="end"/>
      </w:r>
    </w:p>
  </w:endnote>
  <w:endnote w:id="5">
    <w:p w14:paraId="0702BC26"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{"citationID":"7u7Z4Raw","properties":{"formattedCitation":"R\\uc0\\u233{}publique d\\uc0\\u233{}mocratique du Congo, \\uc0\\u171{}\\uc0\\u160{}Loi no. 024/2002 portant Code p\\uc0\\u233{}nal militaire\\uc0\\u160{}\\uc0\\u187{}, {\\i{}Journal officiel} (num\\uc0\\u233{}ro sp\\uc0\\u233{}cial), 20 mars 2003.","plainCitation":"République démocratique du Congo, « Loi no. 024/2002 portant Code pénal militaire », Journal officiel (numéro spécial), 20 mars 2003.","noteIndex":4,"suppress-trailing-punctuation":false},"citationItems":[{"id":281,"uris":["http://zotero.org/users/2532968/items/ST6N7RYB"],"uri":["http://zotero.org/users/2532968/items/ST6N7RYB"],"itemData":{"id":281,"type":"legislation","multi":{"main":{},"_keys":{}},"title":"Loi no. 024/2002 portant Code pénal militaire","container-title":"Journal officiel","volume":"numéro spécial","number":"024/2002","references":"Modifié par la loi n°15/023 du 31 décembre 2015","jurisdiction":"cd","author":[{"literal":"République démocratique du Congo","multi":{"_key":{}}}],"issued":{"date-parts":[["2003",3,20]]}}}],"schema":"https://github.com/citation-style-language/schema/raw/master/csl-citation.json"} </w:instrText>
      </w:r>
      <w:r>
        <w:fldChar w:fldCharType="separate"/>
      </w:r>
      <w:r>
        <w:rPr>
          <w:rFonts w:cs="Times New Roman"/>
        </w:rPr>
        <w:t xml:space="preserve">République démocratique du Congo, « Loi no. 024/2002 portant Code pénal militaire », </w:t>
      </w:r>
      <w:r>
        <w:rPr>
          <w:rFonts w:cs="Times New Roman"/>
          <w:i/>
          <w:iCs/>
        </w:rPr>
        <w:t>Journal officiel</w:t>
      </w:r>
      <w:r>
        <w:rPr>
          <w:rFonts w:cs="Times New Roman"/>
        </w:rPr>
        <w:t xml:space="preserve"> (numéro spécial), 20 mars 2003.</w:t>
      </w:r>
      <w:r>
        <w:fldChar w:fldCharType="end"/>
      </w:r>
    </w:p>
  </w:endnote>
  <w:endnote w:id="6">
    <w:p w14:paraId="0EF8C13F" w14:textId="77777777" w:rsidR="003F5CAD" w:rsidRDefault="00563BAC">
      <w:pPr>
        <w:pStyle w:val="Notedefin"/>
        <w:spacing w:after="60"/>
      </w:pPr>
      <w:r>
        <w:rPr>
          <w:rStyle w:val="Appeldenotedefin"/>
          <w:rFonts w:cs="Helvetica"/>
        </w:rPr>
        <w:endnoteRef/>
      </w:r>
      <w:r>
        <w:t xml:space="preserve"> Voir « Focus : La justice militaire et la peine de mort en République démocratique du Congo », p. 8 de ce rapport.</w:t>
      </w:r>
    </w:p>
  </w:endnote>
  <w:endnote w:id="7">
    <w:p w14:paraId="781A4446"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{"citationID":"UopAXa4o","properties":{"formattedCitation":"R\\uc0\\u233{}publique d\\uc0\\u233{}mocratique du Congo, \\uc0\\u171{}\\uc0\\u160{}D\\uc0\\u233{}cret du 30 janvier 1940 portant Code p\\uc0\\u233{}nal (tel que modifi\\uc0\\u233{} et compl\\uc0\\u233{}t\\uc0\\u233{} par la loi n\\uc0\\u176{}15/022 du 31 d\\uc0\\u233{}cembre 2015)\\uc0\\u160{}\\uc0\\u187{}, {\\i{}Journal officiel} (num\\uc0\\u233{}ro sp\\uc0\\u233{}cial), 30 janvier 1940, art. 18. R\\uc0\\u233{}publique d\\uc0\\u233{}mocratique du Congo, \\uc0\\u171{}\\uc0\\u160{}Loi no. 024/2002 portant Code p\\uc0\\u233{}nal militaire\\uc0\\u160{}\\uc0\\u187{}, {\\i{}Journal officiel} (num\\uc0\\u233{}ro sp\\uc0\\u233{}cial), 20 mars 2003, art. 27.","plainCitation":"République démocratique du Congo, « Décret du 30 janvier 1940 portant Code pénal (tel que modifié et complété par la loi n°15/022 du 31 décembre 2015) », Journal officiel (numéro spécial), 30 janvier 1940, art. 18. République démocratique du Congo, « Loi no. 024/2002 portant Code pénal militaire », Journal officiel (numéro spécial), 20 mars 2003, art. 27.","noteIndex":6,"suppress-trailing-punctuation":false},"citationItems":[{"id":238,"uris":["http://zotero.org/users/2532968/items/PQ7M5TMJ"],"uri":["http://zotero.org/users/2532968/items/PQ7M5TMJ"],"itemData":{"id":238,"type":"legislation","multi":{"main":{},"_keys":{}},"title":"Décret du 30 janvier 1940 portant Code pénal (tel que modifié et complété par la loi n°15/022 du 31 décembre 2015)","container-title":"Journal officiel","volume":"numéro spécial","references":"tel que modifié et complété par la loi n°15/022 du 31 décembre 2015","shortTitle":"Code pénal","jurisdiction":"cd","author":[{"literal":"République démocratique du Congo","multi":{"_key":{}}}],"issued":{"date-parts":[["1940",1,30]]}},"label":"page","suffix":", art. 18"},{"id":281,"uris":["http://zotero.org/users/2532968/items/ST6N7RYB"],"uri":["http://zotero.org/users/2532968/items/ST6N7RYB"],"itemData":{"id":281,"type":"legislation","multi":{"main":{},"_keys":{}},"title":"Loi no. 024/2002 portant Code pénal militaire","container-title":"Journal officiel","volume":"numéro spécial","number":"024/2002","references":"Modifié par la loi n°15/023 du 31 décembre 2015","jurisdiction":"cd","author":[{"literal":"République démocratique du Congo","multi":{"_key":{}}}],"issued":{"date-parts":[["2003",3,20]]}},"label":"page","suffix":", art. 27"}],"schema":"https://github.com/citation-style-language/schema/raw/master/csl-citation.json"} </w:instrText>
      </w:r>
      <w:r>
        <w:fldChar w:fldCharType="separate"/>
      </w:r>
      <w:r>
        <w:rPr>
          <w:rFonts w:cs="Times New Roman"/>
        </w:rPr>
        <w:t xml:space="preserve">République démocratique du Congo, « Décret du 30 janvier 1940 portant Code pénal (tel que modifié et complété par la loi n°15/022 du 31 décembre 2015) », </w:t>
      </w:r>
      <w:r>
        <w:rPr>
          <w:rFonts w:cs="Times New Roman"/>
          <w:i/>
          <w:iCs/>
        </w:rPr>
        <w:t>Journal officiel</w:t>
      </w:r>
      <w:r>
        <w:rPr>
          <w:rFonts w:cs="Times New Roman"/>
        </w:rPr>
        <w:t xml:space="preserve"> (numéro spécial), 30 janvier 1940, art. 18. République démocratique du Congo, « Loi no. 024/2002 portant Code pénal militaire », </w:t>
      </w:r>
      <w:r>
        <w:rPr>
          <w:rFonts w:cs="Times New Roman"/>
          <w:i/>
          <w:iCs/>
        </w:rPr>
        <w:t>Journal officiel</w:t>
      </w:r>
      <w:r>
        <w:rPr>
          <w:rFonts w:cs="Times New Roman"/>
        </w:rPr>
        <w:t xml:space="preserve"> (numéro spécial), 20 mars 2003, art. 27.</w:t>
      </w:r>
      <w:r>
        <w:fldChar w:fldCharType="end"/>
      </w:r>
    </w:p>
  </w:endnote>
  <w:endnote w:id="8">
    <w:p w14:paraId="22BA1D71" w14:textId="77777777" w:rsidR="003F5CAD" w:rsidRDefault="00563BAC">
      <w:pPr>
        <w:spacing w:line="240" w:lineRule="auto"/>
      </w:pPr>
      <w:r>
        <w:rPr>
          <w:rStyle w:val="Appeldenotedefin"/>
          <w:sz w:val="20"/>
          <w:szCs w:val="20"/>
        </w:rPr>
        <w:endnoteRef/>
      </w:r>
      <w:r>
        <w:rPr>
          <w:sz w:val="20"/>
          <w:szCs w:val="20"/>
        </w:rPr>
        <w:t xml:space="preserve"> </w:t>
      </w:r>
      <w:r>
        <w:rPr>
          <w:rFonts w:cs="Times New Roman"/>
          <w:sz w:val="20"/>
          <w:szCs w:val="20"/>
        </w:rPr>
        <w:t>République démocratique du Congo, « </w:t>
      </w:r>
      <w:r>
        <w:rPr>
          <w:kern w:val="2"/>
          <w:sz w:val="20"/>
          <w:szCs w:val="20"/>
          <w14:ligatures w14:val="standardContextual"/>
        </w:rPr>
        <w:t xml:space="preserve">Code Pénal Congolais Journal Officiel n° Spécial 30 novembre 2004, Journal officiel de la République démocratique du Congo, Cabinet du président de la République, code pénal congolais, décret du 30 janvier 1940 tel que modifié et complété à ce jour mis à jour au 30 novembre 2004, » </w:t>
      </w:r>
      <w:r>
        <w:rPr>
          <w:rFonts w:cs="Times New Roman"/>
          <w:sz w:val="20"/>
          <w:szCs w:val="20"/>
        </w:rPr>
        <w:t>art.</w:t>
      </w:r>
      <w:r>
        <w:rPr>
          <w:sz w:val="20"/>
          <w:szCs w:val="20"/>
        </w:rPr>
        <w:t xml:space="preserve"> 157 : « Les provocateurs de cette association, les chefs de cette bande et ceux qui y auront exercé un commandement quelconque seront punis de mort. » et art. 158 : «  autres individus faisant partie de l'association et ceux qui auront sciemment et volontairement fourni à la bande des armes, munitions, instruments d'infraction, seront également punis de mort. »</w:t>
      </w:r>
    </w:p>
  </w:endnote>
  <w:endnote w:id="9">
    <w:p w14:paraId="5908386A"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{"citationID":"iRUAONNk","properties":{"formattedCitation":"R\\uc0\\u233{}publique d\\uc0\\u233{}mocratique du Congo, \\uc0\\u171{}\\uc0\\u160{}Arr\\uc0\\u234{}t\\uc0\\u233{} du Gouverneur g\\uc0\\u233{}n\\uc0\\u233{}ral relatif aux ex\\uc0\\u233{}cutions capitales\\uc0\\u160{}\\uc0\\u187{}, 1898.","plainCitation":"République démocratique du Congo, « Arrêté du Gouverneur général relatif aux exécutions capitales », 1898.","noteIndex":7,"suppress-trailing-punctuation":false},"citationItems":[{"id":267,"uris":["http://zotero.org/users/2532968/items/GUUDZMKG"],"uri":["http://zotero.org/users/2532968/items/GUUDZMKG"],"itemData":{"id":267,"type":"regulation","multi":{"main":{},"_keys":{}},"title":"Arrêté du Gouverneur général relatif aux exécutions capitales","jurisdiction":"cd","author":[{"literal":"République démocratique du Congo","multi":{"_key":{}}}],"issued":{"date-parts":[["1898",4,9]]}}}],"schema":"https://github.com/citation-style-language/schema/raw/master/csl-citation.json"} </w:instrText>
      </w:r>
      <w:r>
        <w:fldChar w:fldCharType="separate"/>
      </w:r>
      <w:r>
        <w:rPr>
          <w:rFonts w:cs="Times New Roman"/>
        </w:rPr>
        <w:t>République démocratique du Congo, « Arrêté du Gouverneur général relatif aux exécutions capitales », 1898.</w:t>
      </w:r>
      <w:r>
        <w:fldChar w:fldCharType="end"/>
      </w:r>
    </w:p>
  </w:endnote>
  <w:endnote w:id="10">
    <w:p w14:paraId="2B691579"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{"citationID":"L9NJDmuY","properties":{"formattedCitation":"R\\uc0\\u233{}publique d\\uc0\\u233{}mocratique du Congo, \\uc0\\u171{}\\uc0\\u160{}Loi no. 024/2002 portant Code p\\uc0\\u233{}nal militaire\\uc0\\u160{}\\uc0\\u187{}, {\\i{}Journal officiel} (num\\uc0\\u233{}ro sp\\uc0\\u233{}cial), 20 mars 2003, art. 26.","plainCitation":"République démocratique du Congo, « Loi no. 024/2002 portant Code pénal militaire », Journal officiel (numéro spécial), 20 mars 2003, art. 26.","noteIndex":8,"suppress-trailing-punctuation":false},"citationItems":[{"id":281,"uris":["http://zotero.org/users/2532968/items/ST6N7RYB"],"uri":["http://zotero.org/users/2532968/items/ST6N7RYB"],"itemData":{"id":281,"type":"legislation","multi":{"main":{},"_keys":{}},"title":"Loi no. 024/2002 portant Code pénal militaire","container-title":"Journal officiel","volume":"numéro spécial","number":"024/2002","references":"Modifié par la loi n°15/023 du 31 décembre 2015","jurisdiction":"cd","author":[{"literal":"République démocratique du Congo","multi":{"_key":{}}}],"issued":{"date-parts":[["2003",3,20]]}},"suffix":", art. 26"}],"schema":"https://github.com/citation-style-language/schema/raw/master/csl-citation.json"} </w:instrText>
      </w:r>
      <w:r>
        <w:fldChar w:fldCharType="separate"/>
      </w:r>
      <w:r>
        <w:rPr>
          <w:rFonts w:cs="Times New Roman"/>
        </w:rPr>
        <w:t xml:space="preserve">République démocratique du Congo, « Loi no. 024/2002 portant Code pénal militaire », </w:t>
      </w:r>
      <w:r>
        <w:rPr>
          <w:rFonts w:cs="Times New Roman"/>
          <w:i/>
          <w:iCs/>
        </w:rPr>
        <w:t>Journal officiel</w:t>
      </w:r>
      <w:r>
        <w:rPr>
          <w:rFonts w:cs="Times New Roman"/>
        </w:rPr>
        <w:t xml:space="preserve"> (numéro spécial), 20 mars 2003, art. 26.</w:t>
      </w:r>
      <w:r>
        <w:fldChar w:fldCharType="end"/>
      </w:r>
    </w:p>
  </w:endnote>
  <w:endnote w:id="11">
    <w:p w14:paraId="79698A10"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{"citationID":"IF89vHSy","properties":{"formattedCitation":"R\\uc0\\u233{}publique d\\uc0\\u233{}mocratique du Congo, \\uc0\\u171{}\\uc0\\u160{}Liste de points concernant le quatri\\uc0\\u232{}me rapport p\\uc0\\u233{}riodique de la R\\uc0\\u233{}publique d\\uc0\\u233{}mocratique du Congo: R\\uc0\\u233{}ponses de la R\\uc0\\u233{}publique d\\uc0\\u233{}mocratique du Congo \\uc0\\u224{} la liste de points\\uc0\\u160{}\\uc0\\u187{}, CCPR/C/COD/Q/4, Nations unies, 6 octobre 2017, paragr.\\uc0\\u160{}47.","plainCitation":"République démocratique du Congo, « Liste de points concernant le quatrième rapport périodique de la République démocratique du Congo: Réponses de la République démocratique du Congo à la liste de points », CCPR/C/COD/Q/4, Nations unies, 6 octobre 2017, paragr. 47.","noteIndex":9,"suppress-trailing-punctuation":false},"citationItems":[{"id":346,"uris":["http://zotero.org/users/2532968/items/6D5DHC3J"],"uri":["http://zotero.org/users/2532968/items/6D5DHC3J"],"itemData":{"id":346,"type":"report","multi":{"main":{},"_keys":{}},"title":"Liste de points concernant le quatrième rapport périodique de la République démocratique du Congo: Réponses de la République démocratique du Congo à la liste de points","publisher":"Nations unies","authority":"Nations unies","committee":"Comité des droits de l'Homme","number":"CCPR/C/COD/Q/4","author":[{"literal":"République démocratique du Congo","multi":{"_key":{},"main":"fr"}}],"issued":{"date-parts":[["2017",10,6]]}},"locator":"47","label":"paragraph"}],"schema":"https://github.com/citation-style-language/schema/raw/master/csl-citation.json"} </w:instrText>
      </w:r>
      <w:r>
        <w:fldChar w:fldCharType="separate"/>
      </w:r>
      <w:r>
        <w:rPr>
          <w:rFonts w:cs="Times New Roman"/>
        </w:rPr>
        <w:t>République démocratique du Congo, « Liste de points concernant le quatrième rapport périodique de la République démocratique du Congo: Réponses de la République démocratique du Congo à la liste de points », CCPR/C/COD/Q/4, Nations unies, 6 octobre 2017, paragr. 47.</w:t>
      </w:r>
      <w:r>
        <w:fldChar w:fldCharType="end"/>
      </w:r>
    </w:p>
  </w:endnote>
  <w:endnote w:id="12">
    <w:p w14:paraId="60E2701C"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{"citationID":"WM2yAzwn","properties":{"formattedCitation":"Comit\\uc0\\u233{} des droits de l\\uc0\\u8217{}Homme des Nations unies, \\uc0\\u171{}\\uc0\\u160{}Observations finales concernant le quatri\\uc0\\u232{}me rapport p\\uc0\\u233{}riodique de la R\\uc0\\u233{}publique d\\uc0\\u233{}mocratique du Congo\\uc0\\u160{}\\uc0\\u187{}, CCPR/C/COD/CO/4, Nations unies (Comit\\uc0\\u233{} des droits de l\\uc0\\u8217{}Homme: 121\\uc0\\u232{}me session), 30 novembre 2017.","plainCitation":"Comité des droits de l’Homme des Nations unies, « Observations finales concernant le quatrième rapport périodique de la République démocratique du Congo », CCPR/C/COD/CO/4, Nations unies (Comité des droits de l’Homme: 121ème session), 30 novembre 2017.","noteIndex":10,"suppress-trailing-punctuation":false},"citationItems":[{"id":259,"uris":["http://zotero.org/users/2532968/items/R8C4USB3"],"uri":["http://zotero.org/users/2532968/items/R8C4USB3"],"itemData":{"id":259,"type":"report","multi":{"main":{},"_keys":{}},"title":"Observations finales concernant le quatrième rapport périodique de la République démocratique du Congo","collection-title":"Comité des droits de l'Homme: 121ème session","publisher":"Nations unies","publisher-place":"Genève","authority":"Nations unies","event-place":"Genève","archive-place":"Genève","number":"CCPR/C/COD/CO/4","author":[{"literal":"Comité des droits de l'Homme des Nations unies","multi":{"_key":{}}}],"issued":{"date-parts":[["2017",11,30]]}}}],"schema":"https://github.com/citation-style-language/schema/raw/master/csl-citation.json"} </w:instrText>
      </w:r>
      <w:r>
        <w:fldChar w:fldCharType="separate"/>
      </w:r>
      <w:r>
        <w:rPr>
          <w:rFonts w:cs="Times New Roman"/>
        </w:rPr>
        <w:t>Comité des droits de l’Homme des Nations unies, « Observations finales concernant le quatrième rapport périodique de la République démocratique du Congo », CCPR/C/COD/CO/4, Nations unies (Comité des droits de l’Homme: 121ème session), 30 novembre 2017.</w:t>
      </w:r>
      <w:r>
        <w:fldChar w:fldCharType="end"/>
      </w:r>
    </w:p>
  </w:endnote>
  <w:endnote w:id="13">
    <w:p w14:paraId="69F3DC61" w14:textId="77777777" w:rsidR="003F5CAD" w:rsidRDefault="00563BAC">
      <w:pPr>
        <w:pStyle w:val="Notedefin"/>
        <w:spacing w:after="60"/>
        <w:jc w:val="left"/>
      </w:pPr>
      <w:r>
        <w:rPr>
          <w:rStyle w:val="Appeldenotedefin"/>
          <w:rFonts w:cs="Helvetica"/>
        </w:rPr>
        <w:endnoteRef/>
      </w:r>
      <w:r>
        <w:t xml:space="preserve"> </w:t>
      </w:r>
      <w:r>
        <w:fldChar w:fldCharType="begin"/>
      </w:r>
      <w:r>
        <w:instrText xml:space="preserve"> ADDIN ZOTERO_ITEM CSL_CITATION {"citationID":"3cSQ9d34","properties":{"formattedCitation":"Amnesty International, \\uc0\\u171{}\\uc0\\u160{}Condamnations \\uc0\\u224{} mort et ex\\uc0\\u233{}cutions 2016\\uc0\\u160{}\\uc0\\u187{}, , 2017.","plainCitation":"Amnesty International, « Condamnations à mort et exécutions 2016 », , 2017.","noteIndex":11,"suppress-trailing-punctuation":false},"citationItems":[{"id":30,"uris":["http://zotero.org/users/2532968/items/HLT5EM9B"],"uri":["http://zotero.org/users/2532968/items/HLT5EM9B"],"itemData":{"id":30,"type":"report","multi":{"main":{},"_keys":{}},"title":"Condamnations à mort et exécutions 2016","publisher-place":"Londres","event-place":"Londres","archive-place":"Londres","author":[{"family":"Amnesty International","given":"","literal":"Amnesty International","multi":{"_key":{}}}],"issued":{"date-parts":[["2017"]]}}}],"schema":"https://github.com/citation-style-language/schema/raw/master/csl-citation.json"} </w:instrText>
      </w:r>
      <w:r>
        <w:fldChar w:fldCharType="separate"/>
      </w:r>
      <w:r>
        <w:rPr>
          <w:rFonts w:cs="Times New Roman"/>
        </w:rPr>
        <w:t xml:space="preserve">ECPM, CPJ, </w:t>
      </w:r>
      <w:r>
        <w:fldChar w:fldCharType="end"/>
      </w:r>
      <w:r>
        <w:t xml:space="preserve">Infographie sur la peine de mort en RDC, ECPM, 2023, disponible sur : </w:t>
      </w:r>
      <w:hyperlink r:id="rId1" w:history="1">
        <w:r>
          <w:rPr>
            <w:rStyle w:val="Lienhypertexte"/>
          </w:rPr>
          <w:t>https://www.ecpm.org/app/uploads/2023/10/Infographie-RDC-peine-de-mort-2023.pdf</w:t>
        </w:r>
      </w:hyperlink>
      <w:r>
        <w:t xml:space="preserve"> </w:t>
      </w:r>
    </w:p>
  </w:endnote>
  <w:endnote w:id="14">
    <w:p w14:paraId="4B5A58E4" w14:textId="77777777" w:rsidR="003F5CAD" w:rsidRDefault="00563BAC">
      <w:pPr>
        <w:pStyle w:val="Notedefin"/>
        <w:spacing w:after="60"/>
        <w:rPr>
          <w:iCs/>
        </w:rPr>
      </w:pPr>
      <w:r>
        <w:rPr>
          <w:rStyle w:val="Appeldenotedefin"/>
          <w:rFonts w:cs="Helvetica"/>
        </w:rPr>
        <w:endnoteRef/>
      </w:r>
      <w:r>
        <w:t xml:space="preserve"> </w:t>
      </w:r>
      <w:r>
        <w:rPr>
          <w:iCs/>
        </w:rPr>
        <w:t xml:space="preserve">Données compilées et consolidées par l’organisation Culture pour la paix et la justice à l’issue d’un </w:t>
      </w:r>
      <w:r>
        <w:rPr>
          <w:i/>
        </w:rPr>
        <w:t>monitoring</w:t>
      </w:r>
      <w:r>
        <w:rPr>
          <w:iCs/>
        </w:rPr>
        <w:t xml:space="preserve"> des prononcés de condamnations à mort par les tribunaux de RDC conduit tout au long de l’année 2024.</w:t>
      </w:r>
    </w:p>
  </w:endnote>
  <w:endnote w:id="15">
    <w:p w14:paraId="568A5268" w14:textId="79A89796" w:rsidR="00DB4186" w:rsidRDefault="00DB4186">
      <w:pPr>
        <w:pStyle w:val="Notedefin"/>
      </w:pPr>
      <w:r>
        <w:rPr>
          <w:rStyle w:val="Appeldenotedefin"/>
        </w:rPr>
        <w:endnoteRef/>
      </w:r>
      <w:r>
        <w:t xml:space="preserve"> </w:t>
      </w:r>
      <w:r w:rsidRPr="00DB4186">
        <w:t>Données compilées et consolidées par la Coalition congolaise conte la peine de mort en RDC (CCPM-RDC) par le biais d’une veille médiatique. Les condamnations à mort recensées ont été prononcées par des tribunaux situés dans 10 provinces différentes.</w:t>
      </w:r>
    </w:p>
  </w:endnote>
  <w:endnote w:id="16">
    <w:p w14:paraId="641112FE" w14:textId="77777777" w:rsidR="003F5CAD" w:rsidRDefault="00563BAC">
      <w:pPr>
        <w:pStyle w:val="Notedefin"/>
      </w:pPr>
      <w:r>
        <w:rPr>
          <w:rStyle w:val="Appeldenotedefin"/>
        </w:rPr>
        <w:endnoteRef/>
      </w:r>
      <w:r>
        <w:t xml:space="preserve"> ECPM, CPJ, Vers une mort en silence, conditions de détention des condamnés à mort en République démocratique du Congo, ECPM, 2019, disponible à l’adresse: </w:t>
      </w:r>
      <w:hyperlink r:id="rId2" w:history="1">
        <w:r>
          <w:rPr>
            <w:rStyle w:val="Lienhypertexte"/>
          </w:rPr>
          <w:t>https://www.ecpm.org/app/uploads/2022/08/mission-enquete-RDC-FR-2019-041219-WEB.pdf</w:t>
        </w:r>
      </w:hyperlink>
      <w:r>
        <w:t xml:space="preserve"> </w:t>
      </w:r>
    </w:p>
  </w:endnote>
  <w:endnote w:id="17">
    <w:p w14:paraId="7E129740" w14:textId="77777777" w:rsidR="003F5CAD" w:rsidRDefault="00563BAC">
      <w:pPr>
        <w:pStyle w:val="Notedefin"/>
      </w:pPr>
      <w:r>
        <w:rPr>
          <w:rStyle w:val="Appeldenotedefin"/>
        </w:rPr>
        <w:endnoteRef/>
      </w:r>
      <w:r>
        <w:t xml:space="preserve"> Données obtenues au cours d’entretiens des membres du Réseau des Parlementaires contre la Peine de mort en RDCONGO avec les condamnés à mort dans le camp de détention d’Angenga, juin 2025, Mission d’enquête sur les conditions de détention des condamnés à mort en RDC, menée par CPJ et ECPM septembre 2024-juillet 2025.</w:t>
      </w:r>
    </w:p>
  </w:endnote>
  <w:endnote w:id="18">
    <w:p w14:paraId="2A41718E" w14:textId="77777777" w:rsidR="003F5CAD" w:rsidRDefault="00563BAC">
      <w:pPr>
        <w:pStyle w:val="Notedefin"/>
      </w:pPr>
      <w:r>
        <w:rPr>
          <w:rStyle w:val="Appeldenotedefin"/>
        </w:rPr>
        <w:endnoteRef/>
      </w:r>
      <w:r>
        <w:t xml:space="preserve"> </w:t>
      </w:r>
      <w:r>
        <w:rPr>
          <w:i/>
        </w:rPr>
        <w:t>Ibid.</w:t>
      </w:r>
    </w:p>
  </w:endnote>
  <w:endnote w:id="19">
    <w:p w14:paraId="2BAE1F71" w14:textId="77777777" w:rsidR="003F5CAD" w:rsidRDefault="00563BAC">
      <w:pPr>
        <w:pStyle w:val="Notedefin"/>
      </w:pPr>
      <w:r>
        <w:rPr>
          <w:rStyle w:val="Appeldenotedefin"/>
        </w:rPr>
        <w:endnoteRef/>
      </w:r>
      <w:r>
        <w:t xml:space="preserve"> </w:t>
      </w:r>
      <w:r>
        <w:rPr>
          <w:i/>
        </w:rPr>
        <w:t xml:space="preserve">Op.cit. </w:t>
      </w:r>
    </w:p>
  </w:endnote>
  <w:endnote w:id="20">
    <w:p w14:paraId="51F8F722"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{"citationID":"sk4LHQZ0","properties":{"formattedCitation":"R\\uc0\\u233{}publique d\\uc0\\u233{}mocratique du Congo, \\uc0\\u171{}\\uc0\\u160{}Constitution de la R\\uc0\\u233{}publique d\\uc0\\u233{}mocratique du Congo\\uc0\\u160{}\\uc0\\u187{}, {\\i{}Journal officiel} (num\\uc0\\u233{}ro sp\\uc0\\u233{}cial, 47\\uc0\\u232{}me ann\\uc0\\u233{}e), 18 f\\uc0\\u233{}vrier 2006, art. 18.","plainCitation":"République démocratique du Congo, « Constitution de la République démocratique du Congo », Journal officiel (numéro spécial, 47ème année), 18 février 2006, art. 18.","noteIndex":14,"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18"}],"schema":"https://github.com/citation-style-language/schema/raw/master/csl-citation.json"} </w:instrText>
      </w:r>
      <w:r>
        <w:fldChar w:fldCharType="separate"/>
      </w:r>
      <w:r>
        <w:rPr>
          <w:rFonts w:cs="Times New Roman"/>
        </w:rPr>
        <w:t xml:space="preserve">République démocratique du Congo, « Constitution de la République démocratique du Congo », </w:t>
      </w:r>
      <w:r>
        <w:rPr>
          <w:rFonts w:cs="Times New Roman"/>
          <w:i/>
          <w:iCs/>
        </w:rPr>
        <w:t>Journal officiel</w:t>
      </w:r>
      <w:r>
        <w:rPr>
          <w:rFonts w:cs="Times New Roman"/>
        </w:rPr>
        <w:t xml:space="preserve"> (numéro spécial, 47ème année), 18 février 2006, art. 18.</w:t>
      </w:r>
      <w:r>
        <w:fldChar w:fldCharType="end"/>
      </w:r>
    </w:p>
  </w:endnote>
  <w:endnote w:id="21">
    <w:p w14:paraId="572DBF52"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{"citationID":"YZIKSSyn","properties":{"formattedCitation":"R\\uc0\\u233{}publique d\\uc0\\u233{}mocratique du Congo, \\uc0\\u171{}\\uc0\\u160{}D\\uc0\\u233{}cret du 6 ao\\uc0\\u251{}t 1959 portant Code de proc\\uc0\\u233{}dure p\\uc0\\u233{}nale (modifi\\uc0\\u233{} et compl\\uc0\\u233{}t\\uc0\\u233{} par la loi no. 06/019 du 20 juillet 2006)\\uc0\\u160{}\\uc0\\u187{}, {\\i{}Journal officiel} 6 ao\\uc0\\u251{}t 1959, art. 5.","plainCitation":"République démocratique du Congo, « Décret du 6 août 1959 portant Code de procédure pénale (modifié et complété par la loi no. 06/019 du 20 juillet 2006) », Journal officiel 6 août 1959, art. 5.","noteIndex":15,"suppress-trailing-punctuation":false},"citationItems":[{"id":241,"uris":["http://zotero.org/users/2532968/items/FJGZ4Y8C"],"uri":["http://zotero.org/users/2532968/items/FJGZ4Y8C"],"itemData":{"id":241,"type":"legislation","multi":{"main":{},"_keys":{}},"title":"Décret du 6 août 1959 portant Code de procédure pénale (modifié et complété par la loi no. 06/019 du 20 juillet 2006)","container-title":"Journal officiel","references":"Modifié et complété par la loi n°06/019 du 20 juillet 2006","shortTitle":"Code de procédure pénale","jurisdiction":"cd","author":[{"literal":"République démocratique du Congo","multi":{"_key":{}}}],"issued":{"date-parts":[["1959",8,6]]}},"suffix":", art. 5"}],"schema":"https://github.com/citation-style-language/schema/raw/master/csl-citation.json"} </w:instrText>
      </w:r>
      <w:r>
        <w:fldChar w:fldCharType="separate"/>
      </w:r>
      <w:r>
        <w:rPr>
          <w:rFonts w:cs="Times New Roman"/>
        </w:rPr>
        <w:t xml:space="preserve">République démocratique du Congo, « Décret du 6 août 1959 portant Code de procédure pénale (modifié et complété par la loi no. 06/019 du 20 juillet 2006) », </w:t>
      </w:r>
      <w:r>
        <w:rPr>
          <w:rFonts w:cs="Times New Roman"/>
          <w:i/>
          <w:iCs/>
        </w:rPr>
        <w:t>Journal officiel</w:t>
      </w:r>
      <w:r>
        <w:rPr>
          <w:rFonts w:cs="Times New Roman"/>
        </w:rPr>
        <w:t xml:space="preserve"> 6 août 1959, art. 5.</w:t>
      </w:r>
      <w:r>
        <w:fldChar w:fldCharType="end"/>
      </w:r>
    </w:p>
  </w:endnote>
  <w:endnote w:id="22">
    <w:p w14:paraId="1111A32E"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{"citationID":"ILxvXYai","properties":{"formattedCitation":"R\\uc0\\u233{}publique d\\uc0\\u233{}mocratique du Congo, \\uc0\\u171{}\\uc0\\u160{}Ordonnance no. 78/289 du 3 juillet 1978 relative \\uc0\\u224{} l\\uc0\\u8217{}exercice des attributions d\\uc0\\u8217{}officier et d\\uc0\\u8217{}agents de politce judiciaire pr\\uc0\\u232{}s les juridictions de droit commun\\uc0\\u160{}\\uc0\\u187{}, 3 juillet 1978, art. 76.","plainCitation":"République démocratique du Congo, « Ordonnance no. 78/289 du 3 juillet 1978 relative à l’exercice des attributions d’officier et d’agents de politce judiciaire près les juridictions de droit commun », 3 juillet 1978, art. 76.","noteIndex":16,"suppress-trailing-punctuation":false},"citationItems":[{"id":352,"uris":["http://zotero.org/users/2532968/items/7P8L32PE"],"uri":["http://zotero.org/users/2532968/items/7P8L32PE"],"itemData":{"id":352,"type":"legislation","multi":{"main":{},"_keys":{}},"title":"Ordonnance no. 78/289 du 3 juillet 1978 relative à l'exercice des attributions d'officier et d'agents de politce judiciaire près les juridictions de droit commun","jurisdiction":"us","author":[{"family":"République démocratique du Congo","given":"","literal":"République démocratique du Congo","multi":{"_key":{}}}],"issued":{"date-parts":[["1978",7,3]]}},"suffix":", art. 76"}],"schema":"https://github.com/citation-style-language/schema/raw/master/csl-citation.json"} </w:instrText>
      </w:r>
      <w:r>
        <w:fldChar w:fldCharType="separate"/>
      </w:r>
      <w:r>
        <w:rPr>
          <w:rFonts w:cs="Times New Roman"/>
        </w:rPr>
        <w:t>République démocratique du Congo, « Ordonnance no. 78/289 du 3 juillet 1978 relative à l’exercice des attributions d’officier et d’agents de police judiciaire près les juridictions de droit commun », 3 juillet 1978, art. 76.</w:t>
      </w:r>
      <w:r>
        <w:fldChar w:fldCharType="end"/>
      </w:r>
    </w:p>
  </w:endnote>
  <w:endnote w:id="23">
    <w:p w14:paraId="6CADCEE2"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{"citationID":"d0nhz6HW","properties":{"formattedCitation":"R\\uc0\\u233{}publique d\\uc0\\u233{}mocratique du Congo, \\uc0\\u171{}\\uc0\\u160{}Constitution de la R\\uc0\\u233{}publique d\\uc0\\u233{}mocratique du Congo\\uc0\\u160{}\\uc0\\u187{}, {\\i{}Journal officiel} (num\\uc0\\u233{}ro sp\\uc0\\u233{}cial, 47\\uc0\\u232{}me ann\\uc0\\u233{}e), 18 f\\uc0\\u233{}vrier 2006, art. 18.","plainCitation":"République démocratique du Congo, « Constitution de la République démocratique du Congo », Journal officiel (numéro spécial, 47ème année), 18 février 2006, art. 18.","noteIndex":17,"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 18"}],"schema":"https://github.com/citation-style-language/schema/raw/master/csl-citation.json"} </w:instrText>
      </w:r>
      <w:r>
        <w:fldChar w:fldCharType="separate"/>
      </w:r>
      <w:r>
        <w:rPr>
          <w:rFonts w:cs="Times New Roman"/>
        </w:rPr>
        <w:t xml:space="preserve">République démocratique du Congo, « Constitution de la République démocratique du Congo », </w:t>
      </w:r>
      <w:r>
        <w:rPr>
          <w:rFonts w:cs="Times New Roman"/>
          <w:i/>
          <w:iCs/>
        </w:rPr>
        <w:t>Journal officiel</w:t>
      </w:r>
      <w:r>
        <w:rPr>
          <w:rFonts w:cs="Times New Roman"/>
        </w:rPr>
        <w:t xml:space="preserve"> (numéro spécial, 47ème année), 18 février 2006, art. 18.</w:t>
      </w:r>
      <w:r>
        <w:fldChar w:fldCharType="end"/>
      </w:r>
    </w:p>
  </w:endnote>
  <w:endnote w:id="24">
    <w:p w14:paraId="62E6B6A0"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{"citationID":"pXu2XlPb","properties":{"formattedCitation":"R\\uc0\\u233{}publique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63.","plainCitation":"République démocratique du Congo, « Loi no. 023/2002 du 18 novembre 2002 portant Code judiciaire militaire (modifiée et complétée par la loi organique no. 17/003 du 10 mars 2017) », Journal officiel (numéro spécial), 18 novembre 2002, art. 63.","noteIndex":18,"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63"}],"schema":"https://github.com/citation-style-language/schema/raw/master/csl-citation.json"} </w:instrText>
      </w:r>
      <w:r>
        <w:fldChar w:fldCharType="separate"/>
      </w:r>
      <w:r>
        <w:rPr>
          <w:rFonts w:cs="Times New Roman"/>
        </w:rPr>
        <w:t xml:space="preserve">République démocratique du Congo, « Loi no. 023/2002 du 18 novembre 2002 portant Code judiciaire militaire (modifiée et complétée par la loi organique no. 17/003 du 10 mars 2017) », </w:t>
      </w:r>
      <w:r>
        <w:rPr>
          <w:rFonts w:cs="Times New Roman"/>
          <w:i/>
          <w:iCs/>
        </w:rPr>
        <w:t>Journal officiel</w:t>
      </w:r>
      <w:r>
        <w:rPr>
          <w:rFonts w:cs="Times New Roman"/>
        </w:rPr>
        <w:t xml:space="preserve"> (numéro spécial), 18 novembre 2002, art. 63.</w:t>
      </w:r>
      <w:r>
        <w:fldChar w:fldCharType="end"/>
      </w:r>
    </w:p>
  </w:endnote>
  <w:endnote w:id="25">
    <w:p w14:paraId="47F90226"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{"citationID":"yRPmAr7L","properties":{"formattedCitation":"R\\uc0\\u233{}publique d\\uc0\\u233{}mocratique du Congo, \\uc0\\u171{}\\uc0\\u160{}D\\uc0\\u233{}cret du 6 ao\\uc0\\u251{}t 1959 portant Code de proc\\uc0\\u233{}dure p\\uc0\\u233{}nale (modifi\\uc0\\u233{} et compl\\uc0\\u233{}t\\uc0\\u233{} par la loi no. 06/019 du 20 juillet 2006)\\uc0\\u160{}\\uc0\\u187{}, {\\i{}Journal officiel} 6 ao\\uc0\\u251{}t 1959, art. 73.","plainCitation":"République démocratique du Congo, « Décret du 6 août 1959 portant Code de procédure pénale (modifié et complété par la loi no. 06/019 du 20 juillet 2006) », Journal officiel 6 août 1959, art. 73.","noteIndex":19,"suppress-trailing-punctuation":false},"citationItems":[{"id":241,"uris":["http://zotero.org/users/2532968/items/FJGZ4Y8C"],"uri":["http://zotero.org/users/2532968/items/FJGZ4Y8C"],"itemData":{"id":241,"type":"legislation","multi":{"main":{},"_keys":{}},"title":"Décret du 6 août 1959 portant Code de procédure pénale (modifié et complété par la loi no. 06/019 du 20 juillet 2006)","container-title":"Journal officiel","references":"Modifié et complété par la loi n°06/019 du 20 juillet 2006","shortTitle":"Code de procédure pénale","jurisdiction":"cd","author":[{"literal":"République démocratique du Congo","multi":{"_key":{}}}],"issued":{"date-parts":[["1959",8,6]]}},"suffix":", art. 73"}],"schema":"https://github.com/citation-style-language/schema/raw/master/csl-citation.json"} </w:instrText>
      </w:r>
      <w:r>
        <w:fldChar w:fldCharType="separate"/>
      </w:r>
      <w:r>
        <w:rPr>
          <w:rFonts w:cs="Times New Roman"/>
        </w:rPr>
        <w:t xml:space="preserve">République démocratique du Congo, « Décret du 6 août 1959 portant Code de procédure pénale (modifié et complété par la loi no. 06/019 du 20 juillet 2006) », </w:t>
      </w:r>
      <w:r>
        <w:rPr>
          <w:rFonts w:cs="Times New Roman"/>
          <w:i/>
          <w:iCs/>
        </w:rPr>
        <w:t>Journal officiel</w:t>
      </w:r>
      <w:r>
        <w:rPr>
          <w:rFonts w:cs="Times New Roman"/>
        </w:rPr>
        <w:t xml:space="preserve"> 6 août 1959, art. 73.</w:t>
      </w:r>
      <w:r>
        <w:fldChar w:fldCharType="end"/>
      </w:r>
    </w:p>
  </w:endnote>
  <w:endnote w:id="26">
    <w:p w14:paraId="36D44678"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{"citationID":"H2Z94xjD","properties":{"formattedCitation":"Cf. entre autres: Conseil \\uc0\\u233{}conomique et social des Nations unies (ECOSOC), \\uc0\\u171{}\\uc0\\u160{}Garanties pour la protection des personnes passibles de la peine de mort\\uc0\\u160{}\\uc0\\u187{}, Nations unies, 1984, paragr.\\uc0\\u160{}5.","plainCitation":"Cf. entre autres: Conseil économique et social des Nations unies (ECOSOC), « Garanties pour la protection des personnes passibles de la peine de mort », Nations unies, 1984, paragr. 5.","noteIndex":20,"suppress-trailing-punctuation":false},"citationItems":[{"id":227,"uris":["http://zotero.org/users/2532968/items/JF4AA6UZ"],"uri":["http://zotero.org/users/2532968/items/JF4AA6UZ"],"itemData":{"id":227,"type":"standard","multi":{"main":{},"_keys":{}},"title":"Garanties pour la protection des personnes passibles de la peine de mort","publisher":"Nations unies","call-number":"Rés. 1984/50","author":[{"literal":"Conseil économique et social des Nations unies (ECOSOC)","multi":{"_key":{}}}],"issued":{"date-parts":[["1984",5,25]]}},"locator":"5","label":"paragraph","prefix":"Cf. entre autres: "}],"schema":"https://github.com/citation-style-language/schema/raw/master/csl-citation.json"} </w:instrText>
      </w:r>
      <w:r>
        <w:fldChar w:fldCharType="separate"/>
      </w:r>
      <w:r>
        <w:rPr>
          <w:rFonts w:cs="Times New Roman"/>
        </w:rPr>
        <w:t>Cf. entre autres: Conseil économique et social des Nations unies (ECOSOC), « Garanties pour la protection des personnes passibles de la peine de mort », Nations unies, 1984, paragr. 5.</w:t>
      </w:r>
      <w:r>
        <w:fldChar w:fldCharType="end"/>
      </w:r>
    </w:p>
  </w:endnote>
  <w:endnote w:id="27">
    <w:p w14:paraId="08A03B32" w14:textId="77777777" w:rsidR="003F5CAD" w:rsidRDefault="00563BAC">
      <w:pPr>
        <w:spacing w:line="240" w:lineRule="auto"/>
        <w:rPr>
          <w:sz w:val="20"/>
          <w:szCs w:val="20"/>
        </w:rPr>
      </w:pPr>
      <w:r>
        <w:rPr>
          <w:rStyle w:val="Appeldenotedefin"/>
        </w:rPr>
        <w:endnoteRef/>
      </w:r>
      <w:r>
        <w:rPr>
          <w:sz w:val="20"/>
          <w:szCs w:val="20"/>
        </w:rPr>
        <w:t xml:space="preserve">« En RDC, le procès du M23 se veut « une leçon pour tous ceux qui décident de trahir la République » », Le Monde, 9 août 2024, article disponible en ligne : </w:t>
      </w:r>
      <w:hyperlink r:id="rId3" w:history="1">
        <w:r>
          <w:rPr>
            <w:rStyle w:val="Lienhypertexte"/>
            <w:sz w:val="20"/>
            <w:szCs w:val="20"/>
          </w:rPr>
          <w:t>https://www.lemonde.fr/afrique/article/2024/08/09/en-rdc-le-proces-du-m23-se-veut-une-lecon-pour-tous-ceux-qui-decident-de-trahir-la-republique_6274563_3212.html</w:t>
        </w:r>
      </w:hyperlink>
    </w:p>
    <w:p w14:paraId="060B993A" w14:textId="77777777" w:rsidR="003F5CAD" w:rsidRDefault="00563BAC">
      <w:pPr>
        <w:spacing w:line="240" w:lineRule="auto"/>
        <w:rPr>
          <w:sz w:val="20"/>
          <w:szCs w:val="20"/>
        </w:rPr>
      </w:pPr>
      <w:hyperlink r:id="rId4" w:history="1">
        <w:r>
          <w:rPr>
            <w:rStyle w:val="Lienhypertexte"/>
            <w:sz w:val="20"/>
            <w:szCs w:val="20"/>
          </w:rPr>
          <w:t>https://www.radiookapi.net/2025/03/22/actualite/justice/proces-kuluna-boma-long-fcdhd-releve-des-irregularites?utm_source=chatgpt.com</w:t>
        </w:r>
      </w:hyperlink>
      <w:r>
        <w:rPr>
          <w:sz w:val="20"/>
          <w:szCs w:val="20"/>
        </w:rPr>
        <w:t>.</w:t>
      </w:r>
    </w:p>
    <w:p w14:paraId="0601F20F" w14:textId="77777777" w:rsidR="003F5CAD" w:rsidRDefault="00563BAC">
      <w:pPr>
        <w:spacing w:line="240" w:lineRule="auto"/>
        <w:rPr>
          <w:sz w:val="20"/>
          <w:szCs w:val="20"/>
        </w:rPr>
      </w:pPr>
      <w:r>
        <w:rPr>
          <w:sz w:val="20"/>
          <w:szCs w:val="20"/>
        </w:rPr>
        <w:t xml:space="preserve">Voir aussi : « Procès Kuluna à Boma : L’ONG FCDHD relève des irrégularités », Radio Okapi, 22 mars 2025, article disponible en ligne : </w:t>
      </w:r>
      <w:hyperlink r:id="rId5" w:history="1">
        <w:r>
          <w:rPr>
            <w:rStyle w:val="Lienhypertexte"/>
            <w:sz w:val="20"/>
            <w:szCs w:val="20"/>
          </w:rPr>
          <w:t>https://www.radiookapi.net/2025/03/22/actualite/justice/proces-kuluna-boma-long-fcdhd-releve-des-irregularites</w:t>
        </w:r>
      </w:hyperlink>
      <w:r>
        <w:rPr>
          <w:sz w:val="20"/>
          <w:szCs w:val="20"/>
        </w:rPr>
        <w:t xml:space="preserve">  </w:t>
      </w:r>
    </w:p>
    <w:p w14:paraId="13AFCE78" w14:textId="77777777" w:rsidR="003F5CAD" w:rsidRDefault="00563BAC">
      <w:pPr>
        <w:spacing w:line="240" w:lineRule="auto"/>
      </w:pPr>
      <w:r>
        <w:rPr>
          <w:sz w:val="20"/>
          <w:szCs w:val="20"/>
        </w:rPr>
        <w:t xml:space="preserve">Voir aussi : « Constant Mutamba retourne à Kinshasa avec 64 condamnés après sa mission au Kongo-Central », Radio Okapi, 24 mars 2025, article disponible en ligne : </w:t>
      </w:r>
      <w:hyperlink r:id="rId6" w:history="1">
        <w:r>
          <w:rPr>
            <w:rStyle w:val="Lienhypertexte"/>
            <w:sz w:val="20"/>
            <w:szCs w:val="20"/>
          </w:rPr>
          <w:t>https://www.radiookapi.net/2025/03/24/actualite/justice/constant-mutamba-retourne-kinshasa-avec-64-condamnes-apres-sa-mission</w:t>
        </w:r>
      </w:hyperlink>
    </w:p>
  </w:endnote>
  <w:endnote w:id="28">
    <w:p w14:paraId="5A907ABA" w14:textId="77777777" w:rsidR="003F5CAD" w:rsidRDefault="00563BAC">
      <w:pPr>
        <w:pStyle w:val="Notedefin"/>
      </w:pPr>
      <w:r>
        <w:rPr>
          <w:rStyle w:val="Appeldenotedefin"/>
        </w:rPr>
        <w:endnoteRef/>
      </w:r>
      <w:r>
        <w:t xml:space="preserve">« Le député Ngondankoy dénonce la présence des ministres aux procès », Radio Okapi, 16 mars 2025, </w:t>
      </w:r>
      <w:hyperlink r:id="rId7" w:history="1">
        <w:r>
          <w:rPr>
            <w:rStyle w:val="Lienhypertexte"/>
          </w:rPr>
          <w:t>https://www.radiookapi.net/2025/03/16/actualite/justice/le-depute-ngondankoy-denonce-la-presence-des-ministres-aux-proces</w:t>
        </w:r>
      </w:hyperlink>
      <w:r>
        <w:t xml:space="preserve"> </w:t>
      </w:r>
    </w:p>
  </w:endnote>
  <w:endnote w:id="29">
    <w:p w14:paraId="73C1270E" w14:textId="77777777" w:rsidR="003F5CAD" w:rsidRDefault="00563BAC">
      <w:pPr>
        <w:pStyle w:val="Notedefin"/>
        <w:spacing w:after="60"/>
        <w:rPr>
          <w:rFonts w:cs="Calibri"/>
        </w:rPr>
      </w:pPr>
      <w:r>
        <w:rPr>
          <w:rStyle w:val="Appeldenotedefin"/>
          <w:rFonts w:cs="Helvetica"/>
        </w:rPr>
        <w:endnoteRef/>
      </w:r>
      <w:r>
        <w:t xml:space="preserve"> </w:t>
      </w:r>
      <w:r>
        <w:rPr>
          <w:rFonts w:cs="Calibri"/>
        </w:rPr>
        <w:fldChar w:fldCharType="begin"/>
      </w:r>
      <w:r>
        <w:rPr>
          <w:rFonts w:cs="Calibri"/>
        </w:rPr>
        <w:instrText xml:space="preserve"> ADDIN ZOTERO_ITEM CSL_CITATION {"citationID":"hfE1St6F","properties":{"formattedCitation":"R\\uc0\\u233{}publique d\\uc0\\u233{}mocratique du Congo, \\uc0\\u171{}\\uc0\\u160{}Constitution de la R\\uc0\\u233{}publique d\\uc0\\u233{}mocratique du Congo\\uc0\\u160{}\\uc0\\u187{}, {\\i{}Journal officiel} (num\\uc0\\u233{}ro sp\\uc0\\u233{}cial, 47\\uc0\\u232{}me ann\\uc0\\u233{}e), 18 f\\uc0\\u233{}vrier 2006, article 87.","plainCitation":"République démocratique du Congo, « Constitution de la République démocratique du Congo », Journal officiel (numéro spécial, 47ème année), 18 février 2006, article 87.","noteIndex":29,"suppress-trailing-punctuation":false},"citationItems":[{"id":347,"uris":["http://zotero.org/users/2532968/items/23LMEW7Y"],"uri":["http://zotero.org/users/2532968/items/23LMEW7Y"],"itemData":{"id":347,"type":"legislation","multi":{"main":{},"_keys":{}},"title":"Constitution de la République démocratique du Congo","container-title":"Journal officiel","collection-number":"47ème année","volume":"numéro spécial","language":"fr-FR","jurisdiction":"cd","author":[{"literal":"République démocratique du Congo","multi":{"_key":{}}}],"issued":{"date-parts":[["2006",2,18]]}},"suffix":", article 87"}],"schema":"https://github.com/citation-style-language/schema/raw/master/csl-citation.json"} </w:instrText>
      </w:r>
      <w:r>
        <w:rPr>
          <w:rFonts w:cs="Calibri"/>
        </w:rPr>
        <w:fldChar w:fldCharType="separate"/>
      </w:r>
      <w:r>
        <w:rPr>
          <w:rFonts w:cs="Calibri"/>
        </w:rPr>
        <w:t xml:space="preserve">République démocratique du Congo, « Constitution de la République démocratique du Congo », </w:t>
      </w:r>
      <w:r>
        <w:rPr>
          <w:rFonts w:cs="Calibri"/>
          <w:i/>
          <w:iCs/>
        </w:rPr>
        <w:t>Journal officiel</w:t>
      </w:r>
      <w:r>
        <w:rPr>
          <w:rFonts w:cs="Calibri"/>
        </w:rPr>
        <w:t xml:space="preserve"> (numéro spécial, 47ème année), 18 février 2006, article 87.</w:t>
      </w:r>
      <w:r>
        <w:rPr>
          <w:rFonts w:cs="Calibri"/>
        </w:rPr>
        <w:fldChar w:fldCharType="end"/>
      </w:r>
    </w:p>
  </w:endnote>
  <w:endnote w:id="30">
    <w:p w14:paraId="54043D18" w14:textId="77777777" w:rsidR="003F5CAD" w:rsidRDefault="00563BAC">
      <w:pPr>
        <w:pStyle w:val="Pa1"/>
        <w:jc w:val="both"/>
        <w:rPr>
          <w:rFonts w:ascii="Calibri" w:hAnsi="Calibri" w:cs="Calibri"/>
          <w:color w:val="000000"/>
          <w:sz w:val="20"/>
          <w:szCs w:val="20"/>
        </w:rPr>
      </w:pPr>
      <w:r>
        <w:rPr>
          <w:rStyle w:val="Appeldenotedefin"/>
          <w:rFonts w:ascii="Calibri" w:hAnsi="Calibri" w:cs="Calibri"/>
          <w:sz w:val="20"/>
          <w:szCs w:val="20"/>
        </w:rPr>
        <w:endnoteRef/>
      </w:r>
      <w:r>
        <w:rPr>
          <w:rFonts w:ascii="Calibri" w:hAnsi="Calibri" w:cs="Calibri"/>
          <w:sz w:val="20"/>
          <w:szCs w:val="20"/>
        </w:rPr>
        <w:t xml:space="preserve"> </w:t>
      </w:r>
      <w:r>
        <w:rPr>
          <w:rFonts w:ascii="Calibri" w:hAnsi="Calibri" w:cs="Calibri"/>
          <w:color w:val="000000"/>
          <w:sz w:val="20"/>
          <w:szCs w:val="20"/>
        </w:rPr>
        <w:t>Constitution de la République démocratique du Congo, art. 21, alinéa 2 et art. 156, alinéa 2.</w:t>
      </w:r>
    </w:p>
  </w:endnote>
  <w:endnote w:id="31">
    <w:p w14:paraId="41A8A90C" w14:textId="77777777" w:rsidR="003F5CAD" w:rsidRDefault="00563BAC">
      <w:pPr>
        <w:pStyle w:val="Pa1"/>
        <w:jc w:val="both"/>
        <w:rPr>
          <w:rFonts w:ascii="Calibri" w:hAnsi="Calibri" w:cs="Calibri"/>
          <w:color w:val="000000"/>
          <w:sz w:val="20"/>
          <w:szCs w:val="20"/>
        </w:rPr>
      </w:pPr>
      <w:r>
        <w:rPr>
          <w:rStyle w:val="Appeldenotedefin"/>
          <w:rFonts w:ascii="Calibri" w:hAnsi="Calibri" w:cs="Calibri"/>
          <w:sz w:val="20"/>
          <w:szCs w:val="20"/>
        </w:rPr>
        <w:endnoteRef/>
      </w:r>
      <w:r>
        <w:rPr>
          <w:rFonts w:ascii="Calibri" w:hAnsi="Calibri" w:cs="Calibri"/>
          <w:sz w:val="20"/>
          <w:szCs w:val="20"/>
        </w:rPr>
        <w:t xml:space="preserve"> </w:t>
      </w:r>
      <w:r>
        <w:rPr>
          <w:rFonts w:ascii="Calibri" w:hAnsi="Calibri" w:cs="Calibri"/>
          <w:color w:val="000000"/>
          <w:sz w:val="20"/>
          <w:szCs w:val="20"/>
        </w:rPr>
        <w:t xml:space="preserve">Code de Justice militaire, art. 87 : </w:t>
      </w:r>
      <w:r>
        <w:rPr>
          <w:rFonts w:ascii="Calibri" w:hAnsi="Calibri" w:cs="Calibri"/>
          <w:i/>
          <w:iCs/>
          <w:color w:val="000000"/>
          <w:sz w:val="20"/>
          <w:szCs w:val="20"/>
        </w:rPr>
        <w:t>« Les arrêts rendus par les cours militaires opérationnelles ne sont susceptibles d’aucun recours. »</w:t>
      </w:r>
    </w:p>
  </w:endnote>
  <w:endnote w:id="32">
    <w:p w14:paraId="7E69F757" w14:textId="77777777" w:rsidR="003F5CAD" w:rsidRDefault="00563BAC">
      <w:pPr>
        <w:pStyle w:val="Pa24"/>
        <w:spacing w:before="40"/>
        <w:jc w:val="both"/>
        <w:rPr>
          <w:rFonts w:cs="Campton Light"/>
          <w:color w:val="000000"/>
          <w:sz w:val="20"/>
          <w:szCs w:val="20"/>
        </w:rPr>
      </w:pPr>
      <w:r>
        <w:rPr>
          <w:rStyle w:val="Appeldenotedefin"/>
          <w:rFonts w:ascii="Calibri" w:hAnsi="Calibri" w:cs="Calibri"/>
          <w:sz w:val="20"/>
          <w:szCs w:val="20"/>
        </w:rPr>
        <w:endnoteRef/>
      </w:r>
      <w:r>
        <w:rPr>
          <w:rFonts w:ascii="Calibri" w:hAnsi="Calibri" w:cs="Calibri"/>
          <w:sz w:val="20"/>
          <w:szCs w:val="20"/>
        </w:rPr>
        <w:t xml:space="preserve"> </w:t>
      </w:r>
      <w:r>
        <w:rPr>
          <w:rFonts w:ascii="Calibri" w:hAnsi="Calibri" w:cs="Calibri"/>
          <w:color w:val="000000"/>
          <w:sz w:val="20"/>
          <w:szCs w:val="20"/>
        </w:rPr>
        <w:t>Arrêté d’organisation judiciaire n° 299/75 du 20 août 1979, art. 175.</w:t>
      </w:r>
    </w:p>
  </w:endnote>
  <w:endnote w:id="33">
    <w:p w14:paraId="4242B779" w14:textId="77777777" w:rsidR="003F5CAD" w:rsidRDefault="00563BAC">
      <w:pPr>
        <w:pStyle w:val="Notedefin"/>
      </w:pPr>
      <w:r>
        <w:rPr>
          <w:rStyle w:val="Appeldenotedefin"/>
        </w:rPr>
        <w:endnoteRef/>
      </w:r>
      <w:r>
        <w:t xml:space="preserve"> ECPM, CPJ, Vers une mort en silence, conditions de détention des condamnés à mort en République démocratique du Congo, ECPM, 2019, disponible à l’adresse: </w:t>
      </w:r>
      <w:hyperlink r:id="rId8" w:history="1">
        <w:r>
          <w:rPr>
            <w:rStyle w:val="Lienhypertexte"/>
          </w:rPr>
          <w:t>https://www.ecpm.org/app/uploads/2022/08/mission-enquete-RDC-FR-2019-041219-WEB.pdf</w:t>
        </w:r>
      </w:hyperlink>
      <w:r>
        <w:t xml:space="preserve"> </w:t>
      </w:r>
    </w:p>
  </w:endnote>
  <w:endnote w:id="34">
    <w:p w14:paraId="148561F8" w14:textId="77777777" w:rsidR="003F5CAD" w:rsidRDefault="00563BAC">
      <w:pPr>
        <w:pStyle w:val="Notedefin"/>
        <w:rPr>
          <w:i/>
        </w:rPr>
      </w:pPr>
      <w:r>
        <w:rPr>
          <w:rStyle w:val="Appeldenotedefin"/>
        </w:rPr>
        <w:endnoteRef/>
      </w:r>
      <w:r>
        <w:t xml:space="preserve"> </w:t>
      </w:r>
      <w:r>
        <w:rPr>
          <w:i/>
        </w:rPr>
        <w:t>Ibid.</w:t>
      </w:r>
    </w:p>
  </w:endnote>
  <w:endnote w:id="35">
    <w:p w14:paraId="5C0C25BB" w14:textId="77777777" w:rsidR="003F5CAD" w:rsidRDefault="00563BAC">
      <w:pPr>
        <w:pStyle w:val="Notedefin"/>
      </w:pPr>
      <w:r>
        <w:rPr>
          <w:rStyle w:val="Appeldenotedefin"/>
        </w:rPr>
        <w:endnoteRef/>
      </w:r>
      <w:r>
        <w:t xml:space="preserve"> Prison de Makala : d’une capacité de 1500 détenus, elle en compterait au moins 15000 en avril 2024. </w:t>
      </w:r>
    </w:p>
    <w:p w14:paraId="59107171" w14:textId="77777777" w:rsidR="003F5CAD" w:rsidRDefault="00563BAC">
      <w:pPr>
        <w:pStyle w:val="Notedefin"/>
      </w:pPr>
      <w:r>
        <w:t xml:space="preserve">Source : « RDC: Kinshasa ne s’attaque pas aux raisons de la surpopulation carcérale, selon la société civile », RFI, 1 avril 2024, article disponible en ligne : </w:t>
      </w:r>
      <w:hyperlink r:id="rId9" w:history="1">
        <w:r>
          <w:rPr>
            <w:rStyle w:val="Lienhypertexte"/>
          </w:rPr>
          <w:t>https://www.rfi.fr/fr/afrique/20240401-rdc-kinshasa-ne-s-attaque-pas-aux-raisons-de-la-surpopulation-carc%C3%A9rale-selon-la-soci%C3%A9t%C3%A9-civile</w:t>
        </w:r>
      </w:hyperlink>
      <w:r>
        <w:t xml:space="preserve"> </w:t>
      </w:r>
    </w:p>
  </w:endnote>
  <w:endnote w:id="36">
    <w:p w14:paraId="66DCD537" w14:textId="77777777" w:rsidR="003F5CAD" w:rsidRDefault="00563BAC">
      <w:pPr>
        <w:pStyle w:val="Notedefin"/>
      </w:pPr>
      <w:r>
        <w:rPr>
          <w:rStyle w:val="Appeldenotedefin"/>
        </w:rPr>
        <w:endnoteRef/>
      </w:r>
      <w:r>
        <w:t xml:space="preserve"> Données obtenues par le</w:t>
      </w:r>
      <w:r>
        <w:rPr>
          <w:color w:val="FF0000"/>
        </w:rPr>
        <w:t xml:space="preserve"> </w:t>
      </w:r>
      <w:r>
        <w:rPr>
          <w:color w:val="000000"/>
        </w:rPr>
        <w:t>Réseau des Parlementaires contre la Peine de mort en RDCONGO lors de sa visite du camp de détention d’Angenga, juin 2025, Mission d’enquête sur les conditions de détention des condamnés à mort en RDC, menée par CPJ et ECPM septembre 2024-juillet 2025.</w:t>
      </w:r>
    </w:p>
  </w:endnote>
  <w:endnote w:id="37">
    <w:p w14:paraId="40EC7EAA"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{"citationID":"E6fInYxS","properties":{"formattedCitation":"Commission nationale des droits de l\\uc0\\u8217{}Homme de RDC, \\uc0\\u171{}\\uc0\\u160{}Rapport synth\\uc0\\u232{}se des visites des prisons dans les dix anciennes provinces de la R\\uc0\\u233{}publique d\\uc0\\u233{}mocratique du Congo\\uc0\\u160{}\\uc0\\u187{}, CNDH RDC, 2017.","plainCitation":"Commission nationale des droits de l’Homme de RDC, « Rapport synthèse des visites des prisons dans les dix anciennes provinces de la République démocratique du Congo », CNDH RDC, 2017.","noteIndex":30,"suppress-trailing-punctuation":false},"citationItems":[{"id":286,"uris":["http://zotero.org/users/2532968/items/3J6JCMGJ"],"uri":["http://zotero.org/users/2532968/items/3J6JCMGJ"],"itemData":{"id":286,"type":"report","multi":{"main":{},"_keys":{}},"title":"Rapport synthèse des visites des prisons dans les dix anciennes provinces de la République démocratique du Congo","authority":"CNDH RDC","author":[{"literal":"Commission nationale des droits de l'Homme de RDC","multi":{"_key":{}}}],"issued":{"date-parts":[["2017"]]}}}],"schema":"https://github.com/citation-style-language/schema/raw/master/csl-citation.json"} </w:instrText>
      </w:r>
      <w:r>
        <w:fldChar w:fldCharType="separate"/>
      </w:r>
      <w:r>
        <w:rPr>
          <w:rFonts w:cs="Times New Roman"/>
        </w:rPr>
        <w:t>Commission nationale des droits de l’Homme de RDC, « Rapport synthèse des visites des prisons dans les dix anciennes provinces de la République démocratique du Congo », CNDH RDC, 2017.</w:t>
      </w:r>
      <w:r>
        <w:fldChar w:fldCharType="end"/>
      </w:r>
    </w:p>
  </w:endnote>
  <w:endnote w:id="38">
    <w:p w14:paraId="4BC417E0" w14:textId="77777777" w:rsidR="003F5CAD" w:rsidRDefault="00563BAC">
      <w:pPr>
        <w:pStyle w:val="Notedefin"/>
      </w:pPr>
      <w:r>
        <w:rPr>
          <w:rStyle w:val="Appeldenotedefin"/>
        </w:rPr>
        <w:endnoteRef/>
      </w:r>
      <w:r>
        <w:t xml:space="preserve"> L’accès à la prison de Luzumu a été interdit aux membres du Réseau parlementaires congolais contre la peine de mort à la suite d’ordres données par les autorités gouvernementales</w:t>
      </w:r>
    </w:p>
  </w:endnote>
  <w:endnote w:id="39">
    <w:p w14:paraId="3CD4B73B" w14:textId="77777777" w:rsidR="003F5CAD" w:rsidRDefault="00563BAC">
      <w:pPr>
        <w:pStyle w:val="Notedefin"/>
      </w:pPr>
      <w:r>
        <w:rPr>
          <w:rStyle w:val="Appeldenotedefin"/>
        </w:rPr>
        <w:endnoteRef/>
      </w:r>
      <w:r>
        <w:t xml:space="preserve"> ECPM, CPJ, Vers une mort en silence, conditions de détention des condamnés à mort en République démocratique du Congo, ECPM, 2019, pp 112-114, disponible à l’adresse: </w:t>
      </w:r>
      <w:hyperlink r:id="rId10" w:history="1">
        <w:r>
          <w:rPr>
            <w:rStyle w:val="Lienhypertexte"/>
          </w:rPr>
          <w:t>https://www.ecpm.org/app/uploads/2022/08/mission-enquete-RDC-FR-2019-041219-WEB.pdf</w:t>
        </w:r>
      </w:hyperlink>
      <w:r>
        <w:t xml:space="preserve"> </w:t>
      </w:r>
    </w:p>
  </w:endnote>
  <w:endnote w:id="40">
    <w:p w14:paraId="47861784" w14:textId="77777777" w:rsidR="003F5CAD" w:rsidRDefault="00563BAC">
      <w:pPr>
        <w:pStyle w:val="Notedefin"/>
      </w:pPr>
      <w:r>
        <w:rPr>
          <w:rStyle w:val="Appeldenotedefin"/>
        </w:rPr>
        <w:endnoteRef/>
      </w:r>
      <w:r>
        <w:t xml:space="preserve"> Ibid. </w:t>
      </w:r>
    </w:p>
    <w:p w14:paraId="7E410EEC" w14:textId="77777777" w:rsidR="003F5CAD" w:rsidRDefault="00563BAC">
      <w:pPr>
        <w:pStyle w:val="Notedefin"/>
      </w:pPr>
      <w:r>
        <w:t xml:space="preserve">ECPM et CPJ sont régulièrement témoin de l’existence de système de ce système de </w:t>
      </w:r>
      <w:r>
        <w:rPr>
          <w:i/>
          <w:iCs/>
        </w:rPr>
        <w:t>capita</w:t>
      </w:r>
      <w:r>
        <w:t xml:space="preserve"> lors de visites effectuées dans des prisons en République démocratique du Congo, dont celles de Makala à Kinshasa (mai 2023), le camp de détention de Buluo à Likasi et la prison centrale de Kasapa à Lubumbashi (octobre 2023).   </w:t>
      </w:r>
    </w:p>
  </w:endnote>
  <w:endnote w:id="41">
    <w:p w14:paraId="20E66A20" w14:textId="77777777" w:rsidR="003F5CAD" w:rsidRDefault="00563BAC">
      <w:pPr>
        <w:pStyle w:val="Notedefin"/>
      </w:pPr>
      <w:r>
        <w:rPr>
          <w:rStyle w:val="Appeldenotedefin"/>
        </w:rPr>
        <w:endnoteRef/>
      </w:r>
      <w:r>
        <w:t xml:space="preserve"> La règle 40 des Règles Nelson Mandela dispose : « Aucun détenu ne pourra occuper dans la prison un emploi qui lui confère des pouvoirs disciplinaires ». Ces règles sont cependant des règles de </w:t>
      </w:r>
      <w:r>
        <w:rPr>
          <w:i/>
          <w:iCs/>
        </w:rPr>
        <w:t>soft law</w:t>
      </w:r>
      <w:r>
        <w:t>, sans pouvoir contraignant.</w:t>
      </w:r>
    </w:p>
  </w:endnote>
  <w:endnote w:id="42">
    <w:p w14:paraId="428200CD"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{"citationID":"0F0XGA0b","properties":{"formattedCitation":"R\\uc0\\u233{}publique d\\uc0\\u233{}mocratique du Congo, \\uc0\\u171{}\\uc0\\u160{}Liste de points concernant le quatri\\uc0\\u232{}me rapport p\\uc0\\u233{}riodique de la R\\uc0\\u233{}publique d\\uc0\\u233{}mocratique du Congo: R\\uc0\\u233{}ponses de la R\\uc0\\u233{}publique d\\uc0\\u233{}mocratique du Congo \\uc0\\u224{} la liste de points\\uc0\\u160{}\\uc0\\u187{}, CCPR/C/COD/Q/4, Nations unies, 6 octobre 2017, paragr.\\uc0\\u160{}49.","plainCitation":"République démocratique du Congo, « Liste de points concernant le quatrième rapport périodique de la République démocratique du Congo: Réponses de la République démocratique du Congo à la liste de points », CCPR/C/COD/Q/4, Nations unies, 6 octobre 2017, paragr. 49.","noteIndex":21,"suppress-trailing-punctuation":false},"citationItems":[{"id":346,"uris":["http://zotero.org/users/2532968/items/6D5DHC3J"],"uri":["http://zotero.org/users/2532968/items/6D5DHC3J"],"itemData":{"id":346,"type":"report","multi":{"main":{},"_keys":{}},"title":"Liste de points concernant le quatrième rapport périodique de la République démocratique du Congo: Réponses de la République démocratique du Congo à la liste de points","publisher":"Nations unies","authority":"Nations unies","committee":"Comité des droits de l'Homme","number":"CCPR/C/COD/Q/4","author":[{"literal":"République démocratique du Congo","multi":{"_key":{},"main":"fr"}}],"issued":{"date-parts":[["2017",10,6]]}},"locator":"49","label":"paragraph"}],"schema":"https://github.com/citation-style-language/schema/raw/master/csl-citation.json"} </w:instrText>
      </w:r>
      <w:r>
        <w:fldChar w:fldCharType="separate"/>
      </w:r>
      <w:r>
        <w:rPr>
          <w:rFonts w:cs="Times New Roman"/>
        </w:rPr>
        <w:t>République démocratique du Congo, « Liste de points concernant le quatrième rapport périodique de la République démocratique du Congo: Réponses de la République démocratique du Congo à la liste de points », CCPR/C/COD/Q/4, Nations unies, 6 octobre 2017, paragr. 49.</w:t>
      </w:r>
      <w:r>
        <w:fldChar w:fldCharType="end"/>
      </w:r>
    </w:p>
  </w:endnote>
  <w:endnote w:id="43">
    <w:p w14:paraId="106594A3"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{"citationID":"7cCXmtGL","properties":{"formattedCitation":"R\\uc0\\u233{}publique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76.","plainCitation":"République démocratique du Congo, « Loi no. 023/2002 du 18 novembre 2002 portant Code judiciaire militaire (modifiée et complétée par la loi organique no. 17/003 du 10 mars 2017) », Journal officiel (numéro spécial), 18 novembre 2002, art. 76.","noteIndex":22,"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76"}],"schema":"https://github.com/citation-style-language/schema/raw/master/csl-citation.json"} </w:instrText>
      </w:r>
      <w:r>
        <w:fldChar w:fldCharType="separate"/>
      </w:r>
      <w:r>
        <w:rPr>
          <w:rFonts w:cs="Times New Roman"/>
        </w:rPr>
        <w:t xml:space="preserve">République démocratique du Congo, « Loi no. 023/2002 du 18 novembre 2002 portant Code judiciaire militaire (modifiée et complétée par la loi organique no. 17/003 du 10 mars 2017) », </w:t>
      </w:r>
      <w:r>
        <w:rPr>
          <w:rFonts w:cs="Times New Roman"/>
          <w:i/>
          <w:iCs/>
        </w:rPr>
        <w:t>Journal officiel</w:t>
      </w:r>
      <w:r>
        <w:rPr>
          <w:rFonts w:cs="Times New Roman"/>
        </w:rPr>
        <w:t xml:space="preserve"> (numéro spécial), 18 novembre 2002, art. 76.</w:t>
      </w:r>
      <w:r>
        <w:fldChar w:fldCharType="end"/>
      </w:r>
    </w:p>
  </w:endnote>
  <w:endnote w:id="44">
    <w:p w14:paraId="2403F4BA"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{"citationID":"pXMtC6zH","properties":{"custom":"Assembl\\uc0\\u233{}e g\\uc0\\u233{}n\\uc0\\u233{}rale des Nations unies, \\uc0\\u171{}\\uc0\\u160{}Rapport du Rapporteur sp\\uc0\\u233{}cial sur l\\uc0\\u8217{}ind\\uc0\\u233{}pendance des juges et des avocats\\uc0\\u160{}\\uc0\\u187{}, Nations unies, 2013, (68\\uc0\\u232{}me session), paragr.\\uc0\\u160{}100.","formattedCitation":"Assembl\\uc0\\u233{}e g\\uc0\\u233{}n\\uc0\\u233{}rale des Nations unies, \\uc0\\u171{}\\uc0\\u160{}Rapport du Rapporteur sp\\uc0\\u233{}cial sur l\\uc0\\u8217{}ind\\uc0\\u233{}pendance des juges et des avocats\\uc0\\u160{}\\uc0\\u187{}, Nations unies, 2013, (68\\uc0\\u232{}me session), paragr.\\uc0\\u160{}100.","plainCitation":"Assemblée générale des Nations unies, « Rapport du Rapporteur spécial sur l’indépendance des juges et des avocats », Nations unies, 2013, (68ème session), paragr. 100.","noteIndex":23,"suppress-trailing-punctuation":false},"citationItems":[{"id":328,"uris":["http://zotero.org/users/2532968/items/QLGWZDRR"],"uri":["http://zotero.org/users/2532968/items/QLGWZDRR"],"itemData":{"id":328,"type":"report","multi":{"main":{},"_keys":{}},"title":"Rapport du Rapporteur spécial sur l'indépendance des juges et des avocats","publisher":"United Nations","authority":"Nations unies","URL":"http://www.un.org/ga/search/view_doc.asp?symbol=A/68/285","number":"A/68/285","author":[{"literal":"Assemblée générale des Nations unies","multi":{"_key":{}}}],"issued":{"date-parts":[["2013",8,7]]}},"locator":"100","label":"paragraph"}],"schema":"https://github.com/citation-style-language/schema/raw/master/csl-citation.json"} </w:instrText>
      </w:r>
      <w:r>
        <w:fldChar w:fldCharType="separate"/>
      </w:r>
      <w:r>
        <w:rPr>
          <w:rFonts w:cs="Times New Roman"/>
        </w:rPr>
        <w:t>Assemblée générale des Nations unies, « Rapport du Rapporteur spécial sur l’indépendance des juges et des avocats », Nations unies, 2013, (AGNU: 68ème session), paragr. 100.</w:t>
      </w:r>
      <w:r>
        <w:fldChar w:fldCharType="end"/>
      </w:r>
    </w:p>
  </w:endnote>
  <w:endnote w:id="45">
    <w:p w14:paraId="46D0504C"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{"citationID":"kaK8Cqxw","properties":{"custom":"Nations unies, \\uc0\\u171{}\\uc0\\u160{}Principes fondamentaux relatifs \\uc0\\u224{} l\\uc0\\u8217{}ind\\uc0\\u233{}pendance de la magistrature\\uc0\\u160{}\\uc0\\u187{}, 1985, principe 5. Assembl\\uc0\\u233{}e g\\uc0\\u233{}n\\uc0\\u233{}rale des Nations unies, \\uc0\\u171{}\\uc0\\u160{}Rapport du Rapporteur sp\\uc0\\u233{}cial sur l\\uc0\\u8217{}ind\\uc0\\u233{}pendance des juges et des avocats\\uc0\\u160{}\\uc0\\u187{}, Nations unies, 2013, paragr.\\uc0\\u160{}48.","formattedCitation":"Nations unies, \\uc0\\u171{}\\uc0\\u160{}Principes fondamentaux relatifs \\uc0\\u224{} l\\uc0\\u8217{}ind\\uc0\\u233{}pendance de la magistrature\\uc0\\u160{}\\uc0\\u187{}, 1985, principe 5. Assembl\\uc0\\u233{}e g\\uc0\\u233{}n\\uc0\\u233{}rale des Nations unies, \\uc0\\u171{}\\uc0\\u160{}Rapport du Rapporteur sp\\uc0\\u233{}cial sur l\\uc0\\u8217{}ind\\uc0\\u233{}pendance des juges et des avocats\\uc0\\u160{}\\uc0\\u187{}, Nations unies, 2013, paragr.\\uc0\\u160{}48.","plainCitation":"Nations unies, « Principes fondamentaux relatifs à l’indépendance de la magistrature », 1985, principe 5. Assemblée générale des Nations unies, « Rapport du Rapporteur spécial sur l’indépendance des juges et des avocats », Nations unies, 2013, paragr. 48.","noteIndex":24,"suppress-trailing-punctuation":false},"citationItems":[{"id":342,"uris":["http://zotero.org/users/2532968/items/DSVYJCQU"],"uri":["http://zotero.org/users/2532968/items/DSVYJCQU"],"itemData":{"id":342,"type":"standard","multi":{"main":{},"_keys":{}},"title":"Principes fondamentaux relatifs à l'indépendance de la magistrature","author":[{"literal":"Nations unies","multi":{"_key":{}}}],"issued":{"date-parts":[["1985"]]}},"label":"page","suffix":", principe 5"},{"id":328,"uris":["http://zotero.org/users/2532968/items/QLGWZDRR"],"uri":["http://zotero.org/users/2532968/items/QLGWZDRR"],"itemData":{"id":328,"type":"report","multi":{"main":{},"_keys":{}},"title":"Rapport du Rapporteur spécial sur l'indépendance des juges et des avocats","publisher":"United Nations","authority":"Nations unies","URL":"http://www.un.org/ga/search/view_doc.asp?symbol=A/68/285","number":"A/68/285","author":[{"literal":"Assemblée générale des Nations unies","multi":{"_key":{}}}],"issued":{"date-parts":[["2013",8,7]]}},"locator":"48","label":"paragraph"}],"schema":"https://github.com/citation-style-language/schema/raw/master/csl-citation.json"} </w:instrText>
      </w:r>
      <w:r>
        <w:fldChar w:fldCharType="separate"/>
      </w:r>
      <w:r>
        <w:rPr>
          <w:rFonts w:cs="Times New Roman"/>
        </w:rPr>
        <w:t>Nations unies, « Principes fondamentaux relatifs à l’indépendance de la magistrature », 1985, principe 5. Assemblée générale des Nations unies, « Rapport du Rapporteur spécial sur l’indépendance des juges et des avocats », Nations unies (AGNU: 68</w:t>
      </w:r>
      <w:r>
        <w:rPr>
          <w:rFonts w:cs="Times New Roman"/>
          <w:vertAlign w:val="superscript"/>
        </w:rPr>
        <w:t>ème</w:t>
      </w:r>
      <w:r>
        <w:rPr>
          <w:rFonts w:cs="Times New Roman"/>
        </w:rPr>
        <w:t xml:space="preserve"> session), 2013, paragr. 48.</w:t>
      </w:r>
      <w:r>
        <w:fldChar w:fldCharType="end"/>
      </w:r>
    </w:p>
  </w:endnote>
  <w:endnote w:id="46">
    <w:p w14:paraId="40A54D73"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{"citationID":"IPamkVzS","properties":{"formattedCitation":"R\\uc0\\u233{}publique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115.","plainCitation":"République démocratique du Congo, « Loi no. 023/2002 du 18 novembre 2002 portant Code judiciaire militaire (modifiée et complétée par la loi organique no. 17/003 du 10 mars 2017) », Journal officiel (numéro spécial), 18 novembre 2002, art. 115.","noteIndex":25,"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115"}],"schema":"https://github.com/citation-style-language/schema/raw/master/csl-citation.json"} </w:instrText>
      </w:r>
      <w:r>
        <w:fldChar w:fldCharType="separate"/>
      </w:r>
      <w:r>
        <w:rPr>
          <w:rFonts w:cs="Times New Roman"/>
        </w:rPr>
        <w:t xml:space="preserve">République démocratique du Congo, « Loi no. 023/2002 du 18 novembre 2002 portant Code judiciaire militaire (modifiée et complétée par la loi organique no. 17/003 du 10 mars 2017) », </w:t>
      </w:r>
      <w:r>
        <w:rPr>
          <w:rFonts w:cs="Times New Roman"/>
          <w:i/>
          <w:iCs/>
        </w:rPr>
        <w:t>Journal officiel</w:t>
      </w:r>
      <w:r>
        <w:rPr>
          <w:rFonts w:cs="Times New Roman"/>
        </w:rPr>
        <w:t xml:space="preserve"> (numéro spécial), 18 novembre 2002, art. 115.</w:t>
      </w:r>
      <w:r>
        <w:fldChar w:fldCharType="end"/>
      </w:r>
    </w:p>
  </w:endnote>
  <w:endnote w:id="47">
    <w:p w14:paraId="20990674"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{"citationID":"O1sXHSuT","properties":{"formattedCitation":"R\\uc0\\u233{}publique d\\uc0\\u233{}mocratique du Congo, \\uc0\\u171{}\\uc0\\u160{}Loi no. 023/2002 du 18 novembre 2002 portant Code judiciaire militaire (modifi\\uc0\\u233{}e et compl\\uc0\\u233{}t\\uc0\\u233{}e par la loi organique no. 17/003 du 10 mars 2017)\\uc0\\u160{}\\uc0\\u187{}, {\\i{}Journal officiel} (num\\uc0\\u233{}ro sp\\uc0\\u233{}cial), 18 novembre 2002, art. 115 et 119.","plainCitation":"République démocratique du Congo, « Loi no. 023/2002 du 18 novembre 2002 portant Code judiciaire militaire (modifiée et complétée par la loi organique no. 17/003 du 10 mars 2017) », Journal officiel (numéro spécial), 18 novembre 2002, art. 115 et 119.","noteIndex":26,"suppress-trailing-punctuation":false},"citationItems":[{"id":247,"uris":["http://zotero.org/users/2532968/items/GX7DZAUP"],"uri":["http://zotero.org/users/2532968/items/GX7DZAUP"],"itemData":{"id":247,"type":"legislation","multi":{"main":{},"_keys":{"jurisdiction":{"fr":"République démocratique du Congo"}}},"title":"Loi no. 023/2002 du 18 novembre 2002 portant Code judiciaire militaire (modifiée et complétée par la loi organique no. 17/003 du 10 mars 2017)","container-title":"Journal officiel","volume":"numéro spécial","number":"023/2002","jurisdiction":"cd","author":[{"literal":"République démocratique du Congo","multi":{"_key":{}}}],"issued":{"date-parts":[["2002",11,18]]}},"suffix":", art. 115 et 119"}],"schema":"https://github.com/citation-style-language/schema/raw/master/csl-citation.json"} </w:instrText>
      </w:r>
      <w:r>
        <w:fldChar w:fldCharType="separate"/>
      </w:r>
      <w:r>
        <w:rPr>
          <w:rFonts w:cs="Times New Roman"/>
        </w:rPr>
        <w:t xml:space="preserve">République démocratique du Congo, « Loi no. 023/2002 du 18 novembre 2002 portant Code judiciaire militaire (modifiée et complétée par la loi organique no. 17/003 du 10 mars 2017) », </w:t>
      </w:r>
      <w:r>
        <w:rPr>
          <w:rFonts w:cs="Times New Roman"/>
          <w:i/>
          <w:iCs/>
        </w:rPr>
        <w:t>Journal officiel</w:t>
      </w:r>
      <w:r>
        <w:rPr>
          <w:rFonts w:cs="Times New Roman"/>
        </w:rPr>
        <w:t xml:space="preserve"> (numéro spécial), 18 novembre 2002, art. 115 et 119.</w:t>
      </w:r>
      <w:r>
        <w:fldChar w:fldCharType="end"/>
      </w:r>
    </w:p>
  </w:endnote>
  <w:endnote w:id="48">
    <w:p w14:paraId="2999432B" w14:textId="77777777" w:rsidR="003F5CAD" w:rsidRDefault="00563BAC">
      <w:pPr>
        <w:pStyle w:val="Notedefin"/>
        <w:spacing w:after="60"/>
      </w:pPr>
      <w:r>
        <w:rPr>
          <w:rStyle w:val="Appeldenotedefin"/>
          <w:rFonts w:cs="Helvetica"/>
        </w:rPr>
        <w:endnoteRef/>
      </w:r>
      <w:r>
        <w:t xml:space="preserve"> Source anonyme ; communication au dossier ECPM.</w:t>
      </w:r>
    </w:p>
  </w:endnote>
  <w:endnote w:id="49">
    <w:p w14:paraId="77B296D8" w14:textId="77777777" w:rsidR="003F5CAD" w:rsidRDefault="00563BAC">
      <w:pPr>
        <w:pStyle w:val="Notedefin"/>
        <w:spacing w:after="60"/>
      </w:pPr>
      <w:r>
        <w:rPr>
          <w:rStyle w:val="Appeldenotedefin"/>
          <w:rFonts w:cs="Helvetica"/>
        </w:rPr>
        <w:endnoteRef/>
      </w:r>
      <w:r>
        <w:t xml:space="preserve"> </w:t>
      </w:r>
      <w:r>
        <w:fldChar w:fldCharType="begin"/>
      </w:r>
      <w:r>
        <w:instrText xml:space="preserve"> ADDIN ZOTERO_ITEM CSL_CITATION {"citationID":"mnuExBdm","properties":{"custom":"Assembl\\uc0\\u233{}e g\\uc0\\u233{}n\\uc0\\u233{}rale des Nations unies, \\uc0\\u171{}\\uc0\\u160{}Rapport du Rapporteur sp\\uc0\\u233{}cial sur l\\uc0\\u8217{}ind\\uc0\\u233{}pendance des juges et des avocats\\uc0\\u160{}\\uc0\\u187{}, Nations unies\n, 2013, sect.\\uc0\\u160{}D.","formattedCitation":"Assembl\\uc0\\u233{}e g\\uc0\\u233{}n\\uc0\\u233{}rale des Nations unies, \\uc0\\u171{}\\uc0\\u160{}Rapport du Rapporteur sp\\uc0\\u233{}cial sur l\\uc0\\u8217{}ind\\uc0\\u233{}pendance des juges et des avocats\\uc0\\u160{}\\uc0\\u187{}, Nations unies\n, 2013, sect.\\uc0\\u160{}D.","plainCitation":"Assemblée générale des Nations unies, « Rapport du Rapporteur spécial sur l’indépendance des juges et des avocats », Nations unies, 2013, sect. D.","noteIndex":28,"suppress-trailing-punctuation":false},"citationItems":[{"id":328,"uris":["http://zotero.org/users/2532968/items/QLGWZDRR"],"uri":["http://zotero.org/users/2532968/items/QLGWZDRR"],"itemData":{"id":328,"type":"report","multi":{"main":{},"_keys":{}},"title":"Rapport du Rapporteur spécial sur l'indépendance des juges et des avocats","publisher":"United Nations","authority":"Nations unies","URL":"http://www.un.org/ga/search/view_doc.asp?symbol=A/68/285","number":"A/68/285","author":[{"literal":"Assemblée générale des Nations unies","multi":{"_key":{}}}],"issued":{"date-parts":[["2013",8,7]]}},"locator":"D","label":"section"}],"schema":"https://github.com/citation-style-language/schema/raw/master/csl-citation.json"} </w:instrText>
      </w:r>
      <w:r>
        <w:fldChar w:fldCharType="separate"/>
      </w:r>
      <w:r>
        <w:rPr>
          <w:rFonts w:cs="Times New Roman"/>
        </w:rPr>
        <w:t>Assemblée générale des Nations unies, « Rapport du Rapporteur spécial sur l’indépendance des juges et des avocats », Nations unies (AGNU: 68ème session), 2013, sect. D.</w:t>
      </w:r>
      <w: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pton Light">
    <w:altName w:val="Calibri"/>
    <w:panose1 w:val="00000500000000000000"/>
    <w:charset w:val="00"/>
    <w:family w:val="moder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8DF9D" w14:textId="77777777" w:rsidR="003F5CAD" w:rsidRDefault="00563BAC">
    <w:pPr>
      <w:pStyle w:val="Pieddepage"/>
      <w:jc w:val="center"/>
    </w:pPr>
    <w:r>
      <w:fldChar w:fldCharType="begin"/>
    </w:r>
    <w:r>
      <w:instrText>PAGE   \* MERGEFORMAT</w:instrText>
    </w:r>
    <w:r>
      <w:fldChar w:fldCharType="separate"/>
    </w:r>
    <w:r w:rsidR="00F65502">
      <w:rPr>
        <w:noProof/>
      </w:rPr>
      <w:t>13</w:t>
    </w:r>
    <w:r>
      <w:fldChar w:fldCharType="end"/>
    </w:r>
  </w:p>
  <w:p w14:paraId="36C75D95" w14:textId="77777777" w:rsidR="003F5CAD" w:rsidRDefault="003F5CA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262B8" w14:textId="77777777" w:rsidR="00D1685A" w:rsidRDefault="00D1685A">
      <w:pPr>
        <w:spacing w:line="240" w:lineRule="auto"/>
      </w:pPr>
      <w:r>
        <w:separator/>
      </w:r>
    </w:p>
  </w:footnote>
  <w:footnote w:type="continuationSeparator" w:id="0">
    <w:p w14:paraId="43761F62" w14:textId="77777777" w:rsidR="00D1685A" w:rsidRDefault="00D168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F9320" w14:textId="77777777" w:rsidR="003F5CAD" w:rsidRDefault="003F5CA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29E6AE6"/>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2"/>
    <w:multiLevelType w:val="multilevel"/>
    <w:tmpl w:val="B324F816"/>
    <w:lvl w:ilvl="0">
      <w:start w:val="18"/>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05DAF64E"/>
    <w:lvl w:ilvl="0">
      <w:start w:val="1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4"/>
    <w:multiLevelType w:val="multilevel"/>
    <w:tmpl w:val="23B4243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96A48E5E"/>
    <w:lvl w:ilvl="0" w:tplc="6A76A45A">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5" w15:restartNumberingAfterBreak="0">
    <w:nsid w:val="00000006"/>
    <w:multiLevelType w:val="hybridMultilevel"/>
    <w:tmpl w:val="C0B42A9A"/>
    <w:lvl w:ilvl="0" w:tplc="B8D0B6EA">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6" w15:restartNumberingAfterBreak="0">
    <w:nsid w:val="4E123E3E"/>
    <w:multiLevelType w:val="singleLevel"/>
    <w:tmpl w:val="85047388"/>
    <w:lvl w:ilvl="0">
      <w:start w:val="1"/>
      <w:numFmt w:val="decimal"/>
      <w:lvlText w:val="%1."/>
      <w:lvlJc w:val="left"/>
      <w:pPr>
        <w:tabs>
          <w:tab w:val="left" w:pos="502"/>
        </w:tabs>
        <w:ind w:left="502" w:hanging="360"/>
      </w:pPr>
    </w:lvl>
  </w:abstractNum>
  <w:abstractNum w:abstractNumId="7" w15:restartNumberingAfterBreak="0">
    <w:nsid w:val="5F1E5565"/>
    <w:multiLevelType w:val="singleLevel"/>
    <w:tmpl w:val="85047388"/>
    <w:lvl w:ilvl="0">
      <w:start w:val="1"/>
      <w:numFmt w:val="decimal"/>
      <w:pStyle w:val="Listenumros"/>
      <w:lvlText w:val="%1."/>
      <w:lvlJc w:val="left"/>
      <w:pPr>
        <w:tabs>
          <w:tab w:val="left" w:pos="360"/>
        </w:tabs>
        <w:ind w:left="360" w:hanging="360"/>
      </w:pPr>
    </w:lvl>
  </w:abstractNum>
  <w:num w:numId="1" w16cid:durableId="1671450017">
    <w:abstractNumId w:val="7"/>
  </w:num>
  <w:num w:numId="2" w16cid:durableId="1306858246">
    <w:abstractNumId w:val="7"/>
    <w:lvlOverride w:ilvl="0">
      <w:startOverride w:val="1"/>
    </w:lvlOverride>
  </w:num>
  <w:num w:numId="3" w16cid:durableId="1788894064">
    <w:abstractNumId w:val="7"/>
  </w:num>
  <w:num w:numId="4" w16cid:durableId="16464445">
    <w:abstractNumId w:val="7"/>
  </w:num>
  <w:num w:numId="5" w16cid:durableId="961031995">
    <w:abstractNumId w:val="4"/>
  </w:num>
  <w:num w:numId="6" w16cid:durableId="2083481454">
    <w:abstractNumId w:val="7"/>
    <w:lvlOverride w:ilvl="0">
      <w:startOverride w:val="1"/>
    </w:lvlOverride>
  </w:num>
  <w:num w:numId="7" w16cid:durableId="2022774269">
    <w:abstractNumId w:val="7"/>
    <w:lvlOverride w:ilvl="0">
      <w:startOverride w:val="1"/>
    </w:lvlOverride>
  </w:num>
  <w:num w:numId="8" w16cid:durableId="1260061043">
    <w:abstractNumId w:val="7"/>
    <w:lvlOverride w:ilvl="0">
      <w:startOverride w:val="1"/>
    </w:lvlOverride>
  </w:num>
  <w:num w:numId="9" w16cid:durableId="1218469065">
    <w:abstractNumId w:val="7"/>
    <w:lvlOverride w:ilvl="0">
      <w:startOverride w:val="1"/>
    </w:lvlOverride>
  </w:num>
  <w:num w:numId="10" w16cid:durableId="356545900">
    <w:abstractNumId w:val="7"/>
    <w:lvlOverride w:ilvl="0">
      <w:startOverride w:val="1"/>
    </w:lvlOverride>
  </w:num>
  <w:num w:numId="11" w16cid:durableId="325256166">
    <w:abstractNumId w:val="7"/>
    <w:lvlOverride w:ilvl="0">
      <w:startOverride w:val="1"/>
    </w:lvlOverride>
  </w:num>
  <w:num w:numId="12" w16cid:durableId="1383745820">
    <w:abstractNumId w:val="7"/>
    <w:lvlOverride w:ilvl="0">
      <w:startOverride w:val="1"/>
    </w:lvlOverride>
  </w:num>
  <w:num w:numId="13" w16cid:durableId="616791860">
    <w:abstractNumId w:val="5"/>
  </w:num>
  <w:num w:numId="14" w16cid:durableId="88670658">
    <w:abstractNumId w:val="7"/>
  </w:num>
  <w:num w:numId="15" w16cid:durableId="1334458508">
    <w:abstractNumId w:val="7"/>
  </w:num>
  <w:num w:numId="16" w16cid:durableId="466243848">
    <w:abstractNumId w:val="7"/>
  </w:num>
  <w:num w:numId="17" w16cid:durableId="16662219">
    <w:abstractNumId w:val="7"/>
  </w:num>
  <w:num w:numId="18" w16cid:durableId="2095278609">
    <w:abstractNumId w:val="3"/>
  </w:num>
  <w:num w:numId="19" w16cid:durableId="1118716692">
    <w:abstractNumId w:val="0"/>
  </w:num>
  <w:num w:numId="20" w16cid:durableId="1956327471">
    <w:abstractNumId w:val="2"/>
  </w:num>
  <w:num w:numId="21" w16cid:durableId="1890997280">
    <w:abstractNumId w:val="1"/>
  </w:num>
  <w:num w:numId="22" w16cid:durableId="79910509">
    <w:abstractNumId w:val="6"/>
  </w:num>
  <w:num w:numId="23" w16cid:durableId="1339894411">
    <w:abstractNumId w:val="7"/>
  </w:num>
  <w:num w:numId="24" w16cid:durableId="5290731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CAD"/>
    <w:rsid w:val="00050B2C"/>
    <w:rsid w:val="001B1951"/>
    <w:rsid w:val="003F5CAD"/>
    <w:rsid w:val="00424425"/>
    <w:rsid w:val="00452B21"/>
    <w:rsid w:val="00563BAC"/>
    <w:rsid w:val="00570B6E"/>
    <w:rsid w:val="005C4427"/>
    <w:rsid w:val="005E39F5"/>
    <w:rsid w:val="006C4087"/>
    <w:rsid w:val="006F4908"/>
    <w:rsid w:val="00725A2D"/>
    <w:rsid w:val="00761187"/>
    <w:rsid w:val="00766CBC"/>
    <w:rsid w:val="008A4749"/>
    <w:rsid w:val="009231F6"/>
    <w:rsid w:val="00941889"/>
    <w:rsid w:val="009418B2"/>
    <w:rsid w:val="00990092"/>
    <w:rsid w:val="00A273E2"/>
    <w:rsid w:val="00A67E8C"/>
    <w:rsid w:val="00AA5511"/>
    <w:rsid w:val="00B219B8"/>
    <w:rsid w:val="00B27AFF"/>
    <w:rsid w:val="00C70916"/>
    <w:rsid w:val="00CA1C64"/>
    <w:rsid w:val="00D1685A"/>
    <w:rsid w:val="00D659F4"/>
    <w:rsid w:val="00D84D3F"/>
    <w:rsid w:val="00DB4186"/>
    <w:rsid w:val="00DF3099"/>
    <w:rsid w:val="00E4212E"/>
    <w:rsid w:val="00E56BFB"/>
    <w:rsid w:val="00EC7D5C"/>
    <w:rsid w:val="00F5619C"/>
    <w:rsid w:val="00F65502"/>
    <w:rsid w:val="00F83807"/>
    <w:rsid w:val="00FA207D"/>
    <w:rsid w:val="00FC05F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E859"/>
  <w15:docId w15:val="{F7ABDBCF-42E5-4E76-BFAF-B79137210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qFormat/>
    <w:rsid w:val="006C4087"/>
    <w:pPr>
      <w:spacing w:after="0" w:line="276" w:lineRule="auto"/>
      <w:jc w:val="both"/>
    </w:pPr>
    <w:rPr>
      <w:kern w:val="0"/>
      <w14:ligatures w14:val="none"/>
    </w:rPr>
  </w:style>
  <w:style w:type="paragraph" w:styleId="Titre1">
    <w:name w:val="heading 1"/>
    <w:basedOn w:val="Normal"/>
    <w:next w:val="Normal"/>
    <w:link w:val="Titre1Car"/>
    <w:uiPriority w:val="9"/>
    <w:qFormat/>
    <w:pPr>
      <w:keepNext/>
      <w:keepLines/>
      <w:spacing w:before="360" w:after="80"/>
      <w:outlineLvl w:val="0"/>
    </w:pPr>
    <w:rPr>
      <w:rFonts w:ascii="Calibri Light" w:eastAsia="SimSun" w:hAnsi="Calibri Light" w:cs="Times New Roman"/>
      <w:color w:val="2E74B5"/>
      <w:sz w:val="40"/>
      <w:szCs w:val="40"/>
    </w:rPr>
  </w:style>
  <w:style w:type="paragraph" w:styleId="Titre2">
    <w:name w:val="heading 2"/>
    <w:basedOn w:val="Normal"/>
    <w:next w:val="Normal"/>
    <w:link w:val="Titre2Car"/>
    <w:uiPriority w:val="9"/>
    <w:qFormat/>
    <w:pPr>
      <w:keepNext/>
      <w:keepLines/>
      <w:spacing w:before="160" w:after="80"/>
      <w:outlineLvl w:val="1"/>
    </w:pPr>
    <w:rPr>
      <w:rFonts w:ascii="Calibri Light" w:eastAsia="SimSun" w:hAnsi="Calibri Light" w:cs="Times New Roman"/>
      <w:color w:val="2E74B5"/>
      <w:sz w:val="32"/>
      <w:szCs w:val="32"/>
    </w:rPr>
  </w:style>
  <w:style w:type="paragraph" w:styleId="Titre3">
    <w:name w:val="heading 3"/>
    <w:basedOn w:val="Normal"/>
    <w:next w:val="Normal"/>
    <w:link w:val="Titre3Car"/>
    <w:uiPriority w:val="9"/>
    <w:qFormat/>
    <w:pPr>
      <w:keepNext/>
      <w:keepLines/>
      <w:spacing w:before="160" w:after="80"/>
      <w:outlineLvl w:val="2"/>
    </w:pPr>
    <w:rPr>
      <w:rFonts w:eastAsia="SimSun" w:cs="Times New Roman"/>
      <w:color w:val="2E74B5"/>
      <w:sz w:val="28"/>
      <w:szCs w:val="28"/>
    </w:rPr>
  </w:style>
  <w:style w:type="paragraph" w:styleId="Titre4">
    <w:name w:val="heading 4"/>
    <w:basedOn w:val="Normal"/>
    <w:next w:val="Normal"/>
    <w:link w:val="Titre4Car"/>
    <w:uiPriority w:val="9"/>
    <w:qFormat/>
    <w:pPr>
      <w:keepNext/>
      <w:keepLines/>
      <w:spacing w:before="80" w:after="40"/>
      <w:outlineLvl w:val="3"/>
    </w:pPr>
    <w:rPr>
      <w:rFonts w:eastAsia="SimSun" w:cs="Times New Roman"/>
      <w:i/>
      <w:iCs/>
      <w:color w:val="2E74B5"/>
    </w:rPr>
  </w:style>
  <w:style w:type="paragraph" w:styleId="Titre5">
    <w:name w:val="heading 5"/>
    <w:basedOn w:val="Normal"/>
    <w:next w:val="Normal"/>
    <w:link w:val="Titre5Car"/>
    <w:uiPriority w:val="9"/>
    <w:qFormat/>
    <w:pPr>
      <w:keepNext/>
      <w:keepLines/>
      <w:spacing w:before="80" w:after="40"/>
      <w:outlineLvl w:val="4"/>
    </w:pPr>
    <w:rPr>
      <w:rFonts w:eastAsia="SimSun" w:cs="Times New Roman"/>
      <w:color w:val="2E74B5"/>
    </w:rPr>
  </w:style>
  <w:style w:type="paragraph" w:styleId="Titre6">
    <w:name w:val="heading 6"/>
    <w:basedOn w:val="Normal"/>
    <w:next w:val="Normal"/>
    <w:link w:val="Titre6Car"/>
    <w:uiPriority w:val="9"/>
    <w:qFormat/>
    <w:pPr>
      <w:keepNext/>
      <w:keepLines/>
      <w:spacing w:before="40"/>
      <w:outlineLvl w:val="5"/>
    </w:pPr>
    <w:rPr>
      <w:rFonts w:eastAsia="SimSun" w:cs="Times New Roman"/>
      <w:i/>
      <w:iCs/>
      <w:color w:val="595959"/>
    </w:rPr>
  </w:style>
  <w:style w:type="paragraph" w:styleId="Titre7">
    <w:name w:val="heading 7"/>
    <w:basedOn w:val="Normal"/>
    <w:next w:val="Normal"/>
    <w:link w:val="Titre7Car"/>
    <w:uiPriority w:val="9"/>
    <w:qFormat/>
    <w:pPr>
      <w:keepNext/>
      <w:keepLines/>
      <w:spacing w:before="40"/>
      <w:outlineLvl w:val="6"/>
    </w:pPr>
    <w:rPr>
      <w:rFonts w:eastAsia="SimSun" w:cs="Times New Roman"/>
      <w:color w:val="595959"/>
    </w:rPr>
  </w:style>
  <w:style w:type="paragraph" w:styleId="Titre8">
    <w:name w:val="heading 8"/>
    <w:basedOn w:val="Normal"/>
    <w:next w:val="Normal"/>
    <w:link w:val="Titre8Car"/>
    <w:uiPriority w:val="9"/>
    <w:qFormat/>
    <w:pPr>
      <w:keepNext/>
      <w:keepLines/>
      <w:outlineLvl w:val="7"/>
    </w:pPr>
    <w:rPr>
      <w:rFonts w:eastAsia="SimSun" w:cs="Times New Roman"/>
      <w:i/>
      <w:iCs/>
      <w:color w:val="272727"/>
    </w:rPr>
  </w:style>
  <w:style w:type="paragraph" w:styleId="Titre9">
    <w:name w:val="heading 9"/>
    <w:basedOn w:val="Normal"/>
    <w:next w:val="Normal"/>
    <w:link w:val="Titre9Car"/>
    <w:uiPriority w:val="9"/>
    <w:qFormat/>
    <w:pPr>
      <w:keepNext/>
      <w:keepLines/>
      <w:outlineLvl w:val="8"/>
    </w:pPr>
    <w:rPr>
      <w:rFonts w:eastAsia="SimSun" w:cs="Times New Roman"/>
      <w:color w:val="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Calibri Light" w:eastAsia="SimSun" w:hAnsi="Calibri Light" w:cs="Times New Roman"/>
      <w:color w:val="2E74B5"/>
      <w:sz w:val="40"/>
      <w:szCs w:val="40"/>
    </w:rPr>
  </w:style>
  <w:style w:type="character" w:customStyle="1" w:styleId="Titre2Car">
    <w:name w:val="Titre 2 Car"/>
    <w:basedOn w:val="Policepardfaut"/>
    <w:link w:val="Titre2"/>
    <w:uiPriority w:val="9"/>
    <w:rPr>
      <w:rFonts w:ascii="Calibri Light" w:eastAsia="SimSun" w:hAnsi="Calibri Light" w:cs="Times New Roman"/>
      <w:color w:val="2E74B5"/>
      <w:sz w:val="32"/>
      <w:szCs w:val="32"/>
    </w:rPr>
  </w:style>
  <w:style w:type="character" w:customStyle="1" w:styleId="Titre3Car">
    <w:name w:val="Titre 3 Car"/>
    <w:basedOn w:val="Policepardfaut"/>
    <w:link w:val="Titre3"/>
    <w:uiPriority w:val="9"/>
    <w:rPr>
      <w:rFonts w:eastAsia="SimSun" w:cs="Times New Roman"/>
      <w:color w:val="2E74B5"/>
      <w:sz w:val="28"/>
      <w:szCs w:val="28"/>
    </w:rPr>
  </w:style>
  <w:style w:type="character" w:customStyle="1" w:styleId="Titre4Car">
    <w:name w:val="Titre 4 Car"/>
    <w:basedOn w:val="Policepardfaut"/>
    <w:link w:val="Titre4"/>
    <w:uiPriority w:val="9"/>
    <w:rPr>
      <w:rFonts w:eastAsia="SimSun" w:cs="Times New Roman"/>
      <w:i/>
      <w:iCs/>
      <w:color w:val="2E74B5"/>
    </w:rPr>
  </w:style>
  <w:style w:type="character" w:customStyle="1" w:styleId="Titre5Car">
    <w:name w:val="Titre 5 Car"/>
    <w:basedOn w:val="Policepardfaut"/>
    <w:link w:val="Titre5"/>
    <w:uiPriority w:val="9"/>
    <w:rPr>
      <w:rFonts w:eastAsia="SimSun" w:cs="Times New Roman"/>
      <w:color w:val="2E74B5"/>
    </w:rPr>
  </w:style>
  <w:style w:type="character" w:customStyle="1" w:styleId="Titre6Car">
    <w:name w:val="Titre 6 Car"/>
    <w:basedOn w:val="Policepardfaut"/>
    <w:link w:val="Titre6"/>
    <w:uiPriority w:val="9"/>
    <w:rPr>
      <w:rFonts w:eastAsia="SimSun" w:cs="Times New Roman"/>
      <w:i/>
      <w:iCs/>
      <w:color w:val="595959"/>
    </w:rPr>
  </w:style>
  <w:style w:type="character" w:customStyle="1" w:styleId="Titre7Car">
    <w:name w:val="Titre 7 Car"/>
    <w:basedOn w:val="Policepardfaut"/>
    <w:link w:val="Titre7"/>
    <w:uiPriority w:val="9"/>
    <w:rPr>
      <w:rFonts w:eastAsia="SimSun" w:cs="Times New Roman"/>
      <w:color w:val="595959"/>
    </w:rPr>
  </w:style>
  <w:style w:type="character" w:customStyle="1" w:styleId="Titre8Car">
    <w:name w:val="Titre 8 Car"/>
    <w:basedOn w:val="Policepardfaut"/>
    <w:link w:val="Titre8"/>
    <w:uiPriority w:val="9"/>
    <w:rPr>
      <w:rFonts w:eastAsia="SimSun" w:cs="Times New Roman"/>
      <w:i/>
      <w:iCs/>
      <w:color w:val="272727"/>
    </w:rPr>
  </w:style>
  <w:style w:type="character" w:customStyle="1" w:styleId="Titre9Car">
    <w:name w:val="Titre 9 Car"/>
    <w:basedOn w:val="Policepardfaut"/>
    <w:link w:val="Titre9"/>
    <w:uiPriority w:val="9"/>
    <w:rPr>
      <w:rFonts w:eastAsia="SimSun" w:cs="Times New Roman"/>
      <w:color w:val="272727"/>
    </w:rPr>
  </w:style>
  <w:style w:type="paragraph" w:styleId="Titre">
    <w:name w:val="Title"/>
    <w:basedOn w:val="Normal"/>
    <w:next w:val="Normal"/>
    <w:link w:val="TitreCar"/>
    <w:uiPriority w:val="10"/>
    <w:qFormat/>
    <w:pPr>
      <w:spacing w:after="80" w:line="240" w:lineRule="auto"/>
      <w:contextualSpacing/>
    </w:pPr>
    <w:rPr>
      <w:rFonts w:ascii="Calibri Light" w:eastAsia="SimSun" w:hAnsi="Calibri Light" w:cs="Times New Roman"/>
      <w:spacing w:val="-10"/>
      <w:kern w:val="28"/>
      <w:sz w:val="56"/>
      <w:szCs w:val="56"/>
    </w:rPr>
  </w:style>
  <w:style w:type="character" w:customStyle="1" w:styleId="TitreCar">
    <w:name w:val="Titre Car"/>
    <w:basedOn w:val="Policepardfaut"/>
    <w:link w:val="Titre"/>
    <w:uiPriority w:val="10"/>
    <w:rPr>
      <w:rFonts w:ascii="Calibri Light" w:eastAsia="SimSun" w:hAnsi="Calibri Light" w:cs="Times New Roman"/>
      <w:spacing w:val="-10"/>
      <w:kern w:val="28"/>
      <w:sz w:val="56"/>
      <w:szCs w:val="56"/>
    </w:rPr>
  </w:style>
  <w:style w:type="paragraph" w:styleId="Sous-titre">
    <w:name w:val="Subtitle"/>
    <w:basedOn w:val="Normal"/>
    <w:next w:val="Normal"/>
    <w:link w:val="Sous-titreCar"/>
    <w:uiPriority w:val="11"/>
    <w:qFormat/>
    <w:pPr>
      <w:numPr>
        <w:ilvl w:val="1"/>
      </w:numPr>
    </w:pPr>
    <w:rPr>
      <w:rFonts w:eastAsia="SimSun" w:cs="Times New Roman"/>
      <w:color w:val="595959"/>
      <w:spacing w:val="15"/>
      <w:sz w:val="28"/>
      <w:szCs w:val="28"/>
    </w:rPr>
  </w:style>
  <w:style w:type="character" w:customStyle="1" w:styleId="Sous-titreCar">
    <w:name w:val="Sous-titre Car"/>
    <w:basedOn w:val="Policepardfaut"/>
    <w:link w:val="Sous-titre"/>
    <w:uiPriority w:val="11"/>
    <w:rPr>
      <w:rFonts w:eastAsia="SimSun" w:cs="Times New Roman"/>
      <w:color w:val="595959"/>
      <w:spacing w:val="15"/>
      <w:sz w:val="28"/>
      <w:szCs w:val="28"/>
    </w:rPr>
  </w:style>
  <w:style w:type="paragraph" w:styleId="Citation">
    <w:name w:val="Quote"/>
    <w:basedOn w:val="Normal"/>
    <w:next w:val="Normal"/>
    <w:link w:val="CitationCar"/>
    <w:uiPriority w:val="29"/>
    <w:qFormat/>
    <w:pPr>
      <w:spacing w:before="160"/>
      <w:jc w:val="center"/>
    </w:pPr>
    <w:rPr>
      <w:i/>
      <w:iCs/>
      <w:color w:val="404040"/>
    </w:rPr>
  </w:style>
  <w:style w:type="character" w:customStyle="1" w:styleId="CitationCar">
    <w:name w:val="Citation Car"/>
    <w:basedOn w:val="Policepardfaut"/>
    <w:link w:val="Citation"/>
    <w:uiPriority w:val="29"/>
    <w:rPr>
      <w:i/>
      <w:iCs/>
      <w:color w:val="404040"/>
    </w:rPr>
  </w:style>
  <w:style w:type="paragraph" w:styleId="Paragraphedeliste">
    <w:name w:val="List Paragraph"/>
    <w:basedOn w:val="Normal"/>
    <w:uiPriority w:val="34"/>
    <w:qFormat/>
    <w:pPr>
      <w:ind w:left="720"/>
      <w:contextualSpacing/>
    </w:pPr>
  </w:style>
  <w:style w:type="character" w:styleId="Accentuationintense">
    <w:name w:val="Intense Emphasis"/>
    <w:basedOn w:val="Policepardfaut"/>
    <w:uiPriority w:val="21"/>
    <w:qFormat/>
    <w:rPr>
      <w:i/>
      <w:iCs/>
      <w:color w:val="2E74B5"/>
    </w:rPr>
  </w:style>
  <w:style w:type="paragraph" w:styleId="Citationintense">
    <w:name w:val="Intense Quote"/>
    <w:basedOn w:val="Normal"/>
    <w:next w:val="Normal"/>
    <w:link w:val="CitationintenseCar"/>
    <w:uiPriority w:val="30"/>
    <w:qFormat/>
    <w:pPr>
      <w:pBdr>
        <w:top w:val="single" w:sz="4" w:space="10" w:color="2E74B5"/>
        <w:bottom w:val="single" w:sz="4" w:space="10" w:color="2E74B5"/>
      </w:pBdr>
      <w:spacing w:before="360" w:after="360"/>
      <w:ind w:left="864" w:right="864"/>
      <w:jc w:val="center"/>
    </w:pPr>
    <w:rPr>
      <w:i/>
      <w:iCs/>
      <w:color w:val="2E74B5"/>
    </w:rPr>
  </w:style>
  <w:style w:type="character" w:customStyle="1" w:styleId="CitationintenseCar">
    <w:name w:val="Citation intense Car"/>
    <w:basedOn w:val="Policepardfaut"/>
    <w:link w:val="Citationintense"/>
    <w:uiPriority w:val="30"/>
    <w:rPr>
      <w:i/>
      <w:iCs/>
      <w:color w:val="2E74B5"/>
    </w:rPr>
  </w:style>
  <w:style w:type="character" w:styleId="Rfrenceintense">
    <w:name w:val="Intense Reference"/>
    <w:basedOn w:val="Policepardfaut"/>
    <w:uiPriority w:val="32"/>
    <w:qFormat/>
    <w:rPr>
      <w:b/>
      <w:bCs/>
      <w:smallCaps/>
      <w:color w:val="2E74B5"/>
      <w:spacing w:val="5"/>
    </w:rPr>
  </w:style>
  <w:style w:type="paragraph" w:styleId="Listenumros">
    <w:name w:val="List Number"/>
    <w:basedOn w:val="Normal"/>
    <w:uiPriority w:val="13"/>
    <w:pPr>
      <w:numPr>
        <w:numId w:val="1"/>
      </w:numPr>
      <w:tabs>
        <w:tab w:val="left" w:pos="1134"/>
      </w:tabs>
      <w:spacing w:after="60" w:line="240" w:lineRule="auto"/>
    </w:pPr>
  </w:style>
  <w:style w:type="paragraph" w:styleId="Notedefin">
    <w:name w:val="endnote text"/>
    <w:basedOn w:val="Normal"/>
    <w:link w:val="NotedefinCar"/>
    <w:uiPriority w:val="99"/>
    <w:pPr>
      <w:spacing w:line="240" w:lineRule="auto"/>
    </w:pPr>
    <w:rPr>
      <w:sz w:val="20"/>
      <w:szCs w:val="20"/>
    </w:rPr>
  </w:style>
  <w:style w:type="character" w:customStyle="1" w:styleId="NotedefinCar">
    <w:name w:val="Note de fin Car"/>
    <w:basedOn w:val="Policepardfaut"/>
    <w:link w:val="Notedefin"/>
    <w:uiPriority w:val="99"/>
    <w:rPr>
      <w:rFonts w:ascii="Calibri" w:hAnsi="Calibri"/>
      <w:kern w:val="0"/>
      <w:sz w:val="20"/>
      <w:szCs w:val="20"/>
      <w14:ligatures w14:val="none"/>
    </w:rPr>
  </w:style>
  <w:style w:type="character" w:styleId="Appeldenotedefin">
    <w:name w:val="endnote reference"/>
    <w:basedOn w:val="Policepardfaut"/>
    <w:uiPriority w:val="99"/>
    <w:rPr>
      <w:rFonts w:cs="Times New Roman"/>
      <w:vertAlign w:val="superscript"/>
    </w:rPr>
  </w:style>
  <w:style w:type="character" w:styleId="Lienhypertexte">
    <w:name w:val="Hyperlink"/>
    <w:basedOn w:val="Policepardfaut"/>
    <w:uiPriority w:val="99"/>
    <w:rPr>
      <w:color w:val="0563C1"/>
      <w:u w:val="single"/>
    </w:rPr>
  </w:style>
  <w:style w:type="character" w:customStyle="1" w:styleId="Mentionnonrsolue1">
    <w:name w:val="Mention non résolue1"/>
    <w:basedOn w:val="Policepardfaut"/>
    <w:uiPriority w:val="99"/>
    <w:rPr>
      <w:color w:val="605E5C"/>
      <w:shd w:val="clear" w:color="auto" w:fill="E1DFDD"/>
    </w:rPr>
  </w:style>
  <w:style w:type="character" w:styleId="Marquedecommentaire">
    <w:name w:val="annotation reference"/>
    <w:basedOn w:val="Policepardfaut"/>
    <w:uiPriority w:val="99"/>
    <w:rPr>
      <w:sz w:val="16"/>
      <w:szCs w:val="16"/>
    </w:rPr>
  </w:style>
  <w:style w:type="paragraph" w:styleId="Commentaire">
    <w:name w:val="annotation text"/>
    <w:basedOn w:val="Normal"/>
    <w:link w:val="CommentaireCar"/>
    <w:uiPriority w:val="99"/>
    <w:pPr>
      <w:spacing w:line="240" w:lineRule="auto"/>
    </w:pPr>
    <w:rPr>
      <w:sz w:val="20"/>
      <w:szCs w:val="20"/>
    </w:rPr>
  </w:style>
  <w:style w:type="character" w:customStyle="1" w:styleId="CommentaireCar">
    <w:name w:val="Commentaire Car"/>
    <w:basedOn w:val="Policepardfaut"/>
    <w:link w:val="Commentaire"/>
    <w:uiPriority w:val="99"/>
    <w:rPr>
      <w:rFonts w:ascii="Calibri" w:hAnsi="Calibri"/>
      <w:kern w:val="0"/>
      <w:sz w:val="20"/>
      <w:szCs w:val="20"/>
      <w14:ligatures w14:val="none"/>
    </w:rPr>
  </w:style>
  <w:style w:type="paragraph" w:styleId="Objetducommentaire">
    <w:name w:val="annotation subject"/>
    <w:basedOn w:val="Commentaire"/>
    <w:next w:val="Commentaire"/>
    <w:link w:val="ObjetducommentaireCar"/>
    <w:uiPriority w:val="99"/>
    <w:rPr>
      <w:b/>
      <w:bCs/>
    </w:rPr>
  </w:style>
  <w:style w:type="character" w:customStyle="1" w:styleId="ObjetducommentaireCar">
    <w:name w:val="Objet du commentaire Car"/>
    <w:basedOn w:val="CommentaireCar"/>
    <w:link w:val="Objetducommentaire"/>
    <w:uiPriority w:val="99"/>
    <w:rPr>
      <w:rFonts w:ascii="Calibri" w:hAnsi="Calibri"/>
      <w:b/>
      <w:bCs/>
      <w:kern w:val="0"/>
      <w:sz w:val="20"/>
      <w:szCs w:val="20"/>
      <w14:ligatures w14:val="none"/>
    </w:rPr>
  </w:style>
  <w:style w:type="paragraph" w:customStyle="1" w:styleId="Pa1">
    <w:name w:val="Pa1"/>
    <w:basedOn w:val="Normal"/>
    <w:next w:val="Normal"/>
    <w:uiPriority w:val="99"/>
    <w:pPr>
      <w:autoSpaceDE w:val="0"/>
      <w:autoSpaceDN w:val="0"/>
      <w:adjustRightInd w:val="0"/>
      <w:spacing w:line="191" w:lineRule="atLeast"/>
      <w:jc w:val="left"/>
    </w:pPr>
    <w:rPr>
      <w:rFonts w:ascii="Campton Light" w:hAnsi="Campton Light"/>
      <w:sz w:val="24"/>
      <w:szCs w:val="24"/>
    </w:rPr>
  </w:style>
  <w:style w:type="paragraph" w:customStyle="1" w:styleId="Pa24">
    <w:name w:val="Pa24"/>
    <w:basedOn w:val="Normal"/>
    <w:next w:val="Normal"/>
    <w:uiPriority w:val="99"/>
    <w:pPr>
      <w:autoSpaceDE w:val="0"/>
      <w:autoSpaceDN w:val="0"/>
      <w:adjustRightInd w:val="0"/>
      <w:spacing w:line="191" w:lineRule="atLeast"/>
      <w:jc w:val="left"/>
    </w:pPr>
    <w:rPr>
      <w:rFonts w:ascii="Campton Light" w:hAnsi="Campton Light"/>
      <w:sz w:val="24"/>
      <w:szCs w:val="24"/>
    </w:rPr>
  </w:style>
  <w:style w:type="paragraph" w:styleId="Textedebulles">
    <w:name w:val="Balloon Text"/>
    <w:basedOn w:val="Normal"/>
    <w:link w:val="TextedebullesCar"/>
    <w:uiPriority w:val="9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kern w:val="0"/>
      <w:sz w:val="16"/>
      <w:szCs w:val="16"/>
      <w14:ligatures w14:val="none"/>
    </w:rPr>
  </w:style>
  <w:style w:type="paragraph" w:styleId="NormalWeb">
    <w:name w:val="Normal (Web)"/>
    <w:basedOn w:val="Normal"/>
    <w:uiPriority w:val="99"/>
    <w:rPr>
      <w:rFonts w:ascii="Times New Roman" w:hAnsi="Times New Roman" w:cs="Times New Roman"/>
      <w:sz w:val="24"/>
      <w:szCs w:val="24"/>
    </w:rPr>
  </w:style>
  <w:style w:type="paragraph" w:styleId="Rvision">
    <w:name w:val="Revision"/>
    <w:uiPriority w:val="99"/>
    <w:pPr>
      <w:spacing w:after="0" w:line="240" w:lineRule="auto"/>
    </w:pPr>
    <w:rPr>
      <w:kern w:val="0"/>
      <w14:ligatures w14:val="none"/>
    </w:rPr>
  </w:style>
  <w:style w:type="paragraph" w:styleId="En-tte">
    <w:name w:val="header"/>
    <w:basedOn w:val="Normal"/>
    <w:link w:val="En-tteCar"/>
    <w:uiPriority w:val="99"/>
    <w:pPr>
      <w:tabs>
        <w:tab w:val="center" w:pos="4536"/>
        <w:tab w:val="right" w:pos="9072"/>
      </w:tabs>
      <w:spacing w:line="240" w:lineRule="auto"/>
    </w:pPr>
  </w:style>
  <w:style w:type="character" w:customStyle="1" w:styleId="En-tteCar">
    <w:name w:val="En-tête Car"/>
    <w:basedOn w:val="Policepardfaut"/>
    <w:link w:val="En-tte"/>
    <w:uiPriority w:val="99"/>
    <w:rPr>
      <w:rFonts w:ascii="Calibri" w:hAnsi="Calibri"/>
      <w:kern w:val="0"/>
      <w14:ligatures w14:val="none"/>
    </w:rPr>
  </w:style>
  <w:style w:type="paragraph" w:styleId="Pieddepage">
    <w:name w:val="footer"/>
    <w:basedOn w:val="Normal"/>
    <w:link w:val="PieddepageCar"/>
    <w:uiPriority w:val="99"/>
    <w:pPr>
      <w:tabs>
        <w:tab w:val="center" w:pos="4536"/>
        <w:tab w:val="right" w:pos="9072"/>
      </w:tabs>
      <w:spacing w:line="240" w:lineRule="auto"/>
    </w:pPr>
  </w:style>
  <w:style w:type="character" w:customStyle="1" w:styleId="PieddepageCar">
    <w:name w:val="Pied de page Car"/>
    <w:basedOn w:val="Policepardfaut"/>
    <w:link w:val="Pieddepage"/>
    <w:uiPriority w:val="99"/>
    <w:rPr>
      <w:rFonts w:ascii="Calibri" w:hAnsi="Calibri"/>
      <w:kern w:val="0"/>
      <w14:ligatures w14:val="none"/>
    </w:rPr>
  </w:style>
  <w:style w:type="paragraph" w:styleId="En-ttedetabledesmatires">
    <w:name w:val="TOC Heading"/>
    <w:basedOn w:val="Titre1"/>
    <w:next w:val="Normal"/>
    <w:uiPriority w:val="39"/>
    <w:qFormat/>
    <w:pPr>
      <w:spacing w:before="240" w:after="0" w:line="259" w:lineRule="auto"/>
      <w:jc w:val="left"/>
      <w:outlineLvl w:val="9"/>
    </w:pPr>
    <w:rPr>
      <w:sz w:val="32"/>
      <w:szCs w:val="32"/>
      <w:lang w:eastAsia="fr-FR"/>
    </w:rPr>
  </w:style>
  <w:style w:type="paragraph" w:styleId="TM1">
    <w:name w:val="toc 1"/>
    <w:basedOn w:val="Normal"/>
    <w:next w:val="Normal"/>
    <w:uiPriority w:val="39"/>
    <w:pPr>
      <w:spacing w:after="100"/>
    </w:pPr>
  </w:style>
  <w:style w:type="paragraph" w:styleId="TM2">
    <w:name w:val="toc 2"/>
    <w:basedOn w:val="Normal"/>
    <w:next w:val="Normal"/>
    <w:uiPriority w:val="39"/>
    <w:pPr>
      <w:spacing w:after="100"/>
      <w:ind w:left="220"/>
    </w:pPr>
  </w:style>
  <w:style w:type="paragraph" w:styleId="TM3">
    <w:name w:val="toc 3"/>
    <w:basedOn w:val="Normal"/>
    <w:next w:val="Normal"/>
    <w:uiPriority w:val="39"/>
    <w:pPr>
      <w:spacing w:after="100"/>
      <w:ind w:left="440"/>
    </w:pPr>
  </w:style>
  <w:style w:type="character" w:customStyle="1" w:styleId="Mentionnonrsolue2">
    <w:name w:val="Mention non résolue2"/>
    <w:basedOn w:val="Policepardfaut"/>
    <w:uiPriority w:val="99"/>
    <w:rPr>
      <w:color w:val="605E5C"/>
      <w:shd w:val="clear" w:color="auto" w:fill="E1DFDD"/>
    </w:rPr>
  </w:style>
  <w:style w:type="character" w:styleId="Lienhypertextesuivivisit">
    <w:name w:val="FollowedHyperlink"/>
    <w:basedOn w:val="Policepardfaut"/>
    <w:uiPriority w:val="99"/>
    <w:rPr>
      <w:color w:val="954F72"/>
      <w:u w:val="single"/>
    </w:rPr>
  </w:style>
  <w:style w:type="character" w:styleId="Mentionnonrsolue">
    <w:name w:val="Unresolved Mention"/>
    <w:basedOn w:val="Policepardfaut"/>
    <w:uiPriority w:val="99"/>
    <w:semiHidden/>
    <w:unhideWhenUsed/>
    <w:rsid w:val="00A67E8C"/>
    <w:rPr>
      <w:color w:val="605E5C"/>
      <w:shd w:val="clear" w:color="auto" w:fill="E1DFDD"/>
    </w:rPr>
  </w:style>
  <w:style w:type="paragraph" w:styleId="Notedebasdepage">
    <w:name w:val="footnote text"/>
    <w:basedOn w:val="Normal"/>
    <w:link w:val="NotedebasdepageCar"/>
    <w:uiPriority w:val="99"/>
    <w:semiHidden/>
    <w:unhideWhenUsed/>
    <w:rsid w:val="00D84D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D84D3F"/>
    <w:rPr>
      <w:kern w:val="0"/>
      <w:sz w:val="20"/>
      <w:szCs w:val="20"/>
      <w14:ligatures w14:val="none"/>
    </w:rPr>
  </w:style>
  <w:style w:type="character" w:styleId="Appelnotedebasdep">
    <w:name w:val="footnote reference"/>
    <w:basedOn w:val="Policepardfaut"/>
    <w:uiPriority w:val="99"/>
    <w:semiHidden/>
    <w:unhideWhenUsed/>
    <w:rsid w:val="00D84D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pj1asbl@gmail.com" TargetMode="External"/><Relationship Id="rId13" Type="http://schemas.openxmlformats.org/officeDocument/2006/relationships/hyperlink" Target="mailto:mszwarcberg@worldcoalition.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perez@ecpm.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ascos238@gmail.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catrdc2013@gmail.com" TargetMode="External"/><Relationship Id="rId4" Type="http://schemas.openxmlformats.org/officeDocument/2006/relationships/settings" Target="settings.xml"/><Relationship Id="rId9" Type="http://schemas.openxmlformats.org/officeDocument/2006/relationships/hyperlink" Target="mailto:ccpmrdcongo@gmail.com" TargetMode="External"/><Relationship Id="rId14" Type="http://schemas.openxmlformats.org/officeDocument/2006/relationships/hyperlink" Target="mailto:e.swiderski@fiacat.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ecpm.org/app/uploads/2022/08/mission-enquete-RDC-FR-2019-041219-WEB.pdf" TargetMode="External"/><Relationship Id="rId3" Type="http://schemas.openxmlformats.org/officeDocument/2006/relationships/hyperlink" Target="https://www.lemonde.fr/afrique/article/2024/08/09/en-rdc-le-proces-du-m23-se-veut-une-lecon-pour-tous-ceux-qui-decident-de-trahir-la-republique_6274563_3212.html" TargetMode="External"/><Relationship Id="rId7" Type="http://schemas.openxmlformats.org/officeDocument/2006/relationships/hyperlink" Target="https://www.radiookapi.net/2025/03/16/actualite/justice/le-depute-ngondankoy-denonce-la-presence-des-ministres-aux-proces" TargetMode="External"/><Relationship Id="rId2" Type="http://schemas.openxmlformats.org/officeDocument/2006/relationships/hyperlink" Target="https://www.ecpm.org/app/uploads/2022/08/mission-enquete-RDC-FR-2019-041219-WEB.pdf" TargetMode="External"/><Relationship Id="rId1" Type="http://schemas.openxmlformats.org/officeDocument/2006/relationships/hyperlink" Target="https://www.ecpm.org/app/uploads/2023/10/Infographie-RDC-peine-de-mort-2023.pdf" TargetMode="External"/><Relationship Id="rId6" Type="http://schemas.openxmlformats.org/officeDocument/2006/relationships/hyperlink" Target="https://www.radiookapi.net/2025/03/24/actualite/justice/constant-mutamba-retourne-kinshasa-avec-64-condamnes-apres-sa-mission" TargetMode="External"/><Relationship Id="rId5" Type="http://schemas.openxmlformats.org/officeDocument/2006/relationships/hyperlink" Target="https://www.radiookapi.net/2025/03/22/actualite/justice/proces-kuluna-boma-long-fcdhd-releve-des-irregularites" TargetMode="External"/><Relationship Id="rId10" Type="http://schemas.openxmlformats.org/officeDocument/2006/relationships/hyperlink" Target="https://www.ecpm.org/app/uploads/2022/08/mission-enquete-RDC-FR-2019-041219-WEB.pdf" TargetMode="External"/><Relationship Id="rId4" Type="http://schemas.openxmlformats.org/officeDocument/2006/relationships/hyperlink" Target="https://www.radiookapi.net/2025/03/22/actualite/justice/proces-kuluna-boma-long-fcdhd-releve-des-irregularites?utm_source=chatgpt.com" TargetMode="External"/><Relationship Id="rId9" Type="http://schemas.openxmlformats.org/officeDocument/2006/relationships/hyperlink" Target="https://www.rfi.fr/fr/afrique/20240401-rdc-kinshasa-ne-s-attaque-pas-aux-raisons-de-la-surpopulation-carc%C3%A9rale-selon-la-soci%C3%A9t%C3%A9-civ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63DA5-3AEF-493A-8711-1A348D4E8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14</Pages>
  <Words>5418</Words>
  <Characters>29803</Characters>
  <Application>Microsoft Office Word</Application>
  <DocSecurity>0</DocSecurity>
  <Lines>248</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ecpm_AfriqueAsie</dc:creator>
  <cp:lastModifiedBy>Anna Dubarle</cp:lastModifiedBy>
  <cp:revision>15</cp:revision>
  <dcterms:created xsi:type="dcterms:W3CDTF">2025-11-03T13:53:00Z</dcterms:created>
  <dcterms:modified xsi:type="dcterms:W3CDTF">2026-01-05T13:28:00Z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352d55a33eaa49899f1a8a8ae5acc5fa</vt:lpwstr>
  </property>
</Properties>
</file>