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769C" w:rsidRDefault="0017769C">
      <w:pPr>
        <w:keepNext/>
        <w:keepLines/>
        <w:pBdr>
          <w:top w:val="nil"/>
          <w:left w:val="nil"/>
          <w:bottom w:val="nil"/>
          <w:right w:val="nil"/>
          <w:between w:val="nil"/>
        </w:pBdr>
        <w:spacing w:before="0" w:after="0" w:line="240" w:lineRule="auto"/>
        <w:ind w:left="432" w:hanging="432"/>
        <w:jc w:val="center"/>
        <w:rPr>
          <w:b/>
          <w:sz w:val="32"/>
          <w:szCs w:val="32"/>
        </w:rPr>
      </w:pPr>
    </w:p>
    <w:p w:rsidR="0017769C" w:rsidRDefault="0017769C">
      <w:pPr>
        <w:spacing w:before="0" w:after="0" w:line="276" w:lineRule="auto"/>
        <w:rPr>
          <w:b/>
          <w:sz w:val="28"/>
          <w:szCs w:val="28"/>
        </w:rPr>
      </w:pPr>
    </w:p>
    <w:p w:rsidR="0017769C" w:rsidRDefault="00704530">
      <w:pPr>
        <w:spacing w:before="0" w:after="0" w:line="276" w:lineRule="auto"/>
        <w:jc w:val="center"/>
        <w:rPr>
          <w:b/>
          <w:sz w:val="28"/>
          <w:szCs w:val="28"/>
        </w:rPr>
      </w:pPr>
      <w:r>
        <w:rPr>
          <w:b/>
          <w:sz w:val="28"/>
          <w:szCs w:val="28"/>
        </w:rPr>
        <w:t>INFORME ALTERNATIVO SOBRE EL CUMPLIMIENTO DEL PACTO INTERNACIONAL DE DERECHOS ECONÓMICOS SOCIALES Y CULTURALES</w:t>
      </w:r>
    </w:p>
    <w:p w:rsidR="0017769C" w:rsidRDefault="0017769C">
      <w:pPr>
        <w:spacing w:before="0" w:after="0" w:line="276" w:lineRule="auto"/>
        <w:jc w:val="center"/>
        <w:rPr>
          <w:b/>
          <w:sz w:val="28"/>
          <w:szCs w:val="28"/>
        </w:rPr>
      </w:pPr>
    </w:p>
    <w:p w:rsidR="0017769C" w:rsidRDefault="0017769C">
      <w:pPr>
        <w:spacing w:before="0" w:after="0" w:line="276" w:lineRule="auto"/>
        <w:jc w:val="center"/>
        <w:rPr>
          <w:b/>
          <w:sz w:val="28"/>
          <w:szCs w:val="28"/>
        </w:rPr>
      </w:pPr>
    </w:p>
    <w:p w:rsidR="0017769C" w:rsidRDefault="00704530">
      <w:pPr>
        <w:spacing w:before="0" w:after="0" w:line="276" w:lineRule="auto"/>
        <w:jc w:val="center"/>
        <w:rPr>
          <w:b/>
          <w:sz w:val="28"/>
          <w:szCs w:val="28"/>
        </w:rPr>
      </w:pPr>
      <w:r>
        <w:rPr>
          <w:b/>
          <w:sz w:val="28"/>
          <w:szCs w:val="28"/>
        </w:rPr>
        <w:t>EVALUACIÓN DEL ESTADO ECUATORIANO EN EL PERIODO No. 66 DE SESIONES DEL COMITÉ DE DERECHOS ECONÓMICOS SOCIALES Y CULTURALES</w:t>
      </w:r>
    </w:p>
    <w:p w:rsidR="0017769C" w:rsidRDefault="0017769C">
      <w:pPr>
        <w:spacing w:before="0" w:after="0" w:line="276" w:lineRule="auto"/>
        <w:jc w:val="center"/>
        <w:rPr>
          <w:b/>
          <w:sz w:val="28"/>
          <w:szCs w:val="28"/>
        </w:rPr>
      </w:pPr>
    </w:p>
    <w:p w:rsidR="0017769C" w:rsidRDefault="0017769C">
      <w:pPr>
        <w:spacing w:before="0" w:after="0" w:line="276" w:lineRule="auto"/>
        <w:jc w:val="center"/>
        <w:rPr>
          <w:b/>
          <w:sz w:val="28"/>
          <w:szCs w:val="28"/>
        </w:rPr>
      </w:pPr>
    </w:p>
    <w:p w:rsidR="0017769C" w:rsidRDefault="0017769C">
      <w:pPr>
        <w:spacing w:before="0" w:after="0" w:line="276" w:lineRule="auto"/>
        <w:jc w:val="center"/>
        <w:rPr>
          <w:b/>
          <w:sz w:val="28"/>
          <w:szCs w:val="28"/>
        </w:rPr>
      </w:pPr>
    </w:p>
    <w:p w:rsidR="0017769C" w:rsidRDefault="00704530">
      <w:pPr>
        <w:spacing w:before="0" w:after="0" w:line="276" w:lineRule="auto"/>
        <w:jc w:val="center"/>
        <w:rPr>
          <w:b/>
          <w:sz w:val="28"/>
          <w:szCs w:val="28"/>
        </w:rPr>
      </w:pPr>
      <w:r>
        <w:rPr>
          <w:b/>
          <w:sz w:val="28"/>
          <w:szCs w:val="28"/>
        </w:rPr>
        <w:t xml:space="preserve">TÍTULO: </w:t>
      </w:r>
    </w:p>
    <w:p w:rsidR="0017769C" w:rsidRDefault="0017769C">
      <w:pPr>
        <w:spacing w:before="0" w:after="0" w:line="276" w:lineRule="auto"/>
        <w:jc w:val="center"/>
        <w:rPr>
          <w:b/>
          <w:sz w:val="28"/>
          <w:szCs w:val="28"/>
        </w:rPr>
      </w:pPr>
    </w:p>
    <w:p w:rsidR="0017769C" w:rsidRDefault="00704530">
      <w:pPr>
        <w:spacing w:before="0" w:after="0" w:line="276" w:lineRule="auto"/>
        <w:jc w:val="center"/>
        <w:rPr>
          <w:b/>
          <w:sz w:val="28"/>
          <w:szCs w:val="28"/>
        </w:rPr>
      </w:pPr>
      <w:r>
        <w:rPr>
          <w:b/>
          <w:sz w:val="28"/>
          <w:szCs w:val="28"/>
        </w:rPr>
        <w:t>RESPONSABILIDAD ESTATAL RESPECTO DE LA EXISTENCIA DE CASOS DE FORMAS CONTEMPORÁNEAS DE ESCLAVITUD MODERNA EN ECUADOR: CASO FURUKAWA</w:t>
      </w:r>
    </w:p>
    <w:p w:rsidR="0017769C" w:rsidRDefault="0017769C">
      <w:pPr>
        <w:spacing w:before="0" w:after="0" w:line="276" w:lineRule="auto"/>
        <w:jc w:val="center"/>
        <w:rPr>
          <w:b/>
          <w:sz w:val="32"/>
          <w:szCs w:val="32"/>
        </w:rPr>
      </w:pPr>
    </w:p>
    <w:p w:rsidR="0017769C" w:rsidRDefault="0017769C">
      <w:pPr>
        <w:spacing w:before="0" w:after="0" w:line="276" w:lineRule="auto"/>
        <w:jc w:val="center"/>
        <w:rPr>
          <w:b/>
          <w:sz w:val="32"/>
          <w:szCs w:val="32"/>
        </w:rPr>
      </w:pPr>
    </w:p>
    <w:p w:rsidR="0017769C" w:rsidRDefault="00704530">
      <w:pPr>
        <w:spacing w:before="0" w:after="0" w:line="276" w:lineRule="auto"/>
        <w:jc w:val="center"/>
        <w:rPr>
          <w:b/>
          <w:sz w:val="32"/>
          <w:szCs w:val="32"/>
        </w:rPr>
      </w:pPr>
      <w:r>
        <w:rPr>
          <w:b/>
          <w:sz w:val="32"/>
          <w:szCs w:val="32"/>
        </w:rPr>
        <w:t>ECUADOR</w:t>
      </w:r>
    </w:p>
    <w:p w:rsidR="0017769C" w:rsidRDefault="0017769C">
      <w:pPr>
        <w:spacing w:before="0" w:after="0" w:line="276" w:lineRule="auto"/>
        <w:jc w:val="center"/>
        <w:rPr>
          <w:b/>
          <w:sz w:val="32"/>
          <w:szCs w:val="32"/>
        </w:rPr>
      </w:pPr>
    </w:p>
    <w:p w:rsidR="0017769C" w:rsidRDefault="0017769C">
      <w:pPr>
        <w:spacing w:before="0" w:after="0" w:line="276" w:lineRule="auto"/>
        <w:jc w:val="center"/>
        <w:rPr>
          <w:b/>
          <w:sz w:val="32"/>
          <w:szCs w:val="32"/>
        </w:rPr>
      </w:pPr>
    </w:p>
    <w:p w:rsidR="0017769C" w:rsidRDefault="00704530">
      <w:pPr>
        <w:spacing w:before="0" w:after="0" w:line="276" w:lineRule="auto"/>
        <w:jc w:val="center"/>
        <w:rPr>
          <w:b/>
          <w:sz w:val="32"/>
          <w:szCs w:val="32"/>
        </w:rPr>
      </w:pPr>
      <w:r>
        <w:rPr>
          <w:b/>
          <w:sz w:val="32"/>
          <w:szCs w:val="32"/>
        </w:rPr>
        <w:t>2019</w:t>
      </w: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jc w:val="center"/>
        <w:rPr>
          <w:b/>
        </w:rPr>
      </w:pPr>
    </w:p>
    <w:p w:rsidR="0017769C" w:rsidRDefault="0017769C">
      <w:pPr>
        <w:spacing w:before="0" w:after="0" w:line="276" w:lineRule="auto"/>
        <w:rPr>
          <w:b/>
        </w:rPr>
      </w:pPr>
    </w:p>
    <w:p w:rsidR="0017769C" w:rsidRDefault="00704530">
      <w:pPr>
        <w:spacing w:before="0" w:after="0" w:line="276" w:lineRule="auto"/>
        <w:jc w:val="center"/>
        <w:rPr>
          <w:b/>
        </w:rPr>
      </w:pPr>
      <w:r>
        <w:rPr>
          <w:noProof/>
        </w:rPr>
        <w:lastRenderedPageBreak/>
        <w:drawing>
          <wp:inline distT="0" distB="0" distL="0" distR="0">
            <wp:extent cx="1924050" cy="952500"/>
            <wp:effectExtent l="0" t="0" r="0" b="0"/>
            <wp:docPr id="3" name="image3.gif" descr="CDES"/>
            <wp:cNvGraphicFramePr/>
            <a:graphic xmlns:a="http://schemas.openxmlformats.org/drawingml/2006/main">
              <a:graphicData uri="http://schemas.openxmlformats.org/drawingml/2006/picture">
                <pic:pic xmlns:pic="http://schemas.openxmlformats.org/drawingml/2006/picture">
                  <pic:nvPicPr>
                    <pic:cNvPr id="0" name="image3.gif" descr="CDES"/>
                    <pic:cNvPicPr preferRelativeResize="0"/>
                  </pic:nvPicPr>
                  <pic:blipFill>
                    <a:blip r:embed="rId8"/>
                    <a:srcRect/>
                    <a:stretch>
                      <a:fillRect/>
                    </a:stretch>
                  </pic:blipFill>
                  <pic:spPr>
                    <a:xfrm>
                      <a:off x="0" y="0"/>
                      <a:ext cx="1924050" cy="952500"/>
                    </a:xfrm>
                    <a:prstGeom prst="rect">
                      <a:avLst/>
                    </a:prstGeom>
                    <a:ln/>
                  </pic:spPr>
                </pic:pic>
              </a:graphicData>
            </a:graphic>
          </wp:inline>
        </w:drawing>
      </w:r>
    </w:p>
    <w:p w:rsidR="0017769C" w:rsidRDefault="00704530">
      <w:pPr>
        <w:spacing w:before="0" w:after="0" w:line="276" w:lineRule="auto"/>
        <w:jc w:val="center"/>
        <w:rPr>
          <w:b/>
        </w:rPr>
      </w:pPr>
      <w:r>
        <w:rPr>
          <w:b/>
          <w:i/>
        </w:rPr>
        <w:t>Centro de Derechos Económicos y Sociales (CDES)</w:t>
      </w:r>
      <w:r>
        <w:rPr>
          <w:b/>
        </w:rPr>
        <w:t xml:space="preserve">, - </w:t>
      </w:r>
      <w:hyperlink r:id="rId9">
        <w:r>
          <w:t>www.cdes.org.ec</w:t>
        </w:r>
      </w:hyperlink>
      <w:r>
        <w:t xml:space="preserve"> </w:t>
      </w:r>
    </w:p>
    <w:p w:rsidR="0017769C" w:rsidRDefault="00704530">
      <w:pPr>
        <w:spacing w:before="0" w:after="0" w:line="276" w:lineRule="auto"/>
        <w:jc w:val="center"/>
        <w:rPr>
          <w:color w:val="0000FF"/>
          <w:u w:val="single"/>
        </w:rPr>
      </w:pPr>
      <w:r>
        <w:t xml:space="preserve">Correo electrónico: </w:t>
      </w:r>
      <w:hyperlink r:id="rId10">
        <w:r>
          <w:rPr>
            <w:color w:val="0000FF"/>
            <w:u w:val="single"/>
          </w:rPr>
          <w:t>cdes@cdes.org.ec</w:t>
        </w:r>
      </w:hyperlink>
    </w:p>
    <w:p w:rsidR="0017769C" w:rsidRDefault="00704530">
      <w:pPr>
        <w:spacing w:before="0" w:after="0" w:line="276" w:lineRule="auto"/>
        <w:jc w:val="center"/>
      </w:pPr>
      <w:r>
        <w:t>Dirección: Isla Isabela N44-476 y 6 de diciembre, Quito, Ecuador</w:t>
      </w:r>
    </w:p>
    <w:p w:rsidR="0017769C" w:rsidRDefault="00704530">
      <w:pPr>
        <w:spacing w:before="0" w:after="0" w:line="276" w:lineRule="auto"/>
        <w:jc w:val="center"/>
      </w:pPr>
      <w:r>
        <w:t>Teléfono: +593 9998 83427</w:t>
      </w:r>
    </w:p>
    <w:p w:rsidR="0017769C" w:rsidRDefault="0017769C">
      <w:pPr>
        <w:spacing w:before="0" w:after="0" w:line="276" w:lineRule="auto"/>
        <w:rPr>
          <w:b/>
        </w:rPr>
      </w:pPr>
    </w:p>
    <w:p w:rsidR="0017769C" w:rsidRDefault="00704530">
      <w:pPr>
        <w:spacing w:before="0" w:after="0" w:line="276" w:lineRule="auto"/>
        <w:jc w:val="center"/>
        <w:rPr>
          <w:b/>
        </w:rPr>
      </w:pPr>
      <w:r>
        <w:rPr>
          <w:b/>
          <w:noProof/>
        </w:rPr>
        <w:drawing>
          <wp:inline distT="114300" distB="114300" distL="114300" distR="114300">
            <wp:extent cx="1924050" cy="11437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924050" cy="1143790"/>
                    </a:xfrm>
                    <a:prstGeom prst="rect">
                      <a:avLst/>
                    </a:prstGeom>
                    <a:ln/>
                  </pic:spPr>
                </pic:pic>
              </a:graphicData>
            </a:graphic>
          </wp:inline>
        </w:drawing>
      </w:r>
    </w:p>
    <w:p w:rsidR="0017769C" w:rsidRDefault="0017769C">
      <w:pPr>
        <w:spacing w:before="0" w:after="0" w:line="276" w:lineRule="auto"/>
        <w:jc w:val="center"/>
      </w:pPr>
    </w:p>
    <w:p w:rsidR="0017769C" w:rsidRDefault="00704530">
      <w:pPr>
        <w:spacing w:before="0" w:after="0" w:line="276" w:lineRule="auto"/>
        <w:jc w:val="center"/>
      </w:pPr>
      <w:r>
        <w:rPr>
          <w:b/>
          <w:i/>
        </w:rPr>
        <w:t xml:space="preserve">Comisión Ecuménica de Derechos Humanos (CEDHU).- </w:t>
      </w:r>
      <w:r>
        <w:t>www.cedhu.org</w:t>
      </w:r>
    </w:p>
    <w:p w:rsidR="0017769C" w:rsidRDefault="00704530">
      <w:pPr>
        <w:spacing w:before="0" w:after="0" w:line="276" w:lineRule="auto"/>
        <w:jc w:val="center"/>
      </w:pPr>
      <w:r>
        <w:t>Correo electrónico: cedhu@cedhu.org</w:t>
      </w:r>
    </w:p>
    <w:p w:rsidR="0017769C" w:rsidRDefault="00704530">
      <w:pPr>
        <w:spacing w:before="0" w:after="0" w:line="276" w:lineRule="auto"/>
        <w:jc w:val="center"/>
      </w:pPr>
      <w:r>
        <w:t>Dirección:Calle Carlos Ibarra 176 y 10 de Agosto, Ed. Yuraj Pirca, Piso Nº 9, Quito-Ecuador.</w:t>
      </w:r>
    </w:p>
    <w:p w:rsidR="0017769C" w:rsidRDefault="00704530">
      <w:pPr>
        <w:spacing w:before="0" w:after="0" w:line="276" w:lineRule="auto"/>
        <w:jc w:val="center"/>
      </w:pPr>
      <w:r>
        <w:t>Teléfonos: +593 02 257 0619 +593 02 258 0825</w:t>
      </w:r>
    </w:p>
    <w:p w:rsidR="0017769C" w:rsidRDefault="0017769C">
      <w:pPr>
        <w:spacing w:before="0" w:after="0" w:line="276" w:lineRule="auto"/>
        <w:jc w:val="center"/>
      </w:pPr>
    </w:p>
    <w:p w:rsidR="0017769C" w:rsidRDefault="00704530">
      <w:pPr>
        <w:spacing w:before="0" w:after="0" w:line="276" w:lineRule="auto"/>
        <w:jc w:val="center"/>
        <w:rPr>
          <w:b/>
        </w:rPr>
      </w:pPr>
      <w:r>
        <w:rPr>
          <w:noProof/>
        </w:rPr>
        <w:drawing>
          <wp:inline distT="114300" distB="114300" distL="114300" distR="114300">
            <wp:extent cx="2876550" cy="202197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2876550" cy="2021978"/>
                    </a:xfrm>
                    <a:prstGeom prst="rect">
                      <a:avLst/>
                    </a:prstGeom>
                    <a:ln/>
                  </pic:spPr>
                </pic:pic>
              </a:graphicData>
            </a:graphic>
          </wp:inline>
        </w:drawing>
      </w:r>
    </w:p>
    <w:p w:rsidR="0017769C" w:rsidRDefault="00704530">
      <w:pPr>
        <w:spacing w:before="0" w:after="0" w:line="276" w:lineRule="auto"/>
        <w:jc w:val="center"/>
        <w:rPr>
          <w:b/>
          <w:i/>
        </w:rPr>
      </w:pPr>
      <w:r>
        <w:rPr>
          <w:b/>
          <w:i/>
        </w:rPr>
        <w:t xml:space="preserve">Coordinadora  Nacional  Campesina Eloy Alfaro (CNC)- </w:t>
      </w:r>
      <w:hyperlink r:id="rId13">
        <w:r>
          <w:rPr>
            <w:b/>
            <w:i/>
            <w:color w:val="1155CC"/>
            <w:u w:val="single"/>
          </w:rPr>
          <w:t>https://viacampesina.org/es/coordinadora-nacional-campesina-eloy-alfaro-cnc/</w:t>
        </w:r>
      </w:hyperlink>
    </w:p>
    <w:p w:rsidR="0017769C" w:rsidRDefault="00704530">
      <w:pPr>
        <w:spacing w:before="0" w:after="0" w:line="276" w:lineRule="auto"/>
        <w:jc w:val="center"/>
      </w:pPr>
      <w:r>
        <w:t xml:space="preserve">Correo electrónico: </w:t>
      </w:r>
      <w:hyperlink r:id="rId14">
        <w:r>
          <w:rPr>
            <w:color w:val="1155CC"/>
            <w:u w:val="single"/>
          </w:rPr>
          <w:t>coordinadoracampesina@gmail.com</w:t>
        </w:r>
      </w:hyperlink>
    </w:p>
    <w:p w:rsidR="0017769C" w:rsidRDefault="00704530">
      <w:pPr>
        <w:spacing w:before="0" w:after="0" w:line="276" w:lineRule="auto"/>
        <w:jc w:val="center"/>
      </w:pPr>
      <w:r>
        <w:t xml:space="preserve">Dirección: Mosquera </w:t>
      </w:r>
      <w:r w:rsidR="00AB7F73">
        <w:t>Narváez</w:t>
      </w:r>
      <w:bookmarkStart w:id="0" w:name="_GoBack"/>
      <w:bookmarkEnd w:id="0"/>
      <w:r>
        <w:t xml:space="preserve"> Oe-257 y Versalles (2,07 km)</w:t>
      </w:r>
    </w:p>
    <w:p w:rsidR="0017769C" w:rsidRDefault="00704530">
      <w:pPr>
        <w:spacing w:before="0" w:after="0" w:line="276" w:lineRule="auto"/>
        <w:jc w:val="center"/>
      </w:pPr>
      <w:r>
        <w:t>EC170150 Quito</w:t>
      </w:r>
    </w:p>
    <w:p w:rsidR="0017769C" w:rsidRDefault="00704530">
      <w:pPr>
        <w:spacing w:before="0" w:after="0" w:line="276" w:lineRule="auto"/>
        <w:jc w:val="center"/>
      </w:pPr>
      <w:r>
        <w:t>Teléfono: +593-2-229443</w:t>
      </w:r>
    </w:p>
    <w:p w:rsidR="0017769C" w:rsidRDefault="0017769C">
      <w:pPr>
        <w:spacing w:before="0" w:after="0" w:line="276" w:lineRule="auto"/>
        <w:jc w:val="center"/>
      </w:pPr>
    </w:p>
    <w:p w:rsidR="0017769C" w:rsidRDefault="0017769C">
      <w:pPr>
        <w:spacing w:before="0" w:after="0" w:line="276" w:lineRule="auto"/>
        <w:jc w:val="center"/>
        <w:rPr>
          <w:b/>
        </w:rPr>
      </w:pPr>
    </w:p>
    <w:p w:rsidR="00AA4CE1" w:rsidRDefault="00AA4CE1">
      <w:pPr>
        <w:spacing w:before="0" w:after="0" w:line="276" w:lineRule="auto"/>
        <w:jc w:val="center"/>
        <w:rPr>
          <w:b/>
        </w:rPr>
      </w:pPr>
    </w:p>
    <w:p w:rsidR="00AA4CE1" w:rsidRDefault="00AA4CE1">
      <w:pPr>
        <w:spacing w:before="0" w:after="0" w:line="276" w:lineRule="auto"/>
        <w:jc w:val="center"/>
        <w:rPr>
          <w:b/>
        </w:rPr>
      </w:pPr>
    </w:p>
    <w:p w:rsidR="00AA4CE1" w:rsidRDefault="00AA4CE1">
      <w:pPr>
        <w:spacing w:before="0" w:after="0" w:line="276" w:lineRule="auto"/>
        <w:jc w:val="center"/>
        <w:rPr>
          <w:b/>
        </w:rPr>
      </w:pPr>
    </w:p>
    <w:p w:rsidR="0017769C" w:rsidRDefault="00704530">
      <w:pPr>
        <w:spacing w:before="0" w:after="0" w:line="276" w:lineRule="auto"/>
        <w:jc w:val="center"/>
        <w:rPr>
          <w:b/>
        </w:rPr>
      </w:pPr>
      <w:r>
        <w:rPr>
          <w:b/>
        </w:rPr>
        <w:lastRenderedPageBreak/>
        <w:t>Presentación de organizaciones que suscriben el informe:</w:t>
      </w:r>
    </w:p>
    <w:p w:rsidR="0017769C" w:rsidRDefault="0017769C">
      <w:pPr>
        <w:spacing w:before="0" w:after="0" w:line="276" w:lineRule="auto"/>
        <w:jc w:val="center"/>
        <w:rPr>
          <w:b/>
        </w:rPr>
      </w:pPr>
    </w:p>
    <w:p w:rsidR="0017769C" w:rsidRDefault="00704530">
      <w:pPr>
        <w:tabs>
          <w:tab w:val="left" w:pos="0"/>
        </w:tabs>
        <w:spacing w:before="0" w:after="200" w:line="276" w:lineRule="auto"/>
        <w:jc w:val="both"/>
      </w:pPr>
      <w:r>
        <w:t>El</w:t>
      </w:r>
      <w:r>
        <w:rPr>
          <w:i/>
        </w:rPr>
        <w:t xml:space="preserve"> </w:t>
      </w:r>
      <w:r>
        <w:rPr>
          <w:b/>
          <w:i/>
        </w:rPr>
        <w:t>Centro de Derechos Económicos y Sociales (CDES)</w:t>
      </w:r>
      <w:r>
        <w:t xml:space="preserve">, es una organización no gubernamental sin fines de lucro, constituida en 1997, que tiene por objetivo de promocionar y defender los derechos humanos, principalmente respecto a las condiciones materiales necesarias para alcanzar una vida en dignidad y libertad. </w:t>
      </w:r>
      <w:r>
        <w:rPr>
          <w:i/>
        </w:rPr>
        <w:t xml:space="preserve"> L</w:t>
      </w:r>
      <w:r>
        <w:rPr>
          <w:b/>
          <w:i/>
        </w:rPr>
        <w:t>a Comisión Ecuménica de Derechos Humanos (CEDHU)</w:t>
      </w:r>
      <w:r>
        <w:t xml:space="preserve">, es una organización de la sociedad civil dedicada a la promoción de la justicia social sobre la base del respeto y goce de los derechos humanos y el empoderamiento de los sectores desprotegidos en Ecuador. La </w:t>
      </w:r>
      <w:r>
        <w:rPr>
          <w:b/>
          <w:i/>
        </w:rPr>
        <w:t xml:space="preserve">Coordinadora Nacional  Campesina Eloy Alfaro (CNC), </w:t>
      </w:r>
      <w:r>
        <w:t>organización campesina indígena afrodescendiente y montubia, que lucha y defiende la soberanía alimentaria y de los pueblos por una sociedad más justa e igual.</w:t>
      </w:r>
    </w:p>
    <w:p w:rsidR="0017769C" w:rsidRDefault="0017769C">
      <w:pPr>
        <w:keepNext/>
        <w:keepLines/>
        <w:pBdr>
          <w:top w:val="nil"/>
          <w:left w:val="nil"/>
          <w:bottom w:val="nil"/>
          <w:right w:val="nil"/>
          <w:between w:val="nil"/>
        </w:pBdr>
        <w:spacing w:before="0" w:after="0" w:line="240" w:lineRule="auto"/>
        <w:ind w:left="432" w:hanging="432"/>
        <w:jc w:val="center"/>
        <w:rPr>
          <w:b/>
          <w:sz w:val="32"/>
          <w:szCs w:val="32"/>
        </w:rPr>
      </w:pPr>
    </w:p>
    <w:p w:rsidR="0017769C" w:rsidRDefault="0017769C">
      <w:pPr>
        <w:keepNext/>
        <w:keepLines/>
        <w:pBdr>
          <w:top w:val="nil"/>
          <w:left w:val="nil"/>
          <w:bottom w:val="nil"/>
          <w:right w:val="nil"/>
          <w:between w:val="nil"/>
        </w:pBdr>
        <w:spacing w:before="0" w:after="0" w:line="240" w:lineRule="auto"/>
        <w:ind w:left="432" w:hanging="432"/>
        <w:jc w:val="center"/>
        <w:rPr>
          <w:b/>
          <w:sz w:val="32"/>
          <w:szCs w:val="32"/>
        </w:rPr>
      </w:pPr>
    </w:p>
    <w:p w:rsidR="0017769C" w:rsidRDefault="0017769C">
      <w:pPr>
        <w:keepNext/>
        <w:keepLines/>
        <w:pBdr>
          <w:top w:val="nil"/>
          <w:left w:val="nil"/>
          <w:bottom w:val="nil"/>
          <w:right w:val="nil"/>
          <w:between w:val="nil"/>
        </w:pBdr>
        <w:spacing w:before="0" w:after="0" w:line="240" w:lineRule="auto"/>
        <w:ind w:left="432" w:hanging="432"/>
        <w:jc w:val="center"/>
        <w:rPr>
          <w:b/>
          <w:sz w:val="32"/>
          <w:szCs w:val="32"/>
        </w:rPr>
      </w:pPr>
    </w:p>
    <w:p w:rsidR="0017769C" w:rsidRDefault="0017769C">
      <w:pPr>
        <w:keepNext/>
        <w:keepLines/>
        <w:pBdr>
          <w:top w:val="nil"/>
          <w:left w:val="nil"/>
          <w:bottom w:val="nil"/>
          <w:right w:val="nil"/>
          <w:between w:val="nil"/>
        </w:pBdr>
        <w:spacing w:before="0" w:after="0" w:line="240" w:lineRule="auto"/>
        <w:ind w:left="432" w:hanging="432"/>
        <w:jc w:val="center"/>
        <w:rPr>
          <w:b/>
          <w:sz w:val="32"/>
          <w:szCs w:val="32"/>
        </w:rPr>
      </w:pPr>
    </w:p>
    <w:p w:rsidR="0017769C" w:rsidRDefault="0017769C">
      <w:pPr>
        <w:keepNext/>
        <w:keepLines/>
        <w:pBdr>
          <w:top w:val="nil"/>
          <w:left w:val="nil"/>
          <w:bottom w:val="nil"/>
          <w:right w:val="nil"/>
          <w:between w:val="nil"/>
        </w:pBdr>
        <w:spacing w:before="0" w:after="0" w:line="240" w:lineRule="auto"/>
        <w:ind w:left="432" w:hanging="432"/>
        <w:jc w:val="center"/>
        <w:rPr>
          <w:b/>
          <w:sz w:val="32"/>
          <w:szCs w:val="32"/>
        </w:rPr>
      </w:pPr>
    </w:p>
    <w:p w:rsidR="0017769C" w:rsidRDefault="0017769C">
      <w:pPr>
        <w:pStyle w:val="Ttulo1"/>
        <w:spacing w:before="0" w:after="0"/>
        <w:ind w:left="0" w:firstLine="0"/>
      </w:pPr>
    </w:p>
    <w:p w:rsidR="0017769C" w:rsidRDefault="0017769C"/>
    <w:p w:rsidR="0017769C" w:rsidRDefault="0017769C"/>
    <w:p w:rsidR="0017769C" w:rsidRDefault="0017769C"/>
    <w:p w:rsidR="0017769C" w:rsidRDefault="0017769C"/>
    <w:p w:rsidR="0017769C" w:rsidRDefault="0017769C"/>
    <w:p w:rsidR="0017769C" w:rsidRDefault="0017769C"/>
    <w:p w:rsidR="0017769C" w:rsidRDefault="0017769C"/>
    <w:p w:rsidR="0017769C" w:rsidRDefault="0017769C"/>
    <w:p w:rsidR="0017769C" w:rsidRDefault="0017769C"/>
    <w:p w:rsidR="0017769C" w:rsidRDefault="0017769C"/>
    <w:p w:rsidR="00AA4CE1" w:rsidRDefault="00AA4CE1"/>
    <w:p w:rsidR="0017769C" w:rsidRDefault="0017769C"/>
    <w:p w:rsidR="00AA4CE1" w:rsidRDefault="00AA4CE1">
      <w:pPr>
        <w:sectPr w:rsidR="00AA4CE1">
          <w:headerReference w:type="default" r:id="rId15"/>
          <w:footerReference w:type="even" r:id="rId16"/>
          <w:footerReference w:type="default" r:id="rId17"/>
          <w:pgSz w:w="11906" w:h="16838"/>
          <w:pgMar w:top="1417" w:right="1701" w:bottom="1417" w:left="1701" w:header="708" w:footer="708" w:gutter="0"/>
          <w:pgNumType w:start="1"/>
          <w:cols w:space="720"/>
        </w:sectPr>
      </w:pPr>
    </w:p>
    <w:p w:rsidR="00AA4CE1" w:rsidRPr="00AA4CE1" w:rsidRDefault="00AA4CE1" w:rsidP="00AA4CE1">
      <w:pPr>
        <w:spacing w:before="0" w:after="0" w:line="276" w:lineRule="auto"/>
        <w:jc w:val="center"/>
        <w:rPr>
          <w:b/>
        </w:rPr>
      </w:pPr>
      <w:r w:rsidRPr="00AA4CE1">
        <w:rPr>
          <w:b/>
        </w:rPr>
        <w:lastRenderedPageBreak/>
        <w:t>RESPONSABILIDAD ESTATAL RESPECTO DE LA EXISTENCIA DE CASOS DE FORMAS CONTEMPORÁNEAS DE ESCLAVITUD MODERNA EN ECUADOR: CASO FURUKAWA</w:t>
      </w:r>
    </w:p>
    <w:p w:rsidR="0017769C" w:rsidRDefault="0017769C"/>
    <w:p w:rsidR="0017769C" w:rsidRDefault="00704530">
      <w:pPr>
        <w:rPr>
          <w:b/>
        </w:rPr>
      </w:pPr>
      <w:r>
        <w:rPr>
          <w:b/>
        </w:rPr>
        <w:t>INTRODUCCIÓN</w:t>
      </w: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Este informe expone la grave situación de formas de trabajo análogas a la esclavitud </w:t>
      </w:r>
      <w:r>
        <w:t>de</w:t>
      </w:r>
      <w:r>
        <w:rPr>
          <w:color w:val="000000"/>
        </w:rPr>
        <w:t xml:space="preserve"> cientos de familias afrodescendientes que han vivido y trabajado dentro de las haciendas de la empresa Furukawa Plantaciones C.A. del Ecuador, caso conocido </w:t>
      </w:r>
      <w:r>
        <w:t>públicamente</w:t>
      </w:r>
      <w:r>
        <w:rPr>
          <w:color w:val="000000"/>
        </w:rPr>
        <w:t xml:space="preserve"> desde el 18 de febrero de 2019, mediante el informe presentado ante la función legislativa por la Defensoría del Pueblo del Ecuador, donde se realizan recomendaciones orientadas a la reparación integral de los derechos de las familias afectadas que, sin embargo, hasta el momento no han sido contempladas ni ejecutadas, particularmente por omisión de las competencias y responsabilidades de la Función Ejecutiva.</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Tanto la Defensoría del Pueblo, la Asamblea Nacional </w:t>
      </w:r>
      <w:r>
        <w:t xml:space="preserve">del Ecuador </w:t>
      </w:r>
      <w:r>
        <w:rPr>
          <w:color w:val="000000"/>
        </w:rPr>
        <w:t xml:space="preserve"> (</w:t>
      </w:r>
      <w:r>
        <w:t>Parlamento</w:t>
      </w:r>
      <w:r>
        <w:rPr>
          <w:color w:val="000000"/>
        </w:rPr>
        <w:t>) y distintos ministerios que acudieron a una inspección de derechos humanos en las haciendas, todas reconocen que las familias afectadas por la empresa Furukawa Plantaciones C.A. han sufrido condiciones de vida indigna y explotación laboral que vulneran sus derechos humanos, incluyendo los derechos económicos, sociales y culturales, como consecuencia de las condiciones de trabajo infantil, servidumbre, explotación laboral y privación de acceso a servicios de salud, educación y vivienda. Así mismo, reconocen que la vulnerabilidad en este caso implica la obligación del Estado en reparar los derechos humanos más allá de las sanciones laborales, penales y/o administrativas que recaigan sobre la empresa. Sin embargo, hasta la fecha no existe una respuesta contundente del gobierno nacional.</w:t>
      </w:r>
    </w:p>
    <w:p w:rsidR="0017769C" w:rsidRDefault="0017769C">
      <w:pPr>
        <w:pBdr>
          <w:top w:val="nil"/>
          <w:left w:val="nil"/>
          <w:bottom w:val="nil"/>
          <w:right w:val="nil"/>
          <w:between w:val="nil"/>
        </w:pBdr>
        <w:spacing w:before="0" w:after="0"/>
        <w:ind w:left="720" w:hanging="720"/>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Presentaremos además nuestras preocupaciones respecto a la reiteración de la victimización de las familias vulneradas frente a las últimas acciones de la Función Ejecutiva sobre la falta de medidas para impedir que la empresa acusada inicie acciones de intimidación y persecución de los trabajadores y trabajadoras que realizaron la denuncia contra la empresa Furukawa Plantaciones C.A. Además, llamamos la atención </w:t>
      </w:r>
      <w:r>
        <w:t>a</w:t>
      </w:r>
      <w:r>
        <w:rPr>
          <w:color w:val="000000"/>
        </w:rPr>
        <w:t xml:space="preserve"> las respuestas que el </w:t>
      </w:r>
      <w:r>
        <w:t>G</w:t>
      </w:r>
      <w:r>
        <w:rPr>
          <w:color w:val="000000"/>
        </w:rPr>
        <w:t>obierno de Ecuador y la empresa Furukawa gen</w:t>
      </w:r>
      <w:r>
        <w:t xml:space="preserve">eraron frente </w:t>
      </w:r>
      <w:r>
        <w:rPr>
          <w:b/>
          <w:color w:val="000000"/>
        </w:rPr>
        <w:t xml:space="preserve">a </w:t>
      </w:r>
      <w:r>
        <w:rPr>
          <w:b/>
          <w:color w:val="000000"/>
        </w:rPr>
        <w:lastRenderedPageBreak/>
        <w:t xml:space="preserve">las consultas </w:t>
      </w:r>
      <w:r>
        <w:rPr>
          <w:b/>
        </w:rPr>
        <w:t>de</w:t>
      </w:r>
      <w:r>
        <w:rPr>
          <w:b/>
          <w:color w:val="000000"/>
        </w:rPr>
        <w:t xml:space="preserve"> 9 procedimientos especiales del Consejo de Derechos Humanos, qui</w:t>
      </w:r>
      <w:r>
        <w:rPr>
          <w:b/>
        </w:rPr>
        <w:t>enes</w:t>
      </w:r>
      <w:r>
        <w:rPr>
          <w:b/>
          <w:color w:val="000000"/>
        </w:rPr>
        <w:t xml:space="preserve"> solicitaron información respecto a este grave caso de servidumbre de la gleba</w:t>
      </w:r>
      <w:r>
        <w:t>. Estas son</w:t>
      </w:r>
      <w:r>
        <w:rPr>
          <w:color w:val="000000"/>
        </w:rPr>
        <w:t xml:space="preserve"> respuestas imprecisas y engañosas, dado que no se corresponden a la realidad </w:t>
      </w:r>
      <w:r>
        <w:t>que viven las familias en los campamentos de la empresa</w:t>
      </w:r>
      <w:r>
        <w:rPr>
          <w:color w:val="000000"/>
        </w:rPr>
        <w:t>.</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Al final realizaremos </w:t>
      </w:r>
      <w:r>
        <w:t>las</w:t>
      </w:r>
      <w:r>
        <w:rPr>
          <w:color w:val="000000"/>
        </w:rPr>
        <w:t xml:space="preserve"> recomendaciones que c</w:t>
      </w:r>
      <w:r>
        <w:t>onsideramos que el Comité debe canalizar al Estado ecuatoriano</w:t>
      </w:r>
      <w:r>
        <w:rPr>
          <w:color w:val="000000"/>
        </w:rPr>
        <w:t xml:space="preserve"> para garantizar la protección de los derechos </w:t>
      </w:r>
      <w:r>
        <w:t>económicos, sociales y culturales</w:t>
      </w:r>
      <w:r>
        <w:rPr>
          <w:color w:val="000000"/>
        </w:rPr>
        <w:t xml:space="preserve"> de las familias que viven y trabajan dentro de las haciendas de Furukawa, así como la necesidad de caminar hacia una reparación integral ante tantos años de violencia que las víctimas han debido enfrentar. En esa medida, el hecho de que el Estado </w:t>
      </w:r>
      <w:r>
        <w:t>e</w:t>
      </w:r>
      <w:r>
        <w:rPr>
          <w:color w:val="000000"/>
        </w:rPr>
        <w:t>cuatoriano a la fecha no haya intervenido de manera contundente significa que, por omisión, sería responsable nacional e internacionalmente por graves violaciones a derechos humanos, hecho que se agrava por el conocimiento cabal que tiene de estos hechos después de las sucesivas visitas que ha realizado al territorio más de 10 instituciones estatales.</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Este informe </w:t>
      </w:r>
      <w:r>
        <w:t>ha sido elaborado por</w:t>
      </w:r>
      <w:r>
        <w:rPr>
          <w:color w:val="000000"/>
        </w:rPr>
        <w:t xml:space="preserve"> una coalición de org</w:t>
      </w:r>
      <w:r>
        <w:t>anizaciones de la sociedad civil en representación d</w:t>
      </w:r>
      <w:r>
        <w:rPr>
          <w:color w:val="000000"/>
        </w:rPr>
        <w:t xml:space="preserve">el Comité de Solidaridad Furukawa Nunca Más y los afectados y afectada por </w:t>
      </w:r>
      <w:r>
        <w:t>Plantaciones C.A. del Ecuador</w:t>
      </w:r>
      <w:r>
        <w:rPr>
          <w:color w:val="000000"/>
        </w:rPr>
        <w:t>, conformado por tres reconocidas organizaciones de defensores de derechos humanos del Ecuador. Así, en las últimas dos décadas, el Centro de Derechos Económicos y Sociales (CDES); en las últimas cuatro décadas, la Comisión Ecuménica de Derechos Humanos (CEDHU); y en las últimas seis décadas, la Coordinadora Nacional Campesina (CNC); han venido trabajando en distintas áreas de derechos económicos, sociales y culturales. Desde la fecha en que se tuvo conocimiento de la situación de las familias que viven y trabajan en las haciendas de Furukawa hemos mantenido un seguimiento muy cerca</w:t>
      </w:r>
      <w:r>
        <w:t>n</w:t>
      </w:r>
      <w:r>
        <w:rPr>
          <w:color w:val="000000"/>
        </w:rPr>
        <w:t>o e informado del caso y actualmente mantenemos la representación legal de los trabajadores y trabajadoras vulneradas.</w:t>
      </w:r>
    </w:p>
    <w:p w:rsidR="0017769C" w:rsidRDefault="0017769C">
      <w:pPr>
        <w:pBdr>
          <w:top w:val="nil"/>
          <w:left w:val="nil"/>
          <w:bottom w:val="nil"/>
          <w:right w:val="nil"/>
          <w:between w:val="nil"/>
        </w:pBdr>
        <w:spacing w:before="0" w:after="0"/>
        <w:ind w:hanging="720"/>
        <w:jc w:val="both"/>
        <w:rPr>
          <w:color w:val="000000"/>
        </w:rPr>
      </w:pPr>
    </w:p>
    <w:p w:rsidR="0017769C" w:rsidRDefault="00704530" w:rsidP="001A27A4">
      <w:pPr>
        <w:pStyle w:val="Ttulo1"/>
        <w:spacing w:before="0" w:after="0"/>
        <w:ind w:left="0" w:firstLine="0"/>
        <w:rPr>
          <w:b/>
          <w:sz w:val="24"/>
          <w:szCs w:val="24"/>
        </w:rPr>
      </w:pPr>
      <w:r>
        <w:rPr>
          <w:b/>
          <w:sz w:val="24"/>
          <w:szCs w:val="24"/>
        </w:rPr>
        <w:t>CONVENCIONES IMPLICADAS</w:t>
      </w:r>
    </w:p>
    <w:p w:rsidR="001A27A4" w:rsidRPr="001A27A4" w:rsidRDefault="001A27A4" w:rsidP="001A27A4"/>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En el ámbito internacional tanto en la </w:t>
      </w:r>
      <w:r>
        <w:rPr>
          <w:b/>
          <w:i/>
          <w:color w:val="000000"/>
        </w:rPr>
        <w:t xml:space="preserve">Convención de Naciones Unidas sobre la </w:t>
      </w:r>
      <w:r>
        <w:rPr>
          <w:i/>
          <w:color w:val="000000"/>
        </w:rPr>
        <w:t>Esclavitud</w:t>
      </w:r>
      <w:r>
        <w:rPr>
          <w:color w:val="000000"/>
        </w:rPr>
        <w:t> de 1926 como en la </w:t>
      </w:r>
      <w:r>
        <w:rPr>
          <w:b/>
          <w:i/>
          <w:color w:val="000000"/>
        </w:rPr>
        <w:t xml:space="preserve">Convención Suplementaria sobre la abolición de la </w:t>
      </w:r>
      <w:r>
        <w:rPr>
          <w:b/>
          <w:i/>
          <w:color w:val="000000"/>
        </w:rPr>
        <w:lastRenderedPageBreak/>
        <w:t>esclavitud, la trata de esclavos y las instituciones y prácticas análogas a la esclavitud</w:t>
      </w:r>
      <w:r>
        <w:rPr>
          <w:color w:val="000000"/>
        </w:rPr>
        <w:t> de 1956, ambas ratificadas por el Ecuador, se establece la obligación internacional de “</w:t>
      </w:r>
      <w:r>
        <w:rPr>
          <w:i/>
          <w:color w:val="000000"/>
        </w:rPr>
        <w:t>adoptar todas aquellas medidas, legislativas o de cualquier otra índole , que sean factibles y necesarias para lograr progresivamente  y a la mayor brevedad posible la completa abolición o el abandono de las instituciones y prácticas</w:t>
      </w:r>
      <w:r>
        <w:rPr>
          <w:color w:val="000000"/>
        </w:rPr>
        <w:t>” análogas a la esclavitud moderna, entre las que aparece la servidumbre de la gleba.</w:t>
      </w:r>
    </w:p>
    <w:p w:rsidR="0017769C" w:rsidRDefault="0017769C">
      <w:pPr>
        <w:pBdr>
          <w:top w:val="nil"/>
          <w:left w:val="nil"/>
          <w:bottom w:val="nil"/>
          <w:right w:val="nil"/>
          <w:between w:val="nil"/>
        </w:pBdr>
        <w:shd w:val="clear" w:color="auto" w:fill="FFFFFF"/>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pPr>
      <w:r>
        <w:rPr>
          <w:color w:val="000000"/>
        </w:rPr>
        <w:t>El 5 de julio de 2010, la Relatora Especial sobre las formas contemporáneas de esclavitud, Sra. Gulnara Shahinian hizo público su informe con recomendaciones al Ecuador después de su visita de 25 de enero a 1 de febrero de ese año. En dicho informe recomendó:</w:t>
      </w:r>
    </w:p>
    <w:p w:rsidR="0017769C" w:rsidRDefault="0017769C">
      <w:pPr>
        <w:pBdr>
          <w:top w:val="nil"/>
          <w:left w:val="nil"/>
          <w:bottom w:val="nil"/>
          <w:right w:val="nil"/>
          <w:between w:val="nil"/>
        </w:pBdr>
        <w:shd w:val="clear" w:color="auto" w:fill="FFFFFF"/>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i/>
          <w:color w:val="000000"/>
        </w:rPr>
      </w:pPr>
      <w:r>
        <w:rPr>
          <w:i/>
          <w:color w:val="000000"/>
        </w:rPr>
        <w:t>A pesar de los progresos logrados, la Relatora Especial opina que </w:t>
      </w:r>
      <w:r>
        <w:rPr>
          <w:b/>
          <w:i/>
          <w:color w:val="000000"/>
        </w:rPr>
        <w:t>las formas contemporáneas de la esclavitud subsisten en el Ecuador y que están directamente relacionadas con casos generalizados de discriminación, exclusión social y pobreza. Afectan a sectores de la población que han tenido que enfrentarse a situaciones desfavorables de carácter histórico, como los afrodescendientes y los indígenas</w:t>
      </w:r>
      <w:r>
        <w:rPr>
          <w:i/>
          <w:color w:val="000000"/>
        </w:rPr>
        <w:t>, así como a grupos cuyas condiciones de vida les convierten en presa fácil para la explotación, como los niños de las familias pobres, los solicitantes de asilo, los refugiados y los migrantes en situación irregular u objeto de tráfico ilícito, y las mujeres. </w:t>
      </w:r>
      <w:r>
        <w:rPr>
          <w:b/>
          <w:i/>
          <w:color w:val="000000"/>
        </w:rPr>
        <w:t>Esas personas viven en condiciones que las hacen extremadamente vulnerables a la esclavitud y a prácticas análogas a la esclavitud y, por lo general, no son conscientes de que el trabajo que realizan constituye un trabajo forzoso y/o un trabajo en condiciones de servidumbre, y desconocen los derechos que tienen en su trabajo</w:t>
      </w:r>
      <w:r>
        <w:rPr>
          <w:i/>
          <w:color w:val="000000"/>
        </w:rPr>
        <w:t>. Con frecuencia tampoco están informadas o tienen una información deficiente respecto a los riesgos para la salud que entraña el trabajo que realizan, incluido, en algunos casos, el posible daño irreparable para su salud y la de sus descendientes, a lo largo de generaciones, que puede provocar la utilización de productos químicos peligrosos. </w:t>
      </w:r>
      <w:r>
        <w:rPr>
          <w:b/>
          <w:i/>
          <w:color w:val="000000"/>
        </w:rPr>
        <w:t>En algunos casos, también pueden sentirse tentadas a prestar a sus hijos por pequeñas cantidades de dinero, exponiéndolos a situaciones análogas a la esclavitud.</w:t>
      </w:r>
    </w:p>
    <w:p w:rsidR="0017769C" w:rsidRDefault="0017769C">
      <w:pPr>
        <w:pBdr>
          <w:top w:val="nil"/>
          <w:left w:val="nil"/>
          <w:bottom w:val="nil"/>
          <w:right w:val="nil"/>
          <w:between w:val="nil"/>
        </w:pBdr>
        <w:shd w:val="clear" w:color="auto" w:fill="FFFFFF"/>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lastRenderedPageBreak/>
        <w:t xml:space="preserve">En dicho informe se hicieron varias recomendaciones al Estado </w:t>
      </w:r>
      <w:r>
        <w:t>e</w:t>
      </w:r>
      <w:r>
        <w:rPr>
          <w:color w:val="000000"/>
        </w:rPr>
        <w:t>cuatoriano, tanto para la prevención como para la protección y asistencia de las víctimas de formas contemporáneas de esclavitud.</w:t>
      </w:r>
    </w:p>
    <w:p w:rsidR="0017769C" w:rsidRDefault="0017769C">
      <w:pPr>
        <w:pBdr>
          <w:top w:val="nil"/>
          <w:left w:val="nil"/>
          <w:bottom w:val="nil"/>
          <w:right w:val="nil"/>
          <w:between w:val="nil"/>
        </w:pBdr>
        <w:shd w:val="clear" w:color="auto" w:fill="FFFFFF"/>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En el ordenamiento jurídico nacional, </w:t>
      </w:r>
      <w:r>
        <w:t>la esclavitud en todas sus formas</w:t>
      </w:r>
      <w:r>
        <w:rPr>
          <w:color w:val="000000"/>
        </w:rPr>
        <w:t xml:space="preserve"> está prohibida constitucionalmente en el artículo 66 numeral 29 literales a) y b); además ha sido prohibido por el Mandato Constituyente No. 8 emitido por la Asamblea Nacional Constituyente relativo a la prohibición de la tercerización, la intermediación y precarización laboral; constituye delito previsto en el artículo 105 literal 6, y; es causal de expropiación de oficio de tierras rurales privadas, según lo previsto en el artículo 103 literal g).</w:t>
      </w:r>
    </w:p>
    <w:p w:rsidR="0017769C" w:rsidRDefault="0017769C">
      <w:pPr>
        <w:pBdr>
          <w:top w:val="nil"/>
          <w:left w:val="nil"/>
          <w:bottom w:val="nil"/>
          <w:right w:val="nil"/>
          <w:between w:val="nil"/>
        </w:pBdr>
        <w:shd w:val="clear" w:color="auto" w:fill="FFFFFF"/>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Además, el </w:t>
      </w:r>
      <w:r>
        <w:rPr>
          <w:b/>
          <w:color w:val="000000"/>
        </w:rPr>
        <w:t xml:space="preserve">Pacto Internacional de Derechos Económicos, Sociales y Culturales </w:t>
      </w:r>
      <w:r>
        <w:rPr>
          <w:color w:val="000000"/>
        </w:rPr>
        <w:t>impone sobre el trabajo infantil que “</w:t>
      </w:r>
      <w:r>
        <w:rPr>
          <w:i/>
          <w:color w:val="000000"/>
        </w:rPr>
        <w:t xml:space="preserve">se deben adoptar medidas especiales de protección y asistencia en favor de todos los niños y adolescentes, sin discriminación alguna por razón de filiación o cualquier otra condición. </w:t>
      </w:r>
      <w:r>
        <w:rPr>
          <w:b/>
          <w:i/>
          <w:color w:val="000000"/>
        </w:rPr>
        <w:t>Debe protegerse a los niños y adolescentes contra la explotación económica y social. Su empleo en trabajos nocivos para su moral y salud, o en los cuales peligre su vida o se corra el riesgo de perjudicar su desarrollo normal, será sancionado por la ley.</w:t>
      </w:r>
      <w:r>
        <w:rPr>
          <w:i/>
          <w:color w:val="000000"/>
        </w:rPr>
        <w:t xml:space="preserve"> Los Estados deben establecer también límites de edad por debajo de los cuales quede prohibido y </w:t>
      </w:r>
      <w:r>
        <w:rPr>
          <w:b/>
          <w:i/>
          <w:color w:val="000000"/>
        </w:rPr>
        <w:t>sancionado por la ley el empleo a sueldo de mano de obra infantil</w:t>
      </w:r>
      <w:r>
        <w:rPr>
          <w:i/>
          <w:color w:val="000000"/>
        </w:rPr>
        <w:t>.</w:t>
      </w:r>
      <w:r>
        <w:rPr>
          <w:color w:val="000000"/>
        </w:rPr>
        <w:t>”</w:t>
      </w:r>
    </w:p>
    <w:p w:rsidR="0017769C" w:rsidRDefault="0017769C">
      <w:pPr>
        <w:pBdr>
          <w:top w:val="nil"/>
          <w:left w:val="nil"/>
          <w:bottom w:val="nil"/>
          <w:right w:val="nil"/>
          <w:between w:val="nil"/>
        </w:pBdr>
        <w:shd w:val="clear" w:color="auto" w:fill="FFFFFF"/>
        <w:spacing w:before="0" w:after="0"/>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Además, las </w:t>
      </w:r>
      <w:r>
        <w:rPr>
          <w:b/>
          <w:color w:val="000000"/>
        </w:rPr>
        <w:t xml:space="preserve">Directrices de Maastricht sobre Violaciones a los Derechos Económicos, Sociales y Culturales </w:t>
      </w:r>
      <w:r>
        <w:rPr>
          <w:color w:val="000000"/>
        </w:rPr>
        <w:t>señala la obligación del Estado a que “</w:t>
      </w:r>
      <w:r>
        <w:rPr>
          <w:i/>
          <w:color w:val="000000"/>
        </w:rPr>
        <w:t xml:space="preserve">al igual que los derechos civiles y políticos, los derechos económicos, sociales y culturales imponen sobre los Estados tres tipos de obligaciones distintas: las obligaciones de respetar, proteger y cumplir. El incumplimiento de cualquiera de estas tres obligaciones constituye una violación a dichos derechos. </w:t>
      </w:r>
      <w:r>
        <w:rPr>
          <w:b/>
          <w:i/>
          <w:color w:val="000000"/>
        </w:rPr>
        <w:t>La obligación de respetar requiere que el Estado se abstenga de obstaculizar el goce de los derechos económicos, sociales y culturales.</w:t>
      </w:r>
      <w:r>
        <w:rPr>
          <w:i/>
          <w:color w:val="000000"/>
        </w:rPr>
        <w:t xml:space="preserve"> Así, el derecho a la vivienda se infringe si el Estado lleva a cabo expulsiones forzosas arbitrarias. </w:t>
      </w:r>
      <w:r>
        <w:rPr>
          <w:b/>
          <w:i/>
          <w:color w:val="000000"/>
        </w:rPr>
        <w:t>La obligación de proteger exige al Estado prevenir violaciones a estos derechos por parte de terceros. Así, el no asegurar que los empleadores privados cumplan las normas básicas de trabajo podría constituir una violación al derecho a trabajar o a condiciones de trabajo equitativas y satisfactorias</w:t>
      </w:r>
      <w:r>
        <w:rPr>
          <w:i/>
          <w:color w:val="000000"/>
        </w:rPr>
        <w:t xml:space="preserve">. </w:t>
      </w:r>
      <w:r>
        <w:rPr>
          <w:b/>
          <w:i/>
          <w:color w:val="000000"/>
        </w:rPr>
        <w:t xml:space="preserve">La obligación de </w:t>
      </w:r>
      <w:r>
        <w:rPr>
          <w:b/>
          <w:i/>
          <w:color w:val="000000"/>
        </w:rPr>
        <w:lastRenderedPageBreak/>
        <w:t>cumplir requiere que el Estado adopte las medidas legislativas, administrativas, presupuestarias, legales y de otra índole adecuadas para lograr la plena efectividad de dichos derechos.</w:t>
      </w:r>
      <w:r>
        <w:rPr>
          <w:i/>
          <w:color w:val="000000"/>
        </w:rPr>
        <w:t xml:space="preserve"> Así, podría constituirse una violación si el Estado no proporciona la atención primaria de salud esencial a las personas que lo necesiten.</w:t>
      </w:r>
      <w:r>
        <w:rPr>
          <w:color w:val="000000"/>
        </w:rPr>
        <w:t>”</w:t>
      </w:r>
    </w:p>
    <w:p w:rsidR="0017769C" w:rsidRDefault="0017769C">
      <w:pPr>
        <w:pBdr>
          <w:top w:val="nil"/>
          <w:left w:val="nil"/>
          <w:bottom w:val="nil"/>
          <w:right w:val="nil"/>
          <w:between w:val="nil"/>
        </w:pBdr>
        <w:spacing w:before="0" w:after="0"/>
        <w:ind w:hanging="720"/>
        <w:jc w:val="both"/>
        <w:rPr>
          <w:color w:val="000000"/>
        </w:rPr>
      </w:pPr>
    </w:p>
    <w:p w:rsidR="0017769C" w:rsidRDefault="00704530">
      <w:pPr>
        <w:pStyle w:val="Ttulo1"/>
        <w:spacing w:before="0" w:after="0"/>
        <w:ind w:left="0" w:firstLine="0"/>
        <w:rPr>
          <w:b/>
          <w:sz w:val="24"/>
          <w:szCs w:val="24"/>
        </w:rPr>
      </w:pPr>
      <w:r>
        <w:rPr>
          <w:b/>
          <w:sz w:val="24"/>
          <w:szCs w:val="24"/>
        </w:rPr>
        <w:t>VIOLACIÓN DE DERECHOS DE LAS FAMILIAS AFRODESCENDIENTES QUE VIVEN Y TRABAJAN EN LAS HACIENDAS DE FURUKAWA</w:t>
      </w:r>
    </w:p>
    <w:p w:rsidR="0017769C" w:rsidRDefault="0017769C">
      <w:pPr>
        <w:spacing w:before="0" w:after="0"/>
        <w:jc w:val="both"/>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Dos informes de la Defensoría del Pueblo (18 de febrero y 5 de abril) y los informes de los ministerios que acompañaron la inspección de derechos humanos convocada por la Defensoría, así como los testimonios recabados de los afectados y las observaciones realizadas por el Comité de Solidaridad Furukawa Nunca Más, dan cuenta de los siguientes hechos tanto en las provincias de Los Ríos como en la de Santo Domingo de los Tsáchilas:</w:t>
      </w:r>
    </w:p>
    <w:p w:rsidR="0017769C" w:rsidRDefault="0017769C">
      <w:pPr>
        <w:spacing w:before="0" w:after="0"/>
      </w:pPr>
    </w:p>
    <w:p w:rsidR="0017769C" w:rsidRDefault="00704530">
      <w:pPr>
        <w:numPr>
          <w:ilvl w:val="1"/>
          <w:numId w:val="1"/>
        </w:numPr>
        <w:pBdr>
          <w:top w:val="nil"/>
          <w:left w:val="nil"/>
          <w:bottom w:val="nil"/>
          <w:right w:val="nil"/>
          <w:between w:val="nil"/>
        </w:pBdr>
        <w:spacing w:before="0" w:after="0"/>
        <w:ind w:left="1134" w:hanging="567"/>
        <w:jc w:val="both"/>
        <w:rPr>
          <w:color w:val="000000"/>
        </w:rPr>
      </w:pPr>
      <w:r>
        <w:rPr>
          <w:color w:val="000000"/>
        </w:rPr>
        <w:t xml:space="preserve">La empresa Furukawa construyó campamentos en los que familias enteras viven y trabajan ahí, incluidos mujeres que trabajan sin remuneración </w:t>
      </w:r>
      <w:r>
        <w:rPr>
          <w:color w:val="000000"/>
          <w:u w:val="single"/>
        </w:rPr>
        <w:t>acompañando</w:t>
      </w:r>
      <w:r>
        <w:rPr>
          <w:color w:val="000000"/>
        </w:rPr>
        <w:t xml:space="preserve"> las tareas productivas del hombre. El trabajo infantil se da normalmente desde los 8 años y también se pudo presencia trabajo de adultos mayores. Toda la familia trabaja para extraer fibra de abacá que están obligados a entregar a Furukawa a cambio de una remuneración baja que no alcanza a cubrir la canasta familiar vital.</w:t>
      </w:r>
    </w:p>
    <w:p w:rsidR="0017769C" w:rsidRDefault="00704530">
      <w:pPr>
        <w:numPr>
          <w:ilvl w:val="1"/>
          <w:numId w:val="1"/>
        </w:numPr>
        <w:pBdr>
          <w:top w:val="nil"/>
          <w:left w:val="nil"/>
          <w:bottom w:val="nil"/>
          <w:right w:val="nil"/>
          <w:between w:val="nil"/>
        </w:pBdr>
        <w:spacing w:before="0" w:after="0"/>
        <w:ind w:left="1134" w:hanging="567"/>
        <w:jc w:val="both"/>
        <w:rPr>
          <w:color w:val="000000"/>
        </w:rPr>
      </w:pPr>
      <w:r>
        <w:rPr>
          <w:color w:val="000000"/>
        </w:rPr>
        <w:t>La relación laboral está fijada mediante acuerdos firmados con un intermediario que también vive y trabaja en los campamentos, pero sobre todo están basados en la costumbre</w:t>
      </w:r>
    </w:p>
    <w:p w:rsidR="0017769C" w:rsidRDefault="00704530">
      <w:pPr>
        <w:numPr>
          <w:ilvl w:val="1"/>
          <w:numId w:val="1"/>
        </w:numPr>
        <w:pBdr>
          <w:top w:val="nil"/>
          <w:left w:val="nil"/>
          <w:bottom w:val="nil"/>
          <w:right w:val="nil"/>
          <w:between w:val="nil"/>
        </w:pBdr>
        <w:spacing w:before="0" w:after="0"/>
        <w:ind w:left="1134" w:hanging="567"/>
        <w:jc w:val="both"/>
        <w:rPr>
          <w:color w:val="000000"/>
        </w:rPr>
      </w:pPr>
      <w:r>
        <w:rPr>
          <w:color w:val="000000"/>
        </w:rPr>
        <w:t>Las condiciones de vida dentro de esas haciendas son de extrema pobreza e indignas, provocadas precisamente por las bajas remuneraciones sin contratos laborales, la falta de servicios básicos, y su analfabetismo que profundizan la dificultad histórica de estas personas de poder cambiar su condición.</w:t>
      </w:r>
    </w:p>
    <w:p w:rsidR="0017769C" w:rsidRDefault="00704530">
      <w:pPr>
        <w:numPr>
          <w:ilvl w:val="1"/>
          <w:numId w:val="1"/>
        </w:numPr>
        <w:pBdr>
          <w:top w:val="nil"/>
          <w:left w:val="nil"/>
          <w:bottom w:val="nil"/>
          <w:right w:val="nil"/>
          <w:between w:val="nil"/>
        </w:pBdr>
        <w:spacing w:before="0" w:after="0"/>
        <w:ind w:left="1134" w:hanging="567"/>
        <w:jc w:val="both"/>
        <w:rPr>
          <w:color w:val="000000"/>
        </w:rPr>
      </w:pPr>
      <w:r>
        <w:rPr>
          <w:color w:val="000000"/>
        </w:rPr>
        <w:t>Esta práctica sucede, según los testimonios, desde que inició la empresa. Hay personas adultas mayores que llegaron de niños con sus padres, otros que nacieron ahí.</w:t>
      </w:r>
    </w:p>
    <w:p w:rsidR="0017769C" w:rsidRDefault="00704530">
      <w:pPr>
        <w:numPr>
          <w:ilvl w:val="1"/>
          <w:numId w:val="1"/>
        </w:numPr>
        <w:pBdr>
          <w:top w:val="nil"/>
          <w:left w:val="nil"/>
          <w:bottom w:val="nil"/>
          <w:right w:val="nil"/>
          <w:between w:val="nil"/>
        </w:pBdr>
        <w:spacing w:before="0" w:after="0"/>
        <w:ind w:left="1134" w:hanging="567"/>
        <w:jc w:val="both"/>
        <w:rPr>
          <w:color w:val="000000"/>
        </w:rPr>
      </w:pPr>
      <w:r>
        <w:rPr>
          <w:color w:val="000000"/>
        </w:rPr>
        <w:t xml:space="preserve">Las personas que habitan dentro de las haciendas de Furukawa no han logrado durante todos estos años poder cambiar de situación. Aquellos que dejan de </w:t>
      </w:r>
      <w:r>
        <w:rPr>
          <w:color w:val="000000"/>
        </w:rPr>
        <w:lastRenderedPageBreak/>
        <w:t>vivir y trabajar en las haciendas, muchas veces regresan y otros tiene graves dificultades para rehacer sus proyectos de vida.</w:t>
      </w:r>
    </w:p>
    <w:p w:rsidR="0017769C" w:rsidRDefault="0017769C">
      <w:pPr>
        <w:spacing w:before="0" w:after="0"/>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Incluso la Asamblea Nacional, en las acciones de fiscalización y control político que la Comisión de Derecho Colectivos emitió una resolución aprobada por unanimidad en el Pleno de la Asamblea Nacional, el 16 de abril de 2019, donde se reconoce “</w:t>
      </w:r>
      <w:r>
        <w:rPr>
          <w:i/>
          <w:color w:val="000000"/>
        </w:rPr>
        <w:t xml:space="preserve">que de acuerdo al informe realizado por la Defensoría del Pueblo el 18 de febrero de 2019 las familias que viven y trabajan dentro de las haciendas de Furukawa </w:t>
      </w:r>
      <w:r>
        <w:rPr>
          <w:b/>
          <w:i/>
          <w:color w:val="000000"/>
        </w:rPr>
        <w:t>enfrentan condiciones de servidumbre que podrían constituir una forma de esclavitud moderna</w:t>
      </w:r>
      <w:r>
        <w:rPr>
          <w:i/>
          <w:color w:val="000000"/>
        </w:rPr>
        <w:t>”.</w:t>
      </w:r>
      <w:r>
        <w:rPr>
          <w:color w:val="000000"/>
        </w:rPr>
        <w:t xml:space="preserve"> A continuación, se describe de manera resumida este informe de la Defensoría del Pueblo con el señalamiento de las violaciones de derechos.</w:t>
      </w:r>
    </w:p>
    <w:p w:rsidR="0017769C" w:rsidRDefault="0017769C">
      <w:pPr>
        <w:spacing w:before="0" w:after="0"/>
        <w:jc w:val="both"/>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A seis meses de haberse hecho la denuncia, la empresa Furukawa Plantaciones C.A. del Ecuador no ha realizado acción alguna en los campamentos e insiste en no reconocer como sus trabajadores a quienes extraen la fibra que sostiene sus exportaciones, base del lucro anual de esta empresa. Así mismo, las familias afectadas por la empresa siguen exigiendo acciones concretas para la reparación de sus derechos humanos en situaciones de intimidación, con carencias materiales por la falta de ingresos y en muchos casos desalojados.</w:t>
      </w:r>
    </w:p>
    <w:p w:rsidR="0017769C" w:rsidRDefault="0017769C">
      <w:pPr>
        <w:spacing w:before="0" w:after="0"/>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En su gran mayoría, estas familias que trabajan dentro de Furukawa son población afrodescendiente. Las condiciones en las que viven y trabajan estas familias implica también discriminación racial. Sobre este punto, el artículo 11 numeral 2 de la Constitución expresamente prohíbe la discriminación por razones de etnia, identidad cultural y condición socio-económica.</w:t>
      </w:r>
    </w:p>
    <w:p w:rsidR="0017769C" w:rsidRDefault="0017769C">
      <w:pPr>
        <w:spacing w:before="0" w:after="0"/>
        <w:jc w:val="both"/>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Según censo realizado por la Secretaría de la Política, en el proceso de investigación de las denuncias, la población que vive en las haciendas alcanza 1261 personas. La mayoría de la población no recibió educación formal y son analfabetos.</w:t>
      </w:r>
    </w:p>
    <w:p w:rsidR="0017769C" w:rsidRDefault="0017769C">
      <w:pPr>
        <w:spacing w:before="0" w:after="0"/>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Furukawa vulnera gravemente el derecho a la vivienda adecuada de las familias que viven en sus haciendas, quienes por décadas viven en condiciones indignas, inhumanas y de extrema pobreza, a través de varias acciones: 1) campamentos </w:t>
      </w:r>
      <w:r>
        <w:rPr>
          <w:color w:val="000000"/>
        </w:rPr>
        <w:lastRenderedPageBreak/>
        <w:t>infrahumanos y hacinados; 2) falta de servicios básicos dentro de las haciendas; 3) control de caminos privados y puertas de acceso; 4) lejanía respecto de otros servicios esenciales.</w:t>
      </w:r>
    </w:p>
    <w:p w:rsidR="0017769C" w:rsidRDefault="0017769C">
      <w:pPr>
        <w:spacing w:before="0" w:after="0"/>
        <w:jc w:val="both"/>
        <w:rPr>
          <w:i/>
          <w:u w:val="single"/>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En definitiva, bajo la figura ilegal e inconstitucional de intermediación y precarización laboral que en este caso está basada en el engaño que Furukawa ha hecho a las familias que viven dentro de sus haciendas, incluidas las familias de los arrendatarios, y a través de la compra de fibra de abacá por toneladas, la empresa ha asegurado una práctica que habría configurado una forma de servidumbre de la gleba, de manera sistemática durante 56 años, práctica que, según estándares internacionales, es una forma moderna de esclavitud prohibida y que demanda la intervención del Estado.</w:t>
      </w:r>
    </w:p>
    <w:p w:rsidR="0017769C" w:rsidRDefault="0017769C">
      <w:pPr>
        <w:spacing w:before="0" w:after="0"/>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En la hacienda Furukawa los niños y niñas empiezan a trabajar desde los ochos años. Evidencias de trabajo infantil se pueden encontrar en el informe presentado por el Ministerio de Inclusión Económica y Social respecto de la visita de 20 de noviembre a la hacienda Furukawa, y en el Informe No. 12D06-ASRE-00127-18 realizado por el Ministerio de Educación. La condición de servidumbre a la que están sometidos se profundiza por la incorporación temprana a las actividades de cosecha y extracción de la fibra de abacá, trabajo infantil, que impide el ejercicio adecuado del derecho a la educación, lo que mantiene en pobreza y rusticidad a la mayoría de las personas.</w:t>
      </w:r>
    </w:p>
    <w:p w:rsidR="0017769C" w:rsidRDefault="0017769C">
      <w:pPr>
        <w:spacing w:before="0" w:after="0"/>
        <w:rPr>
          <w:b/>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Es tan grave la práctica sistemática y generalizada que ha realizado la empresa Furukawa en contra de los habitantes de sus haciendas que varios ellos ni siquiera están legalmente identificados en el Registro Civil de Ecuador, lo que constituye una violación a su derecho a la identidad.</w:t>
      </w:r>
    </w:p>
    <w:p w:rsidR="0017769C" w:rsidRDefault="0017769C">
      <w:pPr>
        <w:spacing w:before="0" w:after="0"/>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La Dirección General de Registro Civil, Identificación y Cedulación emitió el informe “Briagada Furukawa Plantaciones C.A.” remitido el 27 de diciembre a la Secretaría Nacional de Gestión de la Política. Ese informe detalla que de una muestra de 236 personas que viven y trabajan en las haciendas de Furukawa entregado por uno de sus representantes, un total de 70 personas no tienen ningún dato del registro civil, es decir el 30% del total. De esas personas no registradas, 59 son niños y niñas, 3 son mujeres y 8 hombres. De esas 70 personas, un total de 20 personas fueron encontradas en los campamentos durante la visita, presumiendo que el resto se encontraban trabajando al momento de la visita.</w:t>
      </w:r>
    </w:p>
    <w:p w:rsidR="0017769C" w:rsidRDefault="0017769C">
      <w:pPr>
        <w:pBdr>
          <w:top w:val="nil"/>
          <w:left w:val="nil"/>
          <w:bottom w:val="nil"/>
          <w:right w:val="nil"/>
          <w:between w:val="nil"/>
        </w:pBdr>
        <w:spacing w:before="0" w:after="0"/>
        <w:ind w:left="1152"/>
        <w:jc w:val="both"/>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t xml:space="preserve">Otro de los derechos gravemente vulnerados, es el </w:t>
      </w:r>
      <w:r>
        <w:rPr>
          <w:color w:val="000000"/>
        </w:rPr>
        <w:t>derecho a la salud</w:t>
      </w:r>
      <w:r>
        <w:t xml:space="preserve">, dado que las </w:t>
      </w:r>
      <w:r>
        <w:rPr>
          <w:color w:val="000000"/>
        </w:rPr>
        <w:t>condiciones laborales inseguras y de las condiciones de vivienda. Es evidente que, derivado de la falta de cumplimiento de normas de seguridad, salud ocupacional y de prevención de riesgos de trabajo, la totalidad de personas dedicadas a la cosecha y extracción de fibra de abacá enfrentan graves afectaciones físicas a la salud. Particular atención merecen personas con incapacidades físicas derivadas de cortes, mutilaciones y accidentes laborales provocados por cuchillos, machetes y las máquinas que operan.</w:t>
      </w:r>
    </w:p>
    <w:p w:rsidR="0017769C" w:rsidRDefault="0017769C">
      <w:pPr>
        <w:spacing w:before="0" w:after="0"/>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Incluso los niños y niñas que trabajan en la cosecha y extracción de fibra de abacá enfrentan accidentes laborales que afectan gravemente a su salud. A esta grave situación, se suma además que Furukawa, pese a ser propietaria de miles de hectáreas de plantaciones de Abacá y poseer, al menos 18 campamentos activos en las provincias de Santo Domingo y Los Ríos dentro de sus haciendas, no garantiza el acceso a servicios de salud dentro de sus propiedades y no cubrió gastos de salud de ninguno de sus trabajadores.</w:t>
      </w:r>
    </w:p>
    <w:p w:rsidR="0017769C" w:rsidRDefault="0017769C">
      <w:pPr>
        <w:spacing w:before="0" w:after="0"/>
        <w:jc w:val="both"/>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Finalmente, el informe de la Defensoría del Pueblo también advierte que la empresa Furukawa está involucrada en Irregularidades en el Ministerio de Trabajo por actos de corrupción, así como advierte la presunción sobre posibles acciones de defraudaciones tributarias.</w:t>
      </w:r>
    </w:p>
    <w:p w:rsidR="0017769C" w:rsidRDefault="0017769C">
      <w:pPr>
        <w:spacing w:before="0" w:after="0"/>
        <w:jc w:val="both"/>
        <w:rPr>
          <w:rFonts w:ascii="ArialMT" w:eastAsia="ArialMT" w:hAnsi="ArialMT" w:cs="ArialMT"/>
          <w:sz w:val="22"/>
          <w:szCs w:val="22"/>
        </w:rPr>
      </w:pPr>
    </w:p>
    <w:p w:rsidR="0017769C" w:rsidRDefault="00704530">
      <w:pPr>
        <w:pStyle w:val="Ttulo1"/>
        <w:spacing w:before="0" w:after="0"/>
        <w:ind w:left="0" w:firstLine="0"/>
        <w:jc w:val="both"/>
        <w:rPr>
          <w:b/>
          <w:sz w:val="24"/>
          <w:szCs w:val="24"/>
        </w:rPr>
      </w:pPr>
      <w:r>
        <w:rPr>
          <w:b/>
          <w:sz w:val="24"/>
          <w:szCs w:val="24"/>
        </w:rPr>
        <w:t>RESPUESTAS IMPRECISAS Y ENGAÑOSAS DEL GOBIERNO Y LA EMPRESA ANTE INSTANCIAS ESPECIALES DEL CONSEJO DE DERECHOS HUMANOS</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Tenemos conocimiento que la Defensoría del Pueblo de Ecuador remitió el informe de verificación de derechos humanos de 18 de febrero de 2019 a la </w:t>
      </w:r>
      <w:r>
        <w:rPr>
          <w:i/>
          <w:color w:val="000000"/>
        </w:rPr>
        <w:t>Relatora Especial sobre las formas contemporáneas de esclavitud, incluidas sus causas y consecuencias</w:t>
      </w:r>
      <w:r>
        <w:rPr>
          <w:color w:val="000000"/>
        </w:rPr>
        <w:t xml:space="preserve">. En respuesta, </w:t>
      </w:r>
      <w:r>
        <w:rPr>
          <w:b/>
          <w:color w:val="000000"/>
        </w:rPr>
        <w:t>el 3 de abril de 2019, un total de 9 procedimientos especiales del Consejo de Derechos Humanos solicitaron a</w:t>
      </w:r>
      <w:r>
        <w:rPr>
          <w:b/>
        </w:rPr>
        <w:t>l</w:t>
      </w:r>
      <w:r>
        <w:rPr>
          <w:b/>
          <w:color w:val="000000"/>
        </w:rPr>
        <w:t xml:space="preserve"> </w:t>
      </w:r>
      <w:r>
        <w:rPr>
          <w:b/>
        </w:rPr>
        <w:t>G</w:t>
      </w:r>
      <w:r>
        <w:rPr>
          <w:b/>
          <w:color w:val="000000"/>
        </w:rPr>
        <w:t>obiernos de Ecuador y  Japón (como al representante legal de la empresa Furukawa), información respecto a este grave caso de servidumbre de la gleba</w:t>
      </w:r>
      <w:r>
        <w:rPr>
          <w:b/>
        </w:rPr>
        <w:t xml:space="preserve"> (</w:t>
      </w:r>
      <w:r>
        <w:rPr>
          <w:b/>
          <w:color w:val="000000"/>
        </w:rPr>
        <w:t>forma contemporánea de esclavitud prohibida internacionalmente hace décadas)</w:t>
      </w:r>
      <w:r>
        <w:rPr>
          <w:color w:val="000000"/>
        </w:rPr>
        <w:t>.</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En específico, estos mecanismos requirieron al Estado </w:t>
      </w:r>
      <w:r>
        <w:t>e</w:t>
      </w:r>
      <w:r>
        <w:rPr>
          <w:color w:val="000000"/>
        </w:rPr>
        <w:t>cuatoriano indicar las medidas adoptadas para eliminar la explotación laboral y el trabajo forzoso en la empresa Furukawa, así como las adoptadas para asegurar condiciones de vida dignas a las personas que viven en las haciendas (agua, alimentación, saneamiento), para evitar que la empresa interfiera en su derecho a la salud, asegurar su derecho a la identificación por parte del registro civil, acceso a la educación gratuita, para regularizar las relaciones laborales y medidas para evitar desalojos forzosos, para eliminar el trabajo infantil, así como las medidas de rehabilitación y reintegración social de los individuos que han salido de las haciendas y desean rehacer su vida en la sociedad.</w:t>
      </w:r>
    </w:p>
    <w:p w:rsidR="0017769C" w:rsidRDefault="0017769C">
      <w:pPr>
        <w:pBdr>
          <w:top w:val="nil"/>
          <w:left w:val="nil"/>
          <w:bottom w:val="nil"/>
          <w:right w:val="nil"/>
          <w:between w:val="nil"/>
        </w:pBdr>
        <w:spacing w:before="0" w:after="0"/>
        <w:jc w:val="both"/>
        <w:rPr>
          <w:i/>
          <w:color w:val="000000"/>
          <w:u w:val="single"/>
        </w:rPr>
      </w:pPr>
    </w:p>
    <w:p w:rsidR="0017769C" w:rsidRDefault="00704530">
      <w:pPr>
        <w:pBdr>
          <w:top w:val="nil"/>
          <w:left w:val="nil"/>
          <w:bottom w:val="nil"/>
          <w:right w:val="nil"/>
          <w:between w:val="nil"/>
        </w:pBdr>
        <w:spacing w:before="0" w:after="0"/>
        <w:jc w:val="both"/>
        <w:rPr>
          <w:color w:val="000000"/>
        </w:rPr>
      </w:pPr>
      <w:r>
        <w:rPr>
          <w:i/>
          <w:color w:val="000000"/>
          <w:u w:val="single"/>
        </w:rPr>
        <w:t xml:space="preserve"> </w:t>
      </w:r>
      <w:r>
        <w:rPr>
          <w:i/>
          <w:u w:val="single"/>
        </w:rPr>
        <w:t>R</w:t>
      </w:r>
      <w:r>
        <w:rPr>
          <w:i/>
          <w:color w:val="000000"/>
          <w:u w:val="single"/>
        </w:rPr>
        <w:t>espuesta del Estado</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El </w:t>
      </w:r>
      <w:r>
        <w:t>G</w:t>
      </w:r>
      <w:r>
        <w:rPr>
          <w:color w:val="000000"/>
        </w:rPr>
        <w:t xml:space="preserve">obierno de Ecuador respondió el 2 de junio de 2019. En síntesis, en su carta oficial de respuesta no ha negado los hechos denunciados y verificados, no sólo por la Defensoría del Pueblo, sino por el conjunto de instituciones del Estado que ingresaron a sus campamentos en el marco de múltiples inspecciones laborales durante los años 2018 y 2019. Informa que, como resultado de esas inspecciones, se han impuesto sanciones y se ha intervenido la empresa Furukawa para neutralizar y sancionar las violaciones cometidas . Sin embargo, </w:t>
      </w:r>
      <w:r>
        <w:rPr>
          <w:b/>
          <w:color w:val="000000"/>
        </w:rPr>
        <w:t>la respuesta del Gobierno y la empresa son inexactas y engañosas y evidencia tolerancia a la servidumbre de trabajadores agrícolas</w:t>
      </w:r>
      <w:r>
        <w:t>, como se describe a continuación.</w:t>
      </w:r>
    </w:p>
    <w:p w:rsidR="0017769C" w:rsidRDefault="0017769C">
      <w:pPr>
        <w:pBdr>
          <w:top w:val="nil"/>
          <w:left w:val="nil"/>
          <w:bottom w:val="nil"/>
          <w:right w:val="nil"/>
          <w:between w:val="nil"/>
        </w:pBdr>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Así, de las respuestas enviadas por el Gobierno se desprende que solamente se habrían generado sanciones administrativas a pesar de que el propio Ministerio del Trabajo, entre el 15 de febrero y el 6 de marzo emitió resoluciones donde verificó varios incumplimientos laborales, intermediación laboral y trabajo infantil y como resultado dispuso la suspensión de actividades y el cierre de la empresa, es decir, que la autoridad nacional para la regulación y el control del trabajo ha sancionado a la empresa por violar derechos humanos expresamente reconocidos en la Constitución del Ecuador, sobre todo los derechos a la vida digna, la libertad y la integridad y el ejercicio de varios derechos económicos, sociales y culturales.</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lastRenderedPageBreak/>
        <w:t>Sin embargo, es alarmante que pese a los hechos verificados y sin haberse e</w:t>
      </w:r>
      <w:r>
        <w:t xml:space="preserve">fectuado por parte de la empresa o el Estado </w:t>
      </w:r>
      <w:r>
        <w:rPr>
          <w:color w:val="000000"/>
        </w:rPr>
        <w:t xml:space="preserve">ninguna reparación por las </w:t>
      </w:r>
      <w:r>
        <w:t xml:space="preserve">violaciones a los </w:t>
      </w:r>
      <w:r>
        <w:rPr>
          <w:color w:val="000000"/>
        </w:rPr>
        <w:t xml:space="preserve">derechos </w:t>
      </w:r>
      <w:r>
        <w:t>cometidas</w:t>
      </w:r>
      <w:r>
        <w:rPr>
          <w:color w:val="000000"/>
        </w:rPr>
        <w:t>, el Ministerio del Tra</w:t>
      </w:r>
      <w:r>
        <w:t xml:space="preserve">bajo autorizó </w:t>
      </w:r>
      <w:r>
        <w:rPr>
          <w:color w:val="000000"/>
        </w:rPr>
        <w:t>el 24 de abril y el 7 de mayo de 2019 la reapertura de la empresa</w:t>
      </w:r>
      <w:r>
        <w:t xml:space="preserve">. </w:t>
      </w:r>
      <w:r>
        <w:rPr>
          <w:color w:val="000000"/>
        </w:rPr>
        <w:t>Desde esa fecha, la empresa ha demolido varios de los campamentos (destrucción de evidencias) dentro de las haciendas, único lugar de residencia de cientos de familias y actual sitio de residencia de unas pocas que se han negado a salir de ahí.</w:t>
      </w:r>
    </w:p>
    <w:p w:rsidR="0017769C" w:rsidRDefault="0017769C">
      <w:pPr>
        <w:pBdr>
          <w:top w:val="nil"/>
          <w:left w:val="nil"/>
          <w:bottom w:val="nil"/>
          <w:right w:val="nil"/>
          <w:between w:val="nil"/>
        </w:pBdr>
        <w:spacing w:before="0" w:after="0"/>
        <w:ind w:left="1152"/>
        <w:jc w:val="both"/>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t xml:space="preserve">En este contexto, es importante denunciar la posible captura corporativa del Estado ecuatoriano frente a este caso, dado </w:t>
      </w:r>
      <w:r>
        <w:tab/>
        <w:t xml:space="preserve">que ha cedido a las presiones de la Federación Ecuatoriana de Exportadores (FEDEXPOR), cuando </w:t>
      </w:r>
      <w:r w:rsidR="00AB7F73">
        <w:t>esta</w:t>
      </w:r>
      <w:r>
        <w:t xml:space="preserve"> entidad privada representante de las cámaras empresariales solicitó, mediante una misiva del 23 de abril, el favorecer a Furukawa Plantaciones C.A. Esta comunicación estuvo dirigida a los Ministros de Trabajo, del Interior y de Producción y Comercio Exterior.</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Sobre la mesa de negociación de d</w:t>
      </w:r>
      <w:r>
        <w:t>erechos</w:t>
      </w:r>
      <w:r>
        <w:rPr>
          <w:color w:val="000000"/>
        </w:rPr>
        <w:t xml:space="preserve"> </w:t>
      </w:r>
      <w:r>
        <w:t xml:space="preserve">instalada por la Secretaría de la Política, </w:t>
      </w:r>
      <w:r>
        <w:rPr>
          <w:color w:val="000000"/>
        </w:rPr>
        <w:t>se informa que la empresa Furukawa presionó a la asociación amarilla Esperanza por Un Nuevo Amanecer (que al momento agrupa a un número minoritario de 63 trabajadores) a aceptar un contrato de comodato de una de sus haciendas como supuesta forma de reparación que consiste en: trabajar cosechando fibra de abacá y venderla exclusivamente a la empresa con la condición de que renuncien a cualquier otra reclamación, es decir a sus derechos humanos a una vida digna y en libertad. Hasta llegó a prohibir hacer público las cláusulas del acuerdo a riesgo de ser anulado.</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Al respecto informamos que tanto el CDES, como la Comisión Ecuménica de Derechos Humanos recibieron información proporcionada por la Secretaría Nacional de Gestión de la Política (ahora Ministerio de Gobierno) sobre el registro de un total de 1244 personas viviendo dentro de las haciendas de Furukawa y el MIES informó haber realizado 294 registros sociales (uno por familia) para determinar la pertinencia de acceso a bonos. Por lo que el número de personas afectadas supera al que el Estado Ecuatoriano ha reconocido en su carta de respuesta remitida a los procedimientos especiales como víctimas en este caso. Sólo la CEDHU, CDES y la Coordinadora Nacional Campesina representan, en este momento, a un total de 103 trabajadores afectados y sus familias.</w:t>
      </w:r>
    </w:p>
    <w:p w:rsidR="0017769C" w:rsidRDefault="0017769C">
      <w:pPr>
        <w:pBdr>
          <w:top w:val="nil"/>
          <w:left w:val="nil"/>
          <w:bottom w:val="nil"/>
          <w:right w:val="nil"/>
          <w:between w:val="nil"/>
        </w:pBdr>
        <w:spacing w:before="0" w:after="0"/>
        <w:jc w:val="both"/>
        <w:rPr>
          <w:i/>
          <w:color w:val="000000"/>
          <w:u w:val="single"/>
        </w:rPr>
      </w:pPr>
    </w:p>
    <w:p w:rsidR="0017769C" w:rsidRDefault="00704530">
      <w:pPr>
        <w:pBdr>
          <w:top w:val="nil"/>
          <w:left w:val="nil"/>
          <w:bottom w:val="nil"/>
          <w:right w:val="nil"/>
          <w:between w:val="nil"/>
        </w:pBdr>
        <w:spacing w:before="0" w:after="0"/>
        <w:jc w:val="both"/>
        <w:rPr>
          <w:i/>
          <w:u w:val="single"/>
        </w:rPr>
      </w:pPr>
      <w:r>
        <w:rPr>
          <w:i/>
          <w:u w:val="single"/>
        </w:rPr>
        <w:lastRenderedPageBreak/>
        <w:t>R</w:t>
      </w:r>
      <w:r>
        <w:rPr>
          <w:i/>
          <w:color w:val="000000"/>
          <w:u w:val="single"/>
        </w:rPr>
        <w:t xml:space="preserve">espuesta de Furukawa Plantaciones C.A. del Ecuador </w:t>
      </w:r>
    </w:p>
    <w:p w:rsidR="0017769C" w:rsidRDefault="0017769C">
      <w:pPr>
        <w:pBdr>
          <w:top w:val="nil"/>
          <w:left w:val="nil"/>
          <w:bottom w:val="nil"/>
          <w:right w:val="nil"/>
          <w:between w:val="nil"/>
        </w:pBdr>
        <w:spacing w:before="0" w:after="0"/>
        <w:jc w:val="both"/>
        <w:rPr>
          <w:i/>
          <w:u w:val="single"/>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Por otra parte, llamamos con firmeza la atención del Comité DESC respecto de la respuesta enviada por la empresa Furukawa Plantaciones C.A. del Ecuador el 31 de mayo de 2019. En ella, la empresa afirma que la situación de los arrendatarios dentro de sus haciendas para configurar la intermediación laboral, verificada por el Ministerio del Trabajo, sucede recién desde 2018 y pretende alegar que quienes viven y trabajan para dicha empresa cosechando abacá serían supuestos invasores, grupos violentos y delictivos. Insiste en que no se trata de sus trabajadores sino de proveedores. También afirma que existen estructuras de madera construidas por estas personas cuando lo que en realidad existe son campamentos de cemento y techo de zinc, que por su mal estado fácilmente se evidencia tienen décadas de ser construidos y han sido especialmente construidos para la cosecha de abacá, varios de ellos pintados con los colores de la empresa Furukawa.</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En dicha comunicación reconoce haber presentado una denuncia penal contra el señor Walter Sánchez, sin embargo, meses después ha firmado con él, en representación de un grupo de 67 trabajadores, un “acuerdo” para entregar en comodato una hacienda a condición de que renuncien a otras reclamaciones por sus derechos y que le vendan la fibra de abacá sólo a Furukawa como supuesta forma de reparación. Es decir, primero es lo criminaliza y luego lo ha convertido en vehículo para suscribir un acuerdo inconstitucional de renuncia de derechos humanos. También niega “rotundamente” la existencia de trabajo infantil y niega haber sido sancionada por estos hechos, pese a que el Estado Ecuatoriano lo ha verificado, sancionado y reconocido en su respuesta.</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Luego, respecto del ejercicio del conjunto de derechos económicos, sociales y culturales, la empresa se deslinda de responsabilidad al afirmar que esa es competencia del Estado Ecuatoriano, sin tomar en cuenta que la gente vive y trabaja en campamentos construidos por la empresa que no cuentan con agua, saneamiento ambiental ni luz eléctrica. Es decir, permite que se coseche fibra de abacá en sus tierras, la compra, se dedica exclusivamente a cosechar y exportar la fibra de abacá y sin embargo en sus campamentos no hay elementales servicios básicos.</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lastRenderedPageBreak/>
        <w:t>La empresa en su carta también expresa acusaciones contra la Defensoría del Pueblo a raíz del informe de verificación de derechos humanos que, como lo ha informado el propio Estado, se hizo en cumplimiento de sus obligaciones constitucionales de protección de derechos humanos y durante el acompañamiento a las inspecciones laborales realizadas por el Ministerio del Trabajo y de los informes remitidos por varias instituciones del Estado.</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Finalmente, ha pretendido deslegitimar a las organizaciones de derechos humanos CDES y CEDHU, en nuestro legítimo derecho a defender derechos humanos y que estamos acompañando este caso para proteger los derechos humanos vulnerados de las personas afectadas.</w:t>
      </w:r>
    </w:p>
    <w:p w:rsidR="0017769C" w:rsidRDefault="0017769C">
      <w:pPr>
        <w:pBdr>
          <w:top w:val="nil"/>
          <w:left w:val="nil"/>
          <w:bottom w:val="nil"/>
          <w:right w:val="nil"/>
          <w:between w:val="nil"/>
        </w:pBdr>
        <w:spacing w:before="0" w:after="0"/>
        <w:jc w:val="both"/>
        <w:rPr>
          <w:i/>
          <w:color w:val="000000"/>
          <w:u w:val="single"/>
        </w:rPr>
      </w:pPr>
    </w:p>
    <w:p w:rsidR="0017769C" w:rsidRDefault="00704530">
      <w:pPr>
        <w:pBdr>
          <w:top w:val="nil"/>
          <w:left w:val="nil"/>
          <w:bottom w:val="nil"/>
          <w:right w:val="nil"/>
          <w:between w:val="nil"/>
        </w:pBdr>
        <w:spacing w:before="0" w:after="0"/>
        <w:jc w:val="both"/>
        <w:rPr>
          <w:i/>
          <w:color w:val="000000"/>
          <w:u w:val="single"/>
        </w:rPr>
      </w:pPr>
      <w:r>
        <w:rPr>
          <w:i/>
          <w:color w:val="000000"/>
          <w:u w:val="single"/>
        </w:rPr>
        <w:t xml:space="preserve"> </w:t>
      </w:r>
      <w:r>
        <w:rPr>
          <w:i/>
          <w:u w:val="single"/>
        </w:rPr>
        <w:t>R</w:t>
      </w:r>
      <w:r>
        <w:rPr>
          <w:i/>
          <w:color w:val="000000"/>
          <w:u w:val="single"/>
        </w:rPr>
        <w:t xml:space="preserve">espuesta del </w:t>
      </w:r>
      <w:r>
        <w:rPr>
          <w:i/>
          <w:u w:val="single"/>
        </w:rPr>
        <w:t>G</w:t>
      </w:r>
      <w:r>
        <w:rPr>
          <w:i/>
          <w:color w:val="000000"/>
          <w:u w:val="single"/>
        </w:rPr>
        <w:t>obierno de Japón</w:t>
      </w:r>
    </w:p>
    <w:p w:rsidR="0017769C" w:rsidRDefault="0017769C">
      <w:pPr>
        <w:pBdr>
          <w:top w:val="nil"/>
          <w:left w:val="nil"/>
          <w:bottom w:val="nil"/>
          <w:right w:val="nil"/>
          <w:between w:val="nil"/>
        </w:pBdr>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Para finalizar, llamamos la atención del Comité DESC por la débil respuesta emitida por el gobierno de Japón el 13 de junio de 2019, que ha pretendido deslindar de responsabilidad a la empresa FPC Marketing Co. Ltd. pese a ser la propietaria del 100% de acciones de Furukawa Plantaciones C.A. del Ecuador y resolver sobre asuntos de gestión de la compañía, el desempeño general anual de la empresa y asignar presupuestos basados ​​en los planes presentados los representantes de la empresa.</w:t>
      </w:r>
    </w:p>
    <w:p w:rsidR="0017769C" w:rsidRDefault="0017769C">
      <w:pPr>
        <w:pBdr>
          <w:top w:val="nil"/>
          <w:left w:val="nil"/>
          <w:bottom w:val="nil"/>
          <w:right w:val="nil"/>
          <w:between w:val="nil"/>
        </w:pBdr>
        <w:spacing w:before="0" w:after="0"/>
        <w:jc w:val="both"/>
        <w:rPr>
          <w:color w:val="000000"/>
        </w:rPr>
      </w:pPr>
    </w:p>
    <w:p w:rsidR="0017769C" w:rsidRDefault="00704530">
      <w:pPr>
        <w:pBdr>
          <w:top w:val="nil"/>
          <w:left w:val="nil"/>
          <w:bottom w:val="nil"/>
          <w:right w:val="nil"/>
          <w:between w:val="nil"/>
        </w:pBdr>
        <w:spacing w:before="0" w:after="0"/>
        <w:jc w:val="both"/>
        <w:rPr>
          <w:b/>
          <w:color w:val="000000"/>
        </w:rPr>
      </w:pPr>
      <w:r>
        <w:rPr>
          <w:b/>
        </w:rPr>
        <w:t>T</w:t>
      </w:r>
      <w:r>
        <w:rPr>
          <w:b/>
          <w:color w:val="000000"/>
        </w:rPr>
        <w:t>olera</w:t>
      </w:r>
      <w:r>
        <w:rPr>
          <w:b/>
        </w:rPr>
        <w:t xml:space="preserve">ncia del Estado ecuatoriano a las formas de </w:t>
      </w:r>
      <w:r>
        <w:rPr>
          <w:b/>
          <w:color w:val="000000"/>
        </w:rPr>
        <w:t xml:space="preserve">servidumbre de trabajadores agrícolas </w:t>
      </w:r>
    </w:p>
    <w:p w:rsidR="0017769C" w:rsidRDefault="0017769C">
      <w:pPr>
        <w:pBdr>
          <w:top w:val="nil"/>
          <w:left w:val="nil"/>
          <w:bottom w:val="nil"/>
          <w:right w:val="nil"/>
          <w:between w:val="nil"/>
        </w:pBdr>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Es relevante destacar que el Consejo de Derechos Humanos haya tomado acciones inmediatas a través de varios procedimientos especiales y de acuerdo a sus respectivos mandatos, no obstante nos parece pertinente señalar que, pese a que el Estado Ecuatoriano afirma haber intervenido oportunamente para neutralizar las violaciones cometidas por la empresa, de la lectura integral de las respuestas remitidas por el Estado y la Furukawa, se desprende que en el mes de abril, después del pago de las multas el gobierno ecuatoriano levantó la suspensión de actividades permitiendo que la empresa siga con sus actividades de cosecha y exportación de abacá, pese a haber constatado la intermediación laboral y el trabajo infantil en todas sus haciendas en las provincias de Santo Domingo, Los Ríos y Esmeraldas.</w:t>
      </w:r>
    </w:p>
    <w:p w:rsidR="0017769C" w:rsidRDefault="0017769C">
      <w:pPr>
        <w:pBdr>
          <w:top w:val="nil"/>
          <w:left w:val="nil"/>
          <w:bottom w:val="nil"/>
          <w:right w:val="nil"/>
          <w:between w:val="nil"/>
        </w:pBdr>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Así, esta empresa ecuatoriana, de propiedad de otra de origen japonés, ha sido objeto tan sólo de una suspensión temporal de 60 días (18 de febrero a 23 de abril de 2019), y desde entonces está operando con autorización del Estado Ecuatoriano, pese a haber verificado intermediación laboral y trabajo infantil, con lo que no se ha garantizado la reparación integral a las familias afectadas.</w:t>
      </w:r>
    </w:p>
    <w:p w:rsidR="0017769C" w:rsidRDefault="0017769C">
      <w:pPr>
        <w:pBdr>
          <w:top w:val="nil"/>
          <w:left w:val="nil"/>
          <w:bottom w:val="nil"/>
          <w:right w:val="nil"/>
          <w:between w:val="nil"/>
        </w:pBdr>
        <w:spacing w:before="0" w:after="0"/>
        <w:jc w:val="both"/>
      </w:pPr>
    </w:p>
    <w:p w:rsidR="0017769C" w:rsidRDefault="00704530">
      <w:pPr>
        <w:pBdr>
          <w:top w:val="nil"/>
          <w:left w:val="nil"/>
          <w:bottom w:val="nil"/>
          <w:right w:val="nil"/>
          <w:between w:val="nil"/>
        </w:pBdr>
        <w:spacing w:before="0" w:after="0"/>
        <w:jc w:val="both"/>
        <w:rPr>
          <w:i/>
          <w:u w:val="single"/>
        </w:rPr>
      </w:pPr>
      <w:r>
        <w:rPr>
          <w:i/>
          <w:u w:val="single"/>
        </w:rPr>
        <w:t>Nuevas vulneraciones de derechos por desalojos y acuerdos extrajudiciales</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 xml:space="preserve">Después de la respuesta al Consejo de Derechos Humanos de Naciones Unidas, se han acumulado otras irregularidades: el Gobierno le ha permitido a Furukawa la destrucción de campamentos donde vivían y trabajan las familias vulneradas. Esto equivale a eliminar evidencias y agrava la situación humanitaria de las familias que fueron desalojadas sin tener la oportunidad de asegurar su vivienda, ni de recibir compensación económica alguna. </w:t>
      </w:r>
      <w:r>
        <w:t xml:space="preserve">Debido a que estos desalojos se realizaron sin notificar a las autoridades, se desconoce el paradero y la situación de las personas desalojadas. </w:t>
      </w:r>
      <w:r>
        <w:rPr>
          <w:color w:val="000000"/>
        </w:rPr>
        <w:t xml:space="preserve">Muchas de estas familias enfrentan una preocupante situación por falta de vivienda e ingresos. </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bookmarkStart w:id="1" w:name="_gjdgxs" w:colFirst="0" w:colLast="0"/>
      <w:bookmarkEnd w:id="1"/>
      <w:r>
        <w:rPr>
          <w:color w:val="000000"/>
        </w:rPr>
        <w:t xml:space="preserve">El Gobierno también ha tolerado el establecimiento de negociaciones extrajudiciales entre la Furukawa y sus trabajadores donde se les presiona a recibir compensaciones económicas irrisorias a cambio de que los trabajadores y trabajadoras firmen cláusulas de renuncia a derechos laborales y renuncias a tomar acciones judiciales futuras. Cabe mencionar que la mayoría de las familias de Furukawa son analfabetas y desconocen los papeles que les obligan firmar. </w:t>
      </w:r>
    </w:p>
    <w:p w:rsidR="0017769C" w:rsidRDefault="0017769C">
      <w:pPr>
        <w:pBdr>
          <w:top w:val="nil"/>
          <w:left w:val="nil"/>
          <w:bottom w:val="nil"/>
          <w:right w:val="nil"/>
          <w:between w:val="nil"/>
        </w:pBdr>
        <w:spacing w:before="0" w:after="0"/>
        <w:ind w:hanging="72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rPr>
          <w:color w:val="000000"/>
        </w:rPr>
      </w:pPr>
      <w:r>
        <w:rPr>
          <w:color w:val="000000"/>
        </w:rPr>
        <w:t>El Gobierno también ha permitido la firma de acuerdos irregulares</w:t>
      </w:r>
      <w:r>
        <w:t>,</w:t>
      </w:r>
      <w:r>
        <w:rPr>
          <w:color w:val="000000"/>
        </w:rPr>
        <w:t xml:space="preserve"> tolerado de ese modo un caso en el que, con el propio Estado ha verificado las condiciones de servidumbre en la que por décadas han estado sometidas estas familias dentro de las haciendas de Furukawa, y; que en la práctica permite a la empresa seguir operando en total impunidad.</w:t>
      </w:r>
    </w:p>
    <w:p w:rsidR="0017769C" w:rsidRDefault="0017769C">
      <w:pPr>
        <w:pBdr>
          <w:top w:val="nil"/>
          <w:left w:val="nil"/>
          <w:bottom w:val="nil"/>
          <w:right w:val="nil"/>
          <w:between w:val="nil"/>
        </w:pBdr>
        <w:spacing w:before="0" w:after="0"/>
        <w:ind w:left="1152"/>
        <w:jc w:val="both"/>
      </w:pPr>
    </w:p>
    <w:p w:rsidR="0017769C" w:rsidRDefault="00704530">
      <w:pPr>
        <w:numPr>
          <w:ilvl w:val="0"/>
          <w:numId w:val="1"/>
        </w:numPr>
        <w:pBdr>
          <w:top w:val="nil"/>
          <w:left w:val="nil"/>
          <w:bottom w:val="nil"/>
          <w:right w:val="nil"/>
          <w:between w:val="nil"/>
        </w:pBdr>
        <w:spacing w:before="0" w:after="0"/>
        <w:ind w:left="0" w:firstLine="0"/>
        <w:jc w:val="both"/>
      </w:pPr>
      <w:r>
        <w:t xml:space="preserve">Después de más de 6 meses, el 3 de septiembre se concedieron Medidas de Protección a 103 trabajadores y trabajadoras de Furukawa, medidas entregadas por el juez Mentor Tapia de una corte de la provincia de Santo Domingo, atendiendo a la solicitud </w:t>
      </w:r>
      <w:r>
        <w:lastRenderedPageBreak/>
        <w:t>de las familias afectadas para que se los proteja de actos de amenaza, acoso e intimidación de funcionarios de la empresa Furukawa para que firmen documentos y desalojen los campamentos.</w:t>
      </w:r>
    </w:p>
    <w:p w:rsidR="0017769C" w:rsidRDefault="0017769C">
      <w:pPr>
        <w:pBdr>
          <w:top w:val="nil"/>
          <w:left w:val="nil"/>
          <w:bottom w:val="nil"/>
          <w:right w:val="nil"/>
          <w:between w:val="nil"/>
        </w:pBdr>
        <w:spacing w:before="0" w:after="0"/>
        <w:ind w:hanging="720"/>
        <w:jc w:val="both"/>
        <w:rPr>
          <w:color w:val="000000"/>
        </w:rPr>
      </w:pPr>
    </w:p>
    <w:p w:rsidR="0017769C" w:rsidRDefault="00704530">
      <w:pPr>
        <w:pStyle w:val="Ttulo1"/>
        <w:spacing w:before="0" w:after="0"/>
        <w:ind w:left="0" w:firstLine="0"/>
        <w:rPr>
          <w:b/>
          <w:sz w:val="24"/>
          <w:szCs w:val="24"/>
        </w:rPr>
      </w:pPr>
      <w:r>
        <w:rPr>
          <w:b/>
          <w:sz w:val="24"/>
          <w:szCs w:val="24"/>
        </w:rPr>
        <w:t>Recomendaciones</w:t>
      </w:r>
    </w:p>
    <w:p w:rsidR="0017769C" w:rsidRDefault="0017769C">
      <w:pPr>
        <w:pBdr>
          <w:top w:val="nil"/>
          <w:left w:val="nil"/>
          <w:bottom w:val="nil"/>
          <w:right w:val="nil"/>
          <w:between w:val="nil"/>
        </w:pBdr>
        <w:shd w:val="clear" w:color="auto" w:fill="FFFFFF"/>
        <w:spacing w:before="0" w:after="0"/>
        <w:rPr>
          <w:rFonts w:ascii="Arial" w:eastAsia="Arial" w:hAnsi="Arial" w:cs="Arial"/>
          <w:color w:val="606569"/>
          <w:sz w:val="21"/>
          <w:szCs w:val="21"/>
        </w:rPr>
      </w:pPr>
    </w:p>
    <w:p w:rsidR="0017769C" w:rsidRDefault="00704530">
      <w:pPr>
        <w:numPr>
          <w:ilvl w:val="0"/>
          <w:numId w:val="1"/>
        </w:numPr>
        <w:pBdr>
          <w:top w:val="nil"/>
          <w:left w:val="nil"/>
          <w:bottom w:val="nil"/>
          <w:right w:val="nil"/>
          <w:between w:val="nil"/>
        </w:pBdr>
        <w:spacing w:before="0" w:after="0"/>
        <w:ind w:left="0" w:firstLine="0"/>
        <w:jc w:val="both"/>
      </w:pPr>
      <w:r>
        <w:t xml:space="preserve">Exhortar </w:t>
      </w:r>
      <w:r>
        <w:rPr>
          <w:color w:val="000000"/>
        </w:rPr>
        <w:t>al Estado e</w:t>
      </w:r>
      <w:r>
        <w:t>cuatoriano</w:t>
      </w:r>
      <w:r>
        <w:rPr>
          <w:color w:val="000000"/>
        </w:rPr>
        <w:t xml:space="preserve"> y particularmente </w:t>
      </w:r>
      <w:r>
        <w:t>al</w:t>
      </w:r>
      <w:r>
        <w:rPr>
          <w:color w:val="000000"/>
        </w:rPr>
        <w:t xml:space="preserve"> </w:t>
      </w:r>
      <w:r>
        <w:t>E</w:t>
      </w:r>
      <w:r>
        <w:rPr>
          <w:color w:val="000000"/>
        </w:rPr>
        <w:t>jecutiv</w:t>
      </w:r>
      <w:r>
        <w:t>o</w:t>
      </w:r>
      <w:r>
        <w:rPr>
          <w:color w:val="000000"/>
        </w:rPr>
        <w:t xml:space="preserve">, a realizar acciones contundentes para reparar los derechos de los hombres y mujeres, niños y adultos mayores, que fueron víctimas de condiciones análogas a la esclavitud. Estas deberían ser acciones de reparación integral de derechos humanos. En ese sentido las sanciones </w:t>
      </w:r>
      <w:r>
        <w:rPr>
          <w:i/>
          <w:color w:val="000000"/>
        </w:rPr>
        <w:t>administrativas</w:t>
      </w:r>
      <w:r>
        <w:rPr>
          <w:color w:val="000000"/>
        </w:rPr>
        <w:t xml:space="preserve"> no son suficientes, ni corresponden a la gravedad de las violaciones realizadas por empresas esclavizadoras.</w:t>
      </w:r>
    </w:p>
    <w:p w:rsidR="0017769C" w:rsidRDefault="0017769C">
      <w:pPr>
        <w:pBdr>
          <w:top w:val="nil"/>
          <w:left w:val="nil"/>
          <w:bottom w:val="nil"/>
          <w:right w:val="nil"/>
          <w:between w:val="nil"/>
        </w:pBdr>
        <w:shd w:val="clear" w:color="auto" w:fill="FFFFFF"/>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pPr>
      <w:r>
        <w:t>Solicitar al Estado ecuatoriano atender de forma inmediata las recomendaciones realizadas por la Defensoría del Pueblo en el informe defensorial del 18 de febrero del 2019, incorporando acciones urgentes para proteger los derechos vinculados a la salud, educación, saneamiento, derecho a la identidad y la asistencia humanitaria, sobre todo para asistir a las familias que después de la denuncia realizada contra la empresa, no cuentan con ingresos, ni vivienda y carecen de alimentación suficiente.</w:t>
      </w:r>
    </w:p>
    <w:p w:rsidR="0017769C" w:rsidRDefault="0017769C">
      <w:pPr>
        <w:pBdr>
          <w:top w:val="nil"/>
          <w:left w:val="nil"/>
          <w:bottom w:val="nil"/>
          <w:right w:val="nil"/>
          <w:between w:val="nil"/>
        </w:pBdr>
        <w:shd w:val="clear" w:color="auto" w:fill="FFFFFF"/>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pPr>
      <w:r>
        <w:t>Demandar al Estado ecuatoriano</w:t>
      </w:r>
      <w:r>
        <w:rPr>
          <w:color w:val="000000"/>
        </w:rPr>
        <w:t xml:space="preserve"> abandonar medidas que por acción u omisión favorezcan a la empresa Furukawa Plantaciones C.A. Principalmente, entre ellas: solicitamos que el Ministerio de Trabajo deslegitime las negociaci</w:t>
      </w:r>
      <w:r>
        <w:t>ones</w:t>
      </w:r>
      <w:r>
        <w:rPr>
          <w:color w:val="000000"/>
        </w:rPr>
        <w:t xml:space="preserve"> desequilibradas y </w:t>
      </w:r>
      <w:r>
        <w:t xml:space="preserve">a presión </w:t>
      </w:r>
      <w:r>
        <w:rPr>
          <w:color w:val="000000"/>
        </w:rPr>
        <w:t>entre la empresa Furukawa y los trabajadores y trabajadoras, donde se les pide firmar cl</w:t>
      </w:r>
      <w:r>
        <w:t>á</w:t>
      </w:r>
      <w:r>
        <w:rPr>
          <w:color w:val="000000"/>
        </w:rPr>
        <w:t xml:space="preserve">usulas inconstitucionales </w:t>
      </w:r>
      <w:r>
        <w:t>en las que</w:t>
      </w:r>
      <w:r>
        <w:rPr>
          <w:color w:val="000000"/>
        </w:rPr>
        <w:t xml:space="preserve"> renuncian de sus derechos a cambio de compensaciones económicas irrisorias. También solicitar que el Ministerio de Gobierno impida acuerdos irregulares </w:t>
      </w:r>
      <w:r>
        <w:t>y deje de legitimar los mecanismos de negación de</w:t>
      </w:r>
      <w:r>
        <w:rPr>
          <w:color w:val="000000"/>
        </w:rPr>
        <w:t xml:space="preserve"> la empresa, que contribuyen </w:t>
      </w:r>
      <w:r>
        <w:t>a</w:t>
      </w:r>
      <w:r>
        <w:rPr>
          <w:color w:val="000000"/>
        </w:rPr>
        <w:t xml:space="preserve"> generar un ambiente de conflicto e intimidación de las víctimas y </w:t>
      </w:r>
      <w:r>
        <w:t>a</w:t>
      </w:r>
      <w:r>
        <w:rPr>
          <w:color w:val="000000"/>
        </w:rPr>
        <w:t xml:space="preserve"> los defensores y defensoras de derechos humanos. </w:t>
      </w:r>
    </w:p>
    <w:p w:rsidR="0017769C" w:rsidRDefault="0017769C">
      <w:pPr>
        <w:pBdr>
          <w:top w:val="nil"/>
          <w:left w:val="nil"/>
          <w:bottom w:val="nil"/>
          <w:right w:val="nil"/>
          <w:between w:val="nil"/>
        </w:pBdr>
        <w:shd w:val="clear" w:color="auto" w:fill="FFFFFF"/>
        <w:spacing w:before="0" w:after="0"/>
        <w:jc w:val="both"/>
        <w:rPr>
          <w:color w:val="000000"/>
        </w:rPr>
      </w:pPr>
    </w:p>
    <w:p w:rsidR="001A27A4" w:rsidRPr="001A27A4" w:rsidRDefault="00704530" w:rsidP="001A27A4">
      <w:pPr>
        <w:numPr>
          <w:ilvl w:val="0"/>
          <w:numId w:val="1"/>
        </w:numPr>
        <w:pBdr>
          <w:top w:val="nil"/>
          <w:left w:val="nil"/>
          <w:bottom w:val="nil"/>
          <w:right w:val="nil"/>
          <w:between w:val="nil"/>
        </w:pBdr>
        <w:spacing w:before="0" w:after="0"/>
        <w:ind w:left="0" w:firstLine="0"/>
        <w:jc w:val="both"/>
      </w:pPr>
      <w:r>
        <w:rPr>
          <w:color w:val="000000"/>
        </w:rPr>
        <w:t xml:space="preserve">Solicitamos a la Asamblea Nacional </w:t>
      </w:r>
      <w:r>
        <w:t>que en el ejercicio de</w:t>
      </w:r>
      <w:r>
        <w:rPr>
          <w:color w:val="000000"/>
        </w:rPr>
        <w:t xml:space="preserve"> sus funciones de fiscalización y control político </w:t>
      </w:r>
      <w:r>
        <w:t>se asegure de velar por el</w:t>
      </w:r>
      <w:r>
        <w:rPr>
          <w:color w:val="000000"/>
        </w:rPr>
        <w:t xml:space="preserve"> cumplimiento de las </w:t>
      </w:r>
      <w:r>
        <w:t>obligaciones</w:t>
      </w:r>
      <w:r>
        <w:rPr>
          <w:color w:val="000000"/>
        </w:rPr>
        <w:t xml:space="preserve"> del </w:t>
      </w:r>
      <w:r>
        <w:t>E</w:t>
      </w:r>
      <w:r>
        <w:rPr>
          <w:color w:val="000000"/>
        </w:rPr>
        <w:t xml:space="preserve">jecutivo frente al caso Furukawa, entre sus tareas principales debe impedir que la </w:t>
      </w:r>
      <w:r>
        <w:lastRenderedPageBreak/>
        <w:t>F</w:t>
      </w:r>
      <w:r>
        <w:rPr>
          <w:color w:val="000000"/>
        </w:rPr>
        <w:t xml:space="preserve">unción </w:t>
      </w:r>
      <w:r>
        <w:t>E</w:t>
      </w:r>
      <w:r>
        <w:rPr>
          <w:color w:val="000000"/>
        </w:rPr>
        <w:t>jecutiva ceda a las presiones de c</w:t>
      </w:r>
      <w:r>
        <w:t xml:space="preserve">aptura </w:t>
      </w:r>
      <w:r>
        <w:rPr>
          <w:color w:val="000000"/>
        </w:rPr>
        <w:t>corporativa, tal como sucedió con la Federación Ecuatoriana de Exportadores (FEDEXPOR).</w:t>
      </w:r>
      <w:r w:rsidR="001A27A4">
        <w:rPr>
          <w:color w:val="000000"/>
        </w:rPr>
        <w:t xml:space="preserve"> </w:t>
      </w:r>
    </w:p>
    <w:p w:rsidR="001A27A4" w:rsidRDefault="001A27A4" w:rsidP="001A27A4">
      <w:pPr>
        <w:pStyle w:val="Prrafodelista"/>
        <w:rPr>
          <w:color w:val="000000"/>
        </w:rPr>
      </w:pPr>
    </w:p>
    <w:p w:rsidR="001A27A4" w:rsidRDefault="001A27A4" w:rsidP="001A27A4">
      <w:pPr>
        <w:numPr>
          <w:ilvl w:val="0"/>
          <w:numId w:val="1"/>
        </w:numPr>
        <w:pBdr>
          <w:top w:val="nil"/>
          <w:left w:val="nil"/>
          <w:bottom w:val="nil"/>
          <w:right w:val="nil"/>
          <w:between w:val="nil"/>
        </w:pBdr>
        <w:spacing w:before="0" w:after="0"/>
        <w:ind w:left="0" w:firstLine="0"/>
        <w:jc w:val="both"/>
      </w:pPr>
      <w:r>
        <w:rPr>
          <w:color w:val="000000"/>
        </w:rPr>
        <w:t xml:space="preserve">Así mismo, exhortamos </w:t>
      </w:r>
      <w:r>
        <w:t xml:space="preserve">al Estado ecuatoriano no ceder a presiones corporativas y regirse a cumplir con su más alto nivel de responsabilidades, que es garantizar los derechos humanos, según como rezar el artículo 11, numeral 3 de la Constitución, que están por encima de los intereses comerciales y que por lo tanto, debería condenar acciones como las de la </w:t>
      </w:r>
      <w:r>
        <w:rPr>
          <w:color w:val="000000"/>
        </w:rPr>
        <w:t>Federación Ecuatoriana de Exportadores (FEDEXPOR</w:t>
      </w:r>
      <w:r>
        <w:rPr>
          <w:color w:val="000000"/>
        </w:rPr>
        <w:t xml:space="preserve">), al intentar este gremio privado influencia sobre el Gobierno para favorecer a la empresa esclavizadora </w:t>
      </w:r>
      <w:r>
        <w:rPr>
          <w:color w:val="000000"/>
        </w:rPr>
        <w:t>Furukawa Plantaciones C.A.</w:t>
      </w:r>
    </w:p>
    <w:p w:rsidR="0017769C" w:rsidRDefault="0017769C">
      <w:pPr>
        <w:pBdr>
          <w:top w:val="nil"/>
          <w:left w:val="nil"/>
          <w:bottom w:val="nil"/>
          <w:right w:val="nil"/>
          <w:between w:val="nil"/>
        </w:pBdr>
        <w:shd w:val="clear" w:color="auto" w:fill="FFFFFF"/>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pPr>
      <w:r>
        <w:t>Solicitar al</w:t>
      </w:r>
      <w:r>
        <w:rPr>
          <w:color w:val="000000"/>
        </w:rPr>
        <w:t xml:space="preserve"> Estado reali</w:t>
      </w:r>
      <w:r>
        <w:t>zar</w:t>
      </w:r>
      <w:r>
        <w:rPr>
          <w:color w:val="000000"/>
        </w:rPr>
        <w:t xml:space="preserve"> un examen </w:t>
      </w:r>
      <w:r>
        <w:t xml:space="preserve">sobre </w:t>
      </w:r>
      <w:r>
        <w:rPr>
          <w:color w:val="000000"/>
        </w:rPr>
        <w:t xml:space="preserve">las obligaciones que le corresponden </w:t>
      </w:r>
      <w:r>
        <w:t>sobre</w:t>
      </w:r>
      <w:r>
        <w:rPr>
          <w:color w:val="000000"/>
        </w:rPr>
        <w:t xml:space="preserve"> la eliminación de las condiciones de servidumbre y trabajo forzoso en Ecuador, esto incluiría adopción de política pública </w:t>
      </w:r>
      <w:r>
        <w:t>y</w:t>
      </w:r>
      <w:r>
        <w:rPr>
          <w:color w:val="000000"/>
        </w:rPr>
        <w:t xml:space="preserve"> soluciones para los casos ya detectados y evaluar la existencia de condiciones similares en otras áreas y sectores económicos del país. </w:t>
      </w:r>
    </w:p>
    <w:p w:rsidR="0017769C" w:rsidRDefault="0017769C">
      <w:pPr>
        <w:pBdr>
          <w:top w:val="nil"/>
          <w:left w:val="nil"/>
          <w:bottom w:val="nil"/>
          <w:right w:val="nil"/>
          <w:between w:val="nil"/>
        </w:pBdr>
        <w:shd w:val="clear" w:color="auto" w:fill="FFFFFF"/>
        <w:spacing w:before="0" w:after="0"/>
        <w:jc w:val="both"/>
        <w:rPr>
          <w:color w:val="000000"/>
        </w:rPr>
      </w:pPr>
    </w:p>
    <w:p w:rsidR="0017769C" w:rsidRDefault="00704530">
      <w:pPr>
        <w:numPr>
          <w:ilvl w:val="0"/>
          <w:numId w:val="1"/>
        </w:numPr>
        <w:pBdr>
          <w:top w:val="nil"/>
          <w:left w:val="nil"/>
          <w:bottom w:val="nil"/>
          <w:right w:val="nil"/>
          <w:between w:val="nil"/>
        </w:pBdr>
        <w:spacing w:before="0" w:after="0"/>
        <w:ind w:left="0" w:firstLine="0"/>
        <w:jc w:val="both"/>
      </w:pPr>
      <w:r>
        <w:t>Considerando que en 2010, el informe Sra. Gulnara Shahinian - Relatora especial sobre las formas contemporáneas de la esclavitud de las Naciones Unidas en 2010, advertía que en Ecuador subsisten formas contemporáneas de esclavitud “presentes de modo importante en los sectores primario y terciario de la economía, en ramas de producción como la extracción de oro, las plantaciones de bananas y flores, la extracción de aceite de palma, el servicio doméstico y el sector no estructurado de la economía”, es urgente y prioritario que el Estado ecuatoriano realice una evaluación del verdadero alcance del trabajo forzoso, esclavitud y formas de servidumbre contemporáneas, con especial énfasis en trabajo infantil.</w:t>
      </w:r>
    </w:p>
    <w:p w:rsidR="0017769C" w:rsidRDefault="0017769C">
      <w:pPr>
        <w:pBdr>
          <w:top w:val="nil"/>
          <w:left w:val="nil"/>
          <w:bottom w:val="nil"/>
          <w:right w:val="nil"/>
          <w:between w:val="nil"/>
        </w:pBdr>
        <w:spacing w:before="0" w:after="0"/>
        <w:ind w:left="1152"/>
        <w:jc w:val="both"/>
        <w:rPr>
          <w:color w:val="000000"/>
        </w:rPr>
      </w:pPr>
    </w:p>
    <w:sectPr w:rsidR="0017769C">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6939" w:rsidRDefault="00C16939">
      <w:pPr>
        <w:spacing w:before="0" w:after="0" w:line="240" w:lineRule="auto"/>
      </w:pPr>
      <w:r>
        <w:separator/>
      </w:r>
    </w:p>
  </w:endnote>
  <w:endnote w:type="continuationSeparator" w:id="0">
    <w:p w:rsidR="00C16939" w:rsidRDefault="00C1693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MT">
    <w:altName w:val="Arial"/>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498161012"/>
      <w:docPartObj>
        <w:docPartGallery w:val="Page Numbers (Bottom of Page)"/>
        <w:docPartUnique/>
      </w:docPartObj>
    </w:sdtPr>
    <w:sdtEndPr>
      <w:rPr>
        <w:rStyle w:val="Nmerodepgina"/>
      </w:rPr>
    </w:sdtEndPr>
    <w:sdtContent>
      <w:p w:rsidR="00AA4CE1" w:rsidRDefault="00AA4CE1" w:rsidP="00744B39">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AA4CE1" w:rsidRDefault="00AA4C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655749300"/>
      <w:docPartObj>
        <w:docPartGallery w:val="Page Numbers (Bottom of Page)"/>
        <w:docPartUnique/>
      </w:docPartObj>
    </w:sdtPr>
    <w:sdtEndPr>
      <w:rPr>
        <w:rStyle w:val="Nmerodepgina"/>
      </w:rPr>
    </w:sdtEndPr>
    <w:sdtContent>
      <w:p w:rsidR="00AA4CE1" w:rsidRDefault="00AA4CE1" w:rsidP="00744B39">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rsidR="0017769C" w:rsidRDefault="0017769C" w:rsidP="00AA4CE1">
    <w:pPr>
      <w:pBdr>
        <w:top w:val="nil"/>
        <w:left w:val="nil"/>
        <w:bottom w:val="nil"/>
        <w:right w:val="nil"/>
        <w:between w:val="nil"/>
      </w:pBdr>
      <w:tabs>
        <w:tab w:val="center" w:pos="4252"/>
        <w:tab w:val="right" w:pos="8504"/>
      </w:tabs>
      <w:spacing w:before="0" w:after="0" w:line="240" w:lineRule="auto"/>
      <w:rPr>
        <w:color w:val="000000"/>
      </w:rPr>
    </w:pPr>
  </w:p>
  <w:p w:rsidR="0017769C" w:rsidRDefault="0017769C">
    <w:pPr>
      <w:pBdr>
        <w:top w:val="nil"/>
        <w:left w:val="nil"/>
        <w:bottom w:val="nil"/>
        <w:right w:val="nil"/>
        <w:between w:val="nil"/>
      </w:pBdr>
      <w:tabs>
        <w:tab w:val="center" w:pos="4252"/>
        <w:tab w:val="right" w:pos="8504"/>
      </w:tabs>
      <w:spacing w:before="0"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6939" w:rsidRDefault="00C16939">
      <w:pPr>
        <w:spacing w:before="0" w:after="0" w:line="240" w:lineRule="auto"/>
      </w:pPr>
      <w:r>
        <w:separator/>
      </w:r>
    </w:p>
  </w:footnote>
  <w:footnote w:type="continuationSeparator" w:id="0">
    <w:p w:rsidR="00C16939" w:rsidRDefault="00C1693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69C" w:rsidRDefault="0017769C">
    <w:pPr>
      <w:keepNext/>
      <w:keepLines/>
      <w:tabs>
        <w:tab w:val="center" w:pos="4252"/>
        <w:tab w:val="right" w:pos="8504"/>
      </w:tabs>
      <w:spacing w:before="0" w:after="0" w:line="240" w:lineRule="auto"/>
      <w:ind w:left="432"/>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6B06F4"/>
    <w:multiLevelType w:val="multilevel"/>
    <w:tmpl w:val="EBFEEE18"/>
    <w:lvl w:ilvl="0">
      <w:start w:val="1"/>
      <w:numFmt w:val="decimal"/>
      <w:lvlText w:val="%1."/>
      <w:lvlJc w:val="left"/>
      <w:pPr>
        <w:ind w:left="1152" w:hanging="360"/>
      </w:pPr>
      <w:rPr>
        <w:b w:val="0"/>
      </w:r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69C"/>
    <w:rsid w:val="0017769C"/>
    <w:rsid w:val="001A27A4"/>
    <w:rsid w:val="00704530"/>
    <w:rsid w:val="00AA4CE1"/>
    <w:rsid w:val="00AB7F73"/>
    <w:rsid w:val="00BC1A45"/>
    <w:rsid w:val="00C16939"/>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BBA03"/>
  <w15:docId w15:val="{16A4621B-1FC1-8E45-AEF2-0AAB2CA5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ES" w:eastAsia="es-ES_tradnl" w:bidi="ar-SA"/>
      </w:rPr>
    </w:rPrDefault>
    <w:pPrDefault>
      <w:pPr>
        <w:spacing w:before="120"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240"/>
      <w:ind w:left="432" w:hanging="432"/>
      <w:outlineLvl w:val="0"/>
    </w:pPr>
    <w:rPr>
      <w:sz w:val="32"/>
      <w:szCs w:val="32"/>
    </w:rPr>
  </w:style>
  <w:style w:type="paragraph" w:styleId="Ttulo2">
    <w:name w:val="heading 2"/>
    <w:basedOn w:val="Normal"/>
    <w:next w:val="Normal"/>
    <w:uiPriority w:val="9"/>
    <w:semiHidden/>
    <w:unhideWhenUsed/>
    <w:qFormat/>
    <w:pPr>
      <w:keepNext/>
      <w:keepLines/>
      <w:spacing w:before="360" w:after="240"/>
      <w:ind w:left="576" w:hanging="576"/>
      <w:outlineLvl w:val="1"/>
    </w:pPr>
    <w:rPr>
      <w:b/>
    </w:rPr>
  </w:style>
  <w:style w:type="paragraph" w:styleId="Ttulo3">
    <w:name w:val="heading 3"/>
    <w:basedOn w:val="Normal"/>
    <w:next w:val="Normal"/>
    <w:uiPriority w:val="9"/>
    <w:semiHidden/>
    <w:unhideWhenUsed/>
    <w:qFormat/>
    <w:pPr>
      <w:keepNext/>
      <w:keepLines/>
      <w:spacing w:before="240" w:after="240"/>
      <w:ind w:left="720" w:hanging="720"/>
      <w:outlineLvl w:val="2"/>
    </w:pPr>
    <w:rPr>
      <w:u w:val="single"/>
    </w:rPr>
  </w:style>
  <w:style w:type="paragraph" w:styleId="Ttulo4">
    <w:name w:val="heading 4"/>
    <w:basedOn w:val="Normal"/>
    <w:next w:val="Normal"/>
    <w:uiPriority w:val="9"/>
    <w:semiHidden/>
    <w:unhideWhenUsed/>
    <w:qFormat/>
    <w:pPr>
      <w:keepNext/>
      <w:keepLines/>
      <w:spacing w:before="40" w:after="0"/>
      <w:ind w:left="864" w:hanging="864"/>
      <w:outlineLvl w:val="3"/>
    </w:pPr>
    <w:rPr>
      <w:rFonts w:ascii="Calibri" w:eastAsia="Calibri" w:hAnsi="Calibri" w:cs="Calibri"/>
      <w:i/>
      <w:color w:val="2F5496"/>
    </w:rPr>
  </w:style>
  <w:style w:type="paragraph" w:styleId="Ttulo5">
    <w:name w:val="heading 5"/>
    <w:basedOn w:val="Normal"/>
    <w:next w:val="Normal"/>
    <w:uiPriority w:val="9"/>
    <w:semiHidden/>
    <w:unhideWhenUsed/>
    <w:qFormat/>
    <w:pPr>
      <w:keepNext/>
      <w:keepLines/>
      <w:spacing w:before="40" w:after="0"/>
      <w:ind w:left="1008" w:hanging="1008"/>
      <w:outlineLvl w:val="4"/>
    </w:pPr>
    <w:rPr>
      <w:rFonts w:ascii="Calibri" w:eastAsia="Calibri" w:hAnsi="Calibri" w:cs="Calibri"/>
      <w:color w:val="2F5496"/>
    </w:rPr>
  </w:style>
  <w:style w:type="paragraph" w:styleId="Ttulo6">
    <w:name w:val="heading 6"/>
    <w:basedOn w:val="Normal"/>
    <w:next w:val="Normal"/>
    <w:uiPriority w:val="9"/>
    <w:semiHidden/>
    <w:unhideWhenUsed/>
    <w:qFormat/>
    <w:pPr>
      <w:keepNext/>
      <w:keepLines/>
      <w:spacing w:before="40" w:after="0"/>
      <w:ind w:left="1152" w:hanging="1152"/>
      <w:outlineLvl w:val="5"/>
    </w:pPr>
    <w:rPr>
      <w:rFonts w:ascii="Calibri" w:eastAsia="Calibri" w:hAnsi="Calibri" w:cs="Calibri"/>
      <w:color w:val="1F386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pBdr>
        <w:bottom w:val="single" w:sz="12" w:space="1" w:color="000000"/>
      </w:pBdr>
      <w:spacing w:after="0" w:line="240" w:lineRule="auto"/>
      <w:jc w:val="center"/>
    </w:pPr>
    <w:rPr>
      <w:sz w:val="36"/>
      <w:szCs w:val="3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AA4CE1"/>
    <w:pPr>
      <w:tabs>
        <w:tab w:val="center" w:pos="4419"/>
        <w:tab w:val="right" w:pos="8838"/>
      </w:tabs>
      <w:spacing w:before="0" w:after="0" w:line="240" w:lineRule="auto"/>
    </w:pPr>
  </w:style>
  <w:style w:type="character" w:customStyle="1" w:styleId="EncabezadoCar">
    <w:name w:val="Encabezado Car"/>
    <w:basedOn w:val="Fuentedeprrafopredeter"/>
    <w:link w:val="Encabezado"/>
    <w:uiPriority w:val="99"/>
    <w:rsid w:val="00AA4CE1"/>
  </w:style>
  <w:style w:type="paragraph" w:styleId="Piedepgina">
    <w:name w:val="footer"/>
    <w:basedOn w:val="Normal"/>
    <w:link w:val="PiedepginaCar"/>
    <w:uiPriority w:val="99"/>
    <w:unhideWhenUsed/>
    <w:rsid w:val="00AA4CE1"/>
    <w:pPr>
      <w:tabs>
        <w:tab w:val="center" w:pos="4419"/>
        <w:tab w:val="right" w:pos="8838"/>
      </w:tabs>
      <w:spacing w:before="0" w:after="0" w:line="240" w:lineRule="auto"/>
    </w:pPr>
  </w:style>
  <w:style w:type="character" w:customStyle="1" w:styleId="PiedepginaCar">
    <w:name w:val="Pie de página Car"/>
    <w:basedOn w:val="Fuentedeprrafopredeter"/>
    <w:link w:val="Piedepgina"/>
    <w:uiPriority w:val="99"/>
    <w:rsid w:val="00AA4CE1"/>
  </w:style>
  <w:style w:type="character" w:styleId="Nmerodepgina">
    <w:name w:val="page number"/>
    <w:basedOn w:val="Fuentedeprrafopredeter"/>
    <w:uiPriority w:val="99"/>
    <w:semiHidden/>
    <w:unhideWhenUsed/>
    <w:rsid w:val="00AA4CE1"/>
  </w:style>
  <w:style w:type="character" w:styleId="Nmerodelnea">
    <w:name w:val="line number"/>
    <w:basedOn w:val="Fuentedeprrafopredeter"/>
    <w:uiPriority w:val="99"/>
    <w:semiHidden/>
    <w:unhideWhenUsed/>
    <w:rsid w:val="00AA4CE1"/>
  </w:style>
  <w:style w:type="paragraph" w:styleId="Prrafodelista">
    <w:name w:val="List Paragraph"/>
    <w:basedOn w:val="Normal"/>
    <w:uiPriority w:val="34"/>
    <w:qFormat/>
    <w:rsid w:val="001A27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viacampesina.org/es/coordinadora-nacional-campesina-eloy-alfaro-cnc/"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des@cdes.org.e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des.org.ec" TargetMode="External"/><Relationship Id="rId14" Type="http://schemas.openxmlformats.org/officeDocument/2006/relationships/hyperlink" Target="mailto:coordinadoracampesina@gmail.com"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894381-A09F-FD46-BEC9-A6DAEC3B2638}">
  <ds:schemaRefs>
    <ds:schemaRef ds:uri="http://schemas.openxmlformats.org/officeDocument/2006/bibliography"/>
  </ds:schemaRefs>
</ds:datastoreItem>
</file>

<file path=customXml/itemProps2.xml><?xml version="1.0" encoding="utf-8"?>
<ds:datastoreItem xmlns:ds="http://schemas.openxmlformats.org/officeDocument/2006/customXml" ds:itemID="{AD037FAE-FB8F-43AD-AC1B-58A7925566BA}"/>
</file>

<file path=customXml/itemProps3.xml><?xml version="1.0" encoding="utf-8"?>
<ds:datastoreItem xmlns:ds="http://schemas.openxmlformats.org/officeDocument/2006/customXml" ds:itemID="{B292D919-BCA0-48C8-B8FA-A5A8E12184F6}"/>
</file>

<file path=customXml/itemProps4.xml><?xml version="1.0" encoding="utf-8"?>
<ds:datastoreItem xmlns:ds="http://schemas.openxmlformats.org/officeDocument/2006/customXml" ds:itemID="{A9F86B87-536C-4214-A611-CC6186A64883}"/>
</file>

<file path=docProps/app.xml><?xml version="1.0" encoding="utf-8"?>
<Properties xmlns="http://schemas.openxmlformats.org/officeDocument/2006/extended-properties" xmlns:vt="http://schemas.openxmlformats.org/officeDocument/2006/docPropsVTypes">
  <Template>Normal.dotm</Template>
  <TotalTime>11</TotalTime>
  <Pages>18</Pages>
  <Words>5574</Words>
  <Characters>29766</Characters>
  <Application>Microsoft Office Word</Application>
  <DocSecurity>0</DocSecurity>
  <Lines>551</Lines>
  <Paragraphs>102</Paragraphs>
  <ScaleCrop>false</ScaleCrop>
  <Company/>
  <LinksUpToDate>false</LinksUpToDate>
  <CharactersWithSpaces>35238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2019-09-06T20:21:00Z</dcterms:created>
  <dcterms:modified xsi:type="dcterms:W3CDTF">2019-09-06T20:39:00Z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