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3B67F0" w14:textId="77777777" w:rsidR="003C5ADD" w:rsidRDefault="003C5ADD" w:rsidP="003C5ADD">
      <w:pPr>
        <w:pStyle w:val="Body"/>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line="360" w:lineRule="auto"/>
        <w:rPr>
          <w:b/>
          <w:bCs/>
          <w:sz w:val="26"/>
          <w:szCs w:val="26"/>
          <w:lang w:val="en-GB"/>
        </w:rPr>
      </w:pPr>
      <w:r w:rsidRPr="00F2643D">
        <w:rPr>
          <w:rFonts w:cs="Times New Roman"/>
          <w:noProof/>
        </w:rPr>
        <mc:AlternateContent>
          <mc:Choice Requires="wps">
            <w:drawing>
              <wp:anchor distT="80010" distB="80010" distL="80010" distR="80010" simplePos="0" relativeHeight="251659264" behindDoc="0" locked="0" layoutInCell="1" allowOverlap="1" wp14:anchorId="300F233A" wp14:editId="4FC73505">
                <wp:simplePos x="0" y="0"/>
                <wp:positionH relativeFrom="column">
                  <wp:posOffset>-349243</wp:posOffset>
                </wp:positionH>
                <wp:positionV relativeFrom="line">
                  <wp:posOffset>4</wp:posOffset>
                </wp:positionV>
                <wp:extent cx="3016250" cy="1117600"/>
                <wp:effectExtent l="0" t="0" r="0" b="0"/>
                <wp:wrapSquare wrapText="bothSides" distT="80010" distB="80010" distL="80010" distR="80010"/>
                <wp:docPr id="1073741825" name="officeArt object" descr="Text Box 1073741844"/>
                <wp:cNvGraphicFramePr/>
                <a:graphic xmlns:a="http://schemas.openxmlformats.org/drawingml/2006/main">
                  <a:graphicData uri="http://schemas.microsoft.com/office/word/2010/wordprocessingShape">
                    <wps:wsp>
                      <wps:cNvSpPr txBox="1"/>
                      <wps:spPr>
                        <a:xfrm>
                          <a:off x="0" y="0"/>
                          <a:ext cx="3016250" cy="1117600"/>
                        </a:xfrm>
                        <a:prstGeom prst="rect">
                          <a:avLst/>
                        </a:prstGeom>
                        <a:solidFill>
                          <a:srgbClr val="FFFFFF"/>
                        </a:solidFill>
                        <a:ln w="9525" cap="flat">
                          <a:solidFill>
                            <a:srgbClr val="FFFFFF"/>
                          </a:solidFill>
                          <a:prstDash val="solid"/>
                          <a:miter lim="800000"/>
                        </a:ln>
                        <a:effectLst/>
                      </wps:spPr>
                      <wps:txbx>
                        <w:txbxContent>
                          <w:p w14:paraId="482E64F0" w14:textId="77777777" w:rsidR="003C5ADD" w:rsidRDefault="003C5ADD" w:rsidP="003C5ADD">
                            <w:pPr>
                              <w:pStyle w:val="BodyA"/>
                            </w:pPr>
                            <w:r>
                              <w:rPr>
                                <w:rFonts w:ascii="Times New Roman" w:hAnsi="Times New Roman"/>
                                <w:i/>
                                <w:iCs/>
                                <w:noProof/>
                                <w:sz w:val="24"/>
                                <w:szCs w:val="24"/>
                              </w:rPr>
                              <w:drawing>
                                <wp:inline distT="0" distB="0" distL="0" distR="0" wp14:anchorId="44B9BC13" wp14:editId="24710231">
                                  <wp:extent cx="2418066" cy="1000634"/>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
                                          <pic:cNvPicPr>
                                            <a:picLocks/>
                                          </pic:cNvPicPr>
                                        </pic:nvPicPr>
                                        <pic:blipFill>
                                          <a:blip r:embed="rId8"/>
                                          <a:stretch>
                                            <a:fillRect/>
                                          </a:stretch>
                                        </pic:blipFill>
                                        <pic:spPr>
                                          <a:xfrm>
                                            <a:off x="0" y="0"/>
                                            <a:ext cx="2418066" cy="1000634"/>
                                          </a:xfrm>
                                          <a:prstGeom prst="rect">
                                            <a:avLst/>
                                          </a:prstGeom>
                                        </pic:spPr>
                                      </pic:pic>
                                    </a:graphicData>
                                  </a:graphic>
                                </wp:inline>
                              </w:drawing>
                            </w:r>
                            <w:r>
                              <w:rPr>
                                <w:noProof/>
                              </w:rPr>
                              <w:drawing>
                                <wp:inline distT="0" distB="0" distL="0" distR="0" wp14:anchorId="1E6DCAC0" wp14:editId="7507DD05">
                                  <wp:extent cx="2573057" cy="1000634"/>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pic:cNvPicPr>
                                        </pic:nvPicPr>
                                        <pic:blipFill>
                                          <a:blip r:embed="rId9"/>
                                          <a:stretch>
                                            <a:fillRect/>
                                          </a:stretch>
                                        </pic:blipFill>
                                        <pic:spPr>
                                          <a:xfrm>
                                            <a:off x="0" y="0"/>
                                            <a:ext cx="2573057" cy="1000634"/>
                                          </a:xfrm>
                                          <a:prstGeom prst="rect">
                                            <a:avLst/>
                                          </a:prstGeom>
                                        </pic:spPr>
                                      </pic:pic>
                                    </a:graphicData>
                                  </a:graphic>
                                </wp:inline>
                              </w:drawing>
                            </w:r>
                          </w:p>
                        </w:txbxContent>
                      </wps:txbx>
                      <wps:bodyPr wrap="square" lIns="45718" tIns="45718" rIns="45718" bIns="45718" numCol="1" anchor="t">
                        <a:noAutofit/>
                      </wps:bodyPr>
                    </wps:wsp>
                  </a:graphicData>
                </a:graphic>
              </wp:anchor>
            </w:drawing>
          </mc:Choice>
          <mc:Fallback>
            <w:pict>
              <v:shapetype w14:anchorId="300F233A" id="_x0000_t202" coordsize="21600,21600" o:spt="202" path="m,l,21600r21600,l21600,xe">
                <v:stroke joinstyle="miter"/>
                <v:path gradientshapeok="t" o:connecttype="rect"/>
              </v:shapetype>
              <v:shape id="officeArt object" o:spid="_x0000_s1026" type="#_x0000_t202" alt="Text Box 1073741844" style="position:absolute;margin-left:-27.5pt;margin-top:0;width:237.5pt;height:88pt;z-index:251659264;visibility:visible;mso-wrap-style:square;mso-wrap-distance-left:6.3pt;mso-wrap-distance-top:6.3pt;mso-wrap-distance-right:6.3pt;mso-wrap-distance-bottom:6.3pt;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" strokecolor="white">
                <v:textbox inset="1.2699mm,1.2699mm,1.2699mm,1.2699mm">
                  <w:txbxContent>
                    <w:p w14:paraId="482E64F0" w14:textId="77777777" w:rsidR="003C5ADD" w:rsidRDefault="003C5ADD" w:rsidP="003C5ADD">
                      <w:pPr>
                        <w:pStyle w:val="BodyA"/>
                      </w:pPr>
                      <w:r>
                        <w:rPr>
                          <w:rFonts w:ascii="Times New Roman" w:hAnsi="Times New Roman"/>
                          <w:i/>
                          <w:iCs/>
                          <w:noProof/>
                          <w:sz w:val="24"/>
                          <w:szCs w:val="24"/>
                        </w:rPr>
                        <w:drawing>
                          <wp:inline distT="0" distB="0" distL="0" distR="0" wp14:anchorId="44B9BC13" wp14:editId="24710231">
                            <wp:extent cx="2418066" cy="1000634"/>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
                                    <pic:cNvPicPr>
                                      <a:picLocks/>
                                    </pic:cNvPicPr>
                                  </pic:nvPicPr>
                                  <pic:blipFill>
                                    <a:blip r:embed="rId8"/>
                                    <a:stretch>
                                      <a:fillRect/>
                                    </a:stretch>
                                  </pic:blipFill>
                                  <pic:spPr>
                                    <a:xfrm>
                                      <a:off x="0" y="0"/>
                                      <a:ext cx="2418066" cy="1000634"/>
                                    </a:xfrm>
                                    <a:prstGeom prst="rect">
                                      <a:avLst/>
                                    </a:prstGeom>
                                  </pic:spPr>
                                </pic:pic>
                              </a:graphicData>
                            </a:graphic>
                          </wp:inline>
                        </w:drawing>
                      </w:r>
                      <w:r>
                        <w:rPr>
                          <w:noProof/>
                        </w:rPr>
                        <w:drawing>
                          <wp:inline distT="0" distB="0" distL="0" distR="0" wp14:anchorId="1E6DCAC0" wp14:editId="7507DD05">
                            <wp:extent cx="2573057" cy="1000634"/>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pic:cNvPicPr>
                                  </pic:nvPicPr>
                                  <pic:blipFill>
                                    <a:blip r:embed="rId9"/>
                                    <a:stretch>
                                      <a:fillRect/>
                                    </a:stretch>
                                  </pic:blipFill>
                                  <pic:spPr>
                                    <a:xfrm>
                                      <a:off x="0" y="0"/>
                                      <a:ext cx="2573057" cy="1000634"/>
                                    </a:xfrm>
                                    <a:prstGeom prst="rect">
                                      <a:avLst/>
                                    </a:prstGeom>
                                  </pic:spPr>
                                </pic:pic>
                              </a:graphicData>
                            </a:graphic>
                          </wp:inline>
                        </w:drawing>
                      </w:r>
                    </w:p>
                  </w:txbxContent>
                </v:textbox>
                <w10:wrap type="square" anchory="line"/>
              </v:shape>
            </w:pict>
          </mc:Fallback>
        </mc:AlternateContent>
      </w:r>
      <w:r w:rsidRPr="00F2643D">
        <w:rPr>
          <w:rFonts w:cs="Times New Roman"/>
          <w:noProof/>
        </w:rPr>
        <mc:AlternateContent>
          <mc:Choice Requires="wps">
            <w:drawing>
              <wp:anchor distT="80010" distB="80010" distL="80010" distR="80010" simplePos="0" relativeHeight="251660288" behindDoc="0" locked="0" layoutInCell="1" allowOverlap="1" wp14:anchorId="2849EF90" wp14:editId="37782C9F">
                <wp:simplePos x="0" y="0"/>
                <wp:positionH relativeFrom="column">
                  <wp:posOffset>5105400</wp:posOffset>
                </wp:positionH>
                <wp:positionV relativeFrom="line">
                  <wp:posOffset>4</wp:posOffset>
                </wp:positionV>
                <wp:extent cx="1301750" cy="1149350"/>
                <wp:effectExtent l="0" t="0" r="0" b="0"/>
                <wp:wrapSquare wrapText="bothSides" distT="80010" distB="80010" distL="80010" distR="80010"/>
                <wp:docPr id="1073741828" name="officeArt object" descr="Text Box 1073741846"/>
                <wp:cNvGraphicFramePr/>
                <a:graphic xmlns:a="http://schemas.openxmlformats.org/drawingml/2006/main">
                  <a:graphicData uri="http://schemas.microsoft.com/office/word/2010/wordprocessingShape">
                    <wps:wsp>
                      <wps:cNvSpPr txBox="1"/>
                      <wps:spPr>
                        <a:xfrm>
                          <a:off x="0" y="0"/>
                          <a:ext cx="1301750" cy="1149350"/>
                        </a:xfrm>
                        <a:prstGeom prst="rect">
                          <a:avLst/>
                        </a:prstGeom>
                        <a:solidFill>
                          <a:srgbClr val="FFFFFF"/>
                        </a:solidFill>
                        <a:ln w="9525" cap="flat">
                          <a:solidFill>
                            <a:srgbClr val="FFFFFF"/>
                          </a:solidFill>
                          <a:prstDash val="solid"/>
                          <a:miter lim="800000"/>
                        </a:ln>
                        <a:effectLst/>
                      </wps:spPr>
                      <wps:txbx>
                        <w:txbxContent>
                          <w:p w14:paraId="49B70EA3" w14:textId="77777777" w:rsidR="003C5ADD" w:rsidRDefault="003C5ADD" w:rsidP="003C5ADD">
                            <w:pPr>
                              <w:pStyle w:val="BodyA"/>
                            </w:pPr>
                            <w:r>
                              <w:rPr>
                                <w:noProof/>
                              </w:rPr>
                              <w:drawing>
                                <wp:inline distT="0" distB="0" distL="0" distR="0" wp14:anchorId="7A951856" wp14:editId="44D3A3B0">
                                  <wp:extent cx="1109981" cy="1000528"/>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
                                          <pic:cNvPicPr>
                                            <a:picLocks/>
                                          </pic:cNvPicPr>
                                        </pic:nvPicPr>
                                        <pic:blipFill>
                                          <a:blip r:embed="rId10"/>
                                          <a:stretch>
                                            <a:fillRect/>
                                          </a:stretch>
                                        </pic:blipFill>
                                        <pic:spPr>
                                          <a:xfrm>
                                            <a:off x="0" y="0"/>
                                            <a:ext cx="1109981" cy="1000528"/>
                                          </a:xfrm>
                                          <a:prstGeom prst="rect">
                                            <a:avLst/>
                                          </a:prstGeom>
                                        </pic:spPr>
                                      </pic:pic>
                                    </a:graphicData>
                                  </a:graphic>
                                </wp:inline>
                              </w:drawing>
                            </w:r>
                          </w:p>
                        </w:txbxContent>
                      </wps:txbx>
                      <wps:bodyPr wrap="square" lIns="45718" tIns="45718" rIns="45718" bIns="45718" numCol="1" anchor="t">
                        <a:noAutofit/>
                      </wps:bodyPr>
                    </wps:wsp>
                  </a:graphicData>
                </a:graphic>
              </wp:anchor>
            </w:drawing>
          </mc:Choice>
          <mc:Fallback>
            <w:pict>
              <v:shape w14:anchorId="2849EF90" id="_x0000_s1027" type="#_x0000_t202" alt="Text Box 1073741846" style="position:absolute;margin-left:402pt;margin-top:0;width:102.5pt;height:90.5pt;z-index:251660288;visibility:visible;mso-wrap-style:square;mso-wrap-distance-left:6.3pt;mso-wrap-distance-top:6.3pt;mso-wrap-distance-right:6.3pt;mso-wrap-distance-bottom:6.3pt;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" strokecolor="white">
                <v:textbox inset="1.2699mm,1.2699mm,1.2699mm,1.2699mm">
                  <w:txbxContent>
                    <w:p w14:paraId="49B70EA3" w14:textId="77777777" w:rsidR="003C5ADD" w:rsidRDefault="003C5ADD" w:rsidP="003C5ADD">
                      <w:pPr>
                        <w:pStyle w:val="BodyA"/>
                      </w:pPr>
                      <w:r>
                        <w:rPr>
                          <w:noProof/>
                        </w:rPr>
                        <w:drawing>
                          <wp:inline distT="0" distB="0" distL="0" distR="0" wp14:anchorId="7A951856" wp14:editId="44D3A3B0">
                            <wp:extent cx="1109981" cy="1000528"/>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
                                    <pic:cNvPicPr>
                                      <a:picLocks/>
                                    </pic:cNvPicPr>
                                  </pic:nvPicPr>
                                  <pic:blipFill>
                                    <a:blip r:embed="rId10"/>
                                    <a:stretch>
                                      <a:fillRect/>
                                    </a:stretch>
                                  </pic:blipFill>
                                  <pic:spPr>
                                    <a:xfrm>
                                      <a:off x="0" y="0"/>
                                      <a:ext cx="1109981" cy="1000528"/>
                                    </a:xfrm>
                                    <a:prstGeom prst="rect">
                                      <a:avLst/>
                                    </a:prstGeom>
                                  </pic:spPr>
                                </pic:pic>
                              </a:graphicData>
                            </a:graphic>
                          </wp:inline>
                        </w:drawing>
                      </w:r>
                    </w:p>
                  </w:txbxContent>
                </v:textbox>
                <w10:wrap type="square" anchory="line"/>
              </v:shape>
            </w:pict>
          </mc:Fallback>
        </mc:AlternateContent>
      </w:r>
    </w:p>
    <w:p w14:paraId="37E36CE9" w14:textId="7138452A" w:rsidR="003C5ADD" w:rsidRDefault="003C5ADD" w:rsidP="00365AF7">
      <w:pPr>
        <w:pStyle w:val="Heading1"/>
        <w:rPr>
          <w:b/>
          <w:bCs/>
          <w:sz w:val="26"/>
          <w:szCs w:val="26"/>
          <w:lang w:val="en-GB"/>
        </w:rPr>
      </w:pPr>
    </w:p>
    <w:p w14:paraId="16C245AF" w14:textId="4CD7AB11" w:rsidR="003C5ADD" w:rsidRDefault="003C5ADD" w:rsidP="003C5ADD">
      <w:pPr>
        <w:rPr>
          <w:lang w:val="en-GB"/>
        </w:rPr>
      </w:pPr>
    </w:p>
    <w:p w14:paraId="08CA8FFF" w14:textId="055DD590" w:rsidR="003C5ADD" w:rsidRDefault="003C5ADD" w:rsidP="003C5ADD">
      <w:pPr>
        <w:rPr>
          <w:lang w:val="en-GB"/>
        </w:rPr>
      </w:pPr>
    </w:p>
    <w:p w14:paraId="7BD6B6B9" w14:textId="6C33AAD2" w:rsidR="003C5ADD" w:rsidRDefault="003C5ADD" w:rsidP="003C5ADD">
      <w:pPr>
        <w:rPr>
          <w:lang w:val="en-GB"/>
        </w:rPr>
      </w:pPr>
    </w:p>
    <w:p w14:paraId="152D352D" w14:textId="497191AB" w:rsidR="003C5ADD" w:rsidRDefault="003C5ADD" w:rsidP="003C5ADD">
      <w:pPr>
        <w:rPr>
          <w:lang w:val="en-GB"/>
        </w:rPr>
      </w:pPr>
    </w:p>
    <w:p w14:paraId="24EE1D5F" w14:textId="77777777" w:rsidR="003C5ADD" w:rsidRPr="003C5ADD" w:rsidRDefault="003C5ADD" w:rsidP="003C5ADD">
      <w:pPr>
        <w:rPr>
          <w:lang w:val="en-GB"/>
        </w:rPr>
      </w:pPr>
    </w:p>
    <w:p w14:paraId="1D2A8564" w14:textId="236369ED" w:rsidR="00622511" w:rsidRPr="00670DF8" w:rsidRDefault="00911821" w:rsidP="00365AF7">
      <w:pPr>
        <w:pStyle w:val="Heading1"/>
        <w:rPr>
          <w:b/>
          <w:bCs/>
          <w:sz w:val="26"/>
          <w:szCs w:val="26"/>
          <w:lang w:val="en-GB"/>
        </w:rPr>
      </w:pPr>
      <w:r w:rsidRPr="00670DF8">
        <w:rPr>
          <w:b/>
          <w:bCs/>
          <w:sz w:val="26"/>
          <w:szCs w:val="26"/>
          <w:lang w:val="en-GB"/>
        </w:rPr>
        <w:t>Annex II</w:t>
      </w:r>
      <w:r w:rsidR="00365AF7" w:rsidRPr="00670DF8">
        <w:rPr>
          <w:rFonts w:asciiTheme="minorHAnsi" w:hAnsiTheme="minorHAnsi"/>
          <w:b/>
          <w:bCs/>
          <w:sz w:val="26"/>
          <w:szCs w:val="26"/>
          <w:lang w:val="ka-GE"/>
        </w:rPr>
        <w:t xml:space="preserve"> - </w:t>
      </w:r>
      <w:r w:rsidRPr="00670DF8">
        <w:rPr>
          <w:b/>
          <w:bCs/>
          <w:sz w:val="26"/>
          <w:szCs w:val="26"/>
          <w:lang w:val="en-GB"/>
        </w:rPr>
        <w:t xml:space="preserve">Ethnic Minority Women </w:t>
      </w:r>
      <w:bookmarkStart w:id="0" w:name="_GoBack"/>
      <w:bookmarkEnd w:id="0"/>
    </w:p>
    <w:p w14:paraId="034C1065" w14:textId="77777777" w:rsidR="00622511" w:rsidRPr="00261B1E" w:rsidRDefault="00622511">
      <w:pPr>
        <w:pStyle w:val="Body"/>
        <w:jc w:val="both"/>
        <w:rPr>
          <w:rFonts w:ascii="Times New Roman" w:hAnsi="Times New Roman" w:cs="Times New Roman"/>
          <w:sz w:val="20"/>
          <w:szCs w:val="20"/>
          <w:lang w:val="en-GB"/>
        </w:rPr>
      </w:pPr>
    </w:p>
    <w:p w14:paraId="181D959C" w14:textId="23A35935" w:rsidR="00622511" w:rsidRPr="00261B1E" w:rsidRDefault="00911821" w:rsidP="00261B1E">
      <w:pPr>
        <w:pStyle w:val="Body"/>
        <w:numPr>
          <w:ilvl w:val="0"/>
          <w:numId w:val="3"/>
        </w:numPr>
        <w:ind w:left="360"/>
        <w:jc w:val="both"/>
        <w:rPr>
          <w:rFonts w:ascii="Times New Roman" w:hAnsi="Times New Roman" w:cs="Times New Roman"/>
          <w:sz w:val="20"/>
          <w:szCs w:val="20"/>
          <w:lang w:val="en-GB"/>
        </w:rPr>
      </w:pPr>
      <w:r w:rsidRPr="00261B1E">
        <w:rPr>
          <w:rFonts w:ascii="Times New Roman" w:hAnsi="Times New Roman" w:cs="Times New Roman"/>
          <w:sz w:val="20"/>
          <w:szCs w:val="20"/>
          <w:lang w:val="en-GB"/>
        </w:rPr>
        <w:t>Ethnic minority women are among most disa</w:t>
      </w:r>
      <w:r w:rsidR="00261B1E" w:rsidRPr="00261B1E">
        <w:rPr>
          <w:rFonts w:ascii="Times New Roman" w:hAnsi="Times New Roman" w:cs="Times New Roman"/>
          <w:sz w:val="20"/>
          <w:szCs w:val="20"/>
          <w:lang w:val="en-GB"/>
        </w:rPr>
        <w:t xml:space="preserve">dvantaged groups of women. Their </w:t>
      </w:r>
      <w:r w:rsidRPr="00261B1E">
        <w:rPr>
          <w:rFonts w:ascii="Times New Roman" w:hAnsi="Times New Roman" w:cs="Times New Roman"/>
          <w:sz w:val="20"/>
          <w:szCs w:val="20"/>
          <w:lang w:val="en-GB"/>
        </w:rPr>
        <w:t>vulnerability is revealed in various areas, including political participation of women, women</w:t>
      </w:r>
      <w:r w:rsidRPr="00261B1E">
        <w:rPr>
          <w:rFonts w:ascii="Times New Roman" w:hAnsi="Times New Roman" w:cs="Times New Roman"/>
          <w:sz w:val="20"/>
          <w:szCs w:val="20"/>
          <w:rtl/>
          <w:lang w:val="en-GB"/>
        </w:rPr>
        <w:t>’</w:t>
      </w:r>
      <w:r w:rsidRPr="00261B1E">
        <w:rPr>
          <w:rFonts w:ascii="Times New Roman" w:hAnsi="Times New Roman" w:cs="Times New Roman"/>
          <w:sz w:val="20"/>
          <w:szCs w:val="20"/>
          <w:lang w:val="en-GB"/>
        </w:rPr>
        <w:t xml:space="preserve">s access to social and healthcare services, their access to employment and inclusive, high-quality education. </w:t>
      </w:r>
    </w:p>
    <w:p w14:paraId="42014DE0" w14:textId="77777777" w:rsidR="00622511" w:rsidRPr="00261B1E" w:rsidRDefault="00622511" w:rsidP="00261B1E">
      <w:pPr>
        <w:pStyle w:val="Body"/>
        <w:jc w:val="both"/>
        <w:rPr>
          <w:rFonts w:ascii="Times New Roman" w:hAnsi="Times New Roman" w:cs="Times New Roman"/>
          <w:sz w:val="20"/>
          <w:szCs w:val="20"/>
          <w:lang w:val="en-GB"/>
        </w:rPr>
      </w:pPr>
    </w:p>
    <w:p w14:paraId="471570CD" w14:textId="7222ADC1" w:rsidR="00622511" w:rsidRPr="00261B1E" w:rsidRDefault="00911821" w:rsidP="00261B1E">
      <w:pPr>
        <w:pStyle w:val="Body"/>
        <w:numPr>
          <w:ilvl w:val="0"/>
          <w:numId w:val="3"/>
        </w:numPr>
        <w:ind w:left="360"/>
        <w:jc w:val="both"/>
        <w:rPr>
          <w:rFonts w:ascii="Times New Roman" w:hAnsi="Times New Roman" w:cs="Times New Roman"/>
          <w:sz w:val="20"/>
          <w:szCs w:val="20"/>
          <w:lang w:val="en-GB"/>
        </w:rPr>
      </w:pPr>
      <w:r w:rsidRPr="00261B1E">
        <w:rPr>
          <w:rFonts w:ascii="Times New Roman" w:hAnsi="Times New Roman" w:cs="Times New Roman"/>
          <w:sz w:val="20"/>
          <w:szCs w:val="20"/>
          <w:lang w:val="en-GB"/>
        </w:rPr>
        <w:t>In general, minority political participation is extremely limited and the situation is even worse in the case of minority women. Political alienation and exclusion is reflected in both their direct and indirect participation in political and public lives. Research reveals that minority women participate in elections at lower levels than minority men. In different minority-populated municipalities, women's participation ranges from 21-51% while men</w:t>
      </w:r>
      <w:r w:rsidRPr="00261B1E">
        <w:rPr>
          <w:rFonts w:ascii="Times New Roman" w:hAnsi="Times New Roman" w:cs="Times New Roman"/>
          <w:sz w:val="20"/>
          <w:szCs w:val="20"/>
          <w:rtl/>
          <w:lang w:val="en-GB"/>
        </w:rPr>
        <w:t>’</w:t>
      </w:r>
      <w:r w:rsidRPr="00261B1E">
        <w:rPr>
          <w:rFonts w:ascii="Times New Roman" w:hAnsi="Times New Roman" w:cs="Times New Roman"/>
          <w:sz w:val="20"/>
          <w:szCs w:val="20"/>
          <w:lang w:val="en-GB"/>
        </w:rPr>
        <w:t>s participation ranges between 42-52%.</w:t>
      </w:r>
      <w:r w:rsidRPr="00261B1E">
        <w:rPr>
          <w:rFonts w:ascii="Times New Roman" w:hAnsi="Times New Roman" w:cs="Times New Roman"/>
          <w:sz w:val="20"/>
          <w:szCs w:val="20"/>
          <w:vertAlign w:val="superscript"/>
          <w:lang w:val="en-GB"/>
        </w:rPr>
        <w:footnoteReference w:id="2"/>
      </w:r>
      <w:r w:rsidRPr="00261B1E">
        <w:rPr>
          <w:rFonts w:ascii="Times New Roman" w:hAnsi="Times New Roman" w:cs="Times New Roman"/>
          <w:sz w:val="20"/>
          <w:szCs w:val="20"/>
          <w:lang w:val="en-GB"/>
        </w:rPr>
        <w:t xml:space="preserve"> Furthermore, there is a general belief that women do not have a role in political and public life and that men should decide family</w:t>
      </w:r>
      <w:r w:rsidRPr="00261B1E">
        <w:rPr>
          <w:rFonts w:ascii="Times New Roman" w:hAnsi="Times New Roman" w:cs="Times New Roman"/>
          <w:sz w:val="20"/>
          <w:szCs w:val="20"/>
          <w:rtl/>
          <w:lang w:val="en-GB"/>
        </w:rPr>
        <w:t>’</w:t>
      </w:r>
      <w:r w:rsidRPr="00261B1E">
        <w:rPr>
          <w:rFonts w:ascii="Times New Roman" w:hAnsi="Times New Roman" w:cs="Times New Roman"/>
          <w:sz w:val="20"/>
          <w:szCs w:val="20"/>
          <w:lang w:val="en-GB"/>
        </w:rPr>
        <w:t>s political position during elections and beyond.</w:t>
      </w:r>
      <w:r w:rsidRPr="00261B1E">
        <w:rPr>
          <w:rFonts w:ascii="Times New Roman" w:hAnsi="Times New Roman" w:cs="Times New Roman"/>
          <w:sz w:val="20"/>
          <w:szCs w:val="20"/>
          <w:vertAlign w:val="superscript"/>
          <w:lang w:val="en-GB"/>
        </w:rPr>
        <w:footnoteReference w:id="3"/>
      </w:r>
      <w:r w:rsidRPr="00261B1E">
        <w:rPr>
          <w:rFonts w:ascii="Times New Roman" w:hAnsi="Times New Roman" w:cs="Times New Roman"/>
          <w:sz w:val="20"/>
          <w:szCs w:val="20"/>
          <w:lang w:val="en-GB"/>
        </w:rPr>
        <w:t xml:space="preserve"> Women are mostly absent from the local participation platforms on a regional level, where the local challenges are discussed. Observation of community meetings in the municipality of Marneuli revealed that women are not attending and therefore their major challenges (i.e. lack of kindergartens) are not voiced before the municipal authorities.</w:t>
      </w:r>
      <w:r w:rsidRPr="00261B1E">
        <w:rPr>
          <w:rFonts w:ascii="Times New Roman" w:hAnsi="Times New Roman" w:cs="Times New Roman"/>
          <w:sz w:val="20"/>
          <w:szCs w:val="20"/>
          <w:vertAlign w:val="superscript"/>
          <w:lang w:val="en-GB"/>
        </w:rPr>
        <w:footnoteReference w:id="4"/>
      </w:r>
      <w:r w:rsidRPr="00261B1E">
        <w:rPr>
          <w:rFonts w:ascii="Times New Roman" w:hAnsi="Times New Roman" w:cs="Times New Roman"/>
          <w:sz w:val="20"/>
          <w:szCs w:val="20"/>
          <w:lang w:val="en-GB"/>
        </w:rPr>
        <w:t xml:space="preserve"> </w:t>
      </w:r>
    </w:p>
    <w:p w14:paraId="1C954DEE" w14:textId="77777777" w:rsidR="00622511" w:rsidRPr="00261B1E" w:rsidRDefault="00622511" w:rsidP="00261B1E">
      <w:pPr>
        <w:pStyle w:val="Body"/>
        <w:jc w:val="both"/>
        <w:rPr>
          <w:rFonts w:ascii="Times New Roman" w:hAnsi="Times New Roman" w:cs="Times New Roman"/>
          <w:sz w:val="20"/>
          <w:szCs w:val="20"/>
          <w:lang w:val="en-GB"/>
        </w:rPr>
      </w:pPr>
    </w:p>
    <w:p w14:paraId="26DB54B1" w14:textId="3A0C4A4B" w:rsidR="00622511" w:rsidRPr="00261B1E" w:rsidRDefault="00911821" w:rsidP="00261B1E">
      <w:pPr>
        <w:pStyle w:val="Body"/>
        <w:numPr>
          <w:ilvl w:val="0"/>
          <w:numId w:val="3"/>
        </w:numPr>
        <w:ind w:left="360"/>
        <w:jc w:val="both"/>
        <w:rPr>
          <w:rFonts w:ascii="Times New Roman" w:hAnsi="Times New Roman" w:cs="Times New Roman"/>
          <w:sz w:val="20"/>
          <w:szCs w:val="20"/>
          <w:lang w:val="en-GB"/>
        </w:rPr>
      </w:pPr>
      <w:r w:rsidRPr="00261B1E">
        <w:rPr>
          <w:rFonts w:ascii="Times New Roman" w:hAnsi="Times New Roman" w:cs="Times New Roman"/>
          <w:sz w:val="20"/>
          <w:szCs w:val="20"/>
          <w:lang w:val="en-GB"/>
        </w:rPr>
        <w:t>In terms of direct political participation, there is no institutional or legislative mechanisms, such as quotas, financial benefits for the parties, reserved seats, etc. that would support minority representation in elective bodies.</w:t>
      </w:r>
      <w:r w:rsidRPr="00261B1E">
        <w:rPr>
          <w:rFonts w:ascii="Times New Roman" w:hAnsi="Times New Roman" w:cs="Times New Roman"/>
          <w:sz w:val="20"/>
          <w:szCs w:val="20"/>
          <w:vertAlign w:val="superscript"/>
          <w:lang w:val="en-GB"/>
        </w:rPr>
        <w:footnoteReference w:id="5"/>
      </w:r>
      <w:r w:rsidRPr="00261B1E">
        <w:rPr>
          <w:rFonts w:ascii="Times New Roman" w:hAnsi="Times New Roman" w:cs="Times New Roman"/>
          <w:sz w:val="20"/>
          <w:szCs w:val="20"/>
          <w:lang w:val="en-GB"/>
        </w:rPr>
        <w:t xml:space="preserve"> Furthermore, no regular and independent consultation mechanism exists at any level of the government as it is prescribed within the standards of the CoE Convention on National Minorities (article 15). Historically, the ratio of minorities represented in parliament has never been proportional to their general composition of the total population</w:t>
      </w:r>
      <w:r w:rsidRPr="00261B1E">
        <w:rPr>
          <w:rFonts w:ascii="Times New Roman" w:hAnsi="Times New Roman" w:cs="Times New Roman"/>
          <w:sz w:val="20"/>
          <w:szCs w:val="20"/>
          <w:vertAlign w:val="superscript"/>
          <w:lang w:val="en-GB"/>
        </w:rPr>
        <w:footnoteReference w:id="6"/>
      </w:r>
      <w:r w:rsidRPr="00261B1E">
        <w:rPr>
          <w:rFonts w:ascii="Times New Roman" w:hAnsi="Times New Roman" w:cs="Times New Roman"/>
          <w:sz w:val="20"/>
          <w:szCs w:val="20"/>
          <w:lang w:val="en-GB"/>
        </w:rPr>
        <w:t xml:space="preserve"> and the  representation of minority women is even lower. The internal rules governing the </w:t>
      </w:r>
      <w:r w:rsidR="00AB20A5" w:rsidRPr="00261B1E">
        <w:rPr>
          <w:rFonts w:ascii="Times New Roman" w:hAnsi="Times New Roman" w:cs="Times New Roman"/>
          <w:sz w:val="20"/>
          <w:szCs w:val="20"/>
          <w:lang w:val="en-GB"/>
        </w:rPr>
        <w:t xml:space="preserve">composition </w:t>
      </w:r>
      <w:r w:rsidRPr="00261B1E">
        <w:rPr>
          <w:rFonts w:ascii="Times New Roman" w:hAnsi="Times New Roman" w:cs="Times New Roman"/>
          <w:sz w:val="20"/>
          <w:szCs w:val="20"/>
          <w:lang w:val="en-GB"/>
        </w:rPr>
        <w:t>of political parties</w:t>
      </w:r>
      <w:r w:rsidRPr="00261B1E">
        <w:rPr>
          <w:rFonts w:ascii="Times New Roman" w:hAnsi="Times New Roman" w:cs="Times New Roman"/>
          <w:sz w:val="20"/>
          <w:szCs w:val="20"/>
          <w:rtl/>
          <w:lang w:val="en-GB"/>
        </w:rPr>
        <w:t xml:space="preserve">’ </w:t>
      </w:r>
      <w:r w:rsidRPr="00261B1E">
        <w:rPr>
          <w:rFonts w:ascii="Times New Roman" w:hAnsi="Times New Roman" w:cs="Times New Roman"/>
          <w:sz w:val="20"/>
          <w:szCs w:val="20"/>
          <w:lang w:val="en-GB"/>
        </w:rPr>
        <w:t>lists are non-democratic and the chances of enlisting women minorities is extremely low.</w:t>
      </w:r>
      <w:r w:rsidRPr="00261B1E">
        <w:rPr>
          <w:rFonts w:ascii="Times New Roman" w:hAnsi="Times New Roman" w:cs="Times New Roman"/>
          <w:sz w:val="20"/>
          <w:szCs w:val="20"/>
          <w:vertAlign w:val="superscript"/>
          <w:lang w:val="en-GB"/>
        </w:rPr>
        <w:footnoteReference w:id="7"/>
      </w:r>
      <w:r w:rsidRPr="00261B1E">
        <w:rPr>
          <w:rFonts w:ascii="Times New Roman" w:hAnsi="Times New Roman" w:cs="Times New Roman"/>
          <w:sz w:val="20"/>
          <w:szCs w:val="20"/>
          <w:lang w:val="en-GB"/>
        </w:rPr>
        <w:t xml:space="preserve"> No political parties represent the interests and needs of minorities. Recent sociological research revealed that 46% of respondents do not see their group interests within political parties</w:t>
      </w:r>
      <w:r w:rsidRPr="00261B1E">
        <w:rPr>
          <w:rFonts w:ascii="Times New Roman" w:hAnsi="Times New Roman" w:cs="Times New Roman"/>
          <w:sz w:val="20"/>
          <w:szCs w:val="20"/>
          <w:rtl/>
          <w:lang w:val="en-GB"/>
        </w:rPr>
        <w:t xml:space="preserve">’ </w:t>
      </w:r>
      <w:r w:rsidRPr="00261B1E">
        <w:rPr>
          <w:rFonts w:ascii="Times New Roman" w:hAnsi="Times New Roman" w:cs="Times New Roman"/>
          <w:sz w:val="20"/>
          <w:szCs w:val="20"/>
          <w:lang w:val="en-GB"/>
        </w:rPr>
        <w:t>agendas.</w:t>
      </w:r>
      <w:r w:rsidRPr="00261B1E">
        <w:rPr>
          <w:rFonts w:ascii="Times New Roman" w:hAnsi="Times New Roman" w:cs="Times New Roman"/>
          <w:sz w:val="20"/>
          <w:szCs w:val="20"/>
          <w:vertAlign w:val="superscript"/>
          <w:lang w:val="en-GB"/>
        </w:rPr>
        <w:footnoteReference w:id="8"/>
      </w:r>
      <w:r w:rsidRPr="00261B1E">
        <w:rPr>
          <w:rFonts w:ascii="Times New Roman" w:hAnsi="Times New Roman" w:cs="Times New Roman"/>
          <w:sz w:val="20"/>
          <w:szCs w:val="20"/>
          <w:lang w:val="en-GB"/>
        </w:rPr>
        <w:t xml:space="preserve"> Underrepresentation in political life and prohibition of</w:t>
      </w:r>
      <w:r w:rsidR="00AB20A5" w:rsidRPr="00261B1E">
        <w:rPr>
          <w:rFonts w:ascii="Times New Roman" w:hAnsi="Times New Roman" w:cs="Times New Roman"/>
          <w:sz w:val="20"/>
          <w:szCs w:val="20"/>
          <w:lang w:val="en-GB"/>
        </w:rPr>
        <w:t xml:space="preserve"> establishment of</w:t>
      </w:r>
      <w:r w:rsidRPr="00261B1E">
        <w:rPr>
          <w:rFonts w:ascii="Times New Roman" w:hAnsi="Times New Roman" w:cs="Times New Roman"/>
          <w:sz w:val="20"/>
          <w:szCs w:val="20"/>
          <w:lang w:val="en-GB"/>
        </w:rPr>
        <w:t xml:space="preserve"> political parties on a territorial</w:t>
      </w:r>
      <w:r w:rsidR="00AB20A5" w:rsidRPr="00261B1E">
        <w:rPr>
          <w:rFonts w:ascii="Times New Roman" w:hAnsi="Times New Roman" w:cs="Times New Roman"/>
          <w:sz w:val="20"/>
          <w:szCs w:val="20"/>
          <w:lang w:val="en-GB"/>
        </w:rPr>
        <w:t>/regional</w:t>
      </w:r>
      <w:r w:rsidRPr="00261B1E">
        <w:rPr>
          <w:rFonts w:ascii="Times New Roman" w:hAnsi="Times New Roman" w:cs="Times New Roman"/>
          <w:sz w:val="20"/>
          <w:szCs w:val="20"/>
          <w:lang w:val="en-GB"/>
        </w:rPr>
        <w:t xml:space="preserve"> principle remains an obstacle to political participation.</w:t>
      </w:r>
      <w:r w:rsidRPr="00261B1E">
        <w:rPr>
          <w:rFonts w:ascii="Times New Roman" w:hAnsi="Times New Roman" w:cs="Times New Roman"/>
          <w:sz w:val="20"/>
          <w:szCs w:val="20"/>
          <w:vertAlign w:val="superscript"/>
          <w:lang w:val="en-GB"/>
        </w:rPr>
        <w:footnoteReference w:id="9"/>
      </w:r>
      <w:r w:rsidRPr="00261B1E">
        <w:rPr>
          <w:rFonts w:ascii="Times New Roman" w:hAnsi="Times New Roman" w:cs="Times New Roman"/>
          <w:sz w:val="20"/>
          <w:szCs w:val="20"/>
          <w:lang w:val="en-GB"/>
        </w:rPr>
        <w:t xml:space="preserve"> In eight municipalities densely populated by Armenian and Azerbaijani minorities, they are weakly rep</w:t>
      </w:r>
      <w:r w:rsidR="00261B1E" w:rsidRPr="00261B1E">
        <w:rPr>
          <w:rFonts w:ascii="Times New Roman" w:hAnsi="Times New Roman" w:cs="Times New Roman"/>
          <w:sz w:val="20"/>
          <w:szCs w:val="20"/>
          <w:lang w:val="en-GB"/>
        </w:rPr>
        <w:t xml:space="preserve">resented in local city councils - </w:t>
      </w:r>
      <w:r w:rsidRPr="00261B1E">
        <w:rPr>
          <w:rFonts w:ascii="Times New Roman" w:hAnsi="Times New Roman" w:cs="Times New Roman"/>
          <w:sz w:val="20"/>
          <w:szCs w:val="20"/>
          <w:lang w:val="en-GB"/>
        </w:rPr>
        <w:t>779 ethnic Georgians have 1 representative, while 1116 Armenians and 2945 Azerbaijanis also have 1 representative.</w:t>
      </w:r>
      <w:r w:rsidRPr="00261B1E">
        <w:rPr>
          <w:rFonts w:ascii="Times New Roman" w:hAnsi="Times New Roman" w:cs="Times New Roman"/>
          <w:sz w:val="20"/>
          <w:szCs w:val="20"/>
          <w:vertAlign w:val="superscript"/>
          <w:lang w:val="en-GB"/>
        </w:rPr>
        <w:footnoteReference w:id="10"/>
      </w:r>
      <w:r w:rsidRPr="00261B1E">
        <w:rPr>
          <w:rFonts w:ascii="Times New Roman" w:hAnsi="Times New Roman" w:cs="Times New Roman"/>
          <w:sz w:val="20"/>
          <w:szCs w:val="20"/>
          <w:lang w:val="en-GB"/>
        </w:rPr>
        <w:t xml:space="preserve"> An assessment of political parties’ agendas for the 2020 parliamentary election demonstrated that the specific interests of minorities, especially minority women, are </w:t>
      </w:r>
      <w:r w:rsidR="00AB20A5" w:rsidRPr="00261B1E">
        <w:rPr>
          <w:rFonts w:ascii="Times New Roman" w:hAnsi="Times New Roman" w:cs="Times New Roman"/>
          <w:sz w:val="20"/>
          <w:szCs w:val="20"/>
          <w:lang w:val="en-GB"/>
        </w:rPr>
        <w:t xml:space="preserve">not </w:t>
      </w:r>
      <w:r w:rsidRPr="00261B1E">
        <w:rPr>
          <w:rFonts w:ascii="Times New Roman" w:hAnsi="Times New Roman" w:cs="Times New Roman"/>
          <w:sz w:val="20"/>
          <w:szCs w:val="20"/>
          <w:lang w:val="en-GB"/>
        </w:rPr>
        <w:t>taken into consideration.</w:t>
      </w:r>
      <w:r w:rsidRPr="00261B1E">
        <w:rPr>
          <w:rFonts w:ascii="Times New Roman" w:hAnsi="Times New Roman" w:cs="Times New Roman"/>
          <w:sz w:val="20"/>
          <w:szCs w:val="20"/>
          <w:vertAlign w:val="superscript"/>
          <w:lang w:val="en-GB"/>
        </w:rPr>
        <w:footnoteReference w:id="11"/>
      </w:r>
      <w:r w:rsidRPr="00261B1E">
        <w:rPr>
          <w:rFonts w:ascii="Times New Roman" w:hAnsi="Times New Roman" w:cs="Times New Roman"/>
          <w:sz w:val="20"/>
          <w:szCs w:val="20"/>
          <w:lang w:val="en-GB"/>
        </w:rPr>
        <w:t xml:space="preserve"> 69,9% of respondents have never applied to the local self-government authorities for their private or family needs and 76,5% has not applied for public needs.</w:t>
      </w:r>
      <w:r w:rsidRPr="00261B1E">
        <w:rPr>
          <w:rFonts w:ascii="Times New Roman" w:hAnsi="Times New Roman" w:cs="Times New Roman"/>
          <w:sz w:val="20"/>
          <w:szCs w:val="20"/>
          <w:vertAlign w:val="superscript"/>
          <w:lang w:val="en-GB"/>
        </w:rPr>
        <w:footnoteReference w:id="12"/>
      </w:r>
      <w:r w:rsidRPr="00261B1E">
        <w:rPr>
          <w:rFonts w:ascii="Times New Roman" w:hAnsi="Times New Roman" w:cs="Times New Roman"/>
          <w:sz w:val="20"/>
          <w:szCs w:val="20"/>
          <w:lang w:val="en-GB"/>
        </w:rPr>
        <w:t xml:space="preserve"> Engagement with </w:t>
      </w:r>
      <w:r w:rsidRPr="00261B1E">
        <w:rPr>
          <w:rFonts w:ascii="Times New Roman" w:hAnsi="Times New Roman" w:cs="Times New Roman"/>
          <w:sz w:val="20"/>
          <w:szCs w:val="20"/>
          <w:lang w:val="en-GB"/>
        </w:rPr>
        <w:lastRenderedPageBreak/>
        <w:t>self-government authorities is further complicated due to limited knowledge of the state language knowledge. Non-Georgian speaking minorities cannot address the authorities in their native language or access information or start administrative proceedings. Fifty-two percent of minority women do not understand the function of local self-government or the services they provide.</w:t>
      </w:r>
      <w:r w:rsidRPr="00261B1E">
        <w:rPr>
          <w:rFonts w:ascii="Times New Roman" w:hAnsi="Times New Roman" w:cs="Times New Roman"/>
          <w:sz w:val="20"/>
          <w:szCs w:val="20"/>
          <w:vertAlign w:val="superscript"/>
          <w:lang w:val="en-GB"/>
        </w:rPr>
        <w:footnoteReference w:id="13"/>
      </w:r>
      <w:r w:rsidRPr="00261B1E">
        <w:rPr>
          <w:rFonts w:ascii="Times New Roman" w:hAnsi="Times New Roman" w:cs="Times New Roman"/>
          <w:sz w:val="20"/>
          <w:szCs w:val="20"/>
          <w:lang w:val="en-GB"/>
        </w:rPr>
        <w:t xml:space="preserve"> </w:t>
      </w:r>
    </w:p>
    <w:p w14:paraId="474CCABD" w14:textId="77777777" w:rsidR="00622511" w:rsidRPr="00261B1E" w:rsidRDefault="00622511" w:rsidP="00261B1E">
      <w:pPr>
        <w:pStyle w:val="Body"/>
        <w:jc w:val="both"/>
        <w:rPr>
          <w:rFonts w:ascii="Times New Roman" w:hAnsi="Times New Roman" w:cs="Times New Roman"/>
          <w:sz w:val="20"/>
          <w:szCs w:val="20"/>
          <w:lang w:val="en-GB"/>
        </w:rPr>
      </w:pPr>
    </w:p>
    <w:p w14:paraId="680A9697" w14:textId="3B706E92" w:rsidR="00622511" w:rsidRPr="00261B1E" w:rsidRDefault="00911821" w:rsidP="00261B1E">
      <w:pPr>
        <w:pStyle w:val="Body"/>
        <w:numPr>
          <w:ilvl w:val="0"/>
          <w:numId w:val="3"/>
        </w:numPr>
        <w:ind w:left="360"/>
        <w:jc w:val="both"/>
        <w:rPr>
          <w:rFonts w:ascii="Times New Roman" w:hAnsi="Times New Roman" w:cs="Times New Roman"/>
          <w:sz w:val="20"/>
          <w:szCs w:val="20"/>
          <w:lang w:val="en-GB"/>
        </w:rPr>
      </w:pPr>
      <w:r w:rsidRPr="00261B1E">
        <w:rPr>
          <w:rFonts w:ascii="Times New Roman" w:hAnsi="Times New Roman" w:cs="Times New Roman"/>
          <w:sz w:val="20"/>
          <w:szCs w:val="20"/>
          <w:lang w:val="en-GB"/>
        </w:rPr>
        <w:t>Limited access to a high</w:t>
      </w:r>
      <w:r w:rsidR="00AB20A5" w:rsidRPr="00261B1E">
        <w:rPr>
          <w:rFonts w:ascii="Times New Roman" w:hAnsi="Times New Roman" w:cs="Times New Roman"/>
          <w:sz w:val="20"/>
          <w:szCs w:val="20"/>
          <w:lang w:val="en-GB"/>
        </w:rPr>
        <w:t>-</w:t>
      </w:r>
      <w:r w:rsidRPr="00261B1E">
        <w:rPr>
          <w:rFonts w:ascii="Times New Roman" w:hAnsi="Times New Roman" w:cs="Times New Roman"/>
          <w:sz w:val="20"/>
          <w:szCs w:val="20"/>
          <w:lang w:val="en-GB"/>
        </w:rPr>
        <w:t>quality education and the difficult economic and social situation of minority women further hampers their access to development and impedes their participation in public and political lives. A large portion of women respondents (38,4%) said that they are not economically active, while this number is halved in case of men (18%).</w:t>
      </w:r>
      <w:r w:rsidRPr="00261B1E">
        <w:rPr>
          <w:rFonts w:ascii="Times New Roman" w:hAnsi="Times New Roman" w:cs="Times New Roman"/>
          <w:sz w:val="20"/>
          <w:szCs w:val="20"/>
          <w:vertAlign w:val="superscript"/>
          <w:lang w:val="en-GB"/>
        </w:rPr>
        <w:footnoteReference w:id="14"/>
      </w:r>
      <w:r w:rsidRPr="00261B1E">
        <w:rPr>
          <w:rFonts w:ascii="Times New Roman" w:hAnsi="Times New Roman" w:cs="Times New Roman"/>
          <w:sz w:val="20"/>
          <w:szCs w:val="20"/>
          <w:lang w:val="en-GB"/>
        </w:rPr>
        <w:t xml:space="preserve"> In the face of extreme social and economic vulnerability of minorities, the state does not provide regular statistical data on minority employment and economic conditions, including minority women, neither in public nor private sector.</w:t>
      </w:r>
    </w:p>
    <w:p w14:paraId="79400834" w14:textId="77777777" w:rsidR="00622511" w:rsidRPr="00261B1E" w:rsidRDefault="00622511" w:rsidP="00261B1E">
      <w:pPr>
        <w:pStyle w:val="Body"/>
        <w:jc w:val="both"/>
        <w:rPr>
          <w:rFonts w:ascii="Times New Roman" w:hAnsi="Times New Roman" w:cs="Times New Roman"/>
          <w:sz w:val="20"/>
          <w:szCs w:val="20"/>
          <w:lang w:val="en-GB"/>
        </w:rPr>
      </w:pPr>
    </w:p>
    <w:p w14:paraId="28879B91" w14:textId="7025A769" w:rsidR="00622511" w:rsidRPr="00261B1E" w:rsidRDefault="00AB20A5" w:rsidP="00261B1E">
      <w:pPr>
        <w:pStyle w:val="Body"/>
        <w:numPr>
          <w:ilvl w:val="0"/>
          <w:numId w:val="3"/>
        </w:numPr>
        <w:ind w:left="360"/>
        <w:jc w:val="both"/>
        <w:rPr>
          <w:rStyle w:val="None"/>
          <w:rFonts w:ascii="Times New Roman" w:hAnsi="Times New Roman" w:cs="Times New Roman"/>
          <w:sz w:val="20"/>
          <w:szCs w:val="20"/>
          <w:lang w:val="en-GB"/>
        </w:rPr>
      </w:pPr>
      <w:r w:rsidRPr="00261B1E">
        <w:rPr>
          <w:rFonts w:ascii="Times New Roman" w:hAnsi="Times New Roman" w:cs="Times New Roman"/>
          <w:sz w:val="20"/>
          <w:szCs w:val="20"/>
          <w:lang w:val="en-GB"/>
        </w:rPr>
        <w:t>I</w:t>
      </w:r>
      <w:r w:rsidR="00911821" w:rsidRPr="00261B1E">
        <w:rPr>
          <w:rFonts w:ascii="Times New Roman" w:hAnsi="Times New Roman" w:cs="Times New Roman"/>
          <w:sz w:val="20"/>
          <w:szCs w:val="20"/>
          <w:lang w:val="en-GB"/>
        </w:rPr>
        <w:t>n general, education reforms were inconsistent and unstable as there is no unified state vision or strategy for how the bilingual and multicultural education system should be developed. The percentage of students who have failed school exams at non-Georgian schools varies from 8,23% to 29,95% depending on the subject, while the same indicator on the national level is between 1,5% and 4,5%.</w:t>
      </w:r>
      <w:r w:rsidR="00911821" w:rsidRPr="00261B1E">
        <w:rPr>
          <w:rFonts w:ascii="Times New Roman" w:hAnsi="Times New Roman" w:cs="Times New Roman"/>
          <w:sz w:val="20"/>
          <w:szCs w:val="20"/>
          <w:vertAlign w:val="superscript"/>
          <w:lang w:val="en-GB"/>
        </w:rPr>
        <w:footnoteReference w:id="15"/>
      </w:r>
      <w:r w:rsidR="00911821" w:rsidRPr="00261B1E">
        <w:rPr>
          <w:rStyle w:val="None"/>
          <w:rFonts w:ascii="Times New Roman" w:hAnsi="Times New Roman" w:cs="Times New Roman"/>
          <w:sz w:val="20"/>
          <w:szCs w:val="20"/>
          <w:lang w:val="en-GB"/>
        </w:rPr>
        <w:t xml:space="preserve"> According to the Ministry of Education data on school exam failure, in 2011-2018, the minority populated regions of Kvemo Kartli and Samtskhe-Javakheti have the highest rates, respectively 11,3% and 10,7%. School drop-out is problematic among ethnic minorities,</w:t>
      </w:r>
      <w:r w:rsidR="00911821" w:rsidRPr="00261B1E">
        <w:rPr>
          <w:rStyle w:val="None"/>
          <w:rFonts w:ascii="Times New Roman" w:hAnsi="Times New Roman" w:cs="Times New Roman"/>
          <w:sz w:val="20"/>
          <w:szCs w:val="20"/>
          <w:vertAlign w:val="superscript"/>
          <w:lang w:val="en-GB"/>
        </w:rPr>
        <w:footnoteReference w:id="16"/>
      </w:r>
      <w:r w:rsidR="00911821" w:rsidRPr="00261B1E">
        <w:rPr>
          <w:rStyle w:val="None"/>
          <w:rFonts w:ascii="Times New Roman" w:hAnsi="Times New Roman" w:cs="Times New Roman"/>
          <w:sz w:val="20"/>
          <w:szCs w:val="20"/>
          <w:lang w:val="en-GB"/>
        </w:rPr>
        <w:t xml:space="preserve"> particularly in Kvemo Kartli. In 2016, 3,8% of pupils left school which is double the rate in other regions </w:t>
      </w:r>
      <w:r w:rsidRPr="00261B1E">
        <w:rPr>
          <w:rStyle w:val="None"/>
          <w:rFonts w:ascii="Times New Roman" w:hAnsi="Times New Roman" w:cs="Times New Roman"/>
          <w:sz w:val="20"/>
          <w:szCs w:val="20"/>
          <w:lang w:val="en-GB"/>
        </w:rPr>
        <w:t xml:space="preserve">comparing to </w:t>
      </w:r>
      <w:r w:rsidR="00911821" w:rsidRPr="00261B1E">
        <w:rPr>
          <w:rStyle w:val="None"/>
          <w:rFonts w:ascii="Times New Roman" w:hAnsi="Times New Roman" w:cs="Times New Roman"/>
          <w:sz w:val="20"/>
          <w:szCs w:val="20"/>
          <w:lang w:val="en-GB"/>
        </w:rPr>
        <w:t>the capital.</w:t>
      </w:r>
      <w:r w:rsidR="00911821" w:rsidRPr="00261B1E">
        <w:rPr>
          <w:rStyle w:val="None"/>
          <w:rFonts w:ascii="Times New Roman" w:hAnsi="Times New Roman" w:cs="Times New Roman"/>
          <w:sz w:val="20"/>
          <w:szCs w:val="20"/>
          <w:vertAlign w:val="superscript"/>
          <w:lang w:val="en-GB"/>
        </w:rPr>
        <w:footnoteReference w:id="17"/>
      </w:r>
      <w:r w:rsidR="00911821" w:rsidRPr="00261B1E">
        <w:rPr>
          <w:rStyle w:val="None"/>
          <w:rFonts w:ascii="Times New Roman" w:hAnsi="Times New Roman" w:cs="Times New Roman"/>
          <w:sz w:val="20"/>
          <w:szCs w:val="20"/>
          <w:lang w:val="en-GB"/>
        </w:rPr>
        <w:t xml:space="preserve"> One reason, apart from hard social conditions and labor migration, is the practice of early marriage of minority girls, which itself has various social factors and requires a complex approach that incorporates educational and social institutions, and not only police measures.</w:t>
      </w:r>
      <w:r w:rsidR="00911821" w:rsidRPr="00261B1E">
        <w:rPr>
          <w:rStyle w:val="None"/>
          <w:rFonts w:ascii="Times New Roman" w:hAnsi="Times New Roman" w:cs="Times New Roman"/>
          <w:sz w:val="20"/>
          <w:szCs w:val="20"/>
          <w:vertAlign w:val="superscript"/>
          <w:lang w:val="en-GB"/>
        </w:rPr>
        <w:footnoteReference w:id="18"/>
      </w:r>
    </w:p>
    <w:p w14:paraId="7567DA12" w14:textId="77777777" w:rsidR="00622511" w:rsidRPr="00261B1E" w:rsidRDefault="00622511" w:rsidP="00261B1E">
      <w:pPr>
        <w:pStyle w:val="Body"/>
        <w:jc w:val="both"/>
        <w:rPr>
          <w:rStyle w:val="None"/>
          <w:rFonts w:ascii="Times New Roman" w:hAnsi="Times New Roman" w:cs="Times New Roman"/>
          <w:sz w:val="20"/>
          <w:szCs w:val="20"/>
          <w:lang w:val="en-GB"/>
        </w:rPr>
      </w:pPr>
    </w:p>
    <w:p w14:paraId="2C25E0EC" w14:textId="77777777" w:rsidR="00622511" w:rsidRPr="00261B1E" w:rsidRDefault="00911821" w:rsidP="00261B1E">
      <w:pPr>
        <w:pStyle w:val="Body"/>
        <w:numPr>
          <w:ilvl w:val="0"/>
          <w:numId w:val="3"/>
        </w:numPr>
        <w:ind w:left="360"/>
        <w:jc w:val="both"/>
        <w:rPr>
          <w:rStyle w:val="None"/>
          <w:rFonts w:ascii="Times New Roman" w:hAnsi="Times New Roman" w:cs="Times New Roman"/>
          <w:sz w:val="20"/>
          <w:szCs w:val="20"/>
          <w:lang w:val="en-GB"/>
        </w:rPr>
      </w:pPr>
      <w:r w:rsidRPr="00261B1E">
        <w:rPr>
          <w:rStyle w:val="None"/>
          <w:rFonts w:ascii="Times New Roman" w:hAnsi="Times New Roman" w:cs="Times New Roman"/>
          <w:sz w:val="20"/>
          <w:szCs w:val="20"/>
          <w:lang w:val="en-GB"/>
        </w:rPr>
        <w:t>The percentage of illiterate women among ethnic minorities is 7%; and only 5% have completed their higher education. The percentage of Azerbaijani women who do not know Georgian is higher compared to Armenian women, 65% and 59%, respectively.</w:t>
      </w:r>
      <w:r w:rsidRPr="00261B1E">
        <w:rPr>
          <w:rStyle w:val="None"/>
          <w:rFonts w:ascii="Times New Roman" w:hAnsi="Times New Roman" w:cs="Times New Roman"/>
          <w:sz w:val="20"/>
          <w:szCs w:val="20"/>
          <w:vertAlign w:val="superscript"/>
          <w:lang w:val="en-GB"/>
        </w:rPr>
        <w:footnoteReference w:id="19"/>
      </w:r>
    </w:p>
    <w:p w14:paraId="4432854A" w14:textId="77777777" w:rsidR="00622511" w:rsidRPr="00261B1E" w:rsidRDefault="00622511" w:rsidP="00261B1E">
      <w:pPr>
        <w:pStyle w:val="Body"/>
        <w:jc w:val="both"/>
        <w:rPr>
          <w:rStyle w:val="None"/>
          <w:rFonts w:ascii="Times New Roman" w:hAnsi="Times New Roman" w:cs="Times New Roman"/>
          <w:sz w:val="20"/>
          <w:szCs w:val="20"/>
          <w:lang w:val="en-GB"/>
        </w:rPr>
      </w:pPr>
    </w:p>
    <w:p w14:paraId="613053A1" w14:textId="686508D8" w:rsidR="00622511" w:rsidRPr="00261B1E" w:rsidRDefault="00911821" w:rsidP="00261B1E">
      <w:pPr>
        <w:pStyle w:val="Body"/>
        <w:numPr>
          <w:ilvl w:val="0"/>
          <w:numId w:val="3"/>
        </w:numPr>
        <w:ind w:left="360"/>
        <w:jc w:val="both"/>
        <w:rPr>
          <w:rStyle w:val="None"/>
          <w:rFonts w:ascii="Times New Roman" w:hAnsi="Times New Roman" w:cs="Times New Roman"/>
          <w:sz w:val="20"/>
          <w:szCs w:val="20"/>
          <w:lang w:val="en-GB"/>
        </w:rPr>
      </w:pPr>
      <w:r w:rsidRPr="00261B1E">
        <w:rPr>
          <w:rStyle w:val="None"/>
          <w:rFonts w:ascii="Times New Roman" w:hAnsi="Times New Roman" w:cs="Times New Roman"/>
          <w:sz w:val="20"/>
          <w:szCs w:val="20"/>
          <w:lang w:val="en-GB"/>
        </w:rPr>
        <w:t xml:space="preserve">The poor quality of school education is worsened by deficiency of kindergartens in minority municipalities. There are not enough kindergartens and those that do exist do not incorporate bilingual and multicultural approaches and methodology, having only nurturing functions. This itself forces women to stay at home with their kids or sometimes take them during their agricultural seasonal work. In such conditions, women lose interest in </w:t>
      </w:r>
      <w:r w:rsidR="00AB20A5" w:rsidRPr="00261B1E">
        <w:rPr>
          <w:rStyle w:val="None"/>
          <w:rFonts w:ascii="Times New Roman" w:hAnsi="Times New Roman" w:cs="Times New Roman"/>
          <w:sz w:val="20"/>
          <w:szCs w:val="20"/>
          <w:lang w:val="en-GB"/>
        </w:rPr>
        <w:t xml:space="preserve">participating </w:t>
      </w:r>
      <w:r w:rsidRPr="00261B1E">
        <w:rPr>
          <w:rStyle w:val="None"/>
          <w:rFonts w:ascii="Times New Roman" w:hAnsi="Times New Roman" w:cs="Times New Roman"/>
          <w:sz w:val="20"/>
          <w:szCs w:val="20"/>
          <w:lang w:val="en-GB"/>
        </w:rPr>
        <w:t>in public life, to get education or employ. Kindergartens are not available for 80% of women who have preschool age children.</w:t>
      </w:r>
      <w:r w:rsidRPr="00261B1E">
        <w:rPr>
          <w:rStyle w:val="None"/>
          <w:rFonts w:ascii="Times New Roman" w:hAnsi="Times New Roman" w:cs="Times New Roman"/>
          <w:sz w:val="20"/>
          <w:szCs w:val="20"/>
          <w:vertAlign w:val="superscript"/>
          <w:lang w:val="en-GB"/>
        </w:rPr>
        <w:footnoteReference w:id="20"/>
      </w:r>
      <w:r w:rsidRPr="00261B1E">
        <w:rPr>
          <w:rStyle w:val="None"/>
          <w:rFonts w:ascii="Times New Roman" w:hAnsi="Times New Roman" w:cs="Times New Roman"/>
          <w:sz w:val="20"/>
          <w:szCs w:val="20"/>
          <w:lang w:val="en-GB"/>
        </w:rPr>
        <w:t xml:space="preserve"> </w:t>
      </w:r>
    </w:p>
    <w:p w14:paraId="160528F9" w14:textId="77777777" w:rsidR="00622511" w:rsidRPr="00261B1E" w:rsidRDefault="00622511" w:rsidP="00261B1E">
      <w:pPr>
        <w:pStyle w:val="Body"/>
        <w:jc w:val="both"/>
        <w:rPr>
          <w:rStyle w:val="None"/>
          <w:rFonts w:ascii="Times New Roman" w:hAnsi="Times New Roman" w:cs="Times New Roman"/>
          <w:sz w:val="20"/>
          <w:szCs w:val="20"/>
          <w:lang w:val="en-GB"/>
        </w:rPr>
      </w:pPr>
    </w:p>
    <w:p w14:paraId="5F0197FF" w14:textId="08FA29C7" w:rsidR="00622511" w:rsidRPr="00261B1E" w:rsidRDefault="00911821" w:rsidP="00261B1E">
      <w:pPr>
        <w:pStyle w:val="Body"/>
        <w:numPr>
          <w:ilvl w:val="0"/>
          <w:numId w:val="3"/>
        </w:numPr>
        <w:ind w:left="360"/>
        <w:jc w:val="both"/>
        <w:rPr>
          <w:rStyle w:val="None"/>
          <w:rFonts w:ascii="Times New Roman" w:hAnsi="Times New Roman" w:cs="Times New Roman"/>
          <w:sz w:val="20"/>
          <w:szCs w:val="20"/>
          <w:lang w:val="en-GB"/>
        </w:rPr>
      </w:pPr>
      <w:r w:rsidRPr="00261B1E">
        <w:rPr>
          <w:rStyle w:val="None"/>
          <w:rFonts w:ascii="Times New Roman" w:hAnsi="Times New Roman" w:cs="Times New Roman"/>
          <w:sz w:val="20"/>
          <w:szCs w:val="20"/>
          <w:lang w:val="en-GB"/>
        </w:rPr>
        <w:t>Ethnic minorities are one of the most socially vulnerable part of Georgia. The latest sociological research revealed that 27,6% of the minority population lives below the subsistence minimum (180 GEL), while this number is 21% of the general population.</w:t>
      </w:r>
      <w:r w:rsidRPr="00261B1E">
        <w:rPr>
          <w:rStyle w:val="None"/>
          <w:rFonts w:ascii="Times New Roman" w:hAnsi="Times New Roman" w:cs="Times New Roman"/>
          <w:sz w:val="20"/>
          <w:szCs w:val="20"/>
          <w:vertAlign w:val="superscript"/>
          <w:lang w:val="en-GB"/>
        </w:rPr>
        <w:footnoteReference w:id="21"/>
      </w:r>
      <w:r w:rsidRPr="00261B1E">
        <w:rPr>
          <w:rStyle w:val="None"/>
          <w:rFonts w:ascii="Times New Roman" w:hAnsi="Times New Roman" w:cs="Times New Roman"/>
          <w:sz w:val="20"/>
          <w:szCs w:val="20"/>
          <w:lang w:val="en-GB"/>
        </w:rPr>
        <w:t xml:space="preserve"> The majority of women (59%) have no personal monthly income, 37% report that home-grown agricultural products are the main source of income for their families, and another 30% report their pensions as their mainstay.</w:t>
      </w:r>
      <w:r w:rsidRPr="00261B1E">
        <w:rPr>
          <w:rStyle w:val="None"/>
          <w:rFonts w:ascii="Times New Roman" w:hAnsi="Times New Roman" w:cs="Times New Roman"/>
          <w:sz w:val="20"/>
          <w:szCs w:val="20"/>
          <w:vertAlign w:val="superscript"/>
          <w:lang w:val="en-GB"/>
        </w:rPr>
        <w:footnoteReference w:id="22"/>
      </w:r>
      <w:r w:rsidRPr="00261B1E">
        <w:rPr>
          <w:rStyle w:val="None"/>
          <w:rFonts w:ascii="Times New Roman" w:hAnsi="Times New Roman" w:cs="Times New Roman"/>
          <w:sz w:val="20"/>
          <w:szCs w:val="20"/>
          <w:lang w:val="en-GB"/>
        </w:rPr>
        <w:t xml:space="preserve"> In municipalities where knowledge of the state language is lower, access to social, healthcare and public services is </w:t>
      </w:r>
      <w:r w:rsidR="00AB20A5" w:rsidRPr="00261B1E">
        <w:rPr>
          <w:rStyle w:val="None"/>
          <w:rFonts w:ascii="Times New Roman" w:hAnsi="Times New Roman" w:cs="Times New Roman"/>
          <w:sz w:val="20"/>
          <w:szCs w:val="20"/>
          <w:lang w:val="en-GB"/>
        </w:rPr>
        <w:t>further challenged.</w:t>
      </w:r>
      <w:r w:rsidRPr="00261B1E">
        <w:rPr>
          <w:rStyle w:val="None"/>
          <w:rFonts w:ascii="Times New Roman" w:hAnsi="Times New Roman" w:cs="Times New Roman"/>
          <w:sz w:val="20"/>
          <w:szCs w:val="20"/>
          <w:lang w:val="en-GB"/>
        </w:rPr>
        <w:t xml:space="preserve"> No information on social and healthcare services are translated in minority languages, social workers do not speak minority languages and the method to gather information from minority families about their </w:t>
      </w:r>
      <w:r w:rsidRPr="00261B1E">
        <w:rPr>
          <w:rStyle w:val="None"/>
          <w:rFonts w:ascii="Times New Roman" w:hAnsi="Times New Roman" w:cs="Times New Roman"/>
          <w:sz w:val="20"/>
          <w:szCs w:val="20"/>
          <w:lang w:val="en-GB"/>
        </w:rPr>
        <w:lastRenderedPageBreak/>
        <w:t>economic condition is questionable. Minority women cannot get vital healthcare services in the regions in their native language and often they need a translator to accompany them for doctor</w:t>
      </w:r>
      <w:r w:rsidRPr="00261B1E">
        <w:rPr>
          <w:rStyle w:val="None"/>
          <w:rFonts w:ascii="Times New Roman" w:hAnsi="Times New Roman" w:cs="Times New Roman"/>
          <w:sz w:val="20"/>
          <w:szCs w:val="20"/>
          <w:rtl/>
          <w:lang w:val="en-GB"/>
        </w:rPr>
        <w:t>’</w:t>
      </w:r>
      <w:r w:rsidRPr="00261B1E">
        <w:rPr>
          <w:rStyle w:val="None"/>
          <w:rFonts w:ascii="Times New Roman" w:hAnsi="Times New Roman" w:cs="Times New Roman"/>
          <w:sz w:val="20"/>
          <w:szCs w:val="20"/>
          <w:lang w:val="en-GB"/>
        </w:rPr>
        <w:t>s visits. These circumstances violate women</w:t>
      </w:r>
      <w:r w:rsidRPr="00261B1E">
        <w:rPr>
          <w:rStyle w:val="None"/>
          <w:rFonts w:ascii="Times New Roman" w:hAnsi="Times New Roman" w:cs="Times New Roman"/>
          <w:sz w:val="20"/>
          <w:szCs w:val="20"/>
          <w:rtl/>
          <w:lang w:val="en-GB"/>
        </w:rPr>
        <w:t>’</w:t>
      </w:r>
      <w:r w:rsidRPr="00261B1E">
        <w:rPr>
          <w:rStyle w:val="None"/>
          <w:rFonts w:ascii="Times New Roman" w:hAnsi="Times New Roman" w:cs="Times New Roman"/>
          <w:sz w:val="20"/>
          <w:szCs w:val="20"/>
          <w:lang w:val="en-GB"/>
        </w:rPr>
        <w:t>s rights to reproductive healthcare and restricts autonomy and self-control of their health. Due to infrastructural problems (road, transportation, lack of hospitals in the regions) women are forced to travel to the centre only for urgent medical needs.</w:t>
      </w:r>
      <w:r w:rsidRPr="00261B1E">
        <w:rPr>
          <w:rStyle w:val="None"/>
          <w:rFonts w:ascii="Times New Roman" w:hAnsi="Times New Roman" w:cs="Times New Roman"/>
          <w:sz w:val="20"/>
          <w:szCs w:val="20"/>
          <w:vertAlign w:val="superscript"/>
          <w:lang w:val="en-GB"/>
        </w:rPr>
        <w:footnoteReference w:id="23"/>
      </w:r>
      <w:r w:rsidRPr="00261B1E">
        <w:rPr>
          <w:rStyle w:val="None"/>
          <w:rFonts w:ascii="Times New Roman" w:hAnsi="Times New Roman" w:cs="Times New Roman"/>
          <w:sz w:val="20"/>
          <w:szCs w:val="20"/>
          <w:lang w:val="en-GB"/>
        </w:rPr>
        <w:t xml:space="preserve"> Access to pharmacies and doctors in the minority villages is extremely restricted and often absent. </w:t>
      </w:r>
    </w:p>
    <w:p w14:paraId="5B30ECAC" w14:textId="77777777" w:rsidR="00622511" w:rsidRPr="00261B1E" w:rsidRDefault="00622511" w:rsidP="00261B1E">
      <w:pPr>
        <w:pStyle w:val="Body"/>
        <w:jc w:val="both"/>
        <w:rPr>
          <w:rStyle w:val="None"/>
          <w:rFonts w:ascii="Times New Roman" w:hAnsi="Times New Roman" w:cs="Times New Roman"/>
          <w:sz w:val="20"/>
          <w:szCs w:val="20"/>
          <w:lang w:val="en-GB"/>
        </w:rPr>
      </w:pPr>
    </w:p>
    <w:p w14:paraId="7EF476EB" w14:textId="6B85EDE3" w:rsidR="00622511" w:rsidRPr="00261B1E" w:rsidRDefault="00911821" w:rsidP="00261B1E">
      <w:pPr>
        <w:pStyle w:val="Body"/>
        <w:numPr>
          <w:ilvl w:val="0"/>
          <w:numId w:val="3"/>
        </w:numPr>
        <w:ind w:left="360"/>
        <w:jc w:val="both"/>
        <w:rPr>
          <w:rStyle w:val="None"/>
          <w:rFonts w:ascii="Times New Roman" w:hAnsi="Times New Roman" w:cs="Times New Roman"/>
          <w:sz w:val="20"/>
          <w:szCs w:val="20"/>
          <w:lang w:val="en-GB"/>
        </w:rPr>
      </w:pPr>
      <w:r w:rsidRPr="00261B1E">
        <w:rPr>
          <w:rStyle w:val="None"/>
          <w:rFonts w:ascii="Times New Roman" w:hAnsi="Times New Roman" w:cs="Times New Roman"/>
          <w:sz w:val="20"/>
          <w:szCs w:val="20"/>
          <w:lang w:val="en-GB"/>
        </w:rPr>
        <w:t>Infrastructure in minority regions is also problematic. Limited access to potable water and public transport further complicates the daily life of minority women in rural areas.</w:t>
      </w:r>
      <w:r w:rsidRPr="00261B1E">
        <w:rPr>
          <w:rStyle w:val="None"/>
          <w:rFonts w:ascii="Times New Roman" w:hAnsi="Times New Roman" w:cs="Times New Roman"/>
          <w:sz w:val="20"/>
          <w:szCs w:val="20"/>
          <w:vertAlign w:val="superscript"/>
          <w:lang w:val="en-GB"/>
        </w:rPr>
        <w:footnoteReference w:id="24"/>
      </w:r>
      <w:r w:rsidRPr="00261B1E">
        <w:rPr>
          <w:rStyle w:val="None"/>
          <w:rFonts w:ascii="Times New Roman" w:hAnsi="Times New Roman" w:cs="Times New Roman"/>
          <w:sz w:val="20"/>
          <w:szCs w:val="20"/>
          <w:lang w:val="en-GB"/>
        </w:rPr>
        <w:t xml:space="preserve"> The lack of social services for various vulnerable groups, including the elderly and persons with disabilities, is an additional burden for them in rural areas. </w:t>
      </w:r>
    </w:p>
    <w:p w14:paraId="03831FEB" w14:textId="77777777" w:rsidR="00622511" w:rsidRPr="00261B1E" w:rsidRDefault="00622511" w:rsidP="00261B1E">
      <w:pPr>
        <w:pStyle w:val="Body"/>
        <w:jc w:val="both"/>
        <w:rPr>
          <w:rStyle w:val="None"/>
          <w:rFonts w:ascii="Times New Roman" w:hAnsi="Times New Roman" w:cs="Times New Roman"/>
          <w:sz w:val="20"/>
          <w:szCs w:val="20"/>
          <w:lang w:val="en-GB"/>
        </w:rPr>
      </w:pPr>
    </w:p>
    <w:p w14:paraId="586C284D" w14:textId="77777777" w:rsidR="00622511" w:rsidRPr="00261B1E" w:rsidRDefault="00911821" w:rsidP="00261B1E">
      <w:pPr>
        <w:pStyle w:val="Body"/>
        <w:numPr>
          <w:ilvl w:val="0"/>
          <w:numId w:val="3"/>
        </w:numPr>
        <w:ind w:left="360"/>
        <w:jc w:val="both"/>
        <w:rPr>
          <w:rStyle w:val="None"/>
          <w:rFonts w:ascii="Times New Roman" w:hAnsi="Times New Roman" w:cs="Times New Roman"/>
          <w:b/>
          <w:bCs/>
          <w:sz w:val="20"/>
          <w:szCs w:val="20"/>
          <w:lang w:val="en-GB"/>
        </w:rPr>
      </w:pPr>
      <w:r w:rsidRPr="00261B1E">
        <w:rPr>
          <w:rStyle w:val="None"/>
          <w:rFonts w:ascii="Times New Roman" w:hAnsi="Times New Roman" w:cs="Times New Roman"/>
          <w:b/>
          <w:bCs/>
          <w:sz w:val="20"/>
          <w:szCs w:val="20"/>
          <w:lang w:val="en-GB"/>
        </w:rPr>
        <w:t xml:space="preserve">Recommendations: </w:t>
      </w:r>
    </w:p>
    <w:p w14:paraId="4852F913" w14:textId="1121A6D8" w:rsidR="00622511" w:rsidRPr="00261B1E" w:rsidRDefault="00911821">
      <w:pPr>
        <w:pStyle w:val="ListParagraph"/>
        <w:numPr>
          <w:ilvl w:val="0"/>
          <w:numId w:val="2"/>
        </w:numPr>
        <w:jc w:val="both"/>
        <w:rPr>
          <w:rFonts w:cs="Times New Roman"/>
          <w:sz w:val="20"/>
          <w:szCs w:val="20"/>
          <w:lang w:val="en-GB"/>
        </w:rPr>
      </w:pPr>
      <w:r w:rsidRPr="00261B1E">
        <w:rPr>
          <w:rStyle w:val="None"/>
          <w:rFonts w:cs="Times New Roman"/>
          <w:sz w:val="20"/>
          <w:szCs w:val="20"/>
          <w:lang w:val="en-GB"/>
        </w:rPr>
        <w:t xml:space="preserve">Conduct consultations and discussions with </w:t>
      </w:r>
      <w:r w:rsidRPr="00261B1E">
        <w:rPr>
          <w:rFonts w:cs="Times New Roman"/>
          <w:sz w:val="20"/>
          <w:szCs w:val="20"/>
          <w:lang w:val="en-GB"/>
        </w:rPr>
        <w:t xml:space="preserve">minorities and human rights organisations </w:t>
      </w:r>
      <w:r w:rsidRPr="00261B1E">
        <w:rPr>
          <w:rStyle w:val="None"/>
          <w:rFonts w:cs="Times New Roman"/>
          <w:sz w:val="20"/>
          <w:szCs w:val="20"/>
          <w:lang w:val="en-GB"/>
        </w:rPr>
        <w:t>concerning the special mechanisms of minority political participation (quotas, funding of political parties, etc).</w:t>
      </w:r>
    </w:p>
    <w:p w14:paraId="322A2558" w14:textId="76FEFB7D" w:rsidR="00622511" w:rsidRPr="00261B1E" w:rsidRDefault="00911821">
      <w:pPr>
        <w:pStyle w:val="ListParagraph"/>
        <w:numPr>
          <w:ilvl w:val="0"/>
          <w:numId w:val="2"/>
        </w:numPr>
        <w:jc w:val="both"/>
        <w:rPr>
          <w:rFonts w:cs="Times New Roman"/>
          <w:sz w:val="20"/>
          <w:szCs w:val="20"/>
          <w:lang w:val="en-GB"/>
        </w:rPr>
      </w:pPr>
      <w:r w:rsidRPr="00261B1E">
        <w:rPr>
          <w:rStyle w:val="None"/>
          <w:rFonts w:cs="Times New Roman"/>
          <w:sz w:val="20"/>
          <w:szCs w:val="20"/>
          <w:lang w:val="en-GB"/>
        </w:rPr>
        <w:t xml:space="preserve">Establish long-term, sustainable, democratic, independent and self-regulated minority consultative mechanisms in accordance with Article 15 of the Framework Convention on National Minorities (FCNM) within the Parliament of Georgia and on the governmental level, as well as within the municipalities, where minorities reside. Promote women’s participation in such consultative mechanisms. </w:t>
      </w:r>
    </w:p>
    <w:p w14:paraId="15E779D6" w14:textId="62308EBE" w:rsidR="00622511" w:rsidRPr="00261B1E" w:rsidRDefault="00911821">
      <w:pPr>
        <w:pStyle w:val="ListParagraph"/>
        <w:numPr>
          <w:ilvl w:val="0"/>
          <w:numId w:val="2"/>
        </w:numPr>
        <w:jc w:val="both"/>
        <w:rPr>
          <w:rFonts w:cs="Times New Roman"/>
          <w:sz w:val="20"/>
          <w:szCs w:val="20"/>
          <w:lang w:val="en-GB"/>
        </w:rPr>
      </w:pPr>
      <w:r w:rsidRPr="00261B1E">
        <w:rPr>
          <w:rStyle w:val="None"/>
          <w:rFonts w:cs="Times New Roman"/>
          <w:sz w:val="20"/>
          <w:szCs w:val="20"/>
          <w:lang w:val="en-GB"/>
        </w:rPr>
        <w:t>Adopt positive measures to encourage the employment of minorities, including minority women, in central and local government institutions and provide updated statistics on their employment;</w:t>
      </w:r>
    </w:p>
    <w:p w14:paraId="6C39CA8D" w14:textId="1E3177E2" w:rsidR="00622511" w:rsidRPr="00261B1E" w:rsidRDefault="00911821">
      <w:pPr>
        <w:pStyle w:val="ListParagraph"/>
        <w:numPr>
          <w:ilvl w:val="0"/>
          <w:numId w:val="2"/>
        </w:numPr>
        <w:jc w:val="both"/>
        <w:rPr>
          <w:rFonts w:cs="Times New Roman"/>
          <w:sz w:val="20"/>
          <w:szCs w:val="20"/>
          <w:lang w:val="en-GB"/>
        </w:rPr>
      </w:pPr>
      <w:r w:rsidRPr="00261B1E">
        <w:rPr>
          <w:rStyle w:val="None"/>
          <w:rFonts w:cs="Times New Roman"/>
          <w:sz w:val="20"/>
          <w:szCs w:val="20"/>
          <w:lang w:val="en-GB"/>
        </w:rPr>
        <w:t>Elaborate a state policy on multilingual and multicultural school education for minorities, which will be regularly monitored and revised based on research data.</w:t>
      </w:r>
    </w:p>
    <w:p w14:paraId="001C6BD4" w14:textId="2746FDD8" w:rsidR="00622511" w:rsidRPr="00261B1E" w:rsidRDefault="00911821">
      <w:pPr>
        <w:pStyle w:val="ListParagraph"/>
        <w:numPr>
          <w:ilvl w:val="0"/>
          <w:numId w:val="2"/>
        </w:numPr>
        <w:jc w:val="both"/>
        <w:rPr>
          <w:rFonts w:cs="Times New Roman"/>
          <w:sz w:val="20"/>
          <w:szCs w:val="20"/>
          <w:lang w:val="en-GB"/>
        </w:rPr>
      </w:pPr>
      <w:r w:rsidRPr="00261B1E">
        <w:rPr>
          <w:rStyle w:val="None"/>
          <w:rFonts w:cs="Times New Roman"/>
          <w:sz w:val="20"/>
          <w:szCs w:val="20"/>
          <w:lang w:val="en-GB"/>
        </w:rPr>
        <w:t xml:space="preserve">Develop the concept of multicultural and multilingual kindergartens and schools; </w:t>
      </w:r>
    </w:p>
    <w:p w14:paraId="5D614701" w14:textId="698505E2" w:rsidR="00622511" w:rsidRPr="00261B1E" w:rsidRDefault="00911821">
      <w:pPr>
        <w:pStyle w:val="ListParagraph"/>
        <w:numPr>
          <w:ilvl w:val="0"/>
          <w:numId w:val="2"/>
        </w:numPr>
        <w:jc w:val="both"/>
        <w:rPr>
          <w:rFonts w:cs="Times New Roman"/>
          <w:sz w:val="20"/>
          <w:szCs w:val="20"/>
          <w:lang w:val="en-GB"/>
        </w:rPr>
      </w:pPr>
      <w:r w:rsidRPr="00261B1E">
        <w:rPr>
          <w:rFonts w:cs="Times New Roman"/>
          <w:sz w:val="20"/>
          <w:szCs w:val="20"/>
          <w:lang w:val="en-GB"/>
        </w:rPr>
        <w:t>Develop the concept of multicultural and multilingual kindergartens and adopt an action plan for their construction in municipalities based on the priorities and timelines consulted with local communities.</w:t>
      </w:r>
    </w:p>
    <w:p w14:paraId="77EDEAE5" w14:textId="77777777" w:rsidR="00622511" w:rsidRPr="00261B1E" w:rsidRDefault="00911821">
      <w:pPr>
        <w:pStyle w:val="ListParagraph"/>
        <w:numPr>
          <w:ilvl w:val="0"/>
          <w:numId w:val="2"/>
        </w:numPr>
        <w:jc w:val="both"/>
        <w:rPr>
          <w:rFonts w:cs="Times New Roman"/>
          <w:sz w:val="20"/>
          <w:szCs w:val="20"/>
          <w:lang w:val="en-GB"/>
        </w:rPr>
      </w:pPr>
      <w:r w:rsidRPr="00261B1E">
        <w:rPr>
          <w:rStyle w:val="None"/>
          <w:rFonts w:cs="Times New Roman"/>
          <w:sz w:val="20"/>
          <w:szCs w:val="20"/>
          <w:lang w:val="en-GB"/>
        </w:rPr>
        <w:t>Proactively provide information on state-funded social and healthcare services in minority languages, including translation of information in minority languages, dissemination via popular platforms, active awareness raising campaigns, translation services in service -provider units, etc.;</w:t>
      </w:r>
    </w:p>
    <w:p w14:paraId="7D59533E" w14:textId="3538A2EB" w:rsidR="00622511" w:rsidRPr="00261B1E" w:rsidRDefault="00911821">
      <w:pPr>
        <w:pStyle w:val="ListParagraph"/>
        <w:numPr>
          <w:ilvl w:val="0"/>
          <w:numId w:val="2"/>
        </w:numPr>
        <w:jc w:val="both"/>
        <w:rPr>
          <w:rFonts w:cs="Times New Roman"/>
          <w:sz w:val="20"/>
          <w:szCs w:val="20"/>
          <w:lang w:val="en-GB"/>
        </w:rPr>
      </w:pPr>
      <w:r w:rsidRPr="00261B1E">
        <w:rPr>
          <w:rStyle w:val="None"/>
          <w:rFonts w:cs="Times New Roman"/>
          <w:sz w:val="20"/>
          <w:szCs w:val="20"/>
          <w:lang w:val="en-GB"/>
        </w:rPr>
        <w:t xml:space="preserve">Raise awareness of minority higher education program (1+4) and promote women’s engagement through financial support of vulnerable groups and the creation of social guarantees (student dorms) for youth living in minority regions. </w:t>
      </w:r>
    </w:p>
    <w:p w14:paraId="66DB5BB2" w14:textId="58CEEFEE" w:rsidR="00622511" w:rsidRPr="00261B1E" w:rsidRDefault="00911821">
      <w:pPr>
        <w:pStyle w:val="ListParagraph"/>
        <w:numPr>
          <w:ilvl w:val="0"/>
          <w:numId w:val="2"/>
        </w:numPr>
        <w:jc w:val="both"/>
        <w:rPr>
          <w:rFonts w:cs="Times New Roman"/>
          <w:sz w:val="20"/>
          <w:szCs w:val="20"/>
          <w:lang w:val="en-GB"/>
        </w:rPr>
      </w:pPr>
      <w:r w:rsidRPr="00261B1E">
        <w:rPr>
          <w:rStyle w:val="None"/>
          <w:rFonts w:cs="Times New Roman"/>
          <w:sz w:val="20"/>
          <w:szCs w:val="20"/>
          <w:lang w:val="en-GB"/>
        </w:rPr>
        <w:t xml:space="preserve">Adopt statistical data on ethnic minority social and economic conditions which will be segregated according to gender and ethnicity. </w:t>
      </w:r>
    </w:p>
    <w:p w14:paraId="0859A458" w14:textId="15D76025" w:rsidR="00622511" w:rsidRPr="00261B1E" w:rsidRDefault="00911821">
      <w:pPr>
        <w:pStyle w:val="ListParagraph"/>
        <w:numPr>
          <w:ilvl w:val="0"/>
          <w:numId w:val="2"/>
        </w:numPr>
        <w:jc w:val="both"/>
        <w:rPr>
          <w:rFonts w:cs="Times New Roman"/>
          <w:sz w:val="20"/>
          <w:szCs w:val="20"/>
          <w:lang w:val="en-GB"/>
        </w:rPr>
      </w:pPr>
      <w:r w:rsidRPr="00261B1E">
        <w:rPr>
          <w:rStyle w:val="None"/>
          <w:rFonts w:cs="Times New Roman"/>
          <w:sz w:val="20"/>
          <w:szCs w:val="20"/>
          <w:lang w:val="en-GB"/>
        </w:rPr>
        <w:t>Improve basic infrastructure in minority municipalities based on consultations and in accordance with pre-determined and realistic action plans.</w:t>
      </w:r>
    </w:p>
    <w:p w14:paraId="72026DED" w14:textId="1F538B2A" w:rsidR="00622511" w:rsidRDefault="00911821">
      <w:pPr>
        <w:pStyle w:val="ListParagraph"/>
        <w:numPr>
          <w:ilvl w:val="0"/>
          <w:numId w:val="2"/>
        </w:numPr>
        <w:jc w:val="both"/>
        <w:rPr>
          <w:rStyle w:val="None"/>
          <w:rFonts w:cs="Times New Roman"/>
          <w:sz w:val="20"/>
          <w:szCs w:val="20"/>
          <w:lang w:val="en-GB"/>
        </w:rPr>
      </w:pPr>
      <w:r w:rsidRPr="00261B1E">
        <w:rPr>
          <w:rStyle w:val="None"/>
          <w:rFonts w:cs="Times New Roman"/>
          <w:sz w:val="20"/>
          <w:szCs w:val="20"/>
          <w:lang w:val="en-GB"/>
        </w:rPr>
        <w:t>Set up translation resources into minority language for important public documents and legal acts as well as administrative proceedings.</w:t>
      </w:r>
    </w:p>
    <w:p w14:paraId="630E9D20" w14:textId="77777777" w:rsidR="00261B1E" w:rsidRPr="00261B1E" w:rsidRDefault="00261B1E" w:rsidP="00261B1E">
      <w:pPr>
        <w:ind w:left="360"/>
        <w:jc w:val="both"/>
        <w:rPr>
          <w:sz w:val="20"/>
          <w:szCs w:val="20"/>
          <w:lang w:val="en-GB"/>
        </w:rPr>
      </w:pPr>
    </w:p>
    <w:sectPr w:rsidR="00261B1E" w:rsidRPr="00261B1E" w:rsidSect="003C5ADD">
      <w:footerReference w:type="default" r:id="rId11"/>
      <w:pgSz w:w="12240" w:h="15840"/>
      <w:pgMar w:top="1440" w:right="1152" w:bottom="1440" w:left="1152" w:header="706" w:footer="70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31F9D" w14:textId="77777777" w:rsidR="00982D41" w:rsidRDefault="00982D41">
      <w:r>
        <w:separator/>
      </w:r>
    </w:p>
  </w:endnote>
  <w:endnote w:type="continuationSeparator" w:id="0">
    <w:p w14:paraId="0BDF42EB" w14:textId="77777777" w:rsidR="00982D41" w:rsidRDefault="00982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oefler Text">
    <w:altName w:val="MV Boli"/>
    <w:charset w:val="4D"/>
    <w:family w:val="roman"/>
    <w:pitch w:val="variable"/>
    <w:sig w:usb0="800002FF" w:usb1="5000204B" w:usb2="00000004" w:usb3="00000000" w:csb0="00000197"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3" w:usb2="00000009" w:usb3="00000000" w:csb0="000001FF" w:csb1="00000000"/>
  </w:font>
  <w:font w:name="Helvetica Neue">
    <w:altName w:val="Times New Roman"/>
    <w:charset w:val="00"/>
    <w:family w:val="auto"/>
    <w:pitch w:val="variable"/>
    <w:sig w:usb0="E50002FF" w:usb1="500079DB" w:usb2="00000010" w:usb3="00000000" w:csb0="00000001"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667512"/>
      <w:docPartObj>
        <w:docPartGallery w:val="Page Numbers (Bottom of Page)"/>
        <w:docPartUnique/>
      </w:docPartObj>
    </w:sdtPr>
    <w:sdtEndPr>
      <w:rPr>
        <w:noProof/>
      </w:rPr>
    </w:sdtEndPr>
    <w:sdtContent>
      <w:p w14:paraId="091A7759" w14:textId="0F5AD695" w:rsidR="00261B1E" w:rsidRDefault="00261B1E">
        <w:pPr>
          <w:pStyle w:val="Footer"/>
          <w:jc w:val="right"/>
        </w:pPr>
        <w:r>
          <w:fldChar w:fldCharType="begin"/>
        </w:r>
        <w:r>
          <w:instrText xml:space="preserve"> PAGE   \* MERGEFORMAT </w:instrText>
        </w:r>
        <w:r>
          <w:fldChar w:fldCharType="separate"/>
        </w:r>
        <w:r w:rsidR="003C5ADD">
          <w:rPr>
            <w:noProof/>
          </w:rPr>
          <w:t>2</w:t>
        </w:r>
        <w:r>
          <w:rPr>
            <w:noProof/>
          </w:rPr>
          <w:fldChar w:fldCharType="end"/>
        </w:r>
      </w:p>
    </w:sdtContent>
  </w:sdt>
  <w:p w14:paraId="3037FF6A" w14:textId="77777777" w:rsidR="00622511" w:rsidRDefault="00622511">
    <w:pPr>
      <w:pStyle w:val="Header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3D88FC" w14:textId="77777777" w:rsidR="00982D41" w:rsidRDefault="00982D41">
      <w:r>
        <w:separator/>
      </w:r>
    </w:p>
  </w:footnote>
  <w:footnote w:type="continuationSeparator" w:id="0">
    <w:p w14:paraId="097BAD85" w14:textId="77777777" w:rsidR="00982D41" w:rsidRDefault="00982D41">
      <w:r>
        <w:continuationSeparator/>
      </w:r>
    </w:p>
  </w:footnote>
  <w:footnote w:type="continuationNotice" w:id="1">
    <w:p w14:paraId="204F9FF9" w14:textId="77777777" w:rsidR="00982D41" w:rsidRDefault="00982D41"/>
  </w:footnote>
  <w:footnote w:id="2">
    <w:p w14:paraId="585D867C" w14:textId="77777777" w:rsidR="00622511" w:rsidRPr="00C742A0" w:rsidRDefault="00911821">
      <w:pPr>
        <w:pStyle w:val="FootnoteText"/>
        <w:rPr>
          <w:rFonts w:ascii="Times New Roman" w:hAnsi="Times New Roman" w:cs="Times New Roman"/>
          <w:sz w:val="18"/>
          <w:szCs w:val="18"/>
        </w:rPr>
      </w:pPr>
      <w:r w:rsidRPr="00C742A0">
        <w:rPr>
          <w:rFonts w:ascii="Times New Roman" w:hAnsi="Times New Roman" w:cs="Times New Roman"/>
          <w:sz w:val="18"/>
          <w:szCs w:val="18"/>
          <w:vertAlign w:val="superscript"/>
        </w:rPr>
        <w:footnoteRef/>
      </w:r>
      <w:r w:rsidRPr="00C742A0">
        <w:rPr>
          <w:rFonts w:ascii="Times New Roman" w:hAnsi="Times New Roman" w:cs="Times New Roman"/>
          <w:sz w:val="18"/>
          <w:szCs w:val="18"/>
        </w:rPr>
        <w:t xml:space="preserve"> L. Kakhishvili, Minority Women Political Participation, 2017, p. 57. </w:t>
      </w:r>
    </w:p>
  </w:footnote>
  <w:footnote w:id="3">
    <w:p w14:paraId="16FD22F5" w14:textId="77777777" w:rsidR="00622511" w:rsidRPr="00C742A0" w:rsidRDefault="00911821">
      <w:pPr>
        <w:pStyle w:val="FootnoteText"/>
        <w:rPr>
          <w:rFonts w:ascii="Times New Roman" w:hAnsi="Times New Roman" w:cs="Times New Roman"/>
          <w:sz w:val="18"/>
          <w:szCs w:val="18"/>
        </w:rPr>
      </w:pPr>
      <w:r w:rsidRPr="00C742A0">
        <w:rPr>
          <w:rFonts w:ascii="Times New Roman" w:hAnsi="Times New Roman" w:cs="Times New Roman"/>
          <w:sz w:val="18"/>
          <w:szCs w:val="18"/>
          <w:vertAlign w:val="superscript"/>
        </w:rPr>
        <w:footnoteRef/>
      </w:r>
      <w:r w:rsidRPr="00C742A0">
        <w:rPr>
          <w:rFonts w:ascii="Times New Roman" w:hAnsi="Times New Roman" w:cs="Times New Roman"/>
          <w:sz w:val="18"/>
          <w:szCs w:val="18"/>
        </w:rPr>
        <w:t xml:space="preserve"> ibid. </w:t>
      </w:r>
    </w:p>
  </w:footnote>
  <w:footnote w:id="4">
    <w:p w14:paraId="0832D7AA" w14:textId="68DEA4B0" w:rsidR="00622511" w:rsidRPr="00C742A0" w:rsidRDefault="00911821">
      <w:pPr>
        <w:pStyle w:val="FootnoteText"/>
        <w:rPr>
          <w:rFonts w:ascii="Times New Roman" w:hAnsi="Times New Roman" w:cs="Times New Roman"/>
          <w:sz w:val="18"/>
          <w:szCs w:val="18"/>
        </w:rPr>
      </w:pPr>
      <w:r w:rsidRPr="00C742A0">
        <w:rPr>
          <w:rFonts w:ascii="Times New Roman" w:hAnsi="Times New Roman" w:cs="Times New Roman"/>
          <w:sz w:val="18"/>
          <w:szCs w:val="18"/>
          <w:vertAlign w:val="superscript"/>
        </w:rPr>
        <w:footnoteRef/>
      </w:r>
      <w:r w:rsidRPr="00C742A0">
        <w:rPr>
          <w:rFonts w:ascii="Times New Roman" w:hAnsi="Times New Roman" w:cs="Times New Roman"/>
          <w:sz w:val="18"/>
          <w:szCs w:val="18"/>
        </w:rPr>
        <w:t xml:space="preserve"> Community Meetings - Imaginary Democracy Instead of Real Democracy: EMC Addresses Marneuli Municipality, 2020 February, Social Justice Center: </w:t>
      </w:r>
      <w:hyperlink r:id="rId1" w:history="1">
        <w:r w:rsidR="00C742A0" w:rsidRPr="00C742A0">
          <w:rPr>
            <w:rStyle w:val="Hyperlink"/>
            <w:rFonts w:ascii="Times New Roman" w:hAnsi="Times New Roman" w:cs="Times New Roman"/>
            <w:color w:val="0000FF"/>
            <w:sz w:val="18"/>
            <w:szCs w:val="18"/>
          </w:rPr>
          <w:t>https://bit.ly/3iTda1I</w:t>
        </w:r>
      </w:hyperlink>
      <w:r w:rsidR="00C742A0" w:rsidRPr="00C742A0">
        <w:rPr>
          <w:rFonts w:ascii="Times New Roman" w:hAnsi="Times New Roman" w:cs="Times New Roman"/>
          <w:sz w:val="18"/>
          <w:szCs w:val="18"/>
        </w:rPr>
        <w:t xml:space="preserve"> </w:t>
      </w:r>
    </w:p>
  </w:footnote>
  <w:footnote w:id="5">
    <w:p w14:paraId="21885340" w14:textId="18F6E667" w:rsidR="00622511" w:rsidRPr="00C742A0" w:rsidRDefault="00911821">
      <w:pPr>
        <w:pStyle w:val="FootnoteText"/>
        <w:jc w:val="both"/>
        <w:rPr>
          <w:rFonts w:ascii="Times New Roman" w:hAnsi="Times New Roman" w:cs="Times New Roman"/>
          <w:sz w:val="18"/>
          <w:szCs w:val="18"/>
        </w:rPr>
      </w:pPr>
      <w:r w:rsidRPr="00C742A0">
        <w:rPr>
          <w:rFonts w:ascii="Times New Roman" w:hAnsi="Times New Roman" w:cs="Times New Roman"/>
          <w:sz w:val="18"/>
          <w:szCs w:val="18"/>
          <w:vertAlign w:val="superscript"/>
        </w:rPr>
        <w:footnoteRef/>
      </w:r>
      <w:r w:rsidRPr="00C742A0">
        <w:rPr>
          <w:rFonts w:ascii="Times New Roman" w:hAnsi="Times New Roman" w:cs="Times New Roman"/>
          <w:sz w:val="18"/>
          <w:szCs w:val="18"/>
        </w:rPr>
        <w:t xml:space="preserve"> See Advisory Committee opinion on Georgia, 3</w:t>
      </w:r>
      <w:r w:rsidRPr="00C742A0">
        <w:rPr>
          <w:rFonts w:ascii="Times New Roman" w:hAnsi="Times New Roman" w:cs="Times New Roman"/>
          <w:sz w:val="18"/>
          <w:szCs w:val="18"/>
          <w:vertAlign w:val="superscript"/>
        </w:rPr>
        <w:t>rd</w:t>
      </w:r>
      <w:r w:rsidRPr="00C742A0">
        <w:rPr>
          <w:rFonts w:ascii="Times New Roman" w:hAnsi="Times New Roman" w:cs="Times New Roman"/>
          <w:sz w:val="18"/>
          <w:szCs w:val="18"/>
        </w:rPr>
        <w:t xml:space="preserve"> cycle, 2019. para. 142-143. available at: </w:t>
      </w:r>
      <w:hyperlink r:id="rId2" w:history="1">
        <w:r w:rsidR="00C742A0" w:rsidRPr="00C742A0">
          <w:rPr>
            <w:rStyle w:val="Hyperlink"/>
            <w:rFonts w:ascii="Times New Roman" w:hAnsi="Times New Roman" w:cs="Times New Roman"/>
            <w:color w:val="0000FF"/>
            <w:sz w:val="18"/>
            <w:szCs w:val="18"/>
          </w:rPr>
          <w:t>https://bit.ly/3wyeon9</w:t>
        </w:r>
      </w:hyperlink>
      <w:r w:rsidR="00C742A0" w:rsidRPr="00C742A0">
        <w:rPr>
          <w:rFonts w:ascii="Times New Roman" w:hAnsi="Times New Roman" w:cs="Times New Roman"/>
          <w:color w:val="0000FF"/>
          <w:sz w:val="18"/>
          <w:szCs w:val="18"/>
        </w:rPr>
        <w:t xml:space="preserve"> </w:t>
      </w:r>
    </w:p>
  </w:footnote>
  <w:footnote w:id="6">
    <w:p w14:paraId="05EE8476" w14:textId="77777777" w:rsidR="00622511" w:rsidRPr="00C742A0" w:rsidRDefault="00911821">
      <w:pPr>
        <w:pStyle w:val="FootnoteText"/>
        <w:rPr>
          <w:rFonts w:ascii="Times New Roman" w:hAnsi="Times New Roman" w:cs="Times New Roman"/>
          <w:sz w:val="18"/>
          <w:szCs w:val="18"/>
        </w:rPr>
      </w:pPr>
      <w:r w:rsidRPr="00C742A0">
        <w:rPr>
          <w:rFonts w:ascii="Times New Roman" w:hAnsi="Times New Roman" w:cs="Times New Roman"/>
          <w:sz w:val="18"/>
          <w:szCs w:val="18"/>
          <w:vertAlign w:val="superscript"/>
        </w:rPr>
        <w:footnoteRef/>
      </w:r>
      <w:r w:rsidRPr="00C742A0">
        <w:rPr>
          <w:rFonts w:ascii="Times New Roman" w:hAnsi="Times New Roman" w:cs="Times New Roman"/>
          <w:sz w:val="18"/>
          <w:szCs w:val="18"/>
        </w:rPr>
        <w:t xml:space="preserve"> National Minorities in the Parliament of Georgia, CSEM, Infographic, 2017. </w:t>
      </w:r>
    </w:p>
  </w:footnote>
  <w:footnote w:id="7">
    <w:p w14:paraId="2A5C5DEA" w14:textId="299F22AD" w:rsidR="00622511" w:rsidRPr="00C742A0" w:rsidRDefault="00911821">
      <w:pPr>
        <w:pStyle w:val="FootnoteText"/>
        <w:rPr>
          <w:rFonts w:ascii="Times New Roman" w:hAnsi="Times New Roman" w:cs="Times New Roman"/>
          <w:sz w:val="18"/>
          <w:szCs w:val="18"/>
        </w:rPr>
      </w:pPr>
      <w:r w:rsidRPr="00C742A0">
        <w:rPr>
          <w:rFonts w:ascii="Times New Roman" w:hAnsi="Times New Roman" w:cs="Times New Roman"/>
          <w:sz w:val="18"/>
          <w:szCs w:val="18"/>
          <w:vertAlign w:val="superscript"/>
        </w:rPr>
        <w:footnoteRef/>
      </w:r>
      <w:r w:rsidRPr="00C742A0">
        <w:rPr>
          <w:rFonts w:ascii="Times New Roman" w:hAnsi="Times New Roman" w:cs="Times New Roman"/>
          <w:sz w:val="18"/>
          <w:szCs w:val="18"/>
        </w:rPr>
        <w:t xml:space="preserve"> L. Kakhishvili, Minority Women Po</w:t>
      </w:r>
      <w:r w:rsidR="00C742A0">
        <w:rPr>
          <w:rFonts w:ascii="Times New Roman" w:hAnsi="Times New Roman" w:cs="Times New Roman"/>
          <w:sz w:val="18"/>
          <w:szCs w:val="18"/>
        </w:rPr>
        <w:t>litical Participation, 2017, p.</w:t>
      </w:r>
      <w:r w:rsidRPr="00C742A0">
        <w:rPr>
          <w:rFonts w:ascii="Times New Roman" w:hAnsi="Times New Roman" w:cs="Times New Roman"/>
          <w:sz w:val="18"/>
          <w:szCs w:val="18"/>
        </w:rPr>
        <w:t xml:space="preserve"> 66. </w:t>
      </w:r>
    </w:p>
  </w:footnote>
  <w:footnote w:id="8">
    <w:p w14:paraId="348B9294" w14:textId="77777777" w:rsidR="00622511" w:rsidRPr="00C742A0" w:rsidRDefault="00911821">
      <w:pPr>
        <w:pStyle w:val="FootnoteText"/>
        <w:jc w:val="both"/>
        <w:rPr>
          <w:rFonts w:ascii="Times New Roman" w:hAnsi="Times New Roman" w:cs="Times New Roman"/>
          <w:sz w:val="18"/>
          <w:szCs w:val="18"/>
        </w:rPr>
      </w:pPr>
      <w:r w:rsidRPr="00C742A0">
        <w:rPr>
          <w:rFonts w:ascii="Times New Roman" w:hAnsi="Times New Roman" w:cs="Times New Roman"/>
          <w:sz w:val="18"/>
          <w:szCs w:val="18"/>
          <w:vertAlign w:val="superscript"/>
        </w:rPr>
        <w:footnoteRef/>
      </w:r>
      <w:r w:rsidRPr="00C742A0">
        <w:rPr>
          <w:rFonts w:ascii="Times New Roman" w:hAnsi="Times New Roman" w:cs="Times New Roman"/>
          <w:sz w:val="18"/>
          <w:szCs w:val="18"/>
        </w:rPr>
        <w:t xml:space="preserve"> Institute of Social Studies and Analysis (ISSA), Ethnic Minority Representation in Political lives, 2019, p. 77. </w:t>
      </w:r>
    </w:p>
  </w:footnote>
  <w:footnote w:id="9">
    <w:p w14:paraId="698316EC" w14:textId="15369D94" w:rsidR="00622511" w:rsidRPr="00C742A0" w:rsidRDefault="00911821">
      <w:pPr>
        <w:pStyle w:val="FootnoteText"/>
        <w:jc w:val="both"/>
        <w:rPr>
          <w:rFonts w:ascii="Times New Roman" w:hAnsi="Times New Roman" w:cs="Times New Roman"/>
          <w:sz w:val="18"/>
          <w:szCs w:val="18"/>
        </w:rPr>
      </w:pPr>
      <w:r w:rsidRPr="00C742A0">
        <w:rPr>
          <w:rFonts w:ascii="Times New Roman" w:hAnsi="Times New Roman" w:cs="Times New Roman"/>
          <w:sz w:val="18"/>
          <w:szCs w:val="18"/>
          <w:vertAlign w:val="superscript"/>
        </w:rPr>
        <w:footnoteRef/>
      </w:r>
      <w:r w:rsidRPr="00C742A0">
        <w:rPr>
          <w:rFonts w:ascii="Times New Roman" w:hAnsi="Times New Roman" w:cs="Times New Roman"/>
          <w:sz w:val="18"/>
          <w:szCs w:val="18"/>
        </w:rPr>
        <w:t xml:space="preserve"> Advisory Committee, Third opinion on Georgia, 2019, para 20, available at:  </w:t>
      </w:r>
      <w:hyperlink r:id="rId3" w:history="1">
        <w:r w:rsidR="00C742A0" w:rsidRPr="00C742A0">
          <w:rPr>
            <w:rStyle w:val="Hyperlink"/>
            <w:rFonts w:ascii="Times New Roman" w:hAnsi="Times New Roman" w:cs="Times New Roman"/>
            <w:color w:val="0000FF"/>
            <w:sz w:val="18"/>
            <w:szCs w:val="18"/>
          </w:rPr>
          <w:t>https://bit.ly/3q25M64</w:t>
        </w:r>
      </w:hyperlink>
      <w:r w:rsidR="00C742A0" w:rsidRPr="00C742A0">
        <w:rPr>
          <w:rFonts w:ascii="Times New Roman" w:hAnsi="Times New Roman" w:cs="Times New Roman"/>
          <w:color w:val="0000FF"/>
          <w:sz w:val="18"/>
          <w:szCs w:val="18"/>
        </w:rPr>
        <w:t xml:space="preserve"> </w:t>
      </w:r>
    </w:p>
  </w:footnote>
  <w:footnote w:id="10">
    <w:p w14:paraId="65134FCC" w14:textId="148492AE" w:rsidR="00622511" w:rsidRPr="00C742A0" w:rsidRDefault="00911821">
      <w:pPr>
        <w:pStyle w:val="FootnoteText"/>
        <w:rPr>
          <w:rFonts w:ascii="Times New Roman" w:hAnsi="Times New Roman" w:cs="Times New Roman"/>
          <w:sz w:val="18"/>
          <w:szCs w:val="18"/>
        </w:rPr>
      </w:pPr>
      <w:r w:rsidRPr="00C742A0">
        <w:rPr>
          <w:rFonts w:ascii="Times New Roman" w:hAnsi="Times New Roman" w:cs="Times New Roman"/>
          <w:sz w:val="18"/>
          <w:szCs w:val="18"/>
          <w:vertAlign w:val="superscript"/>
        </w:rPr>
        <w:footnoteRef/>
      </w:r>
      <w:r w:rsidRPr="00C742A0">
        <w:rPr>
          <w:rFonts w:ascii="Times New Roman" w:hAnsi="Times New Roman" w:cs="Times New Roman"/>
          <w:sz w:val="18"/>
          <w:szCs w:val="18"/>
        </w:rPr>
        <w:t xml:space="preserve"> Competition for Ethnic Minority Votes, 2017 muni</w:t>
      </w:r>
      <w:r w:rsidR="00C742A0">
        <w:rPr>
          <w:rFonts w:ascii="Times New Roman" w:hAnsi="Times New Roman" w:cs="Times New Roman"/>
          <w:sz w:val="18"/>
          <w:szCs w:val="18"/>
        </w:rPr>
        <w:t>cipal elections, CSEM, 2018, p.</w:t>
      </w:r>
      <w:r w:rsidRPr="00C742A0">
        <w:rPr>
          <w:rFonts w:ascii="Times New Roman" w:hAnsi="Times New Roman" w:cs="Times New Roman"/>
          <w:sz w:val="18"/>
          <w:szCs w:val="18"/>
        </w:rPr>
        <w:t xml:space="preserve"> 12. </w:t>
      </w:r>
    </w:p>
  </w:footnote>
  <w:footnote w:id="11">
    <w:p w14:paraId="30E92CD0" w14:textId="4522EC95" w:rsidR="00622511" w:rsidRPr="00C742A0" w:rsidRDefault="00911821">
      <w:pPr>
        <w:pStyle w:val="FootnoteText"/>
        <w:rPr>
          <w:rFonts w:ascii="Times New Roman" w:hAnsi="Times New Roman" w:cs="Times New Roman"/>
          <w:sz w:val="18"/>
          <w:szCs w:val="18"/>
        </w:rPr>
      </w:pPr>
      <w:r w:rsidRPr="00C742A0">
        <w:rPr>
          <w:rFonts w:ascii="Times New Roman" w:hAnsi="Times New Roman" w:cs="Times New Roman"/>
          <w:sz w:val="18"/>
          <w:szCs w:val="18"/>
          <w:vertAlign w:val="superscript"/>
        </w:rPr>
        <w:footnoteRef/>
      </w:r>
      <w:r w:rsidRPr="00C742A0">
        <w:rPr>
          <w:rFonts w:ascii="Times New Roman" w:hAnsi="Times New Roman" w:cs="Times New Roman"/>
          <w:sz w:val="18"/>
          <w:szCs w:val="18"/>
        </w:rPr>
        <w:t xml:space="preserve"> Ethnic Minority Rights in pre-election visions of the parties, 2020, Social Justice Center:  </w:t>
      </w:r>
      <w:hyperlink r:id="rId4" w:history="1">
        <w:r w:rsidR="00C742A0" w:rsidRPr="00C742A0">
          <w:rPr>
            <w:rStyle w:val="Hyperlink"/>
            <w:rFonts w:ascii="Times New Roman" w:hAnsi="Times New Roman" w:cs="Times New Roman"/>
            <w:color w:val="0000FF"/>
            <w:sz w:val="18"/>
            <w:szCs w:val="18"/>
          </w:rPr>
          <w:t>https://bit.ly/2S3Q4e0</w:t>
        </w:r>
      </w:hyperlink>
      <w:r w:rsidR="00C742A0" w:rsidRPr="00C742A0">
        <w:rPr>
          <w:rFonts w:ascii="Times New Roman" w:hAnsi="Times New Roman" w:cs="Times New Roman"/>
          <w:color w:val="0000FF"/>
          <w:sz w:val="18"/>
          <w:szCs w:val="18"/>
        </w:rPr>
        <w:t xml:space="preserve">  </w:t>
      </w:r>
      <w:r w:rsidRPr="00C742A0">
        <w:rPr>
          <w:rFonts w:ascii="Times New Roman" w:hAnsi="Times New Roman" w:cs="Times New Roman"/>
          <w:color w:val="0000FF"/>
          <w:sz w:val="18"/>
          <w:szCs w:val="18"/>
        </w:rPr>
        <w:t xml:space="preserve"> </w:t>
      </w:r>
    </w:p>
  </w:footnote>
  <w:footnote w:id="12">
    <w:p w14:paraId="7C68EA05" w14:textId="77777777" w:rsidR="00622511" w:rsidRPr="00C742A0" w:rsidRDefault="00911821">
      <w:pPr>
        <w:pStyle w:val="FootnoteText"/>
        <w:rPr>
          <w:rFonts w:ascii="Times New Roman" w:hAnsi="Times New Roman" w:cs="Times New Roman"/>
          <w:sz w:val="18"/>
          <w:szCs w:val="18"/>
        </w:rPr>
      </w:pPr>
      <w:r w:rsidRPr="00C742A0">
        <w:rPr>
          <w:rFonts w:ascii="Times New Roman" w:hAnsi="Times New Roman" w:cs="Times New Roman"/>
          <w:sz w:val="18"/>
          <w:szCs w:val="18"/>
          <w:vertAlign w:val="superscript"/>
        </w:rPr>
        <w:footnoteRef/>
      </w:r>
      <w:r w:rsidRPr="00C742A0">
        <w:rPr>
          <w:rFonts w:ascii="Times New Roman" w:hAnsi="Times New Roman" w:cs="Times New Roman"/>
          <w:sz w:val="18"/>
          <w:szCs w:val="18"/>
        </w:rPr>
        <w:t>Ethnic Minority Representation in Political lives, ISSA, 2019, p. 77.</w:t>
      </w:r>
    </w:p>
  </w:footnote>
  <w:footnote w:id="13">
    <w:p w14:paraId="5FE6C670" w14:textId="77777777" w:rsidR="00622511" w:rsidRPr="00261B1E" w:rsidRDefault="00911821">
      <w:pPr>
        <w:pStyle w:val="FootnoteText"/>
        <w:rPr>
          <w:rFonts w:ascii="Times New Roman" w:hAnsi="Times New Roman" w:cs="Times New Roman"/>
          <w:sz w:val="18"/>
          <w:szCs w:val="18"/>
        </w:rPr>
      </w:pPr>
      <w:r w:rsidRPr="00C742A0">
        <w:rPr>
          <w:rFonts w:ascii="Times New Roman" w:hAnsi="Times New Roman" w:cs="Times New Roman"/>
          <w:sz w:val="18"/>
          <w:szCs w:val="18"/>
          <w:vertAlign w:val="superscript"/>
        </w:rPr>
        <w:footnoteRef/>
      </w:r>
      <w:r w:rsidRPr="00C742A0">
        <w:rPr>
          <w:rFonts w:ascii="Times New Roman" w:hAnsi="Times New Roman" w:cs="Times New Roman"/>
          <w:sz w:val="18"/>
          <w:szCs w:val="18"/>
        </w:rPr>
        <w:t xml:space="preserve"> Study of Needs of Ethnic Minority Women in Georgia, UN Women, 2014, p. 27.</w:t>
      </w:r>
      <w:r w:rsidRPr="00261B1E">
        <w:rPr>
          <w:rFonts w:ascii="Times New Roman" w:hAnsi="Times New Roman" w:cs="Times New Roman"/>
          <w:sz w:val="18"/>
          <w:szCs w:val="18"/>
        </w:rPr>
        <w:t xml:space="preserve"> </w:t>
      </w:r>
    </w:p>
  </w:footnote>
  <w:footnote w:id="14">
    <w:p w14:paraId="3357A402" w14:textId="77777777" w:rsidR="00622511" w:rsidRPr="00261B1E" w:rsidRDefault="00911821">
      <w:pPr>
        <w:pStyle w:val="FootnoteText"/>
        <w:rPr>
          <w:rFonts w:ascii="Times New Roman" w:hAnsi="Times New Roman" w:cs="Times New Roman"/>
          <w:sz w:val="18"/>
          <w:szCs w:val="18"/>
        </w:rPr>
      </w:pPr>
      <w:r w:rsidRPr="00261B1E">
        <w:rPr>
          <w:rFonts w:ascii="Times New Roman" w:hAnsi="Times New Roman" w:cs="Times New Roman"/>
          <w:sz w:val="18"/>
          <w:szCs w:val="18"/>
          <w:vertAlign w:val="superscript"/>
        </w:rPr>
        <w:footnoteRef/>
      </w:r>
      <w:r w:rsidRPr="00261B1E">
        <w:rPr>
          <w:rFonts w:ascii="Times New Roman" w:hAnsi="Times New Roman" w:cs="Times New Roman"/>
          <w:sz w:val="18"/>
          <w:szCs w:val="18"/>
        </w:rPr>
        <w:t xml:space="preserve"> ibid.  32.</w:t>
      </w:r>
    </w:p>
  </w:footnote>
  <w:footnote w:id="15">
    <w:p w14:paraId="443BBB17" w14:textId="4EFC168C" w:rsidR="00622511" w:rsidRPr="00261B1E" w:rsidRDefault="00911821">
      <w:pPr>
        <w:pStyle w:val="Body"/>
        <w:jc w:val="both"/>
        <w:rPr>
          <w:rFonts w:ascii="Times New Roman" w:hAnsi="Times New Roman" w:cs="Times New Roman"/>
          <w:sz w:val="18"/>
          <w:szCs w:val="18"/>
        </w:rPr>
      </w:pPr>
      <w:r w:rsidRPr="00261B1E">
        <w:rPr>
          <w:rFonts w:ascii="Times New Roman" w:hAnsi="Times New Roman" w:cs="Times New Roman"/>
          <w:sz w:val="18"/>
          <w:szCs w:val="18"/>
          <w:vertAlign w:val="superscript"/>
          <w:lang w:val="en-US"/>
        </w:rPr>
        <w:footnoteRef/>
      </w:r>
      <w:r w:rsidR="00261B1E">
        <w:rPr>
          <w:rFonts w:ascii="Times New Roman" w:hAnsi="Times New Roman" w:cs="Times New Roman"/>
          <w:sz w:val="18"/>
          <w:szCs w:val="18"/>
          <w:lang w:val="en-US"/>
        </w:rPr>
        <w:t xml:space="preserve"> </w:t>
      </w:r>
      <w:hyperlink r:id="rId5" w:history="1">
        <w:r w:rsidR="00261B1E" w:rsidRPr="00261B1E">
          <w:rPr>
            <w:rStyle w:val="Hyperlink"/>
            <w:rFonts w:ascii="Times New Roman" w:hAnsi="Times New Roman" w:cs="Times New Roman"/>
            <w:color w:val="0000FF"/>
            <w:sz w:val="18"/>
            <w:szCs w:val="18"/>
            <w:lang w:val="en-US"/>
          </w:rPr>
          <w:t>https://bit.ly/35vssBS</w:t>
        </w:r>
      </w:hyperlink>
      <w:r w:rsidRPr="00261B1E">
        <w:rPr>
          <w:rFonts w:ascii="Times New Roman" w:hAnsi="Times New Roman" w:cs="Times New Roman"/>
          <w:sz w:val="18"/>
          <w:szCs w:val="18"/>
          <w:lang w:val="en-US"/>
        </w:rPr>
        <w:t xml:space="preserve">; Tabatadze and Gorgadze, Research on one-year language preparation program, 2016, available at: </w:t>
      </w:r>
      <w:hyperlink r:id="rId6" w:history="1">
        <w:r w:rsidR="00261B1E" w:rsidRPr="00261B1E">
          <w:rPr>
            <w:rStyle w:val="Hyperlink"/>
            <w:rFonts w:ascii="Times New Roman" w:hAnsi="Times New Roman" w:cs="Times New Roman"/>
            <w:color w:val="0000FF"/>
            <w:sz w:val="18"/>
            <w:szCs w:val="18"/>
          </w:rPr>
          <w:t>https://bit.ly/3vzwQKJ</w:t>
        </w:r>
      </w:hyperlink>
      <w:r w:rsidRPr="00261B1E">
        <w:rPr>
          <w:rStyle w:val="Hyperlink1"/>
          <w:rFonts w:ascii="Times New Roman" w:hAnsi="Times New Roman" w:cs="Times New Roman"/>
        </w:rPr>
        <w:t xml:space="preserve">; p. 28: </w:t>
      </w:r>
    </w:p>
  </w:footnote>
  <w:footnote w:id="16">
    <w:p w14:paraId="42853D71" w14:textId="77777777" w:rsidR="00622511" w:rsidRPr="00261B1E" w:rsidRDefault="00911821">
      <w:pPr>
        <w:pStyle w:val="FootnoteText"/>
        <w:jc w:val="both"/>
        <w:rPr>
          <w:rFonts w:ascii="Times New Roman" w:hAnsi="Times New Roman" w:cs="Times New Roman"/>
          <w:sz w:val="18"/>
          <w:szCs w:val="18"/>
        </w:rPr>
      </w:pPr>
      <w:r w:rsidRPr="00261B1E">
        <w:rPr>
          <w:rStyle w:val="None"/>
          <w:rFonts w:ascii="Times New Roman" w:hAnsi="Times New Roman" w:cs="Times New Roman"/>
          <w:sz w:val="18"/>
          <w:szCs w:val="18"/>
          <w:vertAlign w:val="superscript"/>
        </w:rPr>
        <w:footnoteRef/>
      </w:r>
      <w:r w:rsidRPr="00261B1E">
        <w:rPr>
          <w:rStyle w:val="Hyperlink1"/>
          <w:rFonts w:ascii="Times New Roman" w:hAnsi="Times New Roman" w:cs="Times New Roman"/>
        </w:rPr>
        <w:t xml:space="preserve"> In Kvemo Kartli and Samtskhe Javakheti, there is a high rate of school drop-out compared to other regions of Georgia. 20% of school students in Kvemo Kartli dropped out of school in 2015-2016 due to migration and the share of such pupils in Samtskhe-Javakheti is 34%. The school drop-out in the Kvemo Kartli region is mostly due to work (18%), while this number in Samtskhe-Javakheti is 7%. </w:t>
      </w:r>
    </w:p>
  </w:footnote>
  <w:footnote w:id="17">
    <w:p w14:paraId="0C92FAF6" w14:textId="77777777" w:rsidR="00622511" w:rsidRPr="00261B1E" w:rsidRDefault="00911821">
      <w:pPr>
        <w:pStyle w:val="FootnoteText"/>
        <w:jc w:val="both"/>
        <w:rPr>
          <w:rFonts w:ascii="Times New Roman" w:hAnsi="Times New Roman" w:cs="Times New Roman"/>
          <w:sz w:val="18"/>
          <w:szCs w:val="18"/>
        </w:rPr>
      </w:pPr>
      <w:r w:rsidRPr="00261B1E">
        <w:rPr>
          <w:rStyle w:val="None"/>
          <w:rFonts w:ascii="Times New Roman" w:hAnsi="Times New Roman" w:cs="Times New Roman"/>
          <w:sz w:val="18"/>
          <w:szCs w:val="18"/>
          <w:vertAlign w:val="superscript"/>
        </w:rPr>
        <w:footnoteRef/>
      </w:r>
      <w:r w:rsidRPr="00261B1E">
        <w:rPr>
          <w:rStyle w:val="Hyperlink1"/>
          <w:rFonts w:ascii="Times New Roman" w:hAnsi="Times New Roman" w:cs="Times New Roman"/>
        </w:rPr>
        <w:t xml:space="preserve"> Civil Education Institute, Ethnic minority students’ educational needs, Research and Policy Document, 2017, p. 14. </w:t>
      </w:r>
    </w:p>
  </w:footnote>
  <w:footnote w:id="18">
    <w:p w14:paraId="7DB259D9" w14:textId="77777777" w:rsidR="00622511" w:rsidRPr="00261B1E" w:rsidRDefault="00911821">
      <w:pPr>
        <w:pStyle w:val="FootnoteText"/>
        <w:jc w:val="both"/>
        <w:rPr>
          <w:rFonts w:ascii="Times New Roman" w:hAnsi="Times New Roman" w:cs="Times New Roman"/>
          <w:sz w:val="18"/>
          <w:szCs w:val="18"/>
        </w:rPr>
      </w:pPr>
      <w:r w:rsidRPr="00261B1E">
        <w:rPr>
          <w:rStyle w:val="None"/>
          <w:rFonts w:ascii="Times New Roman" w:hAnsi="Times New Roman" w:cs="Times New Roman"/>
          <w:sz w:val="18"/>
          <w:szCs w:val="18"/>
          <w:vertAlign w:val="superscript"/>
        </w:rPr>
        <w:footnoteRef/>
      </w:r>
      <w:r w:rsidRPr="00261B1E">
        <w:rPr>
          <w:rStyle w:val="Hyperlink1"/>
          <w:rFonts w:ascii="Times New Roman" w:hAnsi="Times New Roman" w:cs="Times New Roman"/>
        </w:rPr>
        <w:t xml:space="preserve"> Public Defender’s 2018 report, p. 137-138. The report indicates that number of early marriages in 2017 was 835, The number of registered minor mothers in 2018 was 715 and minor fathers 23. </w:t>
      </w:r>
    </w:p>
  </w:footnote>
  <w:footnote w:id="19">
    <w:p w14:paraId="3E2DD9A9" w14:textId="77777777" w:rsidR="00622511" w:rsidRPr="00261B1E" w:rsidRDefault="00911821">
      <w:pPr>
        <w:pStyle w:val="FootnoteText"/>
        <w:rPr>
          <w:rFonts w:ascii="Times New Roman" w:hAnsi="Times New Roman" w:cs="Times New Roman"/>
          <w:sz w:val="18"/>
          <w:szCs w:val="18"/>
        </w:rPr>
      </w:pPr>
      <w:r w:rsidRPr="00261B1E">
        <w:rPr>
          <w:rStyle w:val="None"/>
          <w:rFonts w:ascii="Times New Roman" w:hAnsi="Times New Roman" w:cs="Times New Roman"/>
          <w:sz w:val="18"/>
          <w:szCs w:val="18"/>
          <w:vertAlign w:val="superscript"/>
        </w:rPr>
        <w:footnoteRef/>
      </w:r>
      <w:r w:rsidRPr="00261B1E">
        <w:rPr>
          <w:rStyle w:val="Hyperlink1"/>
          <w:rFonts w:ascii="Times New Roman" w:eastAsia="Arial Unicode MS" w:hAnsi="Times New Roman" w:cs="Times New Roman"/>
        </w:rPr>
        <w:t xml:space="preserve"> Study on Needs and Priorities of Ethnic Minority Women in Kvemo Kartli Region, UN Women, 2014. </w:t>
      </w:r>
    </w:p>
  </w:footnote>
  <w:footnote w:id="20">
    <w:p w14:paraId="0003FDBE" w14:textId="77777777" w:rsidR="00622511" w:rsidRPr="00261B1E" w:rsidRDefault="00911821">
      <w:pPr>
        <w:pStyle w:val="FootnoteText"/>
        <w:rPr>
          <w:rFonts w:ascii="Times New Roman" w:hAnsi="Times New Roman" w:cs="Times New Roman"/>
          <w:sz w:val="18"/>
          <w:szCs w:val="18"/>
        </w:rPr>
      </w:pPr>
      <w:r w:rsidRPr="00261B1E">
        <w:rPr>
          <w:rStyle w:val="None"/>
          <w:rFonts w:ascii="Times New Roman" w:hAnsi="Times New Roman" w:cs="Times New Roman"/>
          <w:sz w:val="18"/>
          <w:szCs w:val="18"/>
          <w:vertAlign w:val="superscript"/>
        </w:rPr>
        <w:footnoteRef/>
      </w:r>
      <w:r w:rsidRPr="00261B1E">
        <w:rPr>
          <w:rStyle w:val="Hyperlink1"/>
          <w:rFonts w:ascii="Times New Roman" w:eastAsia="Arial Unicode MS" w:hAnsi="Times New Roman" w:cs="Times New Roman"/>
        </w:rPr>
        <w:t xml:space="preserve"> ibid. </w:t>
      </w:r>
    </w:p>
  </w:footnote>
  <w:footnote w:id="21">
    <w:p w14:paraId="342A113B" w14:textId="77777777" w:rsidR="00622511" w:rsidRPr="00261B1E" w:rsidRDefault="00911821">
      <w:pPr>
        <w:pStyle w:val="FootnoteText"/>
        <w:jc w:val="both"/>
        <w:rPr>
          <w:rFonts w:ascii="Times New Roman" w:hAnsi="Times New Roman" w:cs="Times New Roman"/>
          <w:sz w:val="18"/>
          <w:szCs w:val="18"/>
        </w:rPr>
      </w:pPr>
      <w:r w:rsidRPr="00261B1E">
        <w:rPr>
          <w:rStyle w:val="None"/>
          <w:rFonts w:ascii="Times New Roman" w:hAnsi="Times New Roman" w:cs="Times New Roman"/>
          <w:sz w:val="18"/>
          <w:szCs w:val="18"/>
          <w:vertAlign w:val="superscript"/>
        </w:rPr>
        <w:footnoteRef/>
      </w:r>
      <w:r w:rsidRPr="00261B1E">
        <w:rPr>
          <w:rStyle w:val="Hyperlink1"/>
          <w:rFonts w:ascii="Times New Roman" w:hAnsi="Times New Roman" w:cs="Times New Roman"/>
        </w:rPr>
        <w:t xml:space="preserve"> ISSA Report 2019, p. 31. </w:t>
      </w:r>
      <w:r w:rsidRPr="00261B1E">
        <w:rPr>
          <w:rStyle w:val="None"/>
          <w:rFonts w:ascii="Times New Roman" w:hAnsi="Times New Roman" w:cs="Times New Roman"/>
          <w:sz w:val="18"/>
          <w:szCs w:val="18"/>
        </w:rPr>
        <w:t>The percentage of the respondents with the average monthly income up to 200 GEL is the highest in the Qist community</w:t>
      </w:r>
      <w:r w:rsidRPr="00261B1E">
        <w:rPr>
          <w:rStyle w:val="Hyperlink1"/>
          <w:rFonts w:ascii="Times New Roman" w:hAnsi="Times New Roman" w:cs="Times New Roman"/>
        </w:rPr>
        <w:t>. Furthermore, 28.7% of the respondents are not economically active and 23.7% of them are unemployed – a figure higher than the percentage of the unemployed population in Georgia (13.7%).</w:t>
      </w:r>
    </w:p>
  </w:footnote>
  <w:footnote w:id="22">
    <w:p w14:paraId="4CE3C88B" w14:textId="77777777" w:rsidR="00622511" w:rsidRPr="00261B1E" w:rsidRDefault="00911821">
      <w:pPr>
        <w:pStyle w:val="FootnoteText"/>
        <w:rPr>
          <w:rFonts w:ascii="Times New Roman" w:hAnsi="Times New Roman" w:cs="Times New Roman"/>
          <w:sz w:val="18"/>
          <w:szCs w:val="18"/>
        </w:rPr>
      </w:pPr>
      <w:r w:rsidRPr="00261B1E">
        <w:rPr>
          <w:rStyle w:val="None"/>
          <w:rFonts w:ascii="Times New Roman" w:hAnsi="Times New Roman" w:cs="Times New Roman"/>
          <w:sz w:val="18"/>
          <w:szCs w:val="18"/>
          <w:vertAlign w:val="superscript"/>
        </w:rPr>
        <w:footnoteRef/>
      </w:r>
      <w:r w:rsidRPr="00261B1E">
        <w:rPr>
          <w:rStyle w:val="Hyperlink1"/>
          <w:rFonts w:ascii="Times New Roman" w:eastAsia="Arial Unicode MS" w:hAnsi="Times New Roman" w:cs="Times New Roman"/>
        </w:rPr>
        <w:t xml:space="preserve"> Study on Needs and Priorities of Ethnic Minority Women in Kvemo Kartli Region, UN Women, 2014.</w:t>
      </w:r>
    </w:p>
  </w:footnote>
  <w:footnote w:id="23">
    <w:p w14:paraId="5991686E" w14:textId="77777777" w:rsidR="00622511" w:rsidRPr="00261B1E" w:rsidRDefault="00911821">
      <w:pPr>
        <w:pStyle w:val="FootnoteText"/>
        <w:rPr>
          <w:rFonts w:ascii="Times New Roman" w:hAnsi="Times New Roman" w:cs="Times New Roman"/>
          <w:sz w:val="18"/>
          <w:szCs w:val="18"/>
        </w:rPr>
      </w:pPr>
      <w:r w:rsidRPr="00261B1E">
        <w:rPr>
          <w:rStyle w:val="None"/>
          <w:rFonts w:ascii="Times New Roman" w:hAnsi="Times New Roman" w:cs="Times New Roman"/>
          <w:sz w:val="18"/>
          <w:szCs w:val="18"/>
          <w:vertAlign w:val="superscript"/>
        </w:rPr>
        <w:footnoteRef/>
      </w:r>
      <w:r w:rsidRPr="00261B1E">
        <w:rPr>
          <w:rStyle w:val="Hyperlink1"/>
          <w:rFonts w:ascii="Times New Roman" w:eastAsia="Arial Unicode MS" w:hAnsi="Times New Roman" w:cs="Times New Roman"/>
        </w:rPr>
        <w:t xml:space="preserve"> See Advisory Committee opinion on Georgia, 3</w:t>
      </w:r>
      <w:r w:rsidRPr="00261B1E">
        <w:rPr>
          <w:rStyle w:val="None"/>
          <w:rFonts w:ascii="Times New Roman" w:hAnsi="Times New Roman" w:cs="Times New Roman"/>
          <w:sz w:val="18"/>
          <w:szCs w:val="18"/>
          <w:vertAlign w:val="superscript"/>
        </w:rPr>
        <w:t>rd</w:t>
      </w:r>
      <w:r w:rsidRPr="00261B1E">
        <w:rPr>
          <w:rStyle w:val="Hyperlink1"/>
          <w:rFonts w:ascii="Times New Roman" w:eastAsia="Arial Unicode MS" w:hAnsi="Times New Roman" w:cs="Times New Roman"/>
        </w:rPr>
        <w:t xml:space="preserve"> Cycle, 2019, paras: 148-149. </w:t>
      </w:r>
    </w:p>
  </w:footnote>
  <w:footnote w:id="24">
    <w:p w14:paraId="3A6023B8" w14:textId="77777777" w:rsidR="00622511" w:rsidRDefault="00911821">
      <w:pPr>
        <w:pStyle w:val="FootnoteText"/>
      </w:pPr>
      <w:r w:rsidRPr="00261B1E">
        <w:rPr>
          <w:rStyle w:val="None"/>
          <w:rFonts w:ascii="Times New Roman" w:hAnsi="Times New Roman" w:cs="Times New Roman"/>
          <w:sz w:val="18"/>
          <w:szCs w:val="18"/>
          <w:vertAlign w:val="superscript"/>
        </w:rPr>
        <w:footnoteRef/>
      </w:r>
      <w:r w:rsidRPr="00261B1E">
        <w:rPr>
          <w:rStyle w:val="Hyperlink1"/>
          <w:rFonts w:ascii="Times New Roman" w:eastAsia="Arial Unicode MS" w:hAnsi="Times New Roman" w:cs="Times New Roman"/>
        </w:rPr>
        <w:t xml:space="preserve"> Study of Needs of Ethnic Minority Women in Georgia, UN Women, 2014, p. 9.</w:t>
      </w:r>
      <w:r>
        <w:rPr>
          <w:rStyle w:val="Hyperlink1"/>
          <w:rFonts w:eastAsia="Arial Unicode MS" w:cs="Arial Unicode MS"/>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A61E0"/>
    <w:multiLevelType w:val="hybridMultilevel"/>
    <w:tmpl w:val="4DB237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C9541B"/>
    <w:multiLevelType w:val="hybridMultilevel"/>
    <w:tmpl w:val="C64AB43A"/>
    <w:styleLink w:val="ImportedStyle1"/>
    <w:lvl w:ilvl="0" w:tplc="A2ECC766">
      <w:start w:val="1"/>
      <w:numFmt w:val="bullet"/>
      <w:lvlText w:val="-"/>
      <w:lvlJc w:val="left"/>
      <w:pPr>
        <w:ind w:left="720" w:hanging="360"/>
      </w:pPr>
      <w:rPr>
        <w:rFonts w:ascii="Hoefler Text" w:eastAsia="Hoefler Text" w:hAnsi="Hoefler Text" w:cs="Hoefler Text"/>
        <w:b w:val="0"/>
        <w:bCs w:val="0"/>
        <w:i w:val="0"/>
        <w:iCs w:val="0"/>
        <w:caps w:val="0"/>
        <w:smallCaps w:val="0"/>
        <w:strike w:val="0"/>
        <w:dstrike w:val="0"/>
        <w:outline w:val="0"/>
        <w:emboss w:val="0"/>
        <w:imprint w:val="0"/>
        <w:spacing w:val="0"/>
        <w:w w:val="100"/>
        <w:kern w:val="0"/>
        <w:position w:val="0"/>
        <w:highlight w:val="none"/>
        <w:vertAlign w:val="baseline"/>
      </w:rPr>
    </w:lvl>
    <w:lvl w:ilvl="1" w:tplc="1E0E7B64">
      <w:start w:val="1"/>
      <w:numFmt w:val="bullet"/>
      <w:lvlText w:val="o"/>
      <w:lvlJc w:val="left"/>
      <w:pPr>
        <w:ind w:left="1440" w:hanging="360"/>
      </w:pPr>
      <w:rPr>
        <w:rFonts w:ascii="Hoefler Text" w:eastAsia="Hoefler Text" w:hAnsi="Hoefler Text" w:cs="Hoefler Text"/>
        <w:b w:val="0"/>
        <w:bCs w:val="0"/>
        <w:i w:val="0"/>
        <w:iCs w:val="0"/>
        <w:caps w:val="0"/>
        <w:smallCaps w:val="0"/>
        <w:strike w:val="0"/>
        <w:dstrike w:val="0"/>
        <w:outline w:val="0"/>
        <w:emboss w:val="0"/>
        <w:imprint w:val="0"/>
        <w:spacing w:val="0"/>
        <w:w w:val="100"/>
        <w:kern w:val="0"/>
        <w:position w:val="0"/>
        <w:highlight w:val="none"/>
        <w:vertAlign w:val="baseline"/>
      </w:rPr>
    </w:lvl>
    <w:lvl w:ilvl="2" w:tplc="3D181EB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FA9A9E">
      <w:start w:val="1"/>
      <w:numFmt w:val="bullet"/>
      <w:lvlText w:val="•"/>
      <w:lvlJc w:val="left"/>
      <w:pPr>
        <w:ind w:left="2880" w:hanging="360"/>
      </w:pPr>
      <w:rPr>
        <w:rFonts w:ascii="Hoefler Text" w:eastAsia="Hoefler Text" w:hAnsi="Hoefler Text" w:cs="Hoefler Text"/>
        <w:b w:val="0"/>
        <w:bCs w:val="0"/>
        <w:i w:val="0"/>
        <w:iCs w:val="0"/>
        <w:caps w:val="0"/>
        <w:smallCaps w:val="0"/>
        <w:strike w:val="0"/>
        <w:dstrike w:val="0"/>
        <w:outline w:val="0"/>
        <w:emboss w:val="0"/>
        <w:imprint w:val="0"/>
        <w:spacing w:val="0"/>
        <w:w w:val="100"/>
        <w:kern w:val="0"/>
        <w:position w:val="0"/>
        <w:highlight w:val="none"/>
        <w:vertAlign w:val="baseline"/>
      </w:rPr>
    </w:lvl>
    <w:lvl w:ilvl="4" w:tplc="4378C628">
      <w:start w:val="1"/>
      <w:numFmt w:val="bullet"/>
      <w:lvlText w:val="o"/>
      <w:lvlJc w:val="left"/>
      <w:pPr>
        <w:ind w:left="3600" w:hanging="360"/>
      </w:pPr>
      <w:rPr>
        <w:rFonts w:ascii="Hoefler Text" w:eastAsia="Hoefler Text" w:hAnsi="Hoefler Text" w:cs="Hoefler Text"/>
        <w:b w:val="0"/>
        <w:bCs w:val="0"/>
        <w:i w:val="0"/>
        <w:iCs w:val="0"/>
        <w:caps w:val="0"/>
        <w:smallCaps w:val="0"/>
        <w:strike w:val="0"/>
        <w:dstrike w:val="0"/>
        <w:outline w:val="0"/>
        <w:emboss w:val="0"/>
        <w:imprint w:val="0"/>
        <w:spacing w:val="0"/>
        <w:w w:val="100"/>
        <w:kern w:val="0"/>
        <w:position w:val="0"/>
        <w:highlight w:val="none"/>
        <w:vertAlign w:val="baseline"/>
      </w:rPr>
    </w:lvl>
    <w:lvl w:ilvl="5" w:tplc="6EFAC8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99462CC">
      <w:start w:val="1"/>
      <w:numFmt w:val="bullet"/>
      <w:lvlText w:val="•"/>
      <w:lvlJc w:val="left"/>
      <w:pPr>
        <w:ind w:left="5040" w:hanging="360"/>
      </w:pPr>
      <w:rPr>
        <w:rFonts w:ascii="Hoefler Text" w:eastAsia="Hoefler Text" w:hAnsi="Hoefler Text" w:cs="Hoefler Text"/>
        <w:b w:val="0"/>
        <w:bCs w:val="0"/>
        <w:i w:val="0"/>
        <w:iCs w:val="0"/>
        <w:caps w:val="0"/>
        <w:smallCaps w:val="0"/>
        <w:strike w:val="0"/>
        <w:dstrike w:val="0"/>
        <w:outline w:val="0"/>
        <w:emboss w:val="0"/>
        <w:imprint w:val="0"/>
        <w:spacing w:val="0"/>
        <w:w w:val="100"/>
        <w:kern w:val="0"/>
        <w:position w:val="0"/>
        <w:highlight w:val="none"/>
        <w:vertAlign w:val="baseline"/>
      </w:rPr>
    </w:lvl>
    <w:lvl w:ilvl="7" w:tplc="8A568498">
      <w:start w:val="1"/>
      <w:numFmt w:val="bullet"/>
      <w:lvlText w:val="o"/>
      <w:lvlJc w:val="left"/>
      <w:pPr>
        <w:ind w:left="5760" w:hanging="360"/>
      </w:pPr>
      <w:rPr>
        <w:rFonts w:ascii="Hoefler Text" w:eastAsia="Hoefler Text" w:hAnsi="Hoefler Text" w:cs="Hoefler Text"/>
        <w:b w:val="0"/>
        <w:bCs w:val="0"/>
        <w:i w:val="0"/>
        <w:iCs w:val="0"/>
        <w:caps w:val="0"/>
        <w:smallCaps w:val="0"/>
        <w:strike w:val="0"/>
        <w:dstrike w:val="0"/>
        <w:outline w:val="0"/>
        <w:emboss w:val="0"/>
        <w:imprint w:val="0"/>
        <w:spacing w:val="0"/>
        <w:w w:val="100"/>
        <w:kern w:val="0"/>
        <w:position w:val="0"/>
        <w:highlight w:val="none"/>
        <w:vertAlign w:val="baseline"/>
      </w:rPr>
    </w:lvl>
    <w:lvl w:ilvl="8" w:tplc="5B0AEF1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3F32B1B"/>
    <w:multiLevelType w:val="hybridMultilevel"/>
    <w:tmpl w:val="C64AB43A"/>
    <w:numStyleLink w:val="ImportedStyle1"/>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511"/>
    <w:rsid w:val="000D0A47"/>
    <w:rsid w:val="00261B1E"/>
    <w:rsid w:val="00365AF7"/>
    <w:rsid w:val="003C5ADD"/>
    <w:rsid w:val="004A3178"/>
    <w:rsid w:val="00526B06"/>
    <w:rsid w:val="00622511"/>
    <w:rsid w:val="00670DF8"/>
    <w:rsid w:val="00911821"/>
    <w:rsid w:val="00982D41"/>
    <w:rsid w:val="00986D00"/>
    <w:rsid w:val="00AB20A5"/>
    <w:rsid w:val="00B52032"/>
    <w:rsid w:val="00C65F7E"/>
    <w:rsid w:val="00C742A0"/>
    <w:rsid w:val="00D7384E"/>
    <w:rsid w:val="00DA1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9B89F"/>
  <w15:docId w15:val="{19ABA546-469A-4523-AB54-07A9A8494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paragraph" w:styleId="Heading1">
    <w:name w:val="heading 1"/>
    <w:basedOn w:val="Normal"/>
    <w:next w:val="Normal"/>
    <w:link w:val="Heading1Char"/>
    <w:uiPriority w:val="9"/>
    <w:qFormat/>
    <w:rsid w:val="00365AF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Calibri" w:hAnsi="Calibri" w:cs="Arial Unicode MS"/>
      <w:color w:val="000000"/>
      <w:sz w:val="24"/>
      <w:szCs w:val="24"/>
      <w:u w:color="000000"/>
      <w:lang w:val="fr-FR"/>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FootnoteText">
    <w:name w:val="footnote text"/>
    <w:rPr>
      <w:rFonts w:ascii="Calibri" w:eastAsia="Calibri" w:hAnsi="Calibri" w:cs="Calibri"/>
      <w:color w:val="000000"/>
      <w:u w:color="000000"/>
    </w:rPr>
  </w:style>
  <w:style w:type="character" w:customStyle="1" w:styleId="Link">
    <w:name w:val="Link"/>
    <w:rPr>
      <w:outline w:val="0"/>
      <w:color w:val="0000FF"/>
      <w:u w:val="single" w:color="0000FF"/>
    </w:rPr>
  </w:style>
  <w:style w:type="character" w:customStyle="1" w:styleId="Hyperlink0">
    <w:name w:val="Hyperlink.0"/>
    <w:basedOn w:val="Link"/>
    <w:rPr>
      <w:rFonts w:ascii="Calibri Light" w:eastAsia="Calibri Light" w:hAnsi="Calibri Light" w:cs="Calibri Light"/>
      <w:outline w:val="0"/>
      <w:color w:val="0000FF"/>
      <w:sz w:val="18"/>
      <w:szCs w:val="18"/>
      <w:u w:val="single" w:color="0000FF"/>
    </w:rPr>
  </w:style>
  <w:style w:type="character" w:customStyle="1" w:styleId="None">
    <w:name w:val="None"/>
  </w:style>
  <w:style w:type="character" w:customStyle="1" w:styleId="Hyperlink1">
    <w:name w:val="Hyperlink.1"/>
    <w:basedOn w:val="None"/>
    <w:rPr>
      <w:rFonts w:ascii="Calibri Light" w:eastAsia="Calibri Light" w:hAnsi="Calibri Light" w:cs="Calibri Light"/>
      <w:sz w:val="18"/>
      <w:szCs w:val="18"/>
    </w:rPr>
  </w:style>
  <w:style w:type="paragraph" w:styleId="ListParagraph">
    <w:name w:val="List Paragraph"/>
    <w:pPr>
      <w:spacing w:before="100" w:after="100"/>
    </w:pPr>
    <w:rPr>
      <w:rFonts w:cs="Arial Unicode MS"/>
      <w:color w:val="000000"/>
      <w:sz w:val="24"/>
      <w:szCs w:val="24"/>
      <w:u w:color="000000"/>
    </w:rPr>
  </w:style>
  <w:style w:type="numbering" w:customStyle="1" w:styleId="ImportedStyle1">
    <w:name w:val="Imported Style 1"/>
    <w:pPr>
      <w:numPr>
        <w:numId w:val="1"/>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520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032"/>
    <w:rPr>
      <w:rFonts w:ascii="Segoe UI" w:hAnsi="Segoe UI" w:cs="Segoe UI"/>
      <w:sz w:val="18"/>
      <w:szCs w:val="18"/>
    </w:rPr>
  </w:style>
  <w:style w:type="paragraph" w:styleId="Header">
    <w:name w:val="header"/>
    <w:basedOn w:val="Normal"/>
    <w:link w:val="HeaderChar"/>
    <w:uiPriority w:val="99"/>
    <w:unhideWhenUsed/>
    <w:rsid w:val="00261B1E"/>
    <w:pPr>
      <w:tabs>
        <w:tab w:val="center" w:pos="4680"/>
        <w:tab w:val="right" w:pos="9360"/>
      </w:tabs>
    </w:pPr>
  </w:style>
  <w:style w:type="character" w:customStyle="1" w:styleId="HeaderChar">
    <w:name w:val="Header Char"/>
    <w:basedOn w:val="DefaultParagraphFont"/>
    <w:link w:val="Header"/>
    <w:uiPriority w:val="99"/>
    <w:rsid w:val="00261B1E"/>
    <w:rPr>
      <w:sz w:val="24"/>
      <w:szCs w:val="24"/>
    </w:rPr>
  </w:style>
  <w:style w:type="paragraph" w:styleId="Footer">
    <w:name w:val="footer"/>
    <w:basedOn w:val="Normal"/>
    <w:link w:val="FooterChar"/>
    <w:uiPriority w:val="99"/>
    <w:unhideWhenUsed/>
    <w:rsid w:val="00261B1E"/>
    <w:pPr>
      <w:tabs>
        <w:tab w:val="center" w:pos="4680"/>
        <w:tab w:val="right" w:pos="9360"/>
      </w:tabs>
    </w:pPr>
  </w:style>
  <w:style w:type="character" w:customStyle="1" w:styleId="FooterChar">
    <w:name w:val="Footer Char"/>
    <w:basedOn w:val="DefaultParagraphFont"/>
    <w:link w:val="Footer"/>
    <w:uiPriority w:val="99"/>
    <w:rsid w:val="00261B1E"/>
    <w:rPr>
      <w:sz w:val="24"/>
      <w:szCs w:val="24"/>
    </w:rPr>
  </w:style>
  <w:style w:type="character" w:customStyle="1" w:styleId="Heading1Char">
    <w:name w:val="Heading 1 Char"/>
    <w:basedOn w:val="DefaultParagraphFont"/>
    <w:link w:val="Heading1"/>
    <w:uiPriority w:val="9"/>
    <w:rsid w:val="00365AF7"/>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C742A0"/>
    <w:rPr>
      <w:color w:val="FF00FF" w:themeColor="followedHyperlink"/>
      <w:u w:val="single"/>
    </w:rPr>
  </w:style>
  <w:style w:type="paragraph" w:customStyle="1" w:styleId="BodyA">
    <w:name w:val="Body A"/>
    <w:rsid w:val="003C5ADD"/>
    <w:pPr>
      <w:spacing w:line="276" w:lineRule="auto"/>
    </w:pPr>
    <w:rPr>
      <w:rFonts w:ascii="Arial" w:hAnsi="Arial" w:cs="Arial Unicode MS"/>
      <w:color w:val="000000"/>
      <w:sz w:val="22"/>
      <w:szCs w:val="22"/>
      <w:u w:color="000000"/>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bit.ly/3q25M64" TargetMode="External"/><Relationship Id="rId2" Type="http://schemas.openxmlformats.org/officeDocument/2006/relationships/hyperlink" Target="https://bit.ly/3wyeon9" TargetMode="External"/><Relationship Id="rId1" Type="http://schemas.openxmlformats.org/officeDocument/2006/relationships/hyperlink" Target="https://bit.ly/3iTda1I" TargetMode="External"/><Relationship Id="rId6" Type="http://schemas.openxmlformats.org/officeDocument/2006/relationships/hyperlink" Target="https://bit.ly/3vzwQKJ" TargetMode="External"/><Relationship Id="rId5" Type="http://schemas.openxmlformats.org/officeDocument/2006/relationships/hyperlink" Target="https://bit.ly/35vssBS" TargetMode="External"/><Relationship Id="rId4" Type="http://schemas.openxmlformats.org/officeDocument/2006/relationships/hyperlink" Target="https://bit.ly/2S3Q4e0"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936DFF-2F86-49FE-ABCB-D8C954D33751}">
  <ds:schemaRefs>
    <ds:schemaRef ds:uri="http://schemas.openxmlformats.org/officeDocument/2006/bibliography"/>
  </ds:schemaRefs>
</ds:datastoreItem>
</file>

<file path=customXml/itemProps2.xml><?xml version="1.0" encoding="utf-8"?>
<ds:datastoreItem xmlns:ds="http://schemas.openxmlformats.org/officeDocument/2006/customXml" ds:itemID="{7EB667A1-CFB9-4F63-B093-8B49E62DCA12}"/>
</file>

<file path=customXml/itemProps3.xml><?xml version="1.0" encoding="utf-8"?>
<ds:datastoreItem xmlns:ds="http://schemas.openxmlformats.org/officeDocument/2006/customXml" ds:itemID="{5CC3277B-5FA1-4DA4-90AF-33F7F7B5E46E}"/>
</file>

<file path=customXml/itemProps4.xml><?xml version="1.0" encoding="utf-8"?>
<ds:datastoreItem xmlns:ds="http://schemas.openxmlformats.org/officeDocument/2006/customXml" ds:itemID="{5711B380-6EA9-4892-88A6-7D028B5DCA6C}"/>
</file>

<file path=docProps/app.xml><?xml version="1.0" encoding="utf-8"?>
<Properties xmlns="http://schemas.openxmlformats.org/officeDocument/2006/extended-properties" xmlns:vt="http://schemas.openxmlformats.org/officeDocument/2006/docPropsVTypes">
  <Template>Normal</Template>
  <TotalTime>0</TotalTime>
  <Pages>3</Pages>
  <Words>1485</Words>
  <Characters>8468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OSGF</Company>
  <LinksUpToDate>false</LinksUpToDate>
  <CharactersWithSpaces>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EU-AA</dc:creator>
  <cp:lastModifiedBy>Ani Akhalkatsi</cp:lastModifiedBy>
  <cp:revision>3</cp:revision>
  <dcterms:created xsi:type="dcterms:W3CDTF">2021-06-16T15:54:00Z</dcterms:created>
  <dcterms:modified xsi:type="dcterms:W3CDTF">2021-06-16T16:05:00Z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