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5218" w:rsidRDefault="00FA5218">
      <w:pPr>
        <w:pStyle w:val="BodyA"/>
        <w:spacing w:after="0" w:line="240" w:lineRule="auto"/>
      </w:pPr>
    </w:p>
    <w:p w:rsidR="00FA5218" w:rsidRDefault="00FA5218">
      <w:pPr>
        <w:pStyle w:val="BodyA"/>
        <w:spacing w:after="0" w:line="240" w:lineRule="auto"/>
      </w:pPr>
    </w:p>
    <w:p w:rsidR="00FA5218" w:rsidRDefault="00720B60">
      <w:pPr>
        <w:pStyle w:val="BodyA"/>
        <w:spacing w:after="0" w:line="240" w:lineRule="auto"/>
        <w:jc w:val="center"/>
      </w:pPr>
      <w:r>
        <w:rPr>
          <w:rFonts w:ascii="Verdana" w:hAnsi="Verdana"/>
          <w:b/>
          <w:bCs/>
          <w:sz w:val="24"/>
          <w:szCs w:val="24"/>
          <w:lang w:val="en-US"/>
        </w:rPr>
        <w:t>Northern Ireland Human Rights Commission submission to the UN Committee on the Rights of the Child 72</w:t>
      </w:r>
      <w:r>
        <w:rPr>
          <w:rFonts w:ascii="Verdana" w:hAnsi="Verdana"/>
          <w:b/>
          <w:bCs/>
          <w:sz w:val="24"/>
          <w:szCs w:val="24"/>
          <w:vertAlign w:val="superscript"/>
          <w:lang w:val="en-US"/>
        </w:rPr>
        <w:t>nd</w:t>
      </w:r>
      <w:r>
        <w:rPr>
          <w:rFonts w:ascii="Verdana" w:hAnsi="Verdana"/>
          <w:b/>
          <w:bCs/>
          <w:sz w:val="24"/>
          <w:szCs w:val="24"/>
          <w:lang w:val="en-US"/>
        </w:rPr>
        <w:t xml:space="preserve"> Session on the Fifth Periodic Report of the United Kingdom of Great Britain and Northern Ireland on compliance with the UN Convention on the Rights of the Child</w:t>
      </w:r>
    </w:p>
    <w:p w:rsidR="00FA5218" w:rsidRDefault="00FA5218">
      <w:pPr>
        <w:pStyle w:val="BodyA"/>
        <w:spacing w:after="0" w:line="240" w:lineRule="auto"/>
      </w:pPr>
    </w:p>
    <w:p w:rsidR="00FA5218" w:rsidRDefault="00FA5218">
      <w:pPr>
        <w:pStyle w:val="BodyA"/>
        <w:spacing w:after="0" w:line="240" w:lineRule="auto"/>
        <w:jc w:val="center"/>
      </w:pPr>
    </w:p>
    <w:p w:rsidR="00FA5218" w:rsidRDefault="00FA5218">
      <w:pPr>
        <w:pStyle w:val="BodyA"/>
        <w:spacing w:after="0" w:line="240" w:lineRule="auto"/>
      </w:pPr>
    </w:p>
    <w:p w:rsidR="00FA5218" w:rsidRDefault="00720B60">
      <w:pPr>
        <w:pStyle w:val="BodyA"/>
        <w:spacing w:after="0" w:line="240" w:lineRule="auto"/>
        <w:jc w:val="center"/>
      </w:pPr>
      <w:r>
        <w:rPr>
          <w:rFonts w:ascii="Verdana" w:hAnsi="Verdana"/>
          <w:sz w:val="24"/>
          <w:szCs w:val="24"/>
        </w:rPr>
        <w:t>15 April 2016</w:t>
      </w:r>
    </w:p>
    <w:p w:rsidR="00FA5218" w:rsidRDefault="00FA5218">
      <w:pPr>
        <w:pStyle w:val="BodyA"/>
        <w:spacing w:after="0" w:line="240" w:lineRule="auto"/>
      </w:pPr>
    </w:p>
    <w:p w:rsidR="00FA5218" w:rsidRDefault="00FA5218">
      <w:pPr>
        <w:pStyle w:val="BodyA"/>
        <w:spacing w:after="0" w:line="240" w:lineRule="auto"/>
      </w:pPr>
    </w:p>
    <w:p w:rsidR="00FA5218" w:rsidRDefault="00FA5218">
      <w:pPr>
        <w:pStyle w:val="BodyA"/>
        <w:spacing w:after="0" w:line="240" w:lineRule="auto"/>
      </w:pPr>
    </w:p>
    <w:p w:rsidR="00FA5218" w:rsidRDefault="00FA5218">
      <w:pPr>
        <w:pStyle w:val="BodyA"/>
        <w:spacing w:after="0" w:line="240" w:lineRule="auto"/>
        <w:jc w:val="center"/>
      </w:pPr>
    </w:p>
    <w:p w:rsidR="00FA5218" w:rsidRDefault="00FA5218">
      <w:pPr>
        <w:pStyle w:val="BodyA"/>
        <w:spacing w:after="0" w:line="240" w:lineRule="auto"/>
      </w:pPr>
    </w:p>
    <w:p w:rsidR="00FA5218" w:rsidRDefault="00FA5218">
      <w:pPr>
        <w:pStyle w:val="BodyA"/>
        <w:spacing w:after="0" w:line="240" w:lineRule="auto"/>
      </w:pPr>
    </w:p>
    <w:p w:rsidR="00FA5218" w:rsidRDefault="00720B60">
      <w:pPr>
        <w:pStyle w:val="BodyA"/>
        <w:spacing w:after="0" w:line="240" w:lineRule="auto"/>
        <w:jc w:val="center"/>
      </w:pPr>
      <w:r>
        <w:rPr>
          <w:rFonts w:ascii="Verdana" w:eastAsia="Verdana" w:hAnsi="Verdana" w:cs="Verdana"/>
          <w:b/>
          <w:bCs/>
          <w:noProof/>
          <w:sz w:val="24"/>
          <w:szCs w:val="24"/>
          <w:lang w:val="en-GB"/>
        </w:rPr>
        <w:drawing>
          <wp:inline distT="0" distB="0" distL="0" distR="0">
            <wp:extent cx="1470581" cy="1895700"/>
            <wp:effectExtent l="0" t="0" r="0" b="0"/>
            <wp:docPr id="1073741825" name="officeArt object" descr="C:\Users\Lorraine.Hamill\AppData\Local\Microsoft\Windows\Temporary Internet Files\Content.Outlook\7CPNRB1X\NIHRC_Portrait_Purple (CMYK)_bckgrnd (2).jpg"/>
            <wp:cNvGraphicFramePr/>
            <a:graphic xmlns:a="http://schemas.openxmlformats.org/drawingml/2006/main">
              <a:graphicData uri="http://schemas.openxmlformats.org/drawingml/2006/picture">
                <pic:pic xmlns:pic="http://schemas.openxmlformats.org/drawingml/2006/picture">
                  <pic:nvPicPr>
                    <pic:cNvPr id="1073741825" name="image1.jpeg" descr="C:\Users\Lorraine.Hamill\AppData\Local\Microsoft\Windows\Temporary Internet Files\Content.Outlook\7CPNRB1X\NIHRC_Portrait_Purple (CMYK)_bckgrnd (2).jpg"/>
                    <pic:cNvPicPr>
                      <a:picLocks noChangeAspect="1"/>
                    </pic:cNvPicPr>
                  </pic:nvPicPr>
                  <pic:blipFill>
                    <a:blip r:embed="rId7">
                      <a:extLst/>
                    </a:blip>
                    <a:stretch>
                      <a:fillRect/>
                    </a:stretch>
                  </pic:blipFill>
                  <pic:spPr>
                    <a:xfrm>
                      <a:off x="0" y="0"/>
                      <a:ext cx="1470581" cy="1895700"/>
                    </a:xfrm>
                    <a:prstGeom prst="rect">
                      <a:avLst/>
                    </a:prstGeom>
                    <a:ln w="12700" cap="flat">
                      <a:noFill/>
                      <a:miter lim="400000"/>
                    </a:ln>
                    <a:effectLst/>
                  </pic:spPr>
                </pic:pic>
              </a:graphicData>
            </a:graphic>
          </wp:inline>
        </w:drawing>
      </w:r>
    </w:p>
    <w:p w:rsidR="00FA5218" w:rsidRDefault="00FA5218">
      <w:pPr>
        <w:pStyle w:val="BodyA"/>
        <w:spacing w:after="0" w:line="240" w:lineRule="auto"/>
      </w:pPr>
    </w:p>
    <w:p w:rsidR="00FA5218" w:rsidRDefault="00FA5218">
      <w:pPr>
        <w:pStyle w:val="BodyA"/>
        <w:spacing w:after="0" w:line="240" w:lineRule="auto"/>
      </w:pPr>
    </w:p>
    <w:p w:rsidR="00FA5218" w:rsidRDefault="00FA5218">
      <w:pPr>
        <w:pStyle w:val="NoSpacing"/>
      </w:pPr>
    </w:p>
    <w:p w:rsidR="00FA5218" w:rsidRDefault="00FA5218">
      <w:pPr>
        <w:pStyle w:val="NoSpacing"/>
      </w:pPr>
    </w:p>
    <w:p w:rsidR="00FA5218" w:rsidRDefault="00FA5218">
      <w:pPr>
        <w:pStyle w:val="NoSpacing"/>
      </w:pPr>
    </w:p>
    <w:p w:rsidR="00FA5218" w:rsidRDefault="00FA5218">
      <w:pPr>
        <w:pStyle w:val="NoSpacing"/>
      </w:pPr>
    </w:p>
    <w:p w:rsidR="00FA5218" w:rsidRDefault="00FA5218">
      <w:pPr>
        <w:pStyle w:val="NoSpacing"/>
      </w:pPr>
    </w:p>
    <w:p w:rsidR="00FA5218" w:rsidRDefault="00FA5218">
      <w:pPr>
        <w:pStyle w:val="NoSpacing"/>
      </w:pPr>
    </w:p>
    <w:p w:rsidR="00FA5218" w:rsidRDefault="00FA5218">
      <w:pPr>
        <w:pStyle w:val="NoSpacing"/>
      </w:pPr>
    </w:p>
    <w:p w:rsidR="00FA5218" w:rsidRDefault="00720B60">
      <w:pPr>
        <w:pStyle w:val="NoSpacing"/>
      </w:pPr>
      <w:r>
        <w:rPr>
          <w:rFonts w:ascii="Verdana" w:hAnsi="Verdana"/>
          <w:sz w:val="24"/>
          <w:szCs w:val="24"/>
        </w:rPr>
        <w:t xml:space="preserve">Northern Ireland Human Rights Commission </w:t>
      </w:r>
      <w:r>
        <w:rPr>
          <w:rFonts w:ascii="Verdana" w:hAnsi="Verdana"/>
          <w:sz w:val="24"/>
          <w:szCs w:val="24"/>
        </w:rPr>
        <w:tab/>
      </w:r>
      <w:r>
        <w:rPr>
          <w:rFonts w:ascii="Verdana" w:hAnsi="Verdana"/>
          <w:sz w:val="24"/>
          <w:szCs w:val="24"/>
        </w:rPr>
        <w:tab/>
      </w:r>
      <w:r>
        <w:rPr>
          <w:rFonts w:ascii="Verdana" w:hAnsi="Verdana"/>
          <w:sz w:val="24"/>
          <w:szCs w:val="24"/>
        </w:rPr>
        <w:tab/>
        <w:t xml:space="preserve"> </w:t>
      </w:r>
    </w:p>
    <w:p w:rsidR="00FA5218" w:rsidRDefault="00720B60">
      <w:pPr>
        <w:pStyle w:val="NoSpacing"/>
      </w:pPr>
      <w:r>
        <w:rPr>
          <w:rFonts w:ascii="Verdana" w:hAnsi="Verdana"/>
          <w:sz w:val="24"/>
          <w:szCs w:val="24"/>
        </w:rPr>
        <w:t xml:space="preserve">Temple Court, 39 North Street </w:t>
      </w:r>
    </w:p>
    <w:p w:rsidR="00FA5218" w:rsidRDefault="00720B60">
      <w:pPr>
        <w:pStyle w:val="NoSpacing"/>
      </w:pPr>
      <w:r>
        <w:rPr>
          <w:rFonts w:ascii="Verdana" w:hAnsi="Verdana"/>
          <w:sz w:val="24"/>
          <w:szCs w:val="24"/>
        </w:rPr>
        <w:t xml:space="preserve">Belfast BT1 1NA </w:t>
      </w:r>
    </w:p>
    <w:p w:rsidR="00FA5218" w:rsidRDefault="00720B60">
      <w:pPr>
        <w:pStyle w:val="NoSpacing"/>
      </w:pPr>
      <w:r>
        <w:rPr>
          <w:rFonts w:ascii="Verdana" w:hAnsi="Verdana"/>
          <w:sz w:val="24"/>
          <w:szCs w:val="24"/>
        </w:rPr>
        <w:t xml:space="preserve">Tel: (028) 9024 3987 </w:t>
      </w:r>
    </w:p>
    <w:p w:rsidR="00FA5218" w:rsidRDefault="00720B60">
      <w:pPr>
        <w:pStyle w:val="NoSpacing"/>
      </w:pPr>
      <w:r>
        <w:rPr>
          <w:rFonts w:ascii="Verdana" w:hAnsi="Verdana"/>
          <w:sz w:val="24"/>
          <w:szCs w:val="24"/>
        </w:rPr>
        <w:t xml:space="preserve">Fax: (028) 9024 7844 </w:t>
      </w:r>
    </w:p>
    <w:p w:rsidR="00FA5218" w:rsidRDefault="00720B60">
      <w:pPr>
        <w:pStyle w:val="NoSpacing"/>
      </w:pPr>
      <w:proofErr w:type="spellStart"/>
      <w:r>
        <w:rPr>
          <w:rFonts w:ascii="Verdana" w:hAnsi="Verdana"/>
          <w:sz w:val="24"/>
          <w:szCs w:val="24"/>
        </w:rPr>
        <w:t>Textphone</w:t>
      </w:r>
      <w:proofErr w:type="spellEnd"/>
      <w:r>
        <w:rPr>
          <w:rFonts w:ascii="Verdana" w:hAnsi="Verdana"/>
          <w:sz w:val="24"/>
          <w:szCs w:val="24"/>
        </w:rPr>
        <w:t xml:space="preserve">: (028) 9024 9066 </w:t>
      </w:r>
    </w:p>
    <w:p w:rsidR="00FA5218" w:rsidRDefault="00720B60">
      <w:pPr>
        <w:pStyle w:val="NoSpacing"/>
      </w:pPr>
      <w:r>
        <w:rPr>
          <w:rFonts w:ascii="Verdana" w:hAnsi="Verdana"/>
          <w:sz w:val="24"/>
          <w:szCs w:val="24"/>
        </w:rPr>
        <w:t xml:space="preserve">SMS Text: 07786 202075 </w:t>
      </w:r>
    </w:p>
    <w:p w:rsidR="00FA5218" w:rsidRDefault="00720B60">
      <w:pPr>
        <w:pStyle w:val="NoSpacing"/>
      </w:pPr>
      <w:r>
        <w:rPr>
          <w:rFonts w:ascii="Verdana" w:hAnsi="Verdana"/>
          <w:sz w:val="24"/>
          <w:szCs w:val="24"/>
        </w:rPr>
        <w:t xml:space="preserve">Email: information@nihrc.org </w:t>
      </w:r>
    </w:p>
    <w:p w:rsidR="00FA5218" w:rsidRDefault="00720B60">
      <w:pPr>
        <w:pStyle w:val="NoSpacing"/>
      </w:pPr>
      <w:r>
        <w:rPr>
          <w:rFonts w:ascii="Verdana" w:hAnsi="Verdana"/>
          <w:sz w:val="24"/>
          <w:szCs w:val="24"/>
        </w:rPr>
        <w:t>Online: nihrc.org - twitter.com/</w:t>
      </w:r>
      <w:proofErr w:type="spellStart"/>
      <w:r>
        <w:rPr>
          <w:rFonts w:ascii="Verdana" w:hAnsi="Verdana"/>
          <w:sz w:val="24"/>
          <w:szCs w:val="24"/>
        </w:rPr>
        <w:t>nihrc</w:t>
      </w:r>
      <w:proofErr w:type="spellEnd"/>
      <w:r>
        <w:rPr>
          <w:rFonts w:ascii="Verdana" w:hAnsi="Verdana"/>
          <w:sz w:val="24"/>
          <w:szCs w:val="24"/>
        </w:rPr>
        <w:t xml:space="preserve"> </w:t>
      </w:r>
    </w:p>
    <w:p w:rsidR="00FA5218" w:rsidRDefault="00720B60">
      <w:pPr>
        <w:pStyle w:val="NoSpacing"/>
      </w:pPr>
      <w:proofErr w:type="gramStart"/>
      <w:r>
        <w:rPr>
          <w:rFonts w:ascii="Verdana" w:hAnsi="Verdana"/>
          <w:sz w:val="24"/>
          <w:szCs w:val="24"/>
        </w:rPr>
        <w:t>facebook.com/</w:t>
      </w:r>
      <w:proofErr w:type="spellStart"/>
      <w:r>
        <w:rPr>
          <w:rFonts w:ascii="Verdana" w:hAnsi="Verdana"/>
          <w:sz w:val="24"/>
          <w:szCs w:val="24"/>
        </w:rPr>
        <w:t>nihrc</w:t>
      </w:r>
      <w:proofErr w:type="spellEnd"/>
      <w:proofErr w:type="gramEnd"/>
      <w:r>
        <w:rPr>
          <w:rFonts w:ascii="Verdana" w:hAnsi="Verdana"/>
          <w:sz w:val="24"/>
          <w:szCs w:val="24"/>
        </w:rPr>
        <w:t xml:space="preserve"> - youtube.com/</w:t>
      </w:r>
      <w:proofErr w:type="spellStart"/>
      <w:r>
        <w:rPr>
          <w:rFonts w:ascii="Verdana" w:hAnsi="Verdana"/>
          <w:sz w:val="24"/>
          <w:szCs w:val="24"/>
        </w:rPr>
        <w:t>nihrc</w:t>
      </w:r>
      <w:proofErr w:type="spellEnd"/>
    </w:p>
    <w:p w:rsidR="00FA5218" w:rsidRDefault="00FA5218">
      <w:pPr>
        <w:pStyle w:val="NoSpacing"/>
      </w:pPr>
    </w:p>
    <w:p w:rsidR="00FA5218" w:rsidRDefault="00FA5218">
      <w:pPr>
        <w:pStyle w:val="BodyA"/>
        <w:spacing w:after="0" w:line="240" w:lineRule="auto"/>
      </w:pPr>
    </w:p>
    <w:p w:rsidR="00C65145" w:rsidRDefault="00C65145">
      <w:pPr>
        <w:pStyle w:val="BodyA"/>
        <w:spacing w:after="0" w:line="240" w:lineRule="auto"/>
      </w:pPr>
    </w:p>
    <w:p w:rsidR="00C65145" w:rsidRDefault="00C65145" w:rsidP="00C65145">
      <w:pPr>
        <w:pStyle w:val="BodyA"/>
        <w:spacing w:after="0" w:line="240" w:lineRule="auto"/>
      </w:pPr>
      <w:r>
        <w:rPr>
          <w:rFonts w:ascii="Verdana" w:hAnsi="Verdana"/>
          <w:b/>
          <w:bCs/>
          <w:sz w:val="24"/>
          <w:szCs w:val="24"/>
          <w:lang w:val="en-US"/>
        </w:rPr>
        <w:lastRenderedPageBreak/>
        <w:t>Executive Summary …………………………………………………………3-7</w:t>
      </w:r>
    </w:p>
    <w:p w:rsidR="00C65145" w:rsidRDefault="00C65145" w:rsidP="00C65145">
      <w:pPr>
        <w:pStyle w:val="BodyA"/>
        <w:spacing w:after="0" w:line="240" w:lineRule="auto"/>
      </w:pPr>
      <w:r>
        <w:rPr>
          <w:rFonts w:ascii="Verdana" w:hAnsi="Verdana"/>
          <w:b/>
          <w:bCs/>
          <w:sz w:val="24"/>
          <w:szCs w:val="24"/>
          <w:u w:val="single"/>
          <w:lang w:val="en-US"/>
        </w:rPr>
        <w:t>General measures of implementation (arts. 4, 42 and 44, para. 6, of the Convention)</w:t>
      </w:r>
    </w:p>
    <w:p w:rsidR="00C65145" w:rsidRDefault="00C65145" w:rsidP="00C65145">
      <w:pPr>
        <w:pStyle w:val="BodyA"/>
        <w:spacing w:after="0" w:line="240" w:lineRule="auto"/>
      </w:pPr>
    </w:p>
    <w:p w:rsidR="00C65145" w:rsidRDefault="00C65145" w:rsidP="00C65145">
      <w:pPr>
        <w:pStyle w:val="BodyA"/>
        <w:spacing w:after="0" w:line="240" w:lineRule="auto"/>
      </w:pPr>
      <w:r>
        <w:rPr>
          <w:rFonts w:ascii="Verdana" w:hAnsi="Verdana"/>
          <w:b/>
          <w:bCs/>
          <w:sz w:val="24"/>
          <w:szCs w:val="24"/>
          <w:lang w:val="en-US"/>
        </w:rPr>
        <w:t xml:space="preserve">Introduction……………………………………………………………………..8 </w:t>
      </w:r>
    </w:p>
    <w:p w:rsidR="00C65145" w:rsidRDefault="00C65145" w:rsidP="00C65145">
      <w:pPr>
        <w:pStyle w:val="BodyA"/>
        <w:spacing w:after="0" w:line="240" w:lineRule="auto"/>
      </w:pPr>
      <w:r>
        <w:rPr>
          <w:rFonts w:ascii="Verdana" w:hAnsi="Verdana"/>
          <w:b/>
          <w:bCs/>
          <w:sz w:val="24"/>
          <w:szCs w:val="24"/>
          <w:lang w:val="en-US"/>
        </w:rPr>
        <w:t>Human Rights Act 1998……………………………………………………..8-10</w:t>
      </w:r>
    </w:p>
    <w:p w:rsidR="00C65145" w:rsidRDefault="00C65145" w:rsidP="00C65145">
      <w:pPr>
        <w:pStyle w:val="BodyA"/>
        <w:spacing w:after="0" w:line="240" w:lineRule="auto"/>
      </w:pPr>
      <w:r>
        <w:rPr>
          <w:rFonts w:ascii="Verdana" w:hAnsi="Verdana"/>
          <w:b/>
          <w:bCs/>
          <w:sz w:val="24"/>
          <w:szCs w:val="24"/>
          <w:lang w:val="en-US"/>
        </w:rPr>
        <w:t>Bill of Rights for NI…………………………………………………………… 11</w:t>
      </w:r>
    </w:p>
    <w:p w:rsidR="00C65145" w:rsidRDefault="00C65145" w:rsidP="00C65145">
      <w:pPr>
        <w:pStyle w:val="BodyA"/>
        <w:spacing w:after="0" w:line="240" w:lineRule="auto"/>
      </w:pPr>
      <w:r>
        <w:rPr>
          <w:rFonts w:ascii="Verdana" w:hAnsi="Verdana"/>
          <w:b/>
          <w:bCs/>
          <w:sz w:val="24"/>
          <w:szCs w:val="24"/>
          <w:lang w:val="en-US"/>
        </w:rPr>
        <w:t>Legislative Framework……………………………………………………12-13</w:t>
      </w:r>
    </w:p>
    <w:p w:rsidR="00C65145" w:rsidRDefault="00C65145" w:rsidP="00C65145">
      <w:pPr>
        <w:pStyle w:val="BodyA"/>
        <w:spacing w:after="0" w:line="240" w:lineRule="auto"/>
      </w:pPr>
      <w:r>
        <w:rPr>
          <w:rFonts w:ascii="Verdana" w:hAnsi="Verdana"/>
          <w:b/>
          <w:bCs/>
          <w:sz w:val="24"/>
          <w:szCs w:val="24"/>
          <w:lang w:val="en-US"/>
        </w:rPr>
        <w:t>Policy Framework……………………………………………………………..13</w:t>
      </w:r>
    </w:p>
    <w:p w:rsidR="00C65145" w:rsidRDefault="00C65145" w:rsidP="00C65145">
      <w:pPr>
        <w:pStyle w:val="BodyA"/>
        <w:spacing w:after="0" w:line="240" w:lineRule="auto"/>
      </w:pPr>
    </w:p>
    <w:p w:rsidR="00C65145" w:rsidRDefault="00C65145" w:rsidP="00C65145">
      <w:pPr>
        <w:pStyle w:val="BodyA"/>
        <w:spacing w:after="0" w:line="240" w:lineRule="auto"/>
      </w:pPr>
      <w:r>
        <w:rPr>
          <w:rFonts w:ascii="Verdana" w:hAnsi="Verdana"/>
          <w:b/>
          <w:bCs/>
          <w:sz w:val="24"/>
          <w:szCs w:val="24"/>
          <w:u w:val="single"/>
          <w:lang w:val="en-US"/>
        </w:rPr>
        <w:t>Violence against children (arts. 19, 24, para.3, 28, para. 2, 34, 37 (a) and 39)</w:t>
      </w:r>
    </w:p>
    <w:p w:rsidR="00C65145" w:rsidRDefault="00C65145" w:rsidP="00C65145">
      <w:pPr>
        <w:pStyle w:val="BodyA"/>
        <w:spacing w:after="0" w:line="240" w:lineRule="auto"/>
      </w:pPr>
    </w:p>
    <w:p w:rsidR="00C65145" w:rsidRDefault="00C65145" w:rsidP="00C65145">
      <w:pPr>
        <w:pStyle w:val="BodyA"/>
        <w:spacing w:after="0" w:line="240" w:lineRule="auto"/>
      </w:pPr>
      <w:r>
        <w:rPr>
          <w:rFonts w:ascii="Verdana" w:hAnsi="Verdana"/>
          <w:b/>
          <w:bCs/>
          <w:sz w:val="24"/>
          <w:szCs w:val="24"/>
          <w:lang w:val="en-US"/>
        </w:rPr>
        <w:t>Abuse and neglect…………………………………………………………13-16</w:t>
      </w:r>
    </w:p>
    <w:p w:rsidR="00C65145" w:rsidRDefault="00C65145" w:rsidP="00C65145">
      <w:pPr>
        <w:pStyle w:val="BodyA"/>
        <w:spacing w:after="0" w:line="240" w:lineRule="auto"/>
      </w:pPr>
      <w:r>
        <w:rPr>
          <w:rFonts w:ascii="Verdana" w:hAnsi="Verdana"/>
          <w:b/>
          <w:bCs/>
          <w:sz w:val="24"/>
          <w:szCs w:val="24"/>
          <w:lang w:val="en-US"/>
        </w:rPr>
        <w:t>Corporal punishment …………………………………………………….16</w:t>
      </w:r>
    </w:p>
    <w:p w:rsidR="00C65145" w:rsidRDefault="00C65145" w:rsidP="00C65145">
      <w:pPr>
        <w:pStyle w:val="BodyA"/>
        <w:spacing w:after="0" w:line="240" w:lineRule="auto"/>
      </w:pPr>
      <w:r>
        <w:rPr>
          <w:rFonts w:ascii="Verdana" w:hAnsi="Verdana"/>
          <w:b/>
          <w:bCs/>
          <w:sz w:val="24"/>
          <w:szCs w:val="24"/>
          <w:lang w:val="en-US"/>
        </w:rPr>
        <w:t>Child, Early and Forced Marriage……………………………………..16-18</w:t>
      </w:r>
    </w:p>
    <w:p w:rsidR="00C65145" w:rsidRDefault="00C65145" w:rsidP="00C65145">
      <w:pPr>
        <w:pStyle w:val="BodyA"/>
        <w:spacing w:after="0" w:line="240" w:lineRule="auto"/>
      </w:pPr>
      <w:proofErr w:type="spellStart"/>
      <w:r>
        <w:rPr>
          <w:rFonts w:ascii="Verdana" w:hAnsi="Verdana"/>
          <w:b/>
          <w:bCs/>
        </w:rPr>
        <w:t>Female</w:t>
      </w:r>
      <w:proofErr w:type="spellEnd"/>
      <w:r>
        <w:rPr>
          <w:rFonts w:ascii="Verdana" w:hAnsi="Verdana"/>
          <w:b/>
          <w:bCs/>
        </w:rPr>
        <w:t xml:space="preserve"> </w:t>
      </w:r>
      <w:proofErr w:type="spellStart"/>
      <w:r>
        <w:rPr>
          <w:rFonts w:ascii="Verdana" w:hAnsi="Verdana"/>
          <w:b/>
          <w:bCs/>
        </w:rPr>
        <w:t>Genital</w:t>
      </w:r>
      <w:proofErr w:type="spellEnd"/>
      <w:r>
        <w:rPr>
          <w:rFonts w:ascii="Verdana" w:hAnsi="Verdana"/>
          <w:b/>
          <w:bCs/>
        </w:rPr>
        <w:t xml:space="preserve"> Mutilation………………………………………………………18- 19</w:t>
      </w:r>
    </w:p>
    <w:p w:rsidR="00C65145" w:rsidRDefault="00C65145" w:rsidP="00C65145">
      <w:pPr>
        <w:pStyle w:val="BodyA"/>
        <w:spacing w:after="0" w:line="240" w:lineRule="auto"/>
      </w:pPr>
      <w:r>
        <w:rPr>
          <w:rFonts w:ascii="Verdana" w:hAnsi="Verdana"/>
          <w:b/>
          <w:bCs/>
          <w:sz w:val="24"/>
          <w:szCs w:val="24"/>
          <w:lang w:val="en-US"/>
        </w:rPr>
        <w:t>Paramilitary Style Assaults on children ……………………………19-20</w:t>
      </w:r>
    </w:p>
    <w:p w:rsidR="00C65145" w:rsidRDefault="00C65145" w:rsidP="00C65145">
      <w:pPr>
        <w:pStyle w:val="NoSpacing"/>
      </w:pPr>
    </w:p>
    <w:p w:rsidR="00C65145" w:rsidRDefault="00C65145" w:rsidP="00C65145">
      <w:pPr>
        <w:pStyle w:val="NoSpacing"/>
      </w:pPr>
      <w:r>
        <w:rPr>
          <w:rFonts w:ascii="Verdana" w:hAnsi="Verdana"/>
          <w:b/>
          <w:bCs/>
          <w:sz w:val="24"/>
          <w:szCs w:val="24"/>
          <w:u w:val="single"/>
        </w:rPr>
        <w:t>Family environment and alternative care (arts. 5, 9-11, 18 (paras. 1 and 2), 20-21, 25 and 27 (para. 4)</w:t>
      </w:r>
    </w:p>
    <w:p w:rsidR="00C65145" w:rsidRDefault="00C65145" w:rsidP="00C65145">
      <w:pPr>
        <w:pStyle w:val="BodyA"/>
        <w:spacing w:after="0" w:line="240" w:lineRule="auto"/>
      </w:pPr>
    </w:p>
    <w:p w:rsidR="00C65145" w:rsidRDefault="00C65145" w:rsidP="00C65145">
      <w:pPr>
        <w:pStyle w:val="BodyA"/>
        <w:spacing w:after="0" w:line="240" w:lineRule="auto"/>
      </w:pPr>
      <w:r>
        <w:rPr>
          <w:rFonts w:ascii="Verdana" w:hAnsi="Verdana"/>
          <w:b/>
          <w:bCs/>
          <w:sz w:val="24"/>
          <w:szCs w:val="24"/>
          <w:lang w:val="en-US"/>
        </w:rPr>
        <w:t>Children in care…………………………………………………………….20-22</w:t>
      </w:r>
    </w:p>
    <w:p w:rsidR="00C65145" w:rsidRDefault="00C65145" w:rsidP="00C65145">
      <w:pPr>
        <w:pStyle w:val="BodyA"/>
        <w:spacing w:after="0" w:line="240" w:lineRule="auto"/>
      </w:pPr>
      <w:r>
        <w:rPr>
          <w:rFonts w:ascii="Verdana" w:hAnsi="Verdana"/>
          <w:b/>
          <w:bCs/>
          <w:sz w:val="24"/>
          <w:szCs w:val="24"/>
          <w:lang w:val="en-US"/>
        </w:rPr>
        <w:t>Adoption Legislation…………………………………………………………22</w:t>
      </w:r>
    </w:p>
    <w:p w:rsidR="00C65145" w:rsidRDefault="00C65145" w:rsidP="00C65145">
      <w:pPr>
        <w:pStyle w:val="NoSpacing"/>
      </w:pPr>
    </w:p>
    <w:p w:rsidR="00C65145" w:rsidRDefault="00C65145" w:rsidP="00C65145">
      <w:pPr>
        <w:pStyle w:val="NoSpacing"/>
      </w:pPr>
      <w:r>
        <w:rPr>
          <w:rFonts w:ascii="Verdana" w:hAnsi="Verdana"/>
          <w:b/>
          <w:bCs/>
          <w:sz w:val="24"/>
          <w:szCs w:val="24"/>
          <w:u w:val="single"/>
        </w:rPr>
        <w:t>Disability, basic health and welfare (arts. 6, 18 (para. 3) 23, 24, 26, 27 (paras. 1-3) and 33)</w:t>
      </w:r>
    </w:p>
    <w:p w:rsidR="00C65145" w:rsidRDefault="00C65145" w:rsidP="00C65145">
      <w:pPr>
        <w:pStyle w:val="BodyA"/>
        <w:spacing w:after="0" w:line="240" w:lineRule="auto"/>
      </w:pPr>
    </w:p>
    <w:p w:rsidR="00C65145" w:rsidRDefault="00C65145" w:rsidP="00C65145">
      <w:pPr>
        <w:pStyle w:val="BodyA"/>
        <w:spacing w:after="0" w:line="240" w:lineRule="auto"/>
      </w:pPr>
      <w:r>
        <w:rPr>
          <w:rFonts w:ascii="Verdana" w:hAnsi="Verdana"/>
          <w:b/>
          <w:bCs/>
          <w:sz w:val="24"/>
          <w:szCs w:val="24"/>
          <w:lang w:val="en-US"/>
        </w:rPr>
        <w:t>Child Poverty…………………………………………………………………23-24</w:t>
      </w:r>
    </w:p>
    <w:p w:rsidR="00C65145" w:rsidRDefault="00C65145" w:rsidP="00C65145">
      <w:pPr>
        <w:pStyle w:val="NoSpacing"/>
      </w:pPr>
    </w:p>
    <w:p w:rsidR="00C65145" w:rsidRDefault="00C65145" w:rsidP="00C65145">
      <w:pPr>
        <w:pStyle w:val="BodyA"/>
        <w:spacing w:after="0" w:line="240" w:lineRule="auto"/>
      </w:pPr>
      <w:r>
        <w:rPr>
          <w:rFonts w:ascii="Verdana" w:hAnsi="Verdana"/>
          <w:b/>
          <w:bCs/>
          <w:sz w:val="24"/>
          <w:szCs w:val="24"/>
          <w:u w:val="single"/>
          <w:lang w:val="en-US"/>
        </w:rPr>
        <w:t xml:space="preserve">Education, leisure and cultural activities (arts. 28, 29, 30 and 31) </w:t>
      </w:r>
    </w:p>
    <w:p w:rsidR="00C65145" w:rsidRDefault="00C65145" w:rsidP="00C65145">
      <w:pPr>
        <w:pStyle w:val="BodyA"/>
        <w:spacing w:after="0" w:line="240" w:lineRule="auto"/>
      </w:pPr>
    </w:p>
    <w:p w:rsidR="00C65145" w:rsidRDefault="00C65145" w:rsidP="00C65145">
      <w:pPr>
        <w:pStyle w:val="BodyA"/>
        <w:spacing w:after="0" w:line="240" w:lineRule="auto"/>
      </w:pPr>
      <w:proofErr w:type="spellStart"/>
      <w:r>
        <w:rPr>
          <w:rFonts w:ascii="Verdana" w:hAnsi="Verdana"/>
          <w:b/>
          <w:bCs/>
          <w:sz w:val="24"/>
          <w:szCs w:val="24"/>
          <w:lang w:val="en-US"/>
        </w:rPr>
        <w:t>Traveller</w:t>
      </w:r>
      <w:proofErr w:type="spellEnd"/>
      <w:r>
        <w:rPr>
          <w:rFonts w:ascii="Verdana" w:hAnsi="Verdana"/>
          <w:b/>
          <w:bCs/>
          <w:sz w:val="24"/>
          <w:szCs w:val="24"/>
          <w:lang w:val="en-US"/>
        </w:rPr>
        <w:t xml:space="preserve"> Education……………………………………………………….24-25</w:t>
      </w:r>
    </w:p>
    <w:p w:rsidR="00C65145" w:rsidRDefault="00C65145" w:rsidP="00C65145">
      <w:pPr>
        <w:pStyle w:val="BodyA"/>
        <w:spacing w:after="0" w:line="240" w:lineRule="auto"/>
      </w:pPr>
      <w:r>
        <w:rPr>
          <w:rFonts w:ascii="Verdana" w:hAnsi="Verdana"/>
          <w:b/>
          <w:bCs/>
          <w:sz w:val="24"/>
          <w:szCs w:val="24"/>
          <w:lang w:val="en-US"/>
        </w:rPr>
        <w:t>Segregation in Education ………………………………………………25-26</w:t>
      </w:r>
    </w:p>
    <w:p w:rsidR="00C65145" w:rsidRDefault="00C65145" w:rsidP="00C65145">
      <w:pPr>
        <w:pStyle w:val="BodyA"/>
        <w:spacing w:after="0" w:line="240" w:lineRule="auto"/>
      </w:pPr>
      <w:r>
        <w:rPr>
          <w:rFonts w:ascii="Verdana" w:hAnsi="Verdana"/>
          <w:b/>
          <w:bCs/>
          <w:sz w:val="24"/>
          <w:szCs w:val="24"/>
          <w:lang w:val="en-US"/>
        </w:rPr>
        <w:t>Academic Selection ………………………………………………………26 -27</w:t>
      </w:r>
    </w:p>
    <w:p w:rsidR="00C65145" w:rsidRDefault="00C65145" w:rsidP="00C65145">
      <w:pPr>
        <w:pStyle w:val="BodyA"/>
        <w:spacing w:after="0" w:line="240" w:lineRule="auto"/>
      </w:pPr>
      <w:r>
        <w:rPr>
          <w:rFonts w:ascii="Verdana" w:hAnsi="Verdana"/>
          <w:b/>
          <w:bCs/>
          <w:sz w:val="24"/>
          <w:szCs w:val="24"/>
          <w:lang w:val="en-US"/>
        </w:rPr>
        <w:t>Special Educational Needs and Disability ………………………..27 - 28</w:t>
      </w:r>
    </w:p>
    <w:p w:rsidR="00C65145" w:rsidRDefault="00C65145" w:rsidP="00C65145">
      <w:pPr>
        <w:pStyle w:val="NoSpacing"/>
      </w:pPr>
    </w:p>
    <w:p w:rsidR="00C65145" w:rsidRDefault="00C65145" w:rsidP="00C65145">
      <w:pPr>
        <w:pStyle w:val="NoSpacing"/>
      </w:pPr>
      <w:r>
        <w:rPr>
          <w:rFonts w:ascii="Verdana" w:hAnsi="Verdana"/>
          <w:b/>
          <w:bCs/>
          <w:sz w:val="24"/>
          <w:szCs w:val="24"/>
          <w:u w:val="single"/>
        </w:rPr>
        <w:t>Special protection measures (arts. 22, 30, 32-33, 35-36, 37 (b)-(d), 38, 39 and 40)</w:t>
      </w:r>
    </w:p>
    <w:p w:rsidR="00C65145" w:rsidRDefault="00C65145" w:rsidP="00C65145">
      <w:pPr>
        <w:pStyle w:val="BodyA"/>
        <w:spacing w:after="0" w:line="240" w:lineRule="auto"/>
      </w:pPr>
    </w:p>
    <w:p w:rsidR="00C65145" w:rsidRDefault="00C65145" w:rsidP="00C65145">
      <w:pPr>
        <w:pStyle w:val="BodyA"/>
        <w:spacing w:after="0" w:line="240" w:lineRule="auto"/>
      </w:pPr>
      <w:r>
        <w:rPr>
          <w:rFonts w:ascii="Verdana" w:hAnsi="Verdana"/>
          <w:b/>
          <w:bCs/>
          <w:sz w:val="24"/>
          <w:szCs w:val="24"/>
          <w:lang w:val="en-US"/>
        </w:rPr>
        <w:t>Youth Justice Review ……………………………………………………28-29</w:t>
      </w:r>
    </w:p>
    <w:p w:rsidR="00C65145" w:rsidRDefault="00C65145" w:rsidP="00C65145">
      <w:pPr>
        <w:pStyle w:val="BodyA"/>
        <w:spacing w:after="0" w:line="240" w:lineRule="auto"/>
      </w:pPr>
      <w:r>
        <w:rPr>
          <w:rFonts w:ascii="Verdana" w:hAnsi="Verdana"/>
          <w:b/>
          <w:bCs/>
          <w:sz w:val="24"/>
          <w:szCs w:val="24"/>
          <w:u w:color="444444"/>
          <w:lang w:val="en-US"/>
        </w:rPr>
        <w:t>Minimum age of criminal responsibility……………………………29-30</w:t>
      </w:r>
    </w:p>
    <w:p w:rsidR="00C65145" w:rsidRDefault="00C65145" w:rsidP="00C65145">
      <w:pPr>
        <w:pStyle w:val="BodyA"/>
        <w:spacing w:after="0" w:line="240" w:lineRule="auto"/>
      </w:pPr>
      <w:r>
        <w:rPr>
          <w:rFonts w:ascii="Verdana" w:hAnsi="Verdana"/>
          <w:b/>
          <w:bCs/>
          <w:sz w:val="24"/>
          <w:szCs w:val="24"/>
          <w:lang w:val="en-US"/>
        </w:rPr>
        <w:t>Detention of Children…………………………………………………….30-33</w:t>
      </w:r>
    </w:p>
    <w:p w:rsidR="00C65145" w:rsidRDefault="00C65145" w:rsidP="00C65145">
      <w:pPr>
        <w:pStyle w:val="BodyA"/>
        <w:spacing w:after="0" w:line="240" w:lineRule="auto"/>
      </w:pPr>
      <w:r>
        <w:rPr>
          <w:rFonts w:ascii="Verdana" w:hAnsi="Verdana"/>
          <w:b/>
          <w:bCs/>
          <w:sz w:val="24"/>
          <w:szCs w:val="24"/>
          <w:lang w:val="en-US"/>
        </w:rPr>
        <w:t>Education in Detention…………………………………………………..33</w:t>
      </w:r>
    </w:p>
    <w:p w:rsidR="00C65145" w:rsidRDefault="00C65145" w:rsidP="00C65145">
      <w:pPr>
        <w:pStyle w:val="BodyA"/>
        <w:spacing w:after="0" w:line="240" w:lineRule="auto"/>
      </w:pPr>
      <w:r>
        <w:rPr>
          <w:rFonts w:ascii="Verdana" w:hAnsi="Verdana"/>
          <w:b/>
          <w:bCs/>
          <w:sz w:val="24"/>
          <w:szCs w:val="24"/>
          <w:lang w:val="en-US"/>
        </w:rPr>
        <w:t>Termination of Pregnancy………………………………………………33-34</w:t>
      </w:r>
    </w:p>
    <w:p w:rsidR="00FA5218" w:rsidRDefault="00FA5218">
      <w:pPr>
        <w:pStyle w:val="NoSpacing"/>
      </w:pPr>
    </w:p>
    <w:p w:rsidR="00720B60" w:rsidRDefault="00720B60">
      <w:pPr>
        <w:pStyle w:val="NoSpacing"/>
      </w:pPr>
    </w:p>
    <w:p w:rsidR="00720B60" w:rsidRDefault="00720B60">
      <w:pPr>
        <w:pStyle w:val="NoSpacing"/>
      </w:pPr>
    </w:p>
    <w:p w:rsidR="00C65145" w:rsidRDefault="00C65145">
      <w:pPr>
        <w:pStyle w:val="NoSpacing"/>
      </w:pPr>
    </w:p>
    <w:p w:rsidR="00FA5218" w:rsidRDefault="00720B60">
      <w:pPr>
        <w:pStyle w:val="NoSpacing"/>
      </w:pPr>
      <w:r>
        <w:rPr>
          <w:rFonts w:ascii="Verdana" w:hAnsi="Verdana"/>
          <w:b/>
          <w:bCs/>
          <w:sz w:val="24"/>
          <w:szCs w:val="24"/>
          <w:u w:val="single"/>
        </w:rPr>
        <w:lastRenderedPageBreak/>
        <w:t xml:space="preserve">EXECUTIVE SUMMARY </w:t>
      </w:r>
    </w:p>
    <w:p w:rsidR="00FA5218" w:rsidRDefault="00FA5218">
      <w:pPr>
        <w:pStyle w:val="NoSpacing"/>
      </w:pPr>
    </w:p>
    <w:p w:rsidR="00FA5218" w:rsidRDefault="00720B60">
      <w:pPr>
        <w:pStyle w:val="BodyA"/>
        <w:spacing w:after="0" w:line="240" w:lineRule="auto"/>
      </w:pPr>
      <w:r>
        <w:rPr>
          <w:rFonts w:ascii="Verdana" w:hAnsi="Verdana"/>
          <w:b/>
          <w:bCs/>
          <w:sz w:val="24"/>
          <w:szCs w:val="24"/>
          <w:lang w:val="en-US"/>
        </w:rPr>
        <w:t>Human Rights Act 1998</w:t>
      </w:r>
    </w:p>
    <w:p w:rsidR="00FA5218" w:rsidRDefault="00FA5218">
      <w:pPr>
        <w:pStyle w:val="BodyA"/>
        <w:spacing w:after="0" w:line="240" w:lineRule="auto"/>
      </w:pPr>
    </w:p>
    <w:p w:rsidR="00FA5218" w:rsidRDefault="00720B60">
      <w:pPr>
        <w:pStyle w:val="BodyA"/>
        <w:spacing w:after="0" w:line="240" w:lineRule="auto"/>
      </w:pPr>
      <w:r>
        <w:rPr>
          <w:rFonts w:ascii="Verdana" w:hAnsi="Verdana"/>
          <w:b/>
          <w:bCs/>
          <w:sz w:val="24"/>
          <w:szCs w:val="24"/>
          <w:lang w:val="en-US"/>
        </w:rPr>
        <w:t xml:space="preserve">The Committee may wish to recommend that any legislation introduced to replace the Human Rights Act 1998, were such legislation to be passed, should be aimed at building on existing human rights, </w:t>
      </w:r>
      <w:proofErr w:type="spellStart"/>
      <w:r>
        <w:rPr>
          <w:rFonts w:ascii="Verdana" w:hAnsi="Verdana"/>
          <w:b/>
          <w:bCs/>
          <w:sz w:val="24"/>
          <w:szCs w:val="24"/>
          <w:lang w:val="en-US"/>
        </w:rPr>
        <w:t>recognise</w:t>
      </w:r>
      <w:proofErr w:type="spellEnd"/>
      <w:r>
        <w:rPr>
          <w:rFonts w:ascii="Verdana" w:hAnsi="Verdana"/>
          <w:b/>
          <w:bCs/>
          <w:sz w:val="24"/>
          <w:szCs w:val="24"/>
          <w:lang w:val="en-US"/>
        </w:rPr>
        <w:t xml:space="preserve"> the standing of the Belfast (Good Friday) Agreement as an international treaty and provide effective protection of those rights across all jurisdictions and further recommend that the process of adoption should ensure the full and effective participation of children.</w:t>
      </w:r>
    </w:p>
    <w:p w:rsidR="00FA5218" w:rsidRDefault="00FA5218">
      <w:pPr>
        <w:pStyle w:val="BodyA"/>
        <w:spacing w:after="0" w:line="240" w:lineRule="auto"/>
      </w:pPr>
    </w:p>
    <w:p w:rsidR="00FA5218" w:rsidRDefault="00720B60">
      <w:pPr>
        <w:pStyle w:val="BodyA"/>
        <w:spacing w:after="0" w:line="240" w:lineRule="auto"/>
      </w:pPr>
      <w:r>
        <w:rPr>
          <w:rFonts w:ascii="Verdana" w:hAnsi="Verdana"/>
          <w:b/>
          <w:bCs/>
          <w:sz w:val="24"/>
          <w:szCs w:val="24"/>
          <w:lang w:val="en-US"/>
        </w:rPr>
        <w:t xml:space="preserve">Bill of Rights for NI </w:t>
      </w:r>
    </w:p>
    <w:p w:rsidR="00FA5218" w:rsidRDefault="00FA5218">
      <w:pPr>
        <w:pStyle w:val="BodyA"/>
        <w:spacing w:after="0" w:line="240" w:lineRule="auto"/>
      </w:pPr>
    </w:p>
    <w:p w:rsidR="00FA5218" w:rsidRDefault="00720B60">
      <w:pPr>
        <w:pStyle w:val="BodyA"/>
        <w:spacing w:after="0" w:line="240" w:lineRule="auto"/>
      </w:pPr>
      <w:r>
        <w:rPr>
          <w:rFonts w:ascii="Verdana" w:hAnsi="Verdana"/>
          <w:b/>
          <w:bCs/>
          <w:sz w:val="24"/>
          <w:szCs w:val="24"/>
          <w:lang w:val="en-US"/>
        </w:rPr>
        <w:t xml:space="preserve">The Committee may wish to seek an update from the State Party on measures it has taken to progress the adoption of a Bill of Rights for Northern Ireland. </w:t>
      </w:r>
    </w:p>
    <w:p w:rsidR="00FA5218" w:rsidRDefault="00FA5218">
      <w:pPr>
        <w:pStyle w:val="BodyA"/>
        <w:spacing w:after="0" w:line="240" w:lineRule="auto"/>
      </w:pPr>
    </w:p>
    <w:p w:rsidR="00FA5218" w:rsidRDefault="00720B60">
      <w:pPr>
        <w:pStyle w:val="BodyA"/>
        <w:spacing w:after="0" w:line="240" w:lineRule="auto"/>
      </w:pPr>
      <w:r>
        <w:rPr>
          <w:rFonts w:ascii="Verdana" w:hAnsi="Verdana"/>
          <w:b/>
          <w:bCs/>
          <w:sz w:val="24"/>
          <w:szCs w:val="24"/>
          <w:lang w:val="en-US"/>
        </w:rPr>
        <w:t>Legislative Framework</w:t>
      </w:r>
    </w:p>
    <w:p w:rsidR="00FA5218" w:rsidRDefault="00FA5218">
      <w:pPr>
        <w:pStyle w:val="BodyA"/>
        <w:spacing w:after="0" w:line="240" w:lineRule="auto"/>
      </w:pPr>
    </w:p>
    <w:p w:rsidR="00FA5218" w:rsidRDefault="00720B60">
      <w:pPr>
        <w:pStyle w:val="BodyA"/>
        <w:spacing w:after="0" w:line="240" w:lineRule="auto"/>
      </w:pPr>
      <w:r>
        <w:rPr>
          <w:rFonts w:ascii="Verdana" w:hAnsi="Verdana"/>
          <w:b/>
          <w:bCs/>
          <w:sz w:val="24"/>
          <w:szCs w:val="24"/>
        </w:rPr>
        <w:t xml:space="preserve">The Commission invites the </w:t>
      </w:r>
      <w:proofErr w:type="spellStart"/>
      <w:r>
        <w:rPr>
          <w:rFonts w:ascii="Verdana" w:hAnsi="Verdana"/>
          <w:b/>
          <w:bCs/>
          <w:sz w:val="24"/>
          <w:szCs w:val="24"/>
        </w:rPr>
        <w:t>Committee</w:t>
      </w:r>
      <w:proofErr w:type="spellEnd"/>
      <w:r>
        <w:rPr>
          <w:rFonts w:ascii="Verdana" w:hAnsi="Verdana"/>
          <w:b/>
          <w:bCs/>
          <w:sz w:val="24"/>
          <w:szCs w:val="24"/>
        </w:rPr>
        <w:t xml:space="preserve"> to </w:t>
      </w:r>
      <w:proofErr w:type="spellStart"/>
      <w:r>
        <w:rPr>
          <w:rFonts w:ascii="Verdana" w:hAnsi="Verdana"/>
          <w:b/>
          <w:bCs/>
          <w:sz w:val="24"/>
          <w:szCs w:val="24"/>
        </w:rPr>
        <w:t>recommend</w:t>
      </w:r>
      <w:proofErr w:type="spellEnd"/>
      <w:r>
        <w:rPr>
          <w:rFonts w:ascii="Verdana" w:hAnsi="Verdana"/>
          <w:b/>
          <w:bCs/>
          <w:sz w:val="24"/>
          <w:szCs w:val="24"/>
        </w:rPr>
        <w:t xml:space="preserve"> </w:t>
      </w:r>
      <w:proofErr w:type="spellStart"/>
      <w:r>
        <w:rPr>
          <w:rFonts w:ascii="Verdana" w:hAnsi="Verdana"/>
          <w:b/>
          <w:bCs/>
          <w:sz w:val="24"/>
          <w:szCs w:val="24"/>
        </w:rPr>
        <w:t>that</w:t>
      </w:r>
      <w:proofErr w:type="spellEnd"/>
      <w:r>
        <w:rPr>
          <w:rFonts w:ascii="Verdana" w:hAnsi="Verdana"/>
          <w:b/>
          <w:bCs/>
          <w:sz w:val="24"/>
          <w:szCs w:val="24"/>
        </w:rPr>
        <w:t xml:space="preserve"> the State Party, </w:t>
      </w:r>
      <w:proofErr w:type="spellStart"/>
      <w:r>
        <w:rPr>
          <w:rFonts w:ascii="Verdana" w:hAnsi="Verdana"/>
          <w:b/>
          <w:bCs/>
          <w:sz w:val="24"/>
          <w:szCs w:val="24"/>
        </w:rPr>
        <w:t>principally</w:t>
      </w:r>
      <w:proofErr w:type="spellEnd"/>
      <w:r>
        <w:rPr>
          <w:rFonts w:ascii="Verdana" w:hAnsi="Verdana"/>
          <w:b/>
          <w:bCs/>
          <w:sz w:val="24"/>
          <w:szCs w:val="24"/>
        </w:rPr>
        <w:t xml:space="preserve"> the NI </w:t>
      </w:r>
      <w:proofErr w:type="spellStart"/>
      <w:r>
        <w:rPr>
          <w:rFonts w:ascii="Verdana" w:hAnsi="Verdana"/>
          <w:b/>
          <w:bCs/>
          <w:sz w:val="24"/>
          <w:szCs w:val="24"/>
        </w:rPr>
        <w:t>Executive</w:t>
      </w:r>
      <w:proofErr w:type="spellEnd"/>
      <w:r>
        <w:rPr>
          <w:rFonts w:ascii="Verdana" w:hAnsi="Verdana"/>
          <w:b/>
          <w:bCs/>
          <w:sz w:val="24"/>
          <w:szCs w:val="24"/>
        </w:rPr>
        <w:t xml:space="preserve"> </w:t>
      </w:r>
      <w:r>
        <w:rPr>
          <w:rFonts w:ascii="Verdana" w:hAnsi="Verdana"/>
          <w:b/>
          <w:bCs/>
          <w:sz w:val="24"/>
          <w:szCs w:val="24"/>
          <w:lang w:val="en-US"/>
        </w:rPr>
        <w:t xml:space="preserve">ensure that the Children (NI) Order 1995 is reviewed and, in the interim, ensure that its related guidance are up to date and in compliance with international human rights obligations, including the UNCRC and that appropriate reforms are introduced to ensure a child’s right to be heard and to participate meaningfully throughout the care and legal systems is </w:t>
      </w:r>
      <w:proofErr w:type="spellStart"/>
      <w:r>
        <w:rPr>
          <w:rFonts w:ascii="Verdana" w:hAnsi="Verdana"/>
          <w:b/>
          <w:bCs/>
          <w:sz w:val="24"/>
          <w:szCs w:val="24"/>
          <w:lang w:val="en-US"/>
        </w:rPr>
        <w:t>realised</w:t>
      </w:r>
      <w:proofErr w:type="spellEnd"/>
      <w:r>
        <w:rPr>
          <w:rFonts w:ascii="Verdana" w:hAnsi="Verdana"/>
          <w:b/>
          <w:bCs/>
          <w:sz w:val="24"/>
          <w:szCs w:val="24"/>
          <w:lang w:val="en-US"/>
        </w:rPr>
        <w:t>.</w:t>
      </w:r>
    </w:p>
    <w:p w:rsidR="00FA5218" w:rsidRDefault="00FA5218">
      <w:pPr>
        <w:pStyle w:val="BodyA"/>
        <w:spacing w:after="0" w:line="240" w:lineRule="auto"/>
      </w:pPr>
    </w:p>
    <w:p w:rsidR="00FA5218" w:rsidRDefault="00720B60">
      <w:pPr>
        <w:pStyle w:val="BodyA"/>
        <w:spacing w:after="0" w:line="240" w:lineRule="auto"/>
      </w:pPr>
      <w:r>
        <w:rPr>
          <w:rFonts w:ascii="Verdana" w:hAnsi="Verdana"/>
          <w:b/>
          <w:bCs/>
          <w:sz w:val="24"/>
          <w:szCs w:val="24"/>
        </w:rPr>
        <w:t xml:space="preserve">The Commission invites the </w:t>
      </w:r>
      <w:proofErr w:type="spellStart"/>
      <w:r>
        <w:rPr>
          <w:rFonts w:ascii="Verdana" w:hAnsi="Verdana"/>
          <w:b/>
          <w:bCs/>
          <w:sz w:val="24"/>
          <w:szCs w:val="24"/>
        </w:rPr>
        <w:t>Committee</w:t>
      </w:r>
      <w:proofErr w:type="spellEnd"/>
      <w:r>
        <w:rPr>
          <w:rFonts w:ascii="Verdana" w:hAnsi="Verdana"/>
          <w:b/>
          <w:bCs/>
          <w:sz w:val="24"/>
          <w:szCs w:val="24"/>
        </w:rPr>
        <w:t xml:space="preserve"> to </w:t>
      </w:r>
      <w:proofErr w:type="spellStart"/>
      <w:r>
        <w:rPr>
          <w:rFonts w:ascii="Verdana" w:hAnsi="Verdana"/>
          <w:b/>
          <w:bCs/>
          <w:sz w:val="24"/>
          <w:szCs w:val="24"/>
        </w:rPr>
        <w:t>recommend</w:t>
      </w:r>
      <w:proofErr w:type="spellEnd"/>
      <w:r>
        <w:rPr>
          <w:rFonts w:ascii="Verdana" w:hAnsi="Verdana"/>
          <w:b/>
          <w:bCs/>
          <w:sz w:val="24"/>
          <w:szCs w:val="24"/>
        </w:rPr>
        <w:t xml:space="preserve"> </w:t>
      </w:r>
      <w:proofErr w:type="spellStart"/>
      <w:r>
        <w:rPr>
          <w:rFonts w:ascii="Verdana" w:hAnsi="Verdana"/>
          <w:b/>
          <w:bCs/>
          <w:sz w:val="24"/>
          <w:szCs w:val="24"/>
        </w:rPr>
        <w:t>that</w:t>
      </w:r>
      <w:proofErr w:type="spellEnd"/>
      <w:r>
        <w:rPr>
          <w:rFonts w:ascii="Verdana" w:hAnsi="Verdana"/>
          <w:b/>
          <w:bCs/>
          <w:sz w:val="24"/>
          <w:szCs w:val="24"/>
        </w:rPr>
        <w:t xml:space="preserve"> the State Party, in </w:t>
      </w:r>
      <w:proofErr w:type="spellStart"/>
      <w:r>
        <w:rPr>
          <w:rFonts w:ascii="Verdana" w:hAnsi="Verdana"/>
          <w:b/>
          <w:bCs/>
          <w:sz w:val="24"/>
          <w:szCs w:val="24"/>
        </w:rPr>
        <w:t>particular</w:t>
      </w:r>
      <w:proofErr w:type="spellEnd"/>
      <w:r>
        <w:rPr>
          <w:rFonts w:ascii="Verdana" w:hAnsi="Verdana"/>
          <w:b/>
          <w:bCs/>
          <w:sz w:val="24"/>
          <w:szCs w:val="24"/>
        </w:rPr>
        <w:t xml:space="preserve"> the NI </w:t>
      </w:r>
      <w:proofErr w:type="spellStart"/>
      <w:r>
        <w:rPr>
          <w:rFonts w:ascii="Verdana" w:hAnsi="Verdana"/>
          <w:b/>
          <w:bCs/>
          <w:sz w:val="24"/>
          <w:szCs w:val="24"/>
        </w:rPr>
        <w:t>Executive</w:t>
      </w:r>
      <w:proofErr w:type="spellEnd"/>
      <w:r>
        <w:rPr>
          <w:rFonts w:ascii="Verdana" w:hAnsi="Verdana"/>
          <w:b/>
          <w:bCs/>
          <w:sz w:val="24"/>
          <w:szCs w:val="24"/>
        </w:rPr>
        <w:t xml:space="preserve">, carry out a </w:t>
      </w:r>
      <w:proofErr w:type="spellStart"/>
      <w:r>
        <w:rPr>
          <w:rFonts w:ascii="Verdana" w:hAnsi="Verdana"/>
          <w:b/>
          <w:bCs/>
          <w:sz w:val="24"/>
          <w:szCs w:val="24"/>
        </w:rPr>
        <w:t>review</w:t>
      </w:r>
      <w:proofErr w:type="spellEnd"/>
      <w:r>
        <w:rPr>
          <w:rFonts w:ascii="Verdana" w:hAnsi="Verdana"/>
          <w:b/>
          <w:bCs/>
          <w:sz w:val="24"/>
          <w:szCs w:val="24"/>
        </w:rPr>
        <w:t xml:space="preserve"> of the </w:t>
      </w:r>
      <w:proofErr w:type="spellStart"/>
      <w:r>
        <w:rPr>
          <w:rFonts w:ascii="Verdana" w:hAnsi="Verdana"/>
          <w:b/>
          <w:bCs/>
          <w:sz w:val="24"/>
          <w:szCs w:val="24"/>
        </w:rPr>
        <w:t>legal</w:t>
      </w:r>
      <w:proofErr w:type="spellEnd"/>
      <w:r>
        <w:rPr>
          <w:rFonts w:ascii="Verdana" w:hAnsi="Verdana"/>
          <w:b/>
          <w:bCs/>
          <w:sz w:val="24"/>
          <w:szCs w:val="24"/>
        </w:rPr>
        <w:t xml:space="preserve"> </w:t>
      </w:r>
      <w:proofErr w:type="spellStart"/>
      <w:r>
        <w:rPr>
          <w:rFonts w:ascii="Verdana" w:hAnsi="Verdana"/>
          <w:b/>
          <w:bCs/>
          <w:sz w:val="24"/>
          <w:szCs w:val="24"/>
        </w:rPr>
        <w:t>framework</w:t>
      </w:r>
      <w:proofErr w:type="spellEnd"/>
      <w:r>
        <w:rPr>
          <w:rFonts w:ascii="Verdana" w:hAnsi="Verdana"/>
          <w:b/>
          <w:bCs/>
          <w:sz w:val="24"/>
          <w:szCs w:val="24"/>
        </w:rPr>
        <w:t xml:space="preserve"> in </w:t>
      </w:r>
      <w:proofErr w:type="spellStart"/>
      <w:r>
        <w:rPr>
          <w:rFonts w:ascii="Verdana" w:hAnsi="Verdana"/>
          <w:b/>
          <w:bCs/>
          <w:sz w:val="24"/>
          <w:szCs w:val="24"/>
        </w:rPr>
        <w:t>Northern</w:t>
      </w:r>
      <w:proofErr w:type="spellEnd"/>
      <w:r>
        <w:rPr>
          <w:rFonts w:ascii="Verdana" w:hAnsi="Verdana"/>
          <w:b/>
          <w:bCs/>
          <w:sz w:val="24"/>
          <w:szCs w:val="24"/>
        </w:rPr>
        <w:t xml:space="preserve"> Ireland </w:t>
      </w:r>
      <w:proofErr w:type="spellStart"/>
      <w:r>
        <w:rPr>
          <w:rFonts w:ascii="Verdana" w:hAnsi="Verdana"/>
          <w:b/>
          <w:bCs/>
          <w:sz w:val="24"/>
          <w:szCs w:val="24"/>
        </w:rPr>
        <w:t>governing</w:t>
      </w:r>
      <w:proofErr w:type="spellEnd"/>
      <w:r>
        <w:rPr>
          <w:rFonts w:ascii="Verdana" w:hAnsi="Verdana"/>
          <w:b/>
          <w:bCs/>
          <w:sz w:val="24"/>
          <w:szCs w:val="24"/>
        </w:rPr>
        <w:t xml:space="preserve"> the </w:t>
      </w:r>
      <w:proofErr w:type="spellStart"/>
      <w:r>
        <w:rPr>
          <w:rFonts w:ascii="Verdana" w:hAnsi="Verdana"/>
          <w:b/>
          <w:bCs/>
          <w:sz w:val="24"/>
          <w:szCs w:val="24"/>
        </w:rPr>
        <w:t>capacity</w:t>
      </w:r>
      <w:proofErr w:type="spellEnd"/>
      <w:r>
        <w:rPr>
          <w:rFonts w:ascii="Verdana" w:hAnsi="Verdana"/>
          <w:b/>
          <w:bCs/>
          <w:sz w:val="24"/>
          <w:szCs w:val="24"/>
        </w:rPr>
        <w:t xml:space="preserve"> of </w:t>
      </w:r>
      <w:proofErr w:type="spellStart"/>
      <w:r>
        <w:rPr>
          <w:rFonts w:ascii="Verdana" w:hAnsi="Verdana"/>
          <w:b/>
          <w:bCs/>
          <w:sz w:val="24"/>
          <w:szCs w:val="24"/>
        </w:rPr>
        <w:t>children</w:t>
      </w:r>
      <w:proofErr w:type="spellEnd"/>
      <w:r>
        <w:rPr>
          <w:rFonts w:ascii="Verdana" w:hAnsi="Verdana"/>
          <w:b/>
          <w:bCs/>
          <w:sz w:val="24"/>
          <w:szCs w:val="24"/>
        </w:rPr>
        <w:t xml:space="preserve"> to </w:t>
      </w:r>
      <w:proofErr w:type="spellStart"/>
      <w:r>
        <w:rPr>
          <w:rFonts w:ascii="Verdana" w:hAnsi="Verdana"/>
          <w:b/>
          <w:bCs/>
          <w:sz w:val="24"/>
          <w:szCs w:val="24"/>
        </w:rPr>
        <w:t>ensure</w:t>
      </w:r>
      <w:proofErr w:type="spellEnd"/>
      <w:r>
        <w:rPr>
          <w:rFonts w:ascii="Verdana" w:hAnsi="Verdana"/>
          <w:b/>
          <w:bCs/>
          <w:sz w:val="24"/>
          <w:szCs w:val="24"/>
        </w:rPr>
        <w:t xml:space="preserve"> full respect </w:t>
      </w:r>
      <w:proofErr w:type="spellStart"/>
      <w:r>
        <w:rPr>
          <w:rFonts w:ascii="Verdana" w:hAnsi="Verdana"/>
          <w:b/>
          <w:bCs/>
          <w:sz w:val="24"/>
          <w:szCs w:val="24"/>
        </w:rPr>
        <w:t>is</w:t>
      </w:r>
      <w:proofErr w:type="spellEnd"/>
      <w:r>
        <w:rPr>
          <w:rFonts w:ascii="Verdana" w:hAnsi="Verdana"/>
          <w:b/>
          <w:bCs/>
          <w:sz w:val="24"/>
          <w:szCs w:val="24"/>
        </w:rPr>
        <w:t xml:space="preserve"> </w:t>
      </w:r>
      <w:proofErr w:type="spellStart"/>
      <w:r>
        <w:rPr>
          <w:rFonts w:ascii="Verdana" w:hAnsi="Verdana"/>
          <w:b/>
          <w:bCs/>
          <w:sz w:val="24"/>
          <w:szCs w:val="24"/>
        </w:rPr>
        <w:t>given</w:t>
      </w:r>
      <w:proofErr w:type="spellEnd"/>
      <w:r>
        <w:rPr>
          <w:rFonts w:ascii="Verdana" w:hAnsi="Verdana"/>
          <w:b/>
          <w:bCs/>
          <w:sz w:val="24"/>
          <w:szCs w:val="24"/>
        </w:rPr>
        <w:t xml:space="preserve"> to the </w:t>
      </w:r>
      <w:proofErr w:type="spellStart"/>
      <w:r>
        <w:rPr>
          <w:rFonts w:ascii="Verdana" w:hAnsi="Verdana"/>
          <w:b/>
          <w:bCs/>
          <w:sz w:val="24"/>
          <w:szCs w:val="24"/>
        </w:rPr>
        <w:t>emerging</w:t>
      </w:r>
      <w:proofErr w:type="spellEnd"/>
      <w:r>
        <w:rPr>
          <w:rFonts w:ascii="Verdana" w:hAnsi="Verdana"/>
          <w:b/>
          <w:bCs/>
          <w:sz w:val="24"/>
          <w:szCs w:val="24"/>
        </w:rPr>
        <w:t xml:space="preserve"> </w:t>
      </w:r>
      <w:proofErr w:type="spellStart"/>
      <w:r>
        <w:rPr>
          <w:rFonts w:ascii="Verdana" w:hAnsi="Verdana"/>
          <w:b/>
          <w:bCs/>
          <w:sz w:val="24"/>
          <w:szCs w:val="24"/>
        </w:rPr>
        <w:t>capacity</w:t>
      </w:r>
      <w:proofErr w:type="spellEnd"/>
      <w:r>
        <w:rPr>
          <w:rFonts w:ascii="Verdana" w:hAnsi="Verdana"/>
          <w:b/>
          <w:bCs/>
          <w:sz w:val="24"/>
          <w:szCs w:val="24"/>
        </w:rPr>
        <w:t xml:space="preserve"> of </w:t>
      </w:r>
      <w:proofErr w:type="spellStart"/>
      <w:r>
        <w:rPr>
          <w:rFonts w:ascii="Verdana" w:hAnsi="Verdana"/>
          <w:b/>
          <w:bCs/>
          <w:sz w:val="24"/>
          <w:szCs w:val="24"/>
        </w:rPr>
        <w:t>children</w:t>
      </w:r>
      <w:proofErr w:type="spellEnd"/>
    </w:p>
    <w:p w:rsidR="00FA5218" w:rsidRDefault="00FA5218">
      <w:pPr>
        <w:pStyle w:val="BodyA"/>
        <w:spacing w:after="0" w:line="240" w:lineRule="auto"/>
      </w:pPr>
    </w:p>
    <w:p w:rsidR="00FA5218" w:rsidRDefault="00720B60">
      <w:pPr>
        <w:pStyle w:val="BodyA"/>
        <w:spacing w:after="0" w:line="240" w:lineRule="auto"/>
      </w:pPr>
      <w:r>
        <w:rPr>
          <w:rFonts w:ascii="Verdana" w:hAnsi="Verdana"/>
          <w:b/>
          <w:bCs/>
          <w:sz w:val="24"/>
          <w:szCs w:val="24"/>
          <w:lang w:val="en-US"/>
        </w:rPr>
        <w:t>Policy Framework</w:t>
      </w:r>
    </w:p>
    <w:p w:rsidR="00FA5218" w:rsidRDefault="00FA5218">
      <w:pPr>
        <w:pStyle w:val="BodyA"/>
        <w:spacing w:after="0" w:line="240" w:lineRule="auto"/>
      </w:pPr>
    </w:p>
    <w:p w:rsidR="00FA5218" w:rsidRDefault="00720B60">
      <w:pPr>
        <w:pStyle w:val="BodyA"/>
        <w:spacing w:after="0" w:line="240" w:lineRule="auto"/>
      </w:pPr>
      <w:r>
        <w:rPr>
          <w:rFonts w:ascii="Verdana" w:hAnsi="Verdana"/>
          <w:b/>
          <w:bCs/>
          <w:sz w:val="24"/>
          <w:szCs w:val="24"/>
          <w:lang w:val="en-US"/>
        </w:rPr>
        <w:t>The Committee may wish to recommend that the State Party ensures that the current NI Strategy for Children and Young People is replaced with a robust child strategy which includes an action plan including the elaboration of indicators and objectives based on the Convention and making provision for independent monitoring. Furthermore the development of the strategy should include meaningful engagement with children and young people, in line with the right to be heard.</w:t>
      </w:r>
    </w:p>
    <w:p w:rsidR="00FA5218" w:rsidRDefault="00FA5218">
      <w:pPr>
        <w:pStyle w:val="BodyA"/>
        <w:spacing w:after="0" w:line="240" w:lineRule="auto"/>
      </w:pPr>
    </w:p>
    <w:p w:rsidR="00FA5218" w:rsidRDefault="00720B60">
      <w:pPr>
        <w:pStyle w:val="BodyA"/>
        <w:spacing w:after="0" w:line="240" w:lineRule="auto"/>
      </w:pPr>
      <w:r>
        <w:rPr>
          <w:rFonts w:ascii="Verdana" w:hAnsi="Verdana"/>
          <w:b/>
          <w:bCs/>
          <w:sz w:val="24"/>
          <w:szCs w:val="24"/>
          <w:lang w:val="en-US"/>
        </w:rPr>
        <w:t>Abuse and neglect</w:t>
      </w:r>
    </w:p>
    <w:p w:rsidR="00FA5218" w:rsidRDefault="00FA5218">
      <w:pPr>
        <w:pStyle w:val="BodyA"/>
        <w:spacing w:after="0" w:line="240" w:lineRule="auto"/>
      </w:pPr>
    </w:p>
    <w:p w:rsidR="00FA5218" w:rsidRDefault="00720B60">
      <w:pPr>
        <w:pStyle w:val="BodyA"/>
        <w:spacing w:after="0" w:line="240" w:lineRule="auto"/>
      </w:pPr>
      <w:r>
        <w:rPr>
          <w:rFonts w:ascii="Verdana" w:hAnsi="Verdana"/>
          <w:b/>
          <w:bCs/>
          <w:sz w:val="24"/>
          <w:szCs w:val="24"/>
          <w:lang w:val="en-US"/>
        </w:rPr>
        <w:t>The Committee may wish to recommend that the State Party ensure the legal framework protecting children from sexual exploitation is fully in compliance with the UN CRC and its Optional Protocol and specifically that the burden of proof under Sexual Offences (Northern Ireland) Order 2008 should be reversed in appropriate circumstances to safeguard child victims.</w:t>
      </w:r>
      <w:r>
        <w:rPr>
          <w:rFonts w:ascii="Verdana" w:hAnsi="Verdana"/>
          <w:sz w:val="24"/>
          <w:szCs w:val="24"/>
          <w:lang w:val="en-US"/>
        </w:rPr>
        <w:t xml:space="preserve"> </w:t>
      </w:r>
    </w:p>
    <w:p w:rsidR="00FA5218" w:rsidRDefault="00FA5218">
      <w:pPr>
        <w:pStyle w:val="BodyA"/>
        <w:spacing w:after="0" w:line="240" w:lineRule="auto"/>
      </w:pPr>
    </w:p>
    <w:p w:rsidR="00FA5218" w:rsidRDefault="00720B60">
      <w:pPr>
        <w:pStyle w:val="BodyA"/>
        <w:spacing w:after="0" w:line="240" w:lineRule="auto"/>
      </w:pPr>
      <w:r>
        <w:rPr>
          <w:rFonts w:ascii="Verdana" w:hAnsi="Verdana"/>
          <w:b/>
          <w:bCs/>
          <w:sz w:val="24"/>
          <w:szCs w:val="24"/>
          <w:lang w:val="en-US"/>
        </w:rPr>
        <w:t xml:space="preserve">Corporal punishment </w:t>
      </w:r>
    </w:p>
    <w:p w:rsidR="00FA5218" w:rsidRDefault="00FA5218">
      <w:pPr>
        <w:pStyle w:val="BodyA"/>
        <w:spacing w:after="0" w:line="240" w:lineRule="auto"/>
      </w:pPr>
    </w:p>
    <w:p w:rsidR="00FA5218" w:rsidRDefault="00720B60">
      <w:pPr>
        <w:pStyle w:val="BodyA"/>
        <w:spacing w:after="0" w:line="240" w:lineRule="auto"/>
      </w:pPr>
      <w:r>
        <w:rPr>
          <w:rFonts w:ascii="Verdana" w:hAnsi="Verdana"/>
          <w:b/>
          <w:bCs/>
          <w:sz w:val="24"/>
          <w:szCs w:val="24"/>
          <w:lang w:val="en-US"/>
        </w:rPr>
        <w:t xml:space="preserve">The Committee may wish to recommend that the State Party amend the Law Reform (Miscellaneous Provisions) (NI) Order 2006 to abolish the </w:t>
      </w:r>
      <w:proofErr w:type="spellStart"/>
      <w:r>
        <w:rPr>
          <w:rFonts w:ascii="Verdana" w:hAnsi="Verdana"/>
          <w:b/>
          <w:bCs/>
          <w:sz w:val="24"/>
          <w:szCs w:val="24"/>
          <w:lang w:val="en-US"/>
        </w:rPr>
        <w:t>defence</w:t>
      </w:r>
      <w:proofErr w:type="spellEnd"/>
      <w:r>
        <w:rPr>
          <w:rFonts w:ascii="Verdana" w:hAnsi="Verdana"/>
          <w:b/>
          <w:bCs/>
          <w:sz w:val="24"/>
          <w:szCs w:val="24"/>
          <w:lang w:val="en-US"/>
        </w:rPr>
        <w:t xml:space="preserve"> of reasonable chastisement of a child to a charge of common assault and further promote positive non-violent forms of discipline via public campaigns as an alternative to corporal punishment. </w:t>
      </w:r>
    </w:p>
    <w:p w:rsidR="00FA5218" w:rsidRDefault="00FA5218">
      <w:pPr>
        <w:pStyle w:val="BodyA"/>
        <w:spacing w:after="0" w:line="240" w:lineRule="auto"/>
      </w:pPr>
    </w:p>
    <w:p w:rsidR="00FA5218" w:rsidRDefault="00720B60">
      <w:pPr>
        <w:pStyle w:val="BodyA"/>
        <w:spacing w:after="0" w:line="240" w:lineRule="auto"/>
      </w:pPr>
      <w:r>
        <w:rPr>
          <w:rFonts w:ascii="Verdana" w:hAnsi="Verdana"/>
          <w:b/>
          <w:bCs/>
          <w:sz w:val="24"/>
          <w:szCs w:val="24"/>
          <w:lang w:val="en-US"/>
        </w:rPr>
        <w:t>Child, Early and Forced Marriage</w:t>
      </w:r>
    </w:p>
    <w:p w:rsidR="00FA5218" w:rsidRDefault="00FA5218">
      <w:pPr>
        <w:pStyle w:val="BodyA"/>
        <w:spacing w:after="0" w:line="240" w:lineRule="auto"/>
      </w:pPr>
    </w:p>
    <w:p w:rsidR="00FA5218" w:rsidRDefault="00720B60">
      <w:pPr>
        <w:pStyle w:val="BodyA"/>
        <w:spacing w:after="0" w:line="240" w:lineRule="auto"/>
      </w:pPr>
      <w:r>
        <w:rPr>
          <w:rFonts w:ascii="Verdana" w:hAnsi="Verdana"/>
          <w:b/>
          <w:bCs/>
          <w:sz w:val="24"/>
          <w:szCs w:val="24"/>
          <w:lang w:val="en-US"/>
        </w:rPr>
        <w:t>The Committee may wish to recommend that the State Party take immediate efforts to repeal all legal provisions permitting the marriage of children in Northern Ireland, in line with the Committee’</w:t>
      </w:r>
      <w:r>
        <w:rPr>
          <w:rFonts w:ascii="Verdana" w:hAnsi="Verdana"/>
          <w:b/>
          <w:bCs/>
          <w:sz w:val="24"/>
          <w:szCs w:val="24"/>
          <w:lang w:val="it-IT"/>
        </w:rPr>
        <w:t xml:space="preserve">s General Comment.  </w:t>
      </w:r>
    </w:p>
    <w:p w:rsidR="00FA5218" w:rsidRDefault="00FA5218">
      <w:pPr>
        <w:pStyle w:val="BodyA"/>
        <w:spacing w:after="0" w:line="240" w:lineRule="auto"/>
      </w:pPr>
    </w:p>
    <w:p w:rsidR="00FA5218" w:rsidRDefault="00720B60">
      <w:pPr>
        <w:pStyle w:val="BodyA"/>
        <w:spacing w:after="0" w:line="240" w:lineRule="auto"/>
      </w:pPr>
      <w:proofErr w:type="spellStart"/>
      <w:r>
        <w:rPr>
          <w:rFonts w:ascii="Verdana" w:hAnsi="Verdana"/>
          <w:b/>
          <w:bCs/>
        </w:rPr>
        <w:t>Female</w:t>
      </w:r>
      <w:proofErr w:type="spellEnd"/>
      <w:r>
        <w:rPr>
          <w:rFonts w:ascii="Verdana" w:hAnsi="Verdana"/>
          <w:b/>
          <w:bCs/>
        </w:rPr>
        <w:t xml:space="preserve"> </w:t>
      </w:r>
      <w:proofErr w:type="spellStart"/>
      <w:r>
        <w:rPr>
          <w:rFonts w:ascii="Verdana" w:hAnsi="Verdana"/>
          <w:b/>
          <w:bCs/>
        </w:rPr>
        <w:t>Genital</w:t>
      </w:r>
      <w:proofErr w:type="spellEnd"/>
      <w:r>
        <w:rPr>
          <w:rFonts w:ascii="Verdana" w:hAnsi="Verdana"/>
          <w:b/>
          <w:bCs/>
        </w:rPr>
        <w:t xml:space="preserve"> Mutilation</w:t>
      </w:r>
    </w:p>
    <w:p w:rsidR="00FA5218" w:rsidRDefault="00FA5218">
      <w:pPr>
        <w:pStyle w:val="BodyA"/>
        <w:spacing w:after="0" w:line="240" w:lineRule="auto"/>
      </w:pPr>
    </w:p>
    <w:p w:rsidR="00FA5218" w:rsidRDefault="00720B60">
      <w:pPr>
        <w:pStyle w:val="BodyA"/>
        <w:spacing w:after="0" w:line="240" w:lineRule="auto"/>
      </w:pPr>
      <w:r>
        <w:rPr>
          <w:rFonts w:ascii="Verdana" w:hAnsi="Verdana"/>
          <w:b/>
          <w:bCs/>
        </w:rPr>
        <w:t xml:space="preserve">The </w:t>
      </w:r>
      <w:proofErr w:type="spellStart"/>
      <w:r>
        <w:rPr>
          <w:rFonts w:ascii="Verdana" w:hAnsi="Verdana"/>
          <w:b/>
          <w:bCs/>
        </w:rPr>
        <w:t>Committee</w:t>
      </w:r>
      <w:proofErr w:type="spellEnd"/>
      <w:r>
        <w:rPr>
          <w:rFonts w:ascii="Verdana" w:hAnsi="Verdana"/>
          <w:b/>
          <w:bCs/>
        </w:rPr>
        <w:t xml:space="preserve"> </w:t>
      </w:r>
      <w:proofErr w:type="spellStart"/>
      <w:r>
        <w:rPr>
          <w:rFonts w:ascii="Verdana" w:hAnsi="Verdana"/>
          <w:b/>
          <w:bCs/>
        </w:rPr>
        <w:t>may</w:t>
      </w:r>
      <w:proofErr w:type="spellEnd"/>
      <w:r>
        <w:rPr>
          <w:rFonts w:ascii="Verdana" w:hAnsi="Verdana"/>
          <w:b/>
          <w:bCs/>
        </w:rPr>
        <w:t xml:space="preserve"> </w:t>
      </w:r>
      <w:proofErr w:type="spellStart"/>
      <w:r>
        <w:rPr>
          <w:rFonts w:ascii="Verdana" w:hAnsi="Verdana"/>
          <w:b/>
          <w:bCs/>
        </w:rPr>
        <w:t>wish</w:t>
      </w:r>
      <w:proofErr w:type="spellEnd"/>
      <w:r>
        <w:rPr>
          <w:rFonts w:ascii="Verdana" w:hAnsi="Verdana"/>
          <w:b/>
          <w:bCs/>
        </w:rPr>
        <w:t xml:space="preserve"> to </w:t>
      </w:r>
      <w:proofErr w:type="spellStart"/>
      <w:r>
        <w:rPr>
          <w:rFonts w:ascii="Verdana" w:hAnsi="Verdana"/>
          <w:b/>
          <w:bCs/>
        </w:rPr>
        <w:t>recommend</w:t>
      </w:r>
      <w:proofErr w:type="spellEnd"/>
      <w:r>
        <w:rPr>
          <w:rFonts w:ascii="Verdana" w:hAnsi="Verdana"/>
          <w:b/>
          <w:bCs/>
        </w:rPr>
        <w:t xml:space="preserve"> to the State Party </w:t>
      </w:r>
      <w:proofErr w:type="spellStart"/>
      <w:r>
        <w:rPr>
          <w:rFonts w:ascii="Verdana" w:hAnsi="Verdana"/>
          <w:b/>
          <w:bCs/>
        </w:rPr>
        <w:t>that</w:t>
      </w:r>
      <w:proofErr w:type="spellEnd"/>
      <w:r>
        <w:rPr>
          <w:rFonts w:ascii="Verdana" w:hAnsi="Verdana"/>
          <w:b/>
          <w:bCs/>
        </w:rPr>
        <w:t xml:space="preserve"> </w:t>
      </w:r>
      <w:proofErr w:type="spellStart"/>
      <w:r>
        <w:rPr>
          <w:rFonts w:ascii="Verdana" w:hAnsi="Verdana"/>
          <w:b/>
          <w:bCs/>
        </w:rPr>
        <w:t>detailed</w:t>
      </w:r>
      <w:proofErr w:type="spellEnd"/>
      <w:r>
        <w:rPr>
          <w:rFonts w:ascii="Verdana" w:hAnsi="Verdana"/>
          <w:b/>
          <w:bCs/>
        </w:rPr>
        <w:t xml:space="preserve"> action plans are </w:t>
      </w:r>
      <w:proofErr w:type="spellStart"/>
      <w:r>
        <w:rPr>
          <w:rFonts w:ascii="Verdana" w:hAnsi="Verdana"/>
          <w:b/>
          <w:bCs/>
        </w:rPr>
        <w:t>developed</w:t>
      </w:r>
      <w:proofErr w:type="spellEnd"/>
      <w:r>
        <w:rPr>
          <w:rFonts w:ascii="Verdana" w:hAnsi="Verdana"/>
          <w:b/>
          <w:bCs/>
        </w:rPr>
        <w:t xml:space="preserve"> to combat </w:t>
      </w:r>
      <w:proofErr w:type="spellStart"/>
      <w:r>
        <w:rPr>
          <w:rFonts w:ascii="Verdana" w:hAnsi="Verdana"/>
          <w:b/>
          <w:bCs/>
        </w:rPr>
        <w:t>Female</w:t>
      </w:r>
      <w:proofErr w:type="spellEnd"/>
      <w:r>
        <w:rPr>
          <w:rFonts w:ascii="Verdana" w:hAnsi="Verdana"/>
          <w:b/>
          <w:bCs/>
        </w:rPr>
        <w:t xml:space="preserve"> </w:t>
      </w:r>
      <w:proofErr w:type="spellStart"/>
      <w:r>
        <w:rPr>
          <w:rFonts w:ascii="Verdana" w:hAnsi="Verdana"/>
          <w:b/>
          <w:bCs/>
        </w:rPr>
        <w:t>Genital</w:t>
      </w:r>
      <w:proofErr w:type="spellEnd"/>
      <w:r>
        <w:rPr>
          <w:rFonts w:ascii="Verdana" w:hAnsi="Verdana"/>
          <w:b/>
          <w:bCs/>
        </w:rPr>
        <w:t xml:space="preserve"> Mutilation to </w:t>
      </w:r>
      <w:proofErr w:type="spellStart"/>
      <w:r>
        <w:rPr>
          <w:rFonts w:ascii="Verdana" w:hAnsi="Verdana"/>
          <w:b/>
          <w:bCs/>
        </w:rPr>
        <w:t>include</w:t>
      </w:r>
      <w:proofErr w:type="spellEnd"/>
      <w:r>
        <w:rPr>
          <w:rFonts w:ascii="Verdana" w:hAnsi="Verdana"/>
          <w:b/>
          <w:bCs/>
        </w:rPr>
        <w:t xml:space="preserve">: training; </w:t>
      </w:r>
      <w:proofErr w:type="spellStart"/>
      <w:r>
        <w:rPr>
          <w:rFonts w:ascii="Verdana" w:hAnsi="Verdana"/>
          <w:b/>
          <w:bCs/>
        </w:rPr>
        <w:t>awareness</w:t>
      </w:r>
      <w:proofErr w:type="spellEnd"/>
      <w:r>
        <w:rPr>
          <w:rFonts w:ascii="Verdana" w:hAnsi="Verdana"/>
          <w:b/>
          <w:bCs/>
        </w:rPr>
        <w:t xml:space="preserve"> </w:t>
      </w:r>
      <w:proofErr w:type="spellStart"/>
      <w:r>
        <w:rPr>
          <w:rFonts w:ascii="Verdana" w:hAnsi="Verdana"/>
          <w:b/>
          <w:bCs/>
        </w:rPr>
        <w:t>raising</w:t>
      </w:r>
      <w:proofErr w:type="spellEnd"/>
      <w:r>
        <w:rPr>
          <w:rFonts w:ascii="Verdana" w:hAnsi="Verdana"/>
          <w:b/>
          <w:bCs/>
        </w:rPr>
        <w:t xml:space="preserve">; </w:t>
      </w:r>
      <w:proofErr w:type="spellStart"/>
      <w:r>
        <w:rPr>
          <w:rFonts w:ascii="Verdana" w:hAnsi="Verdana"/>
          <w:b/>
          <w:bCs/>
        </w:rPr>
        <w:t>research</w:t>
      </w:r>
      <w:proofErr w:type="spellEnd"/>
      <w:r>
        <w:rPr>
          <w:rFonts w:ascii="Verdana" w:hAnsi="Verdana"/>
          <w:b/>
          <w:bCs/>
        </w:rPr>
        <w:t xml:space="preserve"> </w:t>
      </w:r>
      <w:proofErr w:type="spellStart"/>
      <w:r>
        <w:rPr>
          <w:rFonts w:ascii="Verdana" w:hAnsi="Verdana"/>
          <w:b/>
          <w:bCs/>
        </w:rPr>
        <w:t>into</w:t>
      </w:r>
      <w:proofErr w:type="spellEnd"/>
      <w:r>
        <w:rPr>
          <w:rFonts w:ascii="Verdana" w:hAnsi="Verdana"/>
          <w:b/>
          <w:bCs/>
        </w:rPr>
        <w:t xml:space="preserve"> the </w:t>
      </w:r>
      <w:proofErr w:type="spellStart"/>
      <w:r>
        <w:rPr>
          <w:rFonts w:ascii="Verdana" w:hAnsi="Verdana"/>
          <w:b/>
          <w:bCs/>
        </w:rPr>
        <w:t>prevalence</w:t>
      </w:r>
      <w:proofErr w:type="spellEnd"/>
      <w:r>
        <w:rPr>
          <w:rFonts w:ascii="Verdana" w:hAnsi="Verdana"/>
          <w:b/>
          <w:bCs/>
        </w:rPr>
        <w:t xml:space="preserve"> of </w:t>
      </w:r>
      <w:proofErr w:type="spellStart"/>
      <w:r>
        <w:rPr>
          <w:rFonts w:ascii="Verdana" w:hAnsi="Verdana"/>
          <w:b/>
          <w:bCs/>
        </w:rPr>
        <w:t>Female</w:t>
      </w:r>
      <w:proofErr w:type="spellEnd"/>
      <w:r>
        <w:rPr>
          <w:rFonts w:ascii="Verdana" w:hAnsi="Verdana"/>
          <w:b/>
          <w:bCs/>
        </w:rPr>
        <w:t xml:space="preserve"> </w:t>
      </w:r>
      <w:proofErr w:type="spellStart"/>
      <w:r>
        <w:rPr>
          <w:rFonts w:ascii="Verdana" w:hAnsi="Verdana"/>
          <w:b/>
          <w:bCs/>
        </w:rPr>
        <w:t>Genital</w:t>
      </w:r>
      <w:proofErr w:type="spellEnd"/>
      <w:r>
        <w:rPr>
          <w:rFonts w:ascii="Verdana" w:hAnsi="Verdana"/>
          <w:b/>
          <w:bCs/>
        </w:rPr>
        <w:t xml:space="preserve"> Mutilation; </w:t>
      </w:r>
      <w:proofErr w:type="spellStart"/>
      <w:r>
        <w:rPr>
          <w:rFonts w:ascii="Verdana" w:hAnsi="Verdana"/>
          <w:b/>
          <w:bCs/>
        </w:rPr>
        <w:t>implementation</w:t>
      </w:r>
      <w:proofErr w:type="spellEnd"/>
      <w:r>
        <w:rPr>
          <w:rFonts w:ascii="Verdana" w:hAnsi="Verdana"/>
          <w:b/>
          <w:bCs/>
        </w:rPr>
        <w:t xml:space="preserve"> of </w:t>
      </w:r>
      <w:proofErr w:type="spellStart"/>
      <w:r>
        <w:rPr>
          <w:rFonts w:ascii="Verdana" w:hAnsi="Verdana"/>
          <w:b/>
          <w:bCs/>
        </w:rPr>
        <w:t>regional</w:t>
      </w:r>
      <w:proofErr w:type="spellEnd"/>
      <w:r>
        <w:rPr>
          <w:rFonts w:ascii="Verdana" w:hAnsi="Verdana"/>
          <w:b/>
          <w:bCs/>
        </w:rPr>
        <w:t xml:space="preserve"> guidance; care </w:t>
      </w:r>
      <w:proofErr w:type="spellStart"/>
      <w:r>
        <w:rPr>
          <w:rFonts w:ascii="Verdana" w:hAnsi="Verdana"/>
          <w:b/>
          <w:bCs/>
        </w:rPr>
        <w:t>pathways</w:t>
      </w:r>
      <w:proofErr w:type="spellEnd"/>
      <w:r>
        <w:rPr>
          <w:rFonts w:ascii="Verdana" w:hAnsi="Verdana"/>
          <w:b/>
          <w:bCs/>
        </w:rPr>
        <w:t xml:space="preserve">; and actions </w:t>
      </w:r>
      <w:proofErr w:type="spellStart"/>
      <w:r>
        <w:rPr>
          <w:rFonts w:ascii="Verdana" w:hAnsi="Verdana"/>
          <w:b/>
          <w:bCs/>
        </w:rPr>
        <w:t>which</w:t>
      </w:r>
      <w:proofErr w:type="spellEnd"/>
      <w:r>
        <w:rPr>
          <w:rFonts w:ascii="Verdana" w:hAnsi="Verdana"/>
          <w:b/>
          <w:bCs/>
        </w:rPr>
        <w:t xml:space="preserve"> </w:t>
      </w:r>
      <w:proofErr w:type="spellStart"/>
      <w:r>
        <w:rPr>
          <w:rFonts w:ascii="Verdana" w:hAnsi="Verdana"/>
          <w:b/>
          <w:bCs/>
        </w:rPr>
        <w:t>can</w:t>
      </w:r>
      <w:proofErr w:type="spellEnd"/>
      <w:r>
        <w:rPr>
          <w:rFonts w:ascii="Verdana" w:hAnsi="Verdana"/>
          <w:b/>
          <w:bCs/>
        </w:rPr>
        <w:t xml:space="preserve"> </w:t>
      </w:r>
      <w:proofErr w:type="spellStart"/>
      <w:r>
        <w:rPr>
          <w:rFonts w:ascii="Verdana" w:hAnsi="Verdana"/>
          <w:b/>
          <w:bCs/>
        </w:rPr>
        <w:t>be</w:t>
      </w:r>
      <w:proofErr w:type="spellEnd"/>
      <w:r>
        <w:rPr>
          <w:rFonts w:ascii="Verdana" w:hAnsi="Verdana"/>
          <w:b/>
          <w:bCs/>
        </w:rPr>
        <w:t xml:space="preserve"> </w:t>
      </w:r>
      <w:proofErr w:type="spellStart"/>
      <w:r>
        <w:rPr>
          <w:rFonts w:ascii="Verdana" w:hAnsi="Verdana"/>
          <w:b/>
          <w:bCs/>
        </w:rPr>
        <w:t>taken</w:t>
      </w:r>
      <w:proofErr w:type="spellEnd"/>
      <w:r>
        <w:rPr>
          <w:rFonts w:ascii="Verdana" w:hAnsi="Verdana"/>
          <w:b/>
          <w:bCs/>
        </w:rPr>
        <w:t xml:space="preserve"> to </w:t>
      </w:r>
      <w:proofErr w:type="spellStart"/>
      <w:r>
        <w:rPr>
          <w:rFonts w:ascii="Verdana" w:hAnsi="Verdana"/>
          <w:b/>
          <w:bCs/>
        </w:rPr>
        <w:t>identify</w:t>
      </w:r>
      <w:proofErr w:type="spellEnd"/>
      <w:r>
        <w:rPr>
          <w:rFonts w:ascii="Verdana" w:hAnsi="Verdana"/>
          <w:b/>
          <w:bCs/>
        </w:rPr>
        <w:t xml:space="preserve"> and </w:t>
      </w:r>
      <w:proofErr w:type="spellStart"/>
      <w:r>
        <w:rPr>
          <w:rFonts w:ascii="Verdana" w:hAnsi="Verdana"/>
          <w:b/>
          <w:bCs/>
        </w:rPr>
        <w:t>prosecute</w:t>
      </w:r>
      <w:proofErr w:type="spellEnd"/>
      <w:r>
        <w:rPr>
          <w:rFonts w:ascii="Verdana" w:hAnsi="Verdana"/>
          <w:b/>
          <w:bCs/>
        </w:rPr>
        <w:t xml:space="preserve"> </w:t>
      </w:r>
      <w:proofErr w:type="spellStart"/>
      <w:r>
        <w:rPr>
          <w:rFonts w:ascii="Verdana" w:hAnsi="Verdana"/>
          <w:b/>
          <w:bCs/>
        </w:rPr>
        <w:t>perpetrators</w:t>
      </w:r>
      <w:proofErr w:type="spellEnd"/>
      <w:r>
        <w:rPr>
          <w:rFonts w:ascii="Verdana" w:hAnsi="Verdana"/>
          <w:b/>
          <w:bCs/>
        </w:rPr>
        <w:t xml:space="preserve">.  </w:t>
      </w:r>
    </w:p>
    <w:p w:rsidR="00FA5218" w:rsidRDefault="00FA5218">
      <w:pPr>
        <w:pStyle w:val="BodyA"/>
        <w:spacing w:after="0" w:line="240" w:lineRule="auto"/>
      </w:pPr>
    </w:p>
    <w:p w:rsidR="00FA5218" w:rsidRDefault="00720B60">
      <w:pPr>
        <w:pStyle w:val="BodyA"/>
        <w:spacing w:after="0" w:line="240" w:lineRule="auto"/>
      </w:pPr>
      <w:r>
        <w:rPr>
          <w:rFonts w:ascii="Verdana" w:hAnsi="Verdana"/>
          <w:b/>
          <w:bCs/>
          <w:sz w:val="24"/>
          <w:szCs w:val="24"/>
          <w:lang w:val="en-US"/>
        </w:rPr>
        <w:t xml:space="preserve">Paramilitary Style Assaults on children </w:t>
      </w:r>
    </w:p>
    <w:p w:rsidR="00FA5218" w:rsidRDefault="00FA5218">
      <w:pPr>
        <w:pStyle w:val="BodyA"/>
        <w:spacing w:after="0" w:line="240" w:lineRule="auto"/>
      </w:pPr>
    </w:p>
    <w:p w:rsidR="00FA5218" w:rsidRDefault="00720B60">
      <w:pPr>
        <w:pStyle w:val="BodyA"/>
        <w:spacing w:after="0" w:line="240" w:lineRule="auto"/>
      </w:pPr>
      <w:r>
        <w:rPr>
          <w:rFonts w:ascii="Verdana" w:hAnsi="Verdana"/>
          <w:b/>
          <w:bCs/>
          <w:sz w:val="24"/>
          <w:szCs w:val="24"/>
          <w:lang w:val="en-US"/>
        </w:rPr>
        <w:t xml:space="preserve">The Committee may wish to recommend that the State Party continue to make every effort to bring an end to paramilitary activity in Northern Ireland and to ensure that; all assaults against children by members of paramilitary </w:t>
      </w:r>
      <w:proofErr w:type="spellStart"/>
      <w:r>
        <w:rPr>
          <w:rFonts w:ascii="Verdana" w:hAnsi="Verdana"/>
          <w:b/>
          <w:bCs/>
          <w:sz w:val="24"/>
          <w:szCs w:val="24"/>
          <w:lang w:val="en-US"/>
        </w:rPr>
        <w:t>organisations</w:t>
      </w:r>
      <w:proofErr w:type="spellEnd"/>
      <w:r>
        <w:rPr>
          <w:rFonts w:ascii="Verdana" w:hAnsi="Verdana"/>
          <w:b/>
          <w:bCs/>
          <w:sz w:val="24"/>
          <w:szCs w:val="24"/>
          <w:lang w:val="en-US"/>
        </w:rPr>
        <w:t xml:space="preserve"> are thoroughly investigated, that perpetrators are prosecuted and, if convicted, punished with appropriate sanctions</w:t>
      </w:r>
    </w:p>
    <w:p w:rsidR="00FA5218" w:rsidRDefault="00FA5218">
      <w:pPr>
        <w:pStyle w:val="BodyA"/>
        <w:spacing w:after="0" w:line="240" w:lineRule="auto"/>
      </w:pPr>
    </w:p>
    <w:p w:rsidR="00FA5218" w:rsidRDefault="00720B60">
      <w:pPr>
        <w:pStyle w:val="BodyA"/>
        <w:spacing w:after="0" w:line="240" w:lineRule="auto"/>
      </w:pPr>
      <w:r>
        <w:rPr>
          <w:rFonts w:ascii="Verdana" w:hAnsi="Verdana"/>
          <w:b/>
          <w:bCs/>
          <w:sz w:val="24"/>
          <w:szCs w:val="24"/>
          <w:lang w:val="en-US"/>
        </w:rPr>
        <w:t>Children in care</w:t>
      </w:r>
    </w:p>
    <w:p w:rsidR="00FA5218" w:rsidRDefault="00FA5218">
      <w:pPr>
        <w:pStyle w:val="BodyA"/>
        <w:spacing w:after="0" w:line="240" w:lineRule="auto"/>
      </w:pPr>
    </w:p>
    <w:p w:rsidR="00FA5218" w:rsidRDefault="00720B60">
      <w:pPr>
        <w:pStyle w:val="BodyA"/>
        <w:spacing w:after="0" w:line="240" w:lineRule="auto"/>
      </w:pPr>
      <w:r>
        <w:rPr>
          <w:rFonts w:ascii="Verdana" w:hAnsi="Verdana"/>
          <w:b/>
          <w:bCs/>
          <w:sz w:val="24"/>
          <w:szCs w:val="24"/>
          <w:lang w:val="en-US"/>
        </w:rPr>
        <w:t xml:space="preserve">The Commission encourages the Committee to recommend that the State Party; </w:t>
      </w:r>
    </w:p>
    <w:p w:rsidR="00FA5218" w:rsidRDefault="00FA5218">
      <w:pPr>
        <w:pStyle w:val="BodyA"/>
        <w:spacing w:after="0" w:line="240" w:lineRule="auto"/>
      </w:pPr>
    </w:p>
    <w:p w:rsidR="00FA5218" w:rsidRDefault="00720B60">
      <w:pPr>
        <w:pStyle w:val="BodyA"/>
        <w:spacing w:after="0" w:line="240" w:lineRule="auto"/>
        <w:ind w:left="720"/>
      </w:pPr>
      <w:proofErr w:type="gramStart"/>
      <w:r>
        <w:rPr>
          <w:rFonts w:ascii="Verdana" w:hAnsi="Verdana"/>
          <w:b/>
          <w:bCs/>
          <w:sz w:val="24"/>
          <w:szCs w:val="24"/>
          <w:lang w:val="en-US"/>
        </w:rPr>
        <w:lastRenderedPageBreak/>
        <w:t>ensure</w:t>
      </w:r>
      <w:proofErr w:type="gramEnd"/>
      <w:r>
        <w:rPr>
          <w:rFonts w:ascii="Verdana" w:hAnsi="Verdana"/>
          <w:b/>
          <w:bCs/>
          <w:sz w:val="24"/>
          <w:szCs w:val="24"/>
          <w:lang w:val="en-US"/>
        </w:rPr>
        <w:t xml:space="preserve"> judicial procedures relating to children in care are speedy and efficient in line with the UN CRC, in particular the principle of best interests; </w:t>
      </w:r>
    </w:p>
    <w:p w:rsidR="00FA5218" w:rsidRDefault="00FA5218">
      <w:pPr>
        <w:pStyle w:val="BodyA"/>
        <w:spacing w:after="0" w:line="240" w:lineRule="auto"/>
        <w:ind w:left="720"/>
      </w:pPr>
    </w:p>
    <w:p w:rsidR="00FA5218" w:rsidRDefault="00720B60">
      <w:pPr>
        <w:pStyle w:val="BodyA"/>
        <w:spacing w:after="0" w:line="240" w:lineRule="auto"/>
        <w:ind w:left="720"/>
      </w:pPr>
      <w:proofErr w:type="gramStart"/>
      <w:r>
        <w:rPr>
          <w:rFonts w:ascii="Verdana" w:hAnsi="Verdana"/>
          <w:b/>
          <w:bCs/>
          <w:sz w:val="24"/>
          <w:szCs w:val="24"/>
          <w:lang w:val="en-US"/>
        </w:rPr>
        <w:t>review</w:t>
      </w:r>
      <w:proofErr w:type="gramEnd"/>
      <w:r>
        <w:rPr>
          <w:rFonts w:ascii="Verdana" w:hAnsi="Verdana"/>
          <w:b/>
          <w:bCs/>
          <w:sz w:val="24"/>
          <w:szCs w:val="24"/>
          <w:lang w:val="en-US"/>
        </w:rPr>
        <w:t xml:space="preserve"> the adequacy of legislation and guidance regarding private fostering and the potential need for reform;</w:t>
      </w:r>
    </w:p>
    <w:p w:rsidR="00FA5218" w:rsidRDefault="00FA5218">
      <w:pPr>
        <w:pStyle w:val="BodyA"/>
        <w:spacing w:after="0" w:line="240" w:lineRule="auto"/>
      </w:pPr>
    </w:p>
    <w:p w:rsidR="00FA5218" w:rsidRDefault="00720B60">
      <w:pPr>
        <w:pStyle w:val="BodyA"/>
        <w:spacing w:after="0" w:line="240" w:lineRule="auto"/>
        <w:ind w:left="720"/>
      </w:pPr>
      <w:r>
        <w:rPr>
          <w:rFonts w:ascii="Verdana" w:hAnsi="Verdana"/>
          <w:b/>
          <w:bCs/>
          <w:sz w:val="24"/>
          <w:szCs w:val="24"/>
          <w:lang w:val="en-US"/>
        </w:rPr>
        <w:t>take steps to improve the availability of appropriate placements for children in care,</w:t>
      </w:r>
      <w:r w:rsidRPr="00720B60">
        <w:rPr>
          <w:rStyle w:val="None"/>
          <w:rFonts w:ascii="Verdana" w:hAnsi="Verdana"/>
          <w:b/>
          <w:bCs/>
          <w:sz w:val="24"/>
          <w:szCs w:val="24"/>
          <w:lang w:val="en-US"/>
        </w:rPr>
        <w:t xml:space="preserve"> </w:t>
      </w:r>
      <w:r>
        <w:rPr>
          <w:rStyle w:val="None"/>
          <w:rFonts w:ascii="Verdana" w:hAnsi="Verdana"/>
          <w:b/>
          <w:bCs/>
          <w:sz w:val="24"/>
          <w:szCs w:val="24"/>
          <w:lang w:val="en-US"/>
        </w:rPr>
        <w:t>including foster care provided by private fostering agencies,</w:t>
      </w:r>
      <w:r>
        <w:rPr>
          <w:rFonts w:ascii="Verdana" w:hAnsi="Verdana"/>
          <w:b/>
          <w:bCs/>
          <w:sz w:val="24"/>
          <w:szCs w:val="24"/>
          <w:lang w:val="en-US"/>
        </w:rPr>
        <w:t xml:space="preserve"> which should be based on the child’s best interests; </w:t>
      </w:r>
    </w:p>
    <w:p w:rsidR="00FA5218" w:rsidRDefault="00FA5218">
      <w:pPr>
        <w:pStyle w:val="BodyA"/>
        <w:spacing w:after="0" w:line="240" w:lineRule="auto"/>
      </w:pPr>
    </w:p>
    <w:p w:rsidR="00FA5218" w:rsidRDefault="00720B60">
      <w:pPr>
        <w:pStyle w:val="BodyA"/>
        <w:spacing w:after="0" w:line="240" w:lineRule="auto"/>
        <w:ind w:left="720"/>
      </w:pPr>
      <w:proofErr w:type="gramStart"/>
      <w:r>
        <w:rPr>
          <w:rFonts w:ascii="Verdana" w:hAnsi="Verdana"/>
          <w:b/>
          <w:bCs/>
          <w:sz w:val="24"/>
          <w:szCs w:val="24"/>
          <w:lang w:val="en-US"/>
        </w:rPr>
        <w:t>bring</w:t>
      </w:r>
      <w:proofErr w:type="gramEnd"/>
      <w:r>
        <w:rPr>
          <w:rFonts w:ascii="Verdana" w:hAnsi="Verdana"/>
          <w:b/>
          <w:bCs/>
          <w:sz w:val="24"/>
          <w:szCs w:val="24"/>
          <w:lang w:val="en-US"/>
        </w:rPr>
        <w:t xml:space="preserve"> forward proposals to increase placement stability for children in care;</w:t>
      </w:r>
    </w:p>
    <w:p w:rsidR="00FA5218" w:rsidRDefault="00FA5218">
      <w:pPr>
        <w:pStyle w:val="BodyA"/>
        <w:spacing w:after="0" w:line="240" w:lineRule="auto"/>
      </w:pPr>
    </w:p>
    <w:p w:rsidR="00FA5218" w:rsidRDefault="00720B60">
      <w:pPr>
        <w:pStyle w:val="BodyA"/>
        <w:spacing w:after="0" w:line="240" w:lineRule="auto"/>
        <w:ind w:left="720"/>
      </w:pPr>
      <w:proofErr w:type="gramStart"/>
      <w:r>
        <w:rPr>
          <w:rFonts w:ascii="Verdana" w:hAnsi="Verdana"/>
          <w:b/>
          <w:bCs/>
          <w:sz w:val="24"/>
          <w:szCs w:val="24"/>
          <w:lang w:val="en-US"/>
        </w:rPr>
        <w:t>review</w:t>
      </w:r>
      <w:proofErr w:type="gramEnd"/>
      <w:r>
        <w:rPr>
          <w:rFonts w:ascii="Verdana" w:hAnsi="Verdana"/>
          <w:b/>
          <w:bCs/>
          <w:sz w:val="24"/>
          <w:szCs w:val="24"/>
          <w:lang w:val="en-US"/>
        </w:rPr>
        <w:t xml:space="preserve"> the adequacy of permanency planning at social services and court levels; and </w:t>
      </w:r>
    </w:p>
    <w:p w:rsidR="00FA5218" w:rsidRDefault="00FA5218">
      <w:pPr>
        <w:pStyle w:val="BodyA"/>
        <w:spacing w:after="0" w:line="240" w:lineRule="auto"/>
      </w:pPr>
    </w:p>
    <w:p w:rsidR="00FA5218" w:rsidRDefault="00720B60">
      <w:pPr>
        <w:pStyle w:val="BodyA"/>
        <w:spacing w:after="0" w:line="240" w:lineRule="auto"/>
        <w:ind w:left="720"/>
      </w:pPr>
      <w:proofErr w:type="gramStart"/>
      <w:r>
        <w:rPr>
          <w:rFonts w:ascii="Verdana" w:hAnsi="Verdana"/>
          <w:b/>
          <w:bCs/>
          <w:sz w:val="24"/>
          <w:szCs w:val="24"/>
          <w:lang w:val="en-US"/>
        </w:rPr>
        <w:t>consider</w:t>
      </w:r>
      <w:proofErr w:type="gramEnd"/>
      <w:r>
        <w:rPr>
          <w:rFonts w:ascii="Verdana" w:hAnsi="Verdana"/>
          <w:b/>
          <w:bCs/>
          <w:sz w:val="24"/>
          <w:szCs w:val="24"/>
          <w:lang w:val="en-US"/>
        </w:rPr>
        <w:t xml:space="preserve"> necessary reforms to ensure timely permanence planning and better outcomes for children.</w:t>
      </w:r>
    </w:p>
    <w:p w:rsidR="00FA5218" w:rsidRDefault="00FA5218">
      <w:pPr>
        <w:pStyle w:val="BodyA"/>
        <w:spacing w:after="0" w:line="240" w:lineRule="auto"/>
      </w:pPr>
    </w:p>
    <w:p w:rsidR="00FA5218" w:rsidRDefault="00720B60">
      <w:pPr>
        <w:pStyle w:val="BodyA"/>
        <w:spacing w:after="0" w:line="240" w:lineRule="auto"/>
      </w:pPr>
      <w:r>
        <w:rPr>
          <w:rFonts w:ascii="Verdana" w:hAnsi="Verdana"/>
          <w:b/>
          <w:bCs/>
          <w:sz w:val="24"/>
          <w:szCs w:val="24"/>
          <w:lang w:val="en-US"/>
        </w:rPr>
        <w:t>Adoption Legislation</w:t>
      </w:r>
    </w:p>
    <w:p w:rsidR="00FA5218" w:rsidRDefault="00FA5218">
      <w:pPr>
        <w:pStyle w:val="BodyA"/>
        <w:spacing w:after="0" w:line="240" w:lineRule="auto"/>
      </w:pPr>
    </w:p>
    <w:p w:rsidR="00FA5218" w:rsidRDefault="00720B60">
      <w:pPr>
        <w:pStyle w:val="BodyA"/>
        <w:spacing w:after="0" w:line="240" w:lineRule="auto"/>
      </w:pPr>
      <w:r>
        <w:rPr>
          <w:rFonts w:ascii="Verdana" w:hAnsi="Verdana"/>
          <w:b/>
          <w:bCs/>
          <w:sz w:val="24"/>
          <w:szCs w:val="24"/>
          <w:lang w:val="en-US"/>
        </w:rPr>
        <w:t xml:space="preserve">The Committee may wish to recommend that the State Party review the 1987 Order and bring forward proposals for amendment to ensure adoption legislation in Northern Ireland is fully compatible with the UN CRC. </w:t>
      </w:r>
    </w:p>
    <w:p w:rsidR="00FA5218" w:rsidRDefault="00FA5218">
      <w:pPr>
        <w:pStyle w:val="BodyA"/>
        <w:spacing w:after="0" w:line="240" w:lineRule="auto"/>
      </w:pPr>
    </w:p>
    <w:p w:rsidR="00FA5218" w:rsidRDefault="00720B60">
      <w:pPr>
        <w:pStyle w:val="BodyA"/>
        <w:spacing w:after="0" w:line="240" w:lineRule="auto"/>
      </w:pPr>
      <w:r>
        <w:rPr>
          <w:rFonts w:ascii="Verdana" w:hAnsi="Verdana"/>
          <w:b/>
          <w:bCs/>
          <w:sz w:val="24"/>
          <w:szCs w:val="24"/>
          <w:lang w:val="en-US"/>
        </w:rPr>
        <w:t>Child Poverty</w:t>
      </w:r>
    </w:p>
    <w:p w:rsidR="00FA5218" w:rsidRDefault="00FA5218">
      <w:pPr>
        <w:pStyle w:val="BodyA"/>
        <w:spacing w:after="0" w:line="240" w:lineRule="auto"/>
      </w:pPr>
    </w:p>
    <w:p w:rsidR="00FA5218" w:rsidRDefault="00720B60">
      <w:pPr>
        <w:pStyle w:val="BodyA"/>
        <w:spacing w:after="0" w:line="240" w:lineRule="auto"/>
      </w:pPr>
      <w:r>
        <w:rPr>
          <w:rFonts w:ascii="Verdana" w:hAnsi="Verdana"/>
          <w:b/>
          <w:bCs/>
          <w:sz w:val="24"/>
          <w:szCs w:val="24"/>
          <w:lang w:val="en-US"/>
        </w:rPr>
        <w:t xml:space="preserve">The Committee may wish to recommend that the State party: </w:t>
      </w:r>
    </w:p>
    <w:p w:rsidR="00FA5218" w:rsidRDefault="00FA5218">
      <w:pPr>
        <w:pStyle w:val="BodyA"/>
        <w:spacing w:after="0" w:line="240" w:lineRule="auto"/>
      </w:pPr>
    </w:p>
    <w:p w:rsidR="00FA5218" w:rsidRDefault="00720B60">
      <w:pPr>
        <w:pStyle w:val="BodyA"/>
        <w:spacing w:after="0" w:line="240" w:lineRule="auto"/>
        <w:ind w:left="720"/>
      </w:pPr>
      <w:proofErr w:type="spellStart"/>
      <w:proofErr w:type="gramStart"/>
      <w:r>
        <w:rPr>
          <w:rFonts w:ascii="Verdana" w:hAnsi="Verdana"/>
          <w:b/>
          <w:bCs/>
          <w:sz w:val="24"/>
          <w:szCs w:val="24"/>
          <w:lang w:val="en-US"/>
        </w:rPr>
        <w:t>prioritises</w:t>
      </w:r>
      <w:proofErr w:type="spellEnd"/>
      <w:proofErr w:type="gramEnd"/>
      <w:r>
        <w:rPr>
          <w:rFonts w:ascii="Verdana" w:hAnsi="Verdana"/>
          <w:b/>
          <w:bCs/>
          <w:sz w:val="24"/>
          <w:szCs w:val="24"/>
          <w:lang w:val="en-US"/>
        </w:rPr>
        <w:t xml:space="preserve"> the publication of the Anti-poverty strategy; </w:t>
      </w:r>
    </w:p>
    <w:p w:rsidR="00FA5218" w:rsidRDefault="00FA5218">
      <w:pPr>
        <w:pStyle w:val="BodyA"/>
        <w:spacing w:after="0" w:line="240" w:lineRule="auto"/>
        <w:ind w:left="720"/>
      </w:pPr>
    </w:p>
    <w:p w:rsidR="00FA5218" w:rsidRDefault="00720B60">
      <w:pPr>
        <w:pStyle w:val="BodyA"/>
        <w:spacing w:after="0" w:line="240" w:lineRule="auto"/>
        <w:ind w:left="720"/>
      </w:pPr>
      <w:proofErr w:type="gramStart"/>
      <w:r>
        <w:rPr>
          <w:rFonts w:ascii="Verdana" w:hAnsi="Verdana"/>
          <w:b/>
          <w:bCs/>
          <w:sz w:val="24"/>
          <w:szCs w:val="24"/>
          <w:lang w:val="en-US"/>
        </w:rPr>
        <w:t>ensure</w:t>
      </w:r>
      <w:proofErr w:type="gramEnd"/>
      <w:r>
        <w:rPr>
          <w:rFonts w:ascii="Verdana" w:hAnsi="Verdana"/>
          <w:b/>
          <w:bCs/>
          <w:sz w:val="24"/>
          <w:szCs w:val="24"/>
          <w:lang w:val="en-US"/>
        </w:rPr>
        <w:t xml:space="preserve"> the full and effective implementation of the Northern Ireland Child Poverty Strategy; and</w:t>
      </w:r>
    </w:p>
    <w:p w:rsidR="00FA5218" w:rsidRDefault="00FA5218">
      <w:pPr>
        <w:pStyle w:val="BodyA"/>
        <w:spacing w:after="0" w:line="240" w:lineRule="auto"/>
      </w:pPr>
    </w:p>
    <w:p w:rsidR="00FA5218" w:rsidRDefault="00720B60">
      <w:pPr>
        <w:pStyle w:val="BodyA"/>
        <w:spacing w:after="0" w:line="240" w:lineRule="auto"/>
        <w:ind w:left="720"/>
      </w:pPr>
      <w:proofErr w:type="gramStart"/>
      <w:r>
        <w:rPr>
          <w:rFonts w:ascii="Verdana" w:hAnsi="Verdana"/>
          <w:b/>
          <w:bCs/>
          <w:sz w:val="24"/>
          <w:szCs w:val="24"/>
          <w:lang w:val="en-US"/>
        </w:rPr>
        <w:t>retains</w:t>
      </w:r>
      <w:proofErr w:type="gramEnd"/>
      <w:r>
        <w:rPr>
          <w:rFonts w:ascii="Verdana" w:hAnsi="Verdana"/>
          <w:b/>
          <w:bCs/>
          <w:sz w:val="24"/>
          <w:szCs w:val="24"/>
          <w:lang w:val="en-US"/>
        </w:rPr>
        <w:t xml:space="preserve"> the wider and more comprehensive income related targets in measuring child poverty in NI.</w:t>
      </w:r>
    </w:p>
    <w:p w:rsidR="00FA5218" w:rsidRDefault="00FA5218">
      <w:pPr>
        <w:pStyle w:val="BodyA"/>
        <w:spacing w:after="0" w:line="240" w:lineRule="auto"/>
      </w:pPr>
    </w:p>
    <w:p w:rsidR="00FA5218" w:rsidRDefault="00720B60">
      <w:pPr>
        <w:pStyle w:val="BodyA"/>
        <w:spacing w:after="0" w:line="240" w:lineRule="auto"/>
      </w:pPr>
      <w:proofErr w:type="spellStart"/>
      <w:r>
        <w:rPr>
          <w:rFonts w:ascii="Verdana" w:hAnsi="Verdana"/>
          <w:b/>
          <w:bCs/>
          <w:sz w:val="24"/>
          <w:szCs w:val="24"/>
          <w:lang w:val="en-US"/>
        </w:rPr>
        <w:t>Traveller</w:t>
      </w:r>
      <w:proofErr w:type="spellEnd"/>
      <w:r>
        <w:rPr>
          <w:rFonts w:ascii="Verdana" w:hAnsi="Verdana"/>
          <w:b/>
          <w:bCs/>
          <w:sz w:val="24"/>
          <w:szCs w:val="24"/>
          <w:lang w:val="en-US"/>
        </w:rPr>
        <w:t xml:space="preserve"> Education</w:t>
      </w:r>
    </w:p>
    <w:p w:rsidR="00FA5218" w:rsidRDefault="00FA5218">
      <w:pPr>
        <w:pStyle w:val="BodyA"/>
        <w:spacing w:after="0" w:line="240" w:lineRule="auto"/>
      </w:pPr>
    </w:p>
    <w:p w:rsidR="00FA5218" w:rsidRDefault="00720B60">
      <w:pPr>
        <w:pStyle w:val="BodyA"/>
        <w:spacing w:after="0" w:line="240" w:lineRule="auto"/>
      </w:pPr>
      <w:r>
        <w:rPr>
          <w:rFonts w:ascii="Verdana" w:hAnsi="Verdana"/>
          <w:b/>
          <w:bCs/>
          <w:sz w:val="24"/>
          <w:szCs w:val="24"/>
          <w:lang w:val="en-US"/>
        </w:rPr>
        <w:t xml:space="preserve">The Committee may wish to recommend that the State party ensure the effective implementation of the Northern Ireland </w:t>
      </w:r>
      <w:proofErr w:type="spellStart"/>
      <w:r>
        <w:rPr>
          <w:rFonts w:ascii="Verdana" w:hAnsi="Verdana"/>
          <w:b/>
          <w:bCs/>
          <w:sz w:val="24"/>
          <w:szCs w:val="24"/>
          <w:lang w:val="en-US"/>
        </w:rPr>
        <w:t>Traveller</w:t>
      </w:r>
      <w:proofErr w:type="spellEnd"/>
      <w:r>
        <w:rPr>
          <w:rFonts w:ascii="Verdana" w:hAnsi="Verdana"/>
          <w:b/>
          <w:bCs/>
          <w:sz w:val="24"/>
          <w:szCs w:val="24"/>
          <w:lang w:val="en-US"/>
        </w:rPr>
        <w:t xml:space="preserve"> Child in Education Action Framework and the establishment of the Monitoring Group to ensure effective oversight.</w:t>
      </w:r>
    </w:p>
    <w:p w:rsidR="00FA5218" w:rsidRDefault="00FA5218">
      <w:pPr>
        <w:pStyle w:val="BodyA"/>
        <w:spacing w:after="0" w:line="240" w:lineRule="auto"/>
      </w:pPr>
    </w:p>
    <w:p w:rsidR="00FA5218" w:rsidRDefault="00720B60">
      <w:pPr>
        <w:pStyle w:val="BodyA"/>
        <w:spacing w:after="0" w:line="240" w:lineRule="auto"/>
      </w:pPr>
      <w:r>
        <w:rPr>
          <w:rFonts w:ascii="Verdana" w:hAnsi="Verdana"/>
          <w:b/>
          <w:bCs/>
          <w:sz w:val="24"/>
          <w:szCs w:val="24"/>
          <w:lang w:val="en-US"/>
        </w:rPr>
        <w:t xml:space="preserve">Segregation in Education </w:t>
      </w:r>
    </w:p>
    <w:p w:rsidR="00FA5218" w:rsidRDefault="00FA5218">
      <w:pPr>
        <w:pStyle w:val="BodyA"/>
        <w:spacing w:after="0" w:line="240" w:lineRule="auto"/>
      </w:pPr>
    </w:p>
    <w:p w:rsidR="00FA5218" w:rsidRDefault="00720B60">
      <w:pPr>
        <w:pStyle w:val="BodyA"/>
        <w:spacing w:after="0" w:line="240" w:lineRule="auto"/>
      </w:pPr>
      <w:r>
        <w:rPr>
          <w:rFonts w:ascii="Verdana" w:hAnsi="Verdana"/>
          <w:b/>
          <w:bCs/>
          <w:sz w:val="24"/>
          <w:szCs w:val="24"/>
          <w:lang w:val="en-US"/>
        </w:rPr>
        <w:t xml:space="preserve">The Committee may wish to recommend, in line with its previous concluding observations, that the State Party </w:t>
      </w:r>
      <w:proofErr w:type="spellStart"/>
      <w:r>
        <w:rPr>
          <w:rFonts w:ascii="Verdana" w:hAnsi="Verdana"/>
          <w:b/>
          <w:bCs/>
          <w:sz w:val="24"/>
          <w:szCs w:val="24"/>
        </w:rPr>
        <w:t>take</w:t>
      </w:r>
      <w:proofErr w:type="spellEnd"/>
      <w:r>
        <w:rPr>
          <w:rFonts w:ascii="Verdana" w:hAnsi="Verdana"/>
          <w:b/>
          <w:bCs/>
          <w:sz w:val="24"/>
          <w:szCs w:val="24"/>
        </w:rPr>
        <w:t xml:space="preserve"> </w:t>
      </w:r>
      <w:proofErr w:type="spellStart"/>
      <w:r>
        <w:rPr>
          <w:rFonts w:ascii="Verdana" w:hAnsi="Verdana"/>
          <w:b/>
          <w:bCs/>
          <w:sz w:val="24"/>
          <w:szCs w:val="24"/>
        </w:rPr>
        <w:t>appropriate</w:t>
      </w:r>
      <w:proofErr w:type="spellEnd"/>
      <w:r>
        <w:rPr>
          <w:rFonts w:ascii="Verdana" w:hAnsi="Verdana"/>
          <w:b/>
          <w:bCs/>
          <w:sz w:val="24"/>
          <w:szCs w:val="24"/>
        </w:rPr>
        <w:t xml:space="preserve"> </w:t>
      </w:r>
      <w:proofErr w:type="spellStart"/>
      <w:r>
        <w:rPr>
          <w:rFonts w:ascii="Verdana" w:hAnsi="Verdana"/>
          <w:b/>
          <w:bCs/>
          <w:sz w:val="24"/>
          <w:szCs w:val="24"/>
        </w:rPr>
        <w:t>measures</w:t>
      </w:r>
      <w:proofErr w:type="spellEnd"/>
      <w:r>
        <w:rPr>
          <w:rFonts w:ascii="Verdana" w:hAnsi="Verdana"/>
          <w:b/>
          <w:bCs/>
          <w:sz w:val="24"/>
          <w:szCs w:val="24"/>
        </w:rPr>
        <w:t xml:space="preserve"> to </w:t>
      </w:r>
      <w:proofErr w:type="spellStart"/>
      <w:r>
        <w:rPr>
          <w:rFonts w:ascii="Verdana" w:hAnsi="Verdana"/>
          <w:b/>
          <w:bCs/>
          <w:sz w:val="24"/>
          <w:szCs w:val="24"/>
        </w:rPr>
        <w:t>facilitate</w:t>
      </w:r>
      <w:proofErr w:type="spellEnd"/>
      <w:r>
        <w:rPr>
          <w:rFonts w:ascii="Verdana" w:hAnsi="Verdana"/>
          <w:b/>
          <w:bCs/>
          <w:sz w:val="24"/>
          <w:szCs w:val="24"/>
        </w:rPr>
        <w:t xml:space="preserve"> the establishment of </w:t>
      </w:r>
      <w:proofErr w:type="spellStart"/>
      <w:r>
        <w:rPr>
          <w:rFonts w:ascii="Verdana" w:hAnsi="Verdana"/>
          <w:b/>
          <w:bCs/>
          <w:sz w:val="24"/>
          <w:szCs w:val="24"/>
        </w:rPr>
        <w:t>additional</w:t>
      </w:r>
      <w:proofErr w:type="spellEnd"/>
      <w:r>
        <w:rPr>
          <w:rFonts w:ascii="Verdana" w:hAnsi="Verdana"/>
          <w:b/>
          <w:bCs/>
          <w:sz w:val="24"/>
          <w:szCs w:val="24"/>
        </w:rPr>
        <w:t xml:space="preserve"> </w:t>
      </w:r>
      <w:proofErr w:type="spellStart"/>
      <w:r>
        <w:rPr>
          <w:rFonts w:ascii="Verdana" w:hAnsi="Verdana"/>
          <w:b/>
          <w:bCs/>
          <w:sz w:val="24"/>
          <w:szCs w:val="24"/>
        </w:rPr>
        <w:t>integrated</w:t>
      </w:r>
      <w:proofErr w:type="spellEnd"/>
      <w:r>
        <w:rPr>
          <w:rFonts w:ascii="Verdana" w:hAnsi="Verdana"/>
          <w:b/>
          <w:bCs/>
          <w:sz w:val="24"/>
          <w:szCs w:val="24"/>
        </w:rPr>
        <w:t xml:space="preserve"> </w:t>
      </w:r>
      <w:proofErr w:type="spellStart"/>
      <w:r>
        <w:rPr>
          <w:rFonts w:ascii="Verdana" w:hAnsi="Verdana"/>
          <w:b/>
          <w:bCs/>
          <w:sz w:val="24"/>
          <w:szCs w:val="24"/>
        </w:rPr>
        <w:t>schools</w:t>
      </w:r>
      <w:proofErr w:type="spellEnd"/>
      <w:r>
        <w:rPr>
          <w:rFonts w:ascii="Verdana" w:hAnsi="Verdana"/>
          <w:b/>
          <w:bCs/>
          <w:sz w:val="24"/>
          <w:szCs w:val="24"/>
        </w:rPr>
        <w:t xml:space="preserve"> in </w:t>
      </w:r>
      <w:proofErr w:type="spellStart"/>
      <w:r>
        <w:rPr>
          <w:rFonts w:ascii="Verdana" w:hAnsi="Verdana"/>
          <w:b/>
          <w:bCs/>
          <w:sz w:val="24"/>
          <w:szCs w:val="24"/>
        </w:rPr>
        <w:t>Northern</w:t>
      </w:r>
      <w:proofErr w:type="spellEnd"/>
      <w:r>
        <w:rPr>
          <w:rFonts w:ascii="Verdana" w:hAnsi="Verdana"/>
          <w:b/>
          <w:bCs/>
          <w:sz w:val="24"/>
          <w:szCs w:val="24"/>
        </w:rPr>
        <w:t xml:space="preserve"> Ireland to </w:t>
      </w:r>
      <w:proofErr w:type="spellStart"/>
      <w:r>
        <w:rPr>
          <w:rFonts w:ascii="Verdana" w:hAnsi="Verdana"/>
          <w:b/>
          <w:bCs/>
          <w:sz w:val="24"/>
          <w:szCs w:val="24"/>
        </w:rPr>
        <w:t>meet</w:t>
      </w:r>
      <w:proofErr w:type="spellEnd"/>
      <w:r>
        <w:rPr>
          <w:rFonts w:ascii="Verdana" w:hAnsi="Verdana"/>
          <w:b/>
          <w:bCs/>
          <w:sz w:val="24"/>
          <w:szCs w:val="24"/>
        </w:rPr>
        <w:t xml:space="preserve"> the </w:t>
      </w:r>
      <w:proofErr w:type="spellStart"/>
      <w:r>
        <w:rPr>
          <w:rFonts w:ascii="Verdana" w:hAnsi="Verdana"/>
          <w:b/>
          <w:bCs/>
          <w:sz w:val="24"/>
          <w:szCs w:val="24"/>
        </w:rPr>
        <w:t>demand</w:t>
      </w:r>
      <w:proofErr w:type="spellEnd"/>
      <w:r>
        <w:rPr>
          <w:rFonts w:ascii="Verdana" w:hAnsi="Verdana"/>
          <w:b/>
          <w:bCs/>
          <w:sz w:val="24"/>
          <w:szCs w:val="24"/>
        </w:rPr>
        <w:t xml:space="preserve"> of a </w:t>
      </w:r>
      <w:proofErr w:type="spellStart"/>
      <w:r>
        <w:rPr>
          <w:rFonts w:ascii="Verdana" w:hAnsi="Verdana"/>
          <w:b/>
          <w:bCs/>
          <w:sz w:val="24"/>
          <w:szCs w:val="24"/>
        </w:rPr>
        <w:t>significant</w:t>
      </w:r>
      <w:proofErr w:type="spellEnd"/>
      <w:r>
        <w:rPr>
          <w:rFonts w:ascii="Verdana" w:hAnsi="Verdana"/>
          <w:b/>
          <w:bCs/>
          <w:sz w:val="24"/>
          <w:szCs w:val="24"/>
        </w:rPr>
        <w:t xml:space="preserve"> </w:t>
      </w:r>
      <w:proofErr w:type="spellStart"/>
      <w:r>
        <w:rPr>
          <w:rFonts w:ascii="Verdana" w:hAnsi="Verdana"/>
          <w:b/>
          <w:bCs/>
          <w:sz w:val="24"/>
          <w:szCs w:val="24"/>
        </w:rPr>
        <w:t>number</w:t>
      </w:r>
      <w:proofErr w:type="spellEnd"/>
      <w:r>
        <w:rPr>
          <w:rFonts w:ascii="Verdana" w:hAnsi="Verdana"/>
          <w:b/>
          <w:bCs/>
          <w:sz w:val="24"/>
          <w:szCs w:val="24"/>
        </w:rPr>
        <w:t xml:space="preserve"> of parents</w:t>
      </w:r>
      <w:r>
        <w:rPr>
          <w:rFonts w:ascii="Verdana" w:eastAsia="Verdana" w:hAnsi="Verdana" w:cs="Verdana"/>
          <w:b/>
          <w:bCs/>
          <w:sz w:val="24"/>
          <w:szCs w:val="24"/>
          <w:vertAlign w:val="superscript"/>
          <w:lang w:val="en-US"/>
        </w:rPr>
        <w:footnoteReference w:id="2"/>
      </w:r>
      <w:r>
        <w:rPr>
          <w:rFonts w:ascii="Verdana" w:hAnsi="Verdana"/>
          <w:b/>
          <w:bCs/>
          <w:sz w:val="24"/>
          <w:szCs w:val="24"/>
        </w:rPr>
        <w:t xml:space="preserve"> and </w:t>
      </w:r>
      <w:r>
        <w:rPr>
          <w:rFonts w:ascii="Verdana" w:hAnsi="Verdana"/>
          <w:b/>
          <w:bCs/>
          <w:sz w:val="24"/>
          <w:szCs w:val="24"/>
          <w:lang w:val="en-US"/>
        </w:rPr>
        <w:t xml:space="preserve">ensure the roll out of shared education initiatives throughout Northern Ireland to allow children throughout the jurisdiction the opportunity to be educated alongside children from different backgrounds. </w:t>
      </w:r>
    </w:p>
    <w:p w:rsidR="00FA5218" w:rsidRDefault="00FA5218">
      <w:pPr>
        <w:pStyle w:val="BodyA"/>
        <w:spacing w:after="0" w:line="240" w:lineRule="auto"/>
      </w:pPr>
    </w:p>
    <w:p w:rsidR="00FA5218" w:rsidRDefault="00720B60">
      <w:pPr>
        <w:pStyle w:val="BodyA"/>
        <w:spacing w:after="0" w:line="240" w:lineRule="auto"/>
      </w:pPr>
      <w:r>
        <w:rPr>
          <w:rFonts w:ascii="Verdana" w:hAnsi="Verdana"/>
          <w:b/>
          <w:bCs/>
          <w:sz w:val="24"/>
          <w:szCs w:val="24"/>
          <w:lang w:val="en-US"/>
        </w:rPr>
        <w:t xml:space="preserve">Academic Selection </w:t>
      </w:r>
    </w:p>
    <w:p w:rsidR="00FA5218" w:rsidRDefault="00FA5218">
      <w:pPr>
        <w:pStyle w:val="BodyA"/>
        <w:spacing w:after="0" w:line="240" w:lineRule="auto"/>
      </w:pPr>
    </w:p>
    <w:p w:rsidR="00FA5218" w:rsidRDefault="00720B60">
      <w:pPr>
        <w:pStyle w:val="BodyA"/>
        <w:spacing w:after="0" w:line="240" w:lineRule="auto"/>
      </w:pPr>
      <w:r>
        <w:rPr>
          <w:rFonts w:ascii="Verdana" w:hAnsi="Verdana"/>
          <w:b/>
          <w:bCs/>
          <w:sz w:val="24"/>
          <w:szCs w:val="24"/>
          <w:lang w:val="en-US"/>
        </w:rPr>
        <w:t xml:space="preserve">The Commission invites the Committee to recommend, </w:t>
      </w:r>
      <w:r>
        <w:rPr>
          <w:rFonts w:ascii="Verdana" w:hAnsi="Verdana"/>
          <w:b/>
          <w:bCs/>
          <w:sz w:val="24"/>
          <w:szCs w:val="24"/>
        </w:rPr>
        <w:t xml:space="preserve">in line </w:t>
      </w:r>
      <w:proofErr w:type="spellStart"/>
      <w:r>
        <w:rPr>
          <w:rFonts w:ascii="Verdana" w:hAnsi="Verdana"/>
          <w:b/>
          <w:bCs/>
          <w:sz w:val="24"/>
          <w:szCs w:val="24"/>
        </w:rPr>
        <w:t>with</w:t>
      </w:r>
      <w:proofErr w:type="spellEnd"/>
      <w:r>
        <w:rPr>
          <w:rFonts w:ascii="Verdana" w:hAnsi="Verdana"/>
          <w:b/>
          <w:bCs/>
          <w:sz w:val="24"/>
          <w:szCs w:val="24"/>
        </w:rPr>
        <w:t xml:space="preserve"> </w:t>
      </w:r>
      <w:proofErr w:type="spellStart"/>
      <w:r>
        <w:rPr>
          <w:rFonts w:ascii="Verdana" w:hAnsi="Verdana"/>
          <w:b/>
          <w:bCs/>
          <w:sz w:val="24"/>
          <w:szCs w:val="24"/>
        </w:rPr>
        <w:t>its</w:t>
      </w:r>
      <w:proofErr w:type="spellEnd"/>
      <w:r>
        <w:rPr>
          <w:rFonts w:ascii="Verdana" w:hAnsi="Verdana"/>
          <w:b/>
          <w:bCs/>
          <w:sz w:val="24"/>
          <w:szCs w:val="24"/>
        </w:rPr>
        <w:t xml:space="preserve"> 2008 </w:t>
      </w:r>
      <w:proofErr w:type="spellStart"/>
      <w:r>
        <w:rPr>
          <w:rFonts w:ascii="Verdana" w:hAnsi="Verdana"/>
          <w:b/>
          <w:bCs/>
          <w:sz w:val="24"/>
          <w:szCs w:val="24"/>
        </w:rPr>
        <w:t>recommendation</w:t>
      </w:r>
      <w:proofErr w:type="spellEnd"/>
      <w:r>
        <w:rPr>
          <w:rFonts w:ascii="Verdana" w:hAnsi="Verdana"/>
          <w:b/>
          <w:bCs/>
          <w:sz w:val="24"/>
          <w:szCs w:val="24"/>
        </w:rPr>
        <w:t xml:space="preserve">, </w:t>
      </w:r>
      <w:proofErr w:type="spellStart"/>
      <w:r>
        <w:rPr>
          <w:rFonts w:ascii="Verdana" w:hAnsi="Verdana"/>
          <w:b/>
          <w:bCs/>
          <w:sz w:val="24"/>
          <w:szCs w:val="24"/>
        </w:rPr>
        <w:t>that</w:t>
      </w:r>
      <w:proofErr w:type="spellEnd"/>
      <w:r>
        <w:rPr>
          <w:rFonts w:ascii="Verdana" w:hAnsi="Verdana"/>
          <w:b/>
          <w:bCs/>
          <w:sz w:val="24"/>
          <w:szCs w:val="24"/>
        </w:rPr>
        <w:t xml:space="preserve"> the State party </w:t>
      </w:r>
      <w:proofErr w:type="spellStart"/>
      <w:r>
        <w:rPr>
          <w:rFonts w:ascii="Verdana" w:hAnsi="Verdana"/>
          <w:b/>
          <w:bCs/>
          <w:sz w:val="24"/>
          <w:szCs w:val="24"/>
        </w:rPr>
        <w:t>effectively</w:t>
      </w:r>
      <w:proofErr w:type="spellEnd"/>
      <w:r>
        <w:rPr>
          <w:rFonts w:ascii="Verdana" w:hAnsi="Verdana"/>
          <w:b/>
          <w:bCs/>
          <w:sz w:val="24"/>
          <w:szCs w:val="24"/>
        </w:rPr>
        <w:t xml:space="preserve"> “put an end to the </w:t>
      </w:r>
      <w:proofErr w:type="spellStart"/>
      <w:r>
        <w:rPr>
          <w:rFonts w:ascii="Verdana" w:hAnsi="Verdana"/>
          <w:b/>
          <w:bCs/>
          <w:sz w:val="24"/>
          <w:szCs w:val="24"/>
        </w:rPr>
        <w:t>two-tier</w:t>
      </w:r>
      <w:proofErr w:type="spellEnd"/>
      <w:r>
        <w:rPr>
          <w:rFonts w:ascii="Verdana" w:hAnsi="Verdana"/>
          <w:b/>
          <w:bCs/>
          <w:sz w:val="24"/>
          <w:szCs w:val="24"/>
        </w:rPr>
        <w:t xml:space="preserve"> culture in </w:t>
      </w:r>
      <w:proofErr w:type="spellStart"/>
      <w:r>
        <w:rPr>
          <w:rFonts w:ascii="Verdana" w:hAnsi="Verdana"/>
          <w:b/>
          <w:bCs/>
          <w:sz w:val="24"/>
          <w:szCs w:val="24"/>
        </w:rPr>
        <w:t>Northern</w:t>
      </w:r>
      <w:proofErr w:type="spellEnd"/>
      <w:r>
        <w:rPr>
          <w:rFonts w:ascii="Verdana" w:hAnsi="Verdana"/>
          <w:b/>
          <w:bCs/>
          <w:sz w:val="24"/>
          <w:szCs w:val="24"/>
        </w:rPr>
        <w:t xml:space="preserve"> Ireland…and </w:t>
      </w:r>
      <w:proofErr w:type="spellStart"/>
      <w:r>
        <w:rPr>
          <w:rFonts w:ascii="Verdana" w:hAnsi="Verdana"/>
          <w:b/>
          <w:bCs/>
          <w:sz w:val="24"/>
          <w:szCs w:val="24"/>
        </w:rPr>
        <w:t>ensure</w:t>
      </w:r>
      <w:proofErr w:type="spellEnd"/>
      <w:r>
        <w:rPr>
          <w:rFonts w:ascii="Verdana" w:hAnsi="Verdana"/>
          <w:b/>
          <w:bCs/>
          <w:sz w:val="24"/>
          <w:szCs w:val="24"/>
        </w:rPr>
        <w:t xml:space="preserve"> </w:t>
      </w:r>
      <w:proofErr w:type="spellStart"/>
      <w:r>
        <w:rPr>
          <w:rFonts w:ascii="Verdana" w:hAnsi="Verdana"/>
          <w:b/>
          <w:bCs/>
          <w:sz w:val="24"/>
          <w:szCs w:val="24"/>
        </w:rPr>
        <w:t>that</w:t>
      </w:r>
      <w:proofErr w:type="spellEnd"/>
      <w:r>
        <w:rPr>
          <w:rFonts w:ascii="Verdana" w:hAnsi="Verdana"/>
          <w:b/>
          <w:bCs/>
          <w:sz w:val="24"/>
          <w:szCs w:val="24"/>
        </w:rPr>
        <w:t xml:space="preserve"> all </w:t>
      </w:r>
      <w:proofErr w:type="spellStart"/>
      <w:r>
        <w:rPr>
          <w:rFonts w:ascii="Verdana" w:hAnsi="Verdana"/>
          <w:b/>
          <w:bCs/>
          <w:sz w:val="24"/>
          <w:szCs w:val="24"/>
        </w:rPr>
        <w:t>children</w:t>
      </w:r>
      <w:proofErr w:type="spellEnd"/>
      <w:r>
        <w:rPr>
          <w:rFonts w:ascii="Verdana" w:hAnsi="Verdana"/>
          <w:b/>
          <w:bCs/>
          <w:sz w:val="24"/>
          <w:szCs w:val="24"/>
        </w:rPr>
        <w:t xml:space="preserve"> are </w:t>
      </w:r>
      <w:proofErr w:type="spellStart"/>
      <w:r>
        <w:rPr>
          <w:rFonts w:ascii="Verdana" w:hAnsi="Verdana"/>
          <w:b/>
          <w:bCs/>
          <w:sz w:val="24"/>
          <w:szCs w:val="24"/>
        </w:rPr>
        <w:t>included</w:t>
      </w:r>
      <w:proofErr w:type="spellEnd"/>
      <w:r>
        <w:rPr>
          <w:rFonts w:ascii="Verdana" w:hAnsi="Verdana"/>
          <w:b/>
          <w:bCs/>
          <w:sz w:val="24"/>
          <w:szCs w:val="24"/>
        </w:rPr>
        <w:t xml:space="preserve"> in admission arrangements in post-</w:t>
      </w:r>
      <w:proofErr w:type="spellStart"/>
      <w:r>
        <w:rPr>
          <w:rFonts w:ascii="Verdana" w:hAnsi="Verdana"/>
          <w:b/>
          <w:bCs/>
          <w:sz w:val="24"/>
          <w:szCs w:val="24"/>
        </w:rPr>
        <w:t>primary</w:t>
      </w:r>
      <w:proofErr w:type="spellEnd"/>
      <w:r>
        <w:rPr>
          <w:rFonts w:ascii="Verdana" w:hAnsi="Verdana"/>
          <w:b/>
          <w:bCs/>
          <w:sz w:val="24"/>
          <w:szCs w:val="24"/>
        </w:rPr>
        <w:t xml:space="preserve"> </w:t>
      </w:r>
      <w:proofErr w:type="spellStart"/>
      <w:r>
        <w:rPr>
          <w:rFonts w:ascii="Verdana" w:hAnsi="Verdana"/>
          <w:b/>
          <w:bCs/>
          <w:sz w:val="24"/>
          <w:szCs w:val="24"/>
        </w:rPr>
        <w:t>schools</w:t>
      </w:r>
      <w:proofErr w:type="spellEnd"/>
      <w:r>
        <w:rPr>
          <w:rFonts w:ascii="Verdana" w:hAnsi="Verdana"/>
          <w:b/>
          <w:bCs/>
          <w:sz w:val="24"/>
          <w:szCs w:val="24"/>
        </w:rPr>
        <w:t>.”</w:t>
      </w:r>
      <w:r>
        <w:rPr>
          <w:rFonts w:ascii="Verdana" w:eastAsia="Verdana" w:hAnsi="Verdana" w:cs="Verdana"/>
          <w:b/>
          <w:bCs/>
          <w:sz w:val="24"/>
          <w:szCs w:val="24"/>
          <w:vertAlign w:val="superscript"/>
          <w:lang w:val="en-US"/>
        </w:rPr>
        <w:footnoteReference w:id="3"/>
      </w:r>
    </w:p>
    <w:p w:rsidR="00FA5218" w:rsidRDefault="00FA5218">
      <w:pPr>
        <w:pStyle w:val="BodyA"/>
        <w:spacing w:after="0" w:line="240" w:lineRule="auto"/>
      </w:pPr>
    </w:p>
    <w:p w:rsidR="00FA5218" w:rsidRDefault="00720B60">
      <w:pPr>
        <w:pStyle w:val="BodyA"/>
        <w:spacing w:after="0" w:line="240" w:lineRule="auto"/>
      </w:pPr>
      <w:r>
        <w:rPr>
          <w:rFonts w:ascii="Verdana" w:hAnsi="Verdana"/>
          <w:b/>
          <w:bCs/>
          <w:sz w:val="24"/>
          <w:szCs w:val="24"/>
          <w:lang w:val="en-US"/>
        </w:rPr>
        <w:t xml:space="preserve">Special Educational Needs and Disability </w:t>
      </w:r>
    </w:p>
    <w:p w:rsidR="00FA5218" w:rsidRDefault="00FA5218">
      <w:pPr>
        <w:pStyle w:val="BodyA"/>
        <w:spacing w:after="0" w:line="240" w:lineRule="auto"/>
      </w:pPr>
    </w:p>
    <w:p w:rsidR="00FA5218" w:rsidRDefault="00720B60">
      <w:pPr>
        <w:pStyle w:val="BodyA"/>
        <w:spacing w:after="0" w:line="240" w:lineRule="auto"/>
      </w:pPr>
      <w:r>
        <w:rPr>
          <w:rFonts w:ascii="Verdana" w:hAnsi="Verdana"/>
          <w:b/>
          <w:bCs/>
          <w:sz w:val="24"/>
          <w:szCs w:val="24"/>
          <w:lang w:val="en-US"/>
        </w:rPr>
        <w:t xml:space="preserve">The Committee may wish to recommend that the State Party ensure the implementation of the Special Educational Needs Act 2016 does not result in regression in terms of the numbers of children with special needs who are supported and the level of support which they receive and that revised assessments of children with special needs are sufficiently robust and carried out within an expedited timeframe.  Furthermore, the State Party should ensure the pilot of appeal rights to the Special Educational Needs Tribunal for children under the compulsory school age is carried out expeditiously. </w:t>
      </w:r>
    </w:p>
    <w:p w:rsidR="00FA5218" w:rsidRDefault="00FA5218">
      <w:pPr>
        <w:pStyle w:val="BodyA"/>
        <w:spacing w:after="0" w:line="240" w:lineRule="auto"/>
      </w:pPr>
    </w:p>
    <w:p w:rsidR="00FA5218" w:rsidRDefault="00720B60">
      <w:pPr>
        <w:pStyle w:val="BodyA"/>
        <w:spacing w:after="0" w:line="240" w:lineRule="auto"/>
      </w:pPr>
      <w:r>
        <w:rPr>
          <w:rFonts w:ascii="Verdana" w:hAnsi="Verdana"/>
          <w:b/>
          <w:bCs/>
          <w:sz w:val="24"/>
          <w:szCs w:val="24"/>
          <w:lang w:val="en-US"/>
        </w:rPr>
        <w:t xml:space="preserve">Youth Justice Review </w:t>
      </w:r>
    </w:p>
    <w:p w:rsidR="00FA5218" w:rsidRDefault="00FA5218">
      <w:pPr>
        <w:pStyle w:val="BodyA"/>
        <w:spacing w:after="0" w:line="240" w:lineRule="auto"/>
      </w:pPr>
    </w:p>
    <w:p w:rsidR="00FA5218" w:rsidRDefault="00720B60">
      <w:pPr>
        <w:pStyle w:val="BodyA"/>
        <w:spacing w:after="0" w:line="240" w:lineRule="auto"/>
      </w:pPr>
      <w:r>
        <w:rPr>
          <w:rFonts w:ascii="Verdana" w:hAnsi="Verdana"/>
          <w:b/>
          <w:bCs/>
          <w:sz w:val="24"/>
          <w:szCs w:val="24"/>
          <w:lang w:val="en-US"/>
        </w:rPr>
        <w:t xml:space="preserve">The Committee invites the Committee to urge the State Party to ensure the effective implementation of the Youth Justice Review NI to ensure there is in place a comprehensive policy for juvenile justice which ensures a holistic approach to the prevention of juvenile delinquency and that children in conflict with the law are treated in line with their best interests and in ways that promote their reintegration and facilitates them assuming a constructive role in society. </w:t>
      </w:r>
    </w:p>
    <w:p w:rsidR="00FA5218" w:rsidRDefault="00FA5218">
      <w:pPr>
        <w:pStyle w:val="BodyA"/>
        <w:spacing w:after="0" w:line="240" w:lineRule="auto"/>
      </w:pPr>
    </w:p>
    <w:p w:rsidR="00FA5218" w:rsidRDefault="00720B60">
      <w:pPr>
        <w:pStyle w:val="BodyA"/>
        <w:spacing w:after="0" w:line="240" w:lineRule="auto"/>
      </w:pPr>
      <w:r>
        <w:rPr>
          <w:rFonts w:ascii="Verdana" w:hAnsi="Verdana"/>
          <w:b/>
          <w:bCs/>
          <w:sz w:val="24"/>
          <w:szCs w:val="24"/>
          <w:u w:color="444444"/>
          <w:lang w:val="en-US"/>
        </w:rPr>
        <w:t>Minimum age of criminal responsibility</w:t>
      </w:r>
    </w:p>
    <w:p w:rsidR="00FA5218" w:rsidRDefault="00FA5218">
      <w:pPr>
        <w:pStyle w:val="BodyA"/>
        <w:spacing w:after="0" w:line="240" w:lineRule="auto"/>
      </w:pPr>
      <w:bookmarkStart w:id="0" w:name="_GoBack"/>
      <w:bookmarkEnd w:id="0"/>
    </w:p>
    <w:p w:rsidR="00FA5218" w:rsidRDefault="00720B60">
      <w:pPr>
        <w:pStyle w:val="Default"/>
      </w:pPr>
      <w:r>
        <w:rPr>
          <w:b/>
          <w:bCs/>
        </w:rPr>
        <w:t xml:space="preserve">The Commission invites the Committee to ask the State party, including its devolved administrations, to take immediate action to increase the minimum age of criminal responsibility in Northern Ireland. </w:t>
      </w:r>
    </w:p>
    <w:p w:rsidR="00FA5218" w:rsidRDefault="00FA5218">
      <w:pPr>
        <w:pStyle w:val="BodyA"/>
        <w:spacing w:after="0" w:line="240" w:lineRule="auto"/>
      </w:pPr>
    </w:p>
    <w:p w:rsidR="00FA5218" w:rsidRDefault="00720B60">
      <w:pPr>
        <w:pStyle w:val="BodyA"/>
        <w:spacing w:after="0" w:line="240" w:lineRule="auto"/>
      </w:pPr>
      <w:r>
        <w:rPr>
          <w:rFonts w:ascii="Verdana" w:hAnsi="Verdana"/>
          <w:b/>
          <w:bCs/>
          <w:sz w:val="24"/>
          <w:szCs w:val="24"/>
          <w:lang w:val="en-US"/>
        </w:rPr>
        <w:t>Detention of Children</w:t>
      </w:r>
    </w:p>
    <w:p w:rsidR="00FA5218" w:rsidRDefault="00FA5218">
      <w:pPr>
        <w:pStyle w:val="BodyA"/>
        <w:spacing w:after="0" w:line="240" w:lineRule="auto"/>
      </w:pPr>
    </w:p>
    <w:p w:rsidR="00FA5218" w:rsidRDefault="00720B60">
      <w:pPr>
        <w:pStyle w:val="BodyA"/>
        <w:spacing w:after="0" w:line="240" w:lineRule="auto"/>
      </w:pPr>
      <w:r>
        <w:rPr>
          <w:rFonts w:ascii="Verdana" w:hAnsi="Verdana"/>
          <w:b/>
          <w:bCs/>
          <w:sz w:val="24"/>
          <w:szCs w:val="24"/>
          <w:lang w:val="en-US"/>
        </w:rPr>
        <w:t xml:space="preserve">The Commission invites the Committee to recommend that the NI Executive take immediate action to ensure that children are held in </w:t>
      </w:r>
      <w:proofErr w:type="spellStart"/>
      <w:r>
        <w:rPr>
          <w:rFonts w:ascii="Verdana" w:hAnsi="Verdana"/>
          <w:b/>
          <w:bCs/>
          <w:sz w:val="24"/>
          <w:szCs w:val="24"/>
          <w:lang w:val="en-US"/>
        </w:rPr>
        <w:t>pre trial</w:t>
      </w:r>
      <w:proofErr w:type="spellEnd"/>
      <w:r>
        <w:rPr>
          <w:rFonts w:ascii="Verdana" w:hAnsi="Verdana"/>
          <w:b/>
          <w:bCs/>
          <w:sz w:val="24"/>
          <w:szCs w:val="24"/>
          <w:lang w:val="en-US"/>
        </w:rPr>
        <w:t xml:space="preserve"> detention only in circumstances where it is a measure of last resort.</w:t>
      </w:r>
    </w:p>
    <w:p w:rsidR="00FA5218" w:rsidRDefault="00FA5218">
      <w:pPr>
        <w:pStyle w:val="BodyA"/>
        <w:spacing w:after="0" w:line="240" w:lineRule="auto"/>
      </w:pPr>
    </w:p>
    <w:p w:rsidR="00FA5218" w:rsidRDefault="00720B60">
      <w:pPr>
        <w:pStyle w:val="BodyA"/>
        <w:spacing w:after="0" w:line="240" w:lineRule="auto"/>
      </w:pPr>
      <w:r>
        <w:rPr>
          <w:rFonts w:ascii="Verdana" w:hAnsi="Verdana"/>
          <w:b/>
          <w:bCs/>
          <w:sz w:val="24"/>
          <w:szCs w:val="24"/>
          <w:lang w:val="en-US"/>
        </w:rPr>
        <w:t>Education in Detention</w:t>
      </w:r>
    </w:p>
    <w:p w:rsidR="00FA5218" w:rsidRDefault="00FA5218">
      <w:pPr>
        <w:pStyle w:val="BodyA"/>
        <w:spacing w:after="0" w:line="240" w:lineRule="auto"/>
      </w:pPr>
    </w:p>
    <w:p w:rsidR="00FA5218" w:rsidRDefault="00720B60">
      <w:pPr>
        <w:pStyle w:val="BodyA"/>
        <w:spacing w:after="0" w:line="240" w:lineRule="auto"/>
      </w:pPr>
      <w:r>
        <w:rPr>
          <w:rFonts w:ascii="Verdana" w:hAnsi="Verdana"/>
          <w:b/>
          <w:bCs/>
          <w:sz w:val="24"/>
          <w:szCs w:val="24"/>
          <w:lang w:val="en-US"/>
        </w:rPr>
        <w:t xml:space="preserve">The Committee may wish to recommend that the State Party ensures that every child detained in Northern Ireland of compulsory school age has the right to education suited to his/her needs and abilities, and designed to prepare him/her for return to society; in addition, every child should, when appropriate, receive vocational training in occupations likely to prepare him/her for future employment. </w:t>
      </w:r>
    </w:p>
    <w:p w:rsidR="00FA5218" w:rsidRDefault="00FA5218">
      <w:pPr>
        <w:pStyle w:val="BodyA"/>
        <w:spacing w:after="0" w:line="240" w:lineRule="auto"/>
      </w:pPr>
    </w:p>
    <w:p w:rsidR="00FA5218" w:rsidRDefault="00720B60">
      <w:pPr>
        <w:pStyle w:val="BodyA"/>
        <w:spacing w:after="0" w:line="240" w:lineRule="auto"/>
      </w:pPr>
      <w:r>
        <w:rPr>
          <w:rFonts w:ascii="Verdana" w:hAnsi="Verdana"/>
          <w:b/>
          <w:bCs/>
          <w:sz w:val="24"/>
          <w:szCs w:val="24"/>
          <w:lang w:val="en-US"/>
        </w:rPr>
        <w:t>Termination of Pregnancy</w:t>
      </w:r>
    </w:p>
    <w:p w:rsidR="00FA5218" w:rsidRDefault="00FA5218">
      <w:pPr>
        <w:pStyle w:val="BodyA"/>
        <w:spacing w:after="0" w:line="240" w:lineRule="auto"/>
      </w:pPr>
    </w:p>
    <w:p w:rsidR="00FA5218" w:rsidRDefault="00720B60">
      <w:pPr>
        <w:pStyle w:val="BodyA"/>
        <w:spacing w:after="0" w:line="240" w:lineRule="auto"/>
      </w:pPr>
      <w:r>
        <w:rPr>
          <w:rFonts w:ascii="Verdana" w:hAnsi="Verdana"/>
          <w:b/>
          <w:bCs/>
          <w:sz w:val="24"/>
          <w:szCs w:val="24"/>
          <w:lang w:val="en-US"/>
        </w:rPr>
        <w:t xml:space="preserve">The Committee may wish to recommend that the State Party takes immediate steps in Northern Ireland to decriminalize abortion in all circumstances and reviews its legislation with a view to ensuring children’s access to safe abortion and post-abortion care services; and ensure that the views of the pregnant girl are always heard and respected in abortion decisions, in line with the Committee recommendation relating to Ireland. </w:t>
      </w:r>
      <w:r>
        <w:rPr>
          <w:rFonts w:ascii="Verdana" w:eastAsia="Verdana" w:hAnsi="Verdana" w:cs="Verdana"/>
          <w:b/>
          <w:bCs/>
          <w:sz w:val="24"/>
          <w:szCs w:val="24"/>
          <w:vertAlign w:val="superscript"/>
          <w:lang w:val="en-US"/>
        </w:rPr>
        <w:footnoteReference w:id="4"/>
      </w:r>
    </w:p>
    <w:p w:rsidR="00FA5218" w:rsidRDefault="00FA5218">
      <w:pPr>
        <w:pStyle w:val="NoSpacing"/>
      </w:pPr>
    </w:p>
    <w:p w:rsidR="00FA5218" w:rsidRDefault="00FA5218">
      <w:pPr>
        <w:pStyle w:val="NoSpacing"/>
      </w:pPr>
    </w:p>
    <w:p w:rsidR="00FA5218" w:rsidRDefault="00FA5218">
      <w:pPr>
        <w:pStyle w:val="NoSpacing"/>
      </w:pPr>
    </w:p>
    <w:p w:rsidR="00720B60" w:rsidRDefault="00720B60">
      <w:pPr>
        <w:pStyle w:val="NoSpacing"/>
      </w:pPr>
    </w:p>
    <w:p w:rsidR="00720B60" w:rsidRDefault="00720B60">
      <w:pPr>
        <w:pStyle w:val="NoSpacing"/>
      </w:pPr>
    </w:p>
    <w:p w:rsidR="00720B60" w:rsidRDefault="00720B60">
      <w:pPr>
        <w:pStyle w:val="NoSpacing"/>
      </w:pPr>
    </w:p>
    <w:p w:rsidR="00720B60" w:rsidRDefault="00720B60">
      <w:pPr>
        <w:pStyle w:val="NoSpacing"/>
      </w:pPr>
    </w:p>
    <w:p w:rsidR="00720B60" w:rsidRDefault="00720B60">
      <w:pPr>
        <w:pStyle w:val="NoSpacing"/>
      </w:pPr>
    </w:p>
    <w:p w:rsidR="00720B60" w:rsidRDefault="00720B60">
      <w:pPr>
        <w:pStyle w:val="NoSpacing"/>
      </w:pPr>
    </w:p>
    <w:p w:rsidR="00720B60" w:rsidRDefault="00720B60">
      <w:pPr>
        <w:pStyle w:val="NoSpacing"/>
      </w:pPr>
    </w:p>
    <w:p w:rsidR="00720B60" w:rsidRDefault="00720B60">
      <w:pPr>
        <w:pStyle w:val="NoSpacing"/>
      </w:pPr>
    </w:p>
    <w:p w:rsidR="00720B60" w:rsidRDefault="00720B60">
      <w:pPr>
        <w:pStyle w:val="NoSpacing"/>
      </w:pPr>
    </w:p>
    <w:p w:rsidR="00720B60" w:rsidRDefault="00720B60">
      <w:pPr>
        <w:pStyle w:val="NoSpacing"/>
      </w:pPr>
    </w:p>
    <w:p w:rsidR="00720B60" w:rsidRDefault="00720B60">
      <w:pPr>
        <w:pStyle w:val="NoSpacing"/>
      </w:pPr>
    </w:p>
    <w:p w:rsidR="00FA5218" w:rsidRDefault="00FA5218">
      <w:pPr>
        <w:pStyle w:val="NoSpacing"/>
      </w:pPr>
    </w:p>
    <w:p w:rsidR="00FA5218" w:rsidRDefault="00720B60">
      <w:pPr>
        <w:pStyle w:val="NoSpacing"/>
      </w:pPr>
      <w:r>
        <w:rPr>
          <w:rFonts w:ascii="Verdana" w:hAnsi="Verdana"/>
          <w:b/>
          <w:bCs/>
          <w:sz w:val="24"/>
          <w:szCs w:val="24"/>
          <w:u w:val="single"/>
        </w:rPr>
        <w:lastRenderedPageBreak/>
        <w:t xml:space="preserve">Introduction </w:t>
      </w:r>
    </w:p>
    <w:p w:rsidR="00FA5218" w:rsidRDefault="00FA5218">
      <w:pPr>
        <w:pStyle w:val="BodyA"/>
        <w:spacing w:after="0" w:line="240" w:lineRule="auto"/>
      </w:pPr>
    </w:p>
    <w:p w:rsidR="00FA5218" w:rsidRDefault="00720B60">
      <w:pPr>
        <w:pStyle w:val="BodyA"/>
        <w:numPr>
          <w:ilvl w:val="0"/>
          <w:numId w:val="2"/>
        </w:numPr>
        <w:spacing w:after="0" w:line="240" w:lineRule="auto"/>
        <w:rPr>
          <w:rFonts w:ascii="Verdana" w:hAnsi="Verdana"/>
          <w:sz w:val="24"/>
          <w:szCs w:val="24"/>
          <w:lang w:val="en-US"/>
        </w:rPr>
      </w:pPr>
      <w:r>
        <w:rPr>
          <w:rStyle w:val="news-date"/>
          <w:rFonts w:ascii="Verdana" w:hAnsi="Verdana"/>
          <w:sz w:val="24"/>
          <w:szCs w:val="24"/>
        </w:rPr>
        <w:t>The Northern Ireland Human Rights Commission (the NIHRC) is a statutory public body established in 1999 to promote and protect human rights. In accordance with the Paris Principles the NIHRC reviews the adequacy and effectiveness of measures undertaken by the UK Government and NI Executive to promote and protect human rights, specifically within Northern Ireland (NI).</w:t>
      </w:r>
    </w:p>
    <w:p w:rsidR="00FA5218" w:rsidRDefault="00FA5218">
      <w:pPr>
        <w:pStyle w:val="BodyA"/>
        <w:spacing w:after="0" w:line="240" w:lineRule="auto"/>
      </w:pPr>
    </w:p>
    <w:p w:rsidR="00FA5218" w:rsidRDefault="00720B60">
      <w:pPr>
        <w:pStyle w:val="BodyA"/>
        <w:numPr>
          <w:ilvl w:val="0"/>
          <w:numId w:val="2"/>
        </w:numPr>
        <w:spacing w:after="0" w:line="240" w:lineRule="auto"/>
        <w:rPr>
          <w:rFonts w:ascii="Verdana" w:hAnsi="Verdana"/>
          <w:sz w:val="24"/>
          <w:szCs w:val="24"/>
          <w:lang w:val="en-US"/>
        </w:rPr>
      </w:pPr>
      <w:r>
        <w:rPr>
          <w:rStyle w:val="news-date"/>
          <w:rFonts w:ascii="Verdana" w:hAnsi="Verdana"/>
          <w:sz w:val="24"/>
          <w:szCs w:val="24"/>
        </w:rPr>
        <w:t xml:space="preserve">The NIHRC is one of the three </w:t>
      </w:r>
      <w:proofErr w:type="gramStart"/>
      <w:r>
        <w:rPr>
          <w:rStyle w:val="news-date"/>
          <w:rFonts w:ascii="Verdana" w:hAnsi="Verdana"/>
          <w:sz w:val="24"/>
          <w:szCs w:val="24"/>
        </w:rPr>
        <w:t>A</w:t>
      </w:r>
      <w:proofErr w:type="gramEnd"/>
      <w:r>
        <w:rPr>
          <w:rStyle w:val="news-date"/>
          <w:rFonts w:ascii="Verdana" w:hAnsi="Verdana"/>
          <w:sz w:val="24"/>
          <w:szCs w:val="24"/>
        </w:rPr>
        <w:t xml:space="preserve"> status National Human Rights Institutions in the United Kingdom (UK). The NIHRC’s mandate extends to all matters relating to the protection and promotion of human rights in Northern Ireland, both matters within the competence of the Northern Ireland Assembly and those within the competence of the Westminster Parliament. This submission relates to the protection of human rights in Northern Ireland. </w:t>
      </w:r>
    </w:p>
    <w:p w:rsidR="00FA5218" w:rsidRDefault="00FA5218">
      <w:pPr>
        <w:pStyle w:val="ListParagraph"/>
        <w:ind w:left="0"/>
      </w:pPr>
    </w:p>
    <w:p w:rsidR="00FA5218" w:rsidRDefault="00720B60">
      <w:pPr>
        <w:pStyle w:val="BodyA"/>
        <w:numPr>
          <w:ilvl w:val="0"/>
          <w:numId w:val="2"/>
        </w:numPr>
        <w:spacing w:after="0" w:line="240" w:lineRule="auto"/>
        <w:rPr>
          <w:rFonts w:ascii="Verdana" w:hAnsi="Verdana"/>
          <w:sz w:val="24"/>
          <w:szCs w:val="24"/>
          <w:lang w:val="en-US"/>
        </w:rPr>
      </w:pPr>
      <w:r>
        <w:rPr>
          <w:rStyle w:val="news-date"/>
          <w:rFonts w:ascii="Verdana" w:hAnsi="Verdana"/>
          <w:sz w:val="24"/>
          <w:szCs w:val="24"/>
        </w:rPr>
        <w:t>As part of the NIHRC’s engagement with the United Nations and Council of Europe treaty monitoring processes, it presents this submission regarding the UK’s Fifth Periodic Report on compliance with the UN Convention on the Rights of the Child (UN CRC) to the UN Committee on the Rights of the Child (the Committee). The Commission submitted to the Committee during the Committee’s 72nd session and has developed this submission in line with the List of Issues, taking into account the reply of the State Party.</w:t>
      </w:r>
    </w:p>
    <w:p w:rsidR="00FA5218" w:rsidRDefault="00FA5218">
      <w:pPr>
        <w:pStyle w:val="BodyA"/>
        <w:spacing w:after="0" w:line="240" w:lineRule="auto"/>
      </w:pPr>
    </w:p>
    <w:p w:rsidR="00FA5218" w:rsidRDefault="00720B60">
      <w:pPr>
        <w:pStyle w:val="BodyA"/>
        <w:spacing w:after="0" w:line="240" w:lineRule="auto"/>
      </w:pPr>
      <w:r>
        <w:rPr>
          <w:rFonts w:ascii="Verdana" w:hAnsi="Verdana"/>
          <w:b/>
          <w:bCs/>
          <w:sz w:val="24"/>
          <w:szCs w:val="24"/>
          <w:u w:val="single"/>
          <w:lang w:val="en-US"/>
        </w:rPr>
        <w:t>General measures of implementation (arts. 4, 42 and 44, para. 6, of the Convention)</w:t>
      </w:r>
    </w:p>
    <w:p w:rsidR="00FA5218" w:rsidRDefault="00FA5218">
      <w:pPr>
        <w:pStyle w:val="BodyA"/>
        <w:spacing w:after="0" w:line="240" w:lineRule="auto"/>
      </w:pPr>
    </w:p>
    <w:p w:rsidR="00FA5218" w:rsidRDefault="00720B60">
      <w:pPr>
        <w:pStyle w:val="BodyA"/>
        <w:spacing w:after="0" w:line="240" w:lineRule="auto"/>
      </w:pPr>
      <w:r>
        <w:rPr>
          <w:rFonts w:ascii="Verdana" w:hAnsi="Verdana"/>
          <w:b/>
          <w:bCs/>
          <w:sz w:val="24"/>
          <w:szCs w:val="24"/>
          <w:lang w:val="en-US"/>
        </w:rPr>
        <w:t xml:space="preserve">Human Rights Act 1998 </w:t>
      </w:r>
    </w:p>
    <w:p w:rsidR="00FA5218" w:rsidRDefault="00FA5218">
      <w:pPr>
        <w:pStyle w:val="BodyA"/>
        <w:spacing w:after="0" w:line="240" w:lineRule="auto"/>
      </w:pPr>
    </w:p>
    <w:p w:rsidR="00FA5218" w:rsidRDefault="00720B60">
      <w:pPr>
        <w:pStyle w:val="BodyA"/>
        <w:numPr>
          <w:ilvl w:val="0"/>
          <w:numId w:val="2"/>
        </w:numPr>
        <w:spacing w:after="0" w:line="240" w:lineRule="auto"/>
        <w:rPr>
          <w:rFonts w:ascii="Verdana" w:hAnsi="Verdana"/>
          <w:sz w:val="24"/>
          <w:szCs w:val="24"/>
          <w:lang w:val="en-US"/>
        </w:rPr>
      </w:pPr>
      <w:r>
        <w:rPr>
          <w:rStyle w:val="news-date"/>
          <w:rFonts w:ascii="Verdana" w:hAnsi="Verdana"/>
          <w:sz w:val="24"/>
          <w:szCs w:val="24"/>
        </w:rPr>
        <w:t>The Reply to the List of Issues reports that ‘detailed proposals’ to the reform the UK human rights framework, replacing the Human Rights Act 1998 (HRA), are in development.</w:t>
      </w:r>
      <w:r>
        <w:rPr>
          <w:rStyle w:val="FootnoteReference"/>
          <w:rFonts w:ascii="Verdana" w:eastAsia="Verdana" w:hAnsi="Verdana" w:cs="Verdana"/>
          <w:sz w:val="24"/>
          <w:szCs w:val="24"/>
        </w:rPr>
        <w:footnoteReference w:id="5"/>
      </w:r>
      <w:r>
        <w:rPr>
          <w:rStyle w:val="news-date"/>
          <w:rFonts w:ascii="Verdana" w:hAnsi="Verdana"/>
          <w:sz w:val="24"/>
          <w:szCs w:val="24"/>
        </w:rPr>
        <w:t xml:space="preserve"> Proposals have not been published at the time of writing.</w:t>
      </w:r>
    </w:p>
    <w:p w:rsidR="00FA5218" w:rsidRDefault="00FA5218">
      <w:pPr>
        <w:pStyle w:val="BodyA"/>
        <w:spacing w:after="0" w:line="240" w:lineRule="auto"/>
      </w:pPr>
    </w:p>
    <w:p w:rsidR="00FA5218" w:rsidRDefault="00720B60">
      <w:pPr>
        <w:pStyle w:val="BodyA"/>
        <w:numPr>
          <w:ilvl w:val="0"/>
          <w:numId w:val="3"/>
        </w:numPr>
        <w:spacing w:after="0" w:line="240" w:lineRule="auto"/>
        <w:rPr>
          <w:rFonts w:ascii="Verdana" w:hAnsi="Verdana"/>
        </w:rPr>
      </w:pPr>
      <w:r>
        <w:rPr>
          <w:rFonts w:ascii="Verdana" w:hAnsi="Verdana"/>
        </w:rPr>
        <w:t xml:space="preserve">The Justice </w:t>
      </w:r>
      <w:proofErr w:type="spellStart"/>
      <w:r>
        <w:rPr>
          <w:rFonts w:ascii="Verdana" w:hAnsi="Verdana"/>
        </w:rPr>
        <w:t>Secretary</w:t>
      </w:r>
      <w:proofErr w:type="spellEnd"/>
      <w:r>
        <w:rPr>
          <w:rFonts w:ascii="Verdana" w:hAnsi="Verdana"/>
        </w:rPr>
        <w:t xml:space="preserve"> Michael </w:t>
      </w:r>
      <w:proofErr w:type="spellStart"/>
      <w:r>
        <w:rPr>
          <w:rFonts w:ascii="Verdana" w:hAnsi="Verdana"/>
        </w:rPr>
        <w:t>Gove</w:t>
      </w:r>
      <w:proofErr w:type="spellEnd"/>
      <w:r>
        <w:rPr>
          <w:rFonts w:ascii="Verdana" w:hAnsi="Verdana"/>
        </w:rPr>
        <w:t xml:space="preserve"> MP in a </w:t>
      </w:r>
      <w:proofErr w:type="spellStart"/>
      <w:r>
        <w:rPr>
          <w:rFonts w:ascii="Verdana" w:hAnsi="Verdana"/>
        </w:rPr>
        <w:t>response</w:t>
      </w:r>
      <w:proofErr w:type="spellEnd"/>
      <w:r>
        <w:rPr>
          <w:rFonts w:ascii="Verdana" w:hAnsi="Verdana"/>
        </w:rPr>
        <w:t xml:space="preserve"> to Harriet Harman MP, Chair of the Joint </w:t>
      </w:r>
      <w:proofErr w:type="spellStart"/>
      <w:r>
        <w:rPr>
          <w:rFonts w:ascii="Verdana" w:hAnsi="Verdana"/>
        </w:rPr>
        <w:t>Committee</w:t>
      </w:r>
      <w:proofErr w:type="spellEnd"/>
      <w:r>
        <w:rPr>
          <w:rFonts w:ascii="Verdana" w:hAnsi="Verdana"/>
        </w:rPr>
        <w:t xml:space="preserve"> on </w:t>
      </w:r>
      <w:proofErr w:type="spellStart"/>
      <w:r>
        <w:rPr>
          <w:rFonts w:ascii="Verdana" w:hAnsi="Verdana"/>
        </w:rPr>
        <w:t>Human</w:t>
      </w:r>
      <w:proofErr w:type="spellEnd"/>
      <w:r>
        <w:rPr>
          <w:rFonts w:ascii="Verdana" w:hAnsi="Verdana"/>
        </w:rPr>
        <w:t xml:space="preserve"> </w:t>
      </w:r>
      <w:proofErr w:type="spellStart"/>
      <w:r>
        <w:rPr>
          <w:rFonts w:ascii="Verdana" w:hAnsi="Verdana"/>
        </w:rPr>
        <w:t>Rights</w:t>
      </w:r>
      <w:proofErr w:type="spellEnd"/>
      <w:r>
        <w:rPr>
          <w:rFonts w:ascii="Verdana" w:hAnsi="Verdana"/>
        </w:rPr>
        <w:t xml:space="preserve">, </w:t>
      </w:r>
      <w:proofErr w:type="spellStart"/>
      <w:r>
        <w:rPr>
          <w:rFonts w:ascii="Verdana" w:hAnsi="Verdana"/>
        </w:rPr>
        <w:t>stated</w:t>
      </w:r>
      <w:proofErr w:type="spellEnd"/>
      <w:r>
        <w:rPr>
          <w:rFonts w:ascii="Verdana" w:hAnsi="Verdana"/>
        </w:rPr>
        <w:t> :</w:t>
      </w:r>
    </w:p>
    <w:p w:rsidR="00FA5218" w:rsidRDefault="00720B60">
      <w:pPr>
        <w:pStyle w:val="ListParagraph"/>
        <w:spacing w:line="23" w:lineRule="atLeast"/>
      </w:pPr>
      <w:r>
        <w:rPr>
          <w:rFonts w:ascii="Verdana" w:hAnsi="Verdana"/>
        </w:rPr>
        <w:lastRenderedPageBreak/>
        <w:t>We have been clear that a Bill of Rights will remain faithful to the basic principles which we have signed up to in the European Convention on Human Rights (ECHR). We are confident that we make progress from within the ECHR...While we want to remain part of the ECHR we would not want to stay in at any cost and our plans are aligned to that objective.</w:t>
      </w:r>
      <w:r>
        <w:rPr>
          <w:rFonts w:ascii="Verdana" w:eastAsia="Verdana" w:hAnsi="Verdana" w:cs="Verdana"/>
          <w:vertAlign w:val="superscript"/>
        </w:rPr>
        <w:footnoteReference w:id="6"/>
      </w:r>
    </w:p>
    <w:p w:rsidR="00FA5218" w:rsidRDefault="00FA5218">
      <w:pPr>
        <w:pStyle w:val="Body"/>
        <w:spacing w:line="23" w:lineRule="atLeast"/>
      </w:pPr>
    </w:p>
    <w:p w:rsidR="00FA5218" w:rsidRDefault="00720B60">
      <w:pPr>
        <w:pStyle w:val="BodyA"/>
        <w:numPr>
          <w:ilvl w:val="0"/>
          <w:numId w:val="2"/>
        </w:numPr>
        <w:spacing w:after="0" w:line="240" w:lineRule="auto"/>
        <w:rPr>
          <w:rFonts w:ascii="Verdana" w:hAnsi="Verdana"/>
          <w:sz w:val="24"/>
          <w:szCs w:val="24"/>
        </w:rPr>
      </w:pPr>
      <w:r>
        <w:rPr>
          <w:rFonts w:ascii="Verdana" w:hAnsi="Verdana"/>
          <w:sz w:val="24"/>
          <w:szCs w:val="24"/>
        </w:rPr>
        <w:t xml:space="preserve">The EU and Justice </w:t>
      </w:r>
      <w:proofErr w:type="spellStart"/>
      <w:r>
        <w:rPr>
          <w:rFonts w:ascii="Verdana" w:hAnsi="Verdana"/>
          <w:sz w:val="24"/>
          <w:szCs w:val="24"/>
        </w:rPr>
        <w:t>Sub-Committee</w:t>
      </w:r>
      <w:proofErr w:type="spellEnd"/>
      <w:r>
        <w:rPr>
          <w:rFonts w:ascii="Verdana" w:hAnsi="Verdana"/>
          <w:sz w:val="24"/>
          <w:szCs w:val="24"/>
        </w:rPr>
        <w:t xml:space="preserve"> of the House of Lords </w:t>
      </w:r>
      <w:proofErr w:type="spellStart"/>
      <w:r>
        <w:rPr>
          <w:rFonts w:ascii="Verdana" w:hAnsi="Verdana"/>
          <w:sz w:val="24"/>
          <w:szCs w:val="24"/>
        </w:rPr>
        <w:t>is</w:t>
      </w:r>
      <w:proofErr w:type="spellEnd"/>
      <w:r>
        <w:rPr>
          <w:rFonts w:ascii="Verdana" w:hAnsi="Verdana"/>
          <w:sz w:val="24"/>
          <w:szCs w:val="24"/>
        </w:rPr>
        <w:t xml:space="preserve"> </w:t>
      </w:r>
      <w:proofErr w:type="spellStart"/>
      <w:r>
        <w:rPr>
          <w:rFonts w:ascii="Verdana" w:hAnsi="Verdana"/>
          <w:sz w:val="24"/>
          <w:szCs w:val="24"/>
        </w:rPr>
        <w:t>currently</w:t>
      </w:r>
      <w:proofErr w:type="spellEnd"/>
      <w:r>
        <w:rPr>
          <w:rFonts w:ascii="Verdana" w:hAnsi="Verdana"/>
          <w:sz w:val="24"/>
          <w:szCs w:val="24"/>
        </w:rPr>
        <w:t xml:space="preserve">  </w:t>
      </w:r>
      <w:proofErr w:type="spellStart"/>
      <w:r>
        <w:rPr>
          <w:rFonts w:ascii="Verdana" w:hAnsi="Verdana"/>
          <w:sz w:val="24"/>
          <w:szCs w:val="24"/>
        </w:rPr>
        <w:t>conducting</w:t>
      </w:r>
      <w:proofErr w:type="spellEnd"/>
      <w:r>
        <w:rPr>
          <w:rFonts w:ascii="Verdana" w:hAnsi="Verdana"/>
          <w:sz w:val="24"/>
          <w:szCs w:val="24"/>
        </w:rPr>
        <w:t xml:space="preserve"> an </w:t>
      </w:r>
      <w:proofErr w:type="spellStart"/>
      <w:r>
        <w:rPr>
          <w:rFonts w:ascii="Verdana" w:hAnsi="Verdana"/>
          <w:sz w:val="24"/>
          <w:szCs w:val="24"/>
        </w:rPr>
        <w:t>Inquiry</w:t>
      </w:r>
      <w:proofErr w:type="spellEnd"/>
      <w:r>
        <w:rPr>
          <w:rFonts w:ascii="Verdana" w:hAnsi="Verdana"/>
          <w:sz w:val="24"/>
          <w:szCs w:val="24"/>
        </w:rPr>
        <w:t xml:space="preserve"> </w:t>
      </w:r>
      <w:proofErr w:type="spellStart"/>
      <w:r>
        <w:rPr>
          <w:rFonts w:ascii="Verdana" w:hAnsi="Verdana"/>
          <w:sz w:val="24"/>
          <w:szCs w:val="24"/>
        </w:rPr>
        <w:t>into</w:t>
      </w:r>
      <w:proofErr w:type="spellEnd"/>
      <w:r>
        <w:rPr>
          <w:rFonts w:ascii="Verdana" w:hAnsi="Verdana"/>
          <w:sz w:val="24"/>
          <w:szCs w:val="24"/>
        </w:rPr>
        <w:t xml:space="preserve"> the </w:t>
      </w:r>
      <w:proofErr w:type="spellStart"/>
      <w:r>
        <w:rPr>
          <w:rFonts w:ascii="Verdana" w:hAnsi="Verdana"/>
          <w:sz w:val="24"/>
          <w:szCs w:val="24"/>
        </w:rPr>
        <w:t>potential</w:t>
      </w:r>
      <w:proofErr w:type="spellEnd"/>
      <w:r>
        <w:rPr>
          <w:rFonts w:ascii="Verdana" w:hAnsi="Verdana"/>
          <w:sz w:val="24"/>
          <w:szCs w:val="24"/>
        </w:rPr>
        <w:t xml:space="preserve"> impact of </w:t>
      </w:r>
      <w:proofErr w:type="spellStart"/>
      <w:r>
        <w:rPr>
          <w:rFonts w:ascii="Verdana" w:hAnsi="Verdana"/>
          <w:sz w:val="24"/>
          <w:szCs w:val="24"/>
        </w:rPr>
        <w:t>repealing</w:t>
      </w:r>
      <w:proofErr w:type="spellEnd"/>
      <w:r>
        <w:rPr>
          <w:rFonts w:ascii="Verdana" w:hAnsi="Verdana"/>
          <w:sz w:val="24"/>
          <w:szCs w:val="24"/>
        </w:rPr>
        <w:t xml:space="preserve"> the </w:t>
      </w:r>
      <w:proofErr w:type="spellStart"/>
      <w:r>
        <w:rPr>
          <w:rFonts w:ascii="Verdana" w:hAnsi="Verdana"/>
          <w:sz w:val="24"/>
          <w:szCs w:val="24"/>
        </w:rPr>
        <w:t>Human</w:t>
      </w:r>
      <w:proofErr w:type="spellEnd"/>
      <w:r>
        <w:rPr>
          <w:rFonts w:ascii="Verdana" w:hAnsi="Verdana"/>
          <w:sz w:val="24"/>
          <w:szCs w:val="24"/>
        </w:rPr>
        <w:t xml:space="preserve"> </w:t>
      </w:r>
      <w:proofErr w:type="spellStart"/>
      <w:r>
        <w:rPr>
          <w:rFonts w:ascii="Verdana" w:hAnsi="Verdana"/>
          <w:sz w:val="24"/>
          <w:szCs w:val="24"/>
        </w:rPr>
        <w:t>Rights</w:t>
      </w:r>
      <w:proofErr w:type="spellEnd"/>
      <w:r>
        <w:rPr>
          <w:rFonts w:ascii="Verdana" w:hAnsi="Verdana"/>
          <w:sz w:val="24"/>
          <w:szCs w:val="24"/>
        </w:rPr>
        <w:t xml:space="preserve"> </w:t>
      </w:r>
      <w:proofErr w:type="spellStart"/>
      <w:r>
        <w:rPr>
          <w:rFonts w:ascii="Verdana" w:hAnsi="Verdana"/>
          <w:sz w:val="24"/>
          <w:szCs w:val="24"/>
        </w:rPr>
        <w:t>Act</w:t>
      </w:r>
      <w:proofErr w:type="spellEnd"/>
      <w:r>
        <w:rPr>
          <w:rFonts w:ascii="Verdana" w:hAnsi="Verdana"/>
          <w:sz w:val="24"/>
          <w:szCs w:val="24"/>
        </w:rPr>
        <w:t xml:space="preserve"> </w:t>
      </w:r>
      <w:proofErr w:type="spellStart"/>
      <w:r>
        <w:rPr>
          <w:rFonts w:ascii="Verdana" w:hAnsi="Verdana"/>
          <w:sz w:val="24"/>
          <w:szCs w:val="24"/>
        </w:rPr>
        <w:t>on</w:t>
      </w:r>
      <w:proofErr w:type="spellEnd"/>
      <w:r>
        <w:rPr>
          <w:rFonts w:ascii="Verdana" w:hAnsi="Verdana"/>
          <w:sz w:val="24"/>
          <w:szCs w:val="24"/>
        </w:rPr>
        <w:t xml:space="preserve"> EU Law.</w:t>
      </w:r>
      <w:r>
        <w:rPr>
          <w:rStyle w:val="FootnoteReference"/>
          <w:rFonts w:ascii="Verdana" w:eastAsia="Verdana" w:hAnsi="Verdana" w:cs="Verdana"/>
          <w:sz w:val="24"/>
          <w:szCs w:val="24"/>
        </w:rPr>
        <w:footnoteReference w:id="7"/>
      </w:r>
      <w:r>
        <w:rPr>
          <w:rFonts w:ascii="Verdana" w:hAnsi="Verdana"/>
          <w:sz w:val="24"/>
          <w:szCs w:val="24"/>
        </w:rPr>
        <w:t xml:space="preserve"> </w:t>
      </w:r>
      <w:r>
        <w:rPr>
          <w:rStyle w:val="news-date"/>
          <w:rFonts w:ascii="Verdana" w:hAnsi="Verdana"/>
          <w:sz w:val="24"/>
          <w:szCs w:val="24"/>
        </w:rPr>
        <w:t>T</w:t>
      </w:r>
      <w:proofErr w:type="spellStart"/>
      <w:r>
        <w:rPr>
          <w:rFonts w:ascii="Verdana" w:hAnsi="Verdana"/>
          <w:sz w:val="24"/>
          <w:szCs w:val="24"/>
        </w:rPr>
        <w:t>he</w:t>
      </w:r>
      <w:proofErr w:type="spellEnd"/>
      <w:r>
        <w:rPr>
          <w:rFonts w:ascii="Verdana" w:hAnsi="Verdana"/>
          <w:sz w:val="24"/>
          <w:szCs w:val="24"/>
        </w:rPr>
        <w:t xml:space="preserve"> Justice </w:t>
      </w:r>
      <w:proofErr w:type="spellStart"/>
      <w:r>
        <w:rPr>
          <w:rFonts w:ascii="Verdana" w:hAnsi="Verdana"/>
          <w:sz w:val="24"/>
          <w:szCs w:val="24"/>
        </w:rPr>
        <w:t>Secretary</w:t>
      </w:r>
      <w:proofErr w:type="spellEnd"/>
      <w:r>
        <w:rPr>
          <w:rFonts w:ascii="Verdana" w:hAnsi="Verdana"/>
          <w:sz w:val="24"/>
          <w:szCs w:val="24"/>
        </w:rPr>
        <w:t xml:space="preserve"> Michael </w:t>
      </w:r>
      <w:proofErr w:type="spellStart"/>
      <w:r>
        <w:rPr>
          <w:rFonts w:ascii="Verdana" w:hAnsi="Verdana"/>
          <w:sz w:val="24"/>
          <w:szCs w:val="24"/>
        </w:rPr>
        <w:t>Gove</w:t>
      </w:r>
      <w:proofErr w:type="spellEnd"/>
      <w:r>
        <w:rPr>
          <w:rFonts w:ascii="Verdana" w:hAnsi="Verdana"/>
          <w:sz w:val="24"/>
          <w:szCs w:val="24"/>
        </w:rPr>
        <w:t xml:space="preserve"> MP gave </w:t>
      </w:r>
      <w:proofErr w:type="spellStart"/>
      <w:r>
        <w:rPr>
          <w:rFonts w:ascii="Verdana" w:hAnsi="Verdana"/>
          <w:sz w:val="24"/>
          <w:szCs w:val="24"/>
        </w:rPr>
        <w:t>evidence</w:t>
      </w:r>
      <w:proofErr w:type="spellEnd"/>
      <w:r>
        <w:rPr>
          <w:rFonts w:ascii="Verdana" w:hAnsi="Verdana"/>
          <w:sz w:val="24"/>
          <w:szCs w:val="24"/>
        </w:rPr>
        <w:t xml:space="preserve"> to the </w:t>
      </w:r>
      <w:proofErr w:type="spellStart"/>
      <w:r>
        <w:rPr>
          <w:rFonts w:ascii="Verdana" w:hAnsi="Verdana"/>
          <w:sz w:val="24"/>
          <w:szCs w:val="24"/>
        </w:rPr>
        <w:t>Committee</w:t>
      </w:r>
      <w:proofErr w:type="spellEnd"/>
      <w:r>
        <w:rPr>
          <w:rFonts w:ascii="Verdana" w:hAnsi="Verdana"/>
          <w:sz w:val="24"/>
          <w:szCs w:val="24"/>
        </w:rPr>
        <w:t xml:space="preserve"> in </w:t>
      </w:r>
      <w:proofErr w:type="spellStart"/>
      <w:r>
        <w:rPr>
          <w:rFonts w:ascii="Verdana" w:hAnsi="Verdana"/>
          <w:sz w:val="24"/>
          <w:szCs w:val="24"/>
        </w:rPr>
        <w:t>February</w:t>
      </w:r>
      <w:proofErr w:type="spellEnd"/>
      <w:r>
        <w:rPr>
          <w:rFonts w:ascii="Verdana" w:hAnsi="Verdana"/>
          <w:sz w:val="24"/>
          <w:szCs w:val="24"/>
        </w:rPr>
        <w:t xml:space="preserve"> 2016 and </w:t>
      </w:r>
      <w:proofErr w:type="spellStart"/>
      <w:r>
        <w:rPr>
          <w:rFonts w:ascii="Verdana" w:hAnsi="Verdana"/>
          <w:sz w:val="24"/>
          <w:szCs w:val="24"/>
        </w:rPr>
        <w:t>indicated</w:t>
      </w:r>
      <w:proofErr w:type="spellEnd"/>
      <w:r>
        <w:rPr>
          <w:rFonts w:ascii="Verdana" w:hAnsi="Verdana"/>
          <w:sz w:val="24"/>
          <w:szCs w:val="24"/>
        </w:rPr>
        <w:t xml:space="preserve"> a </w:t>
      </w:r>
      <w:proofErr w:type="spellStart"/>
      <w:r>
        <w:rPr>
          <w:rFonts w:ascii="Verdana" w:hAnsi="Verdana"/>
          <w:sz w:val="24"/>
          <w:szCs w:val="24"/>
        </w:rPr>
        <w:t>number</w:t>
      </w:r>
      <w:proofErr w:type="spellEnd"/>
      <w:r>
        <w:rPr>
          <w:rFonts w:ascii="Verdana" w:hAnsi="Verdana"/>
          <w:sz w:val="24"/>
          <w:szCs w:val="24"/>
        </w:rPr>
        <w:t xml:space="preserve"> of the </w:t>
      </w:r>
      <w:proofErr w:type="spellStart"/>
      <w:r>
        <w:rPr>
          <w:rFonts w:ascii="Verdana" w:hAnsi="Verdana"/>
          <w:sz w:val="24"/>
          <w:szCs w:val="24"/>
        </w:rPr>
        <w:t>underlying</w:t>
      </w:r>
      <w:proofErr w:type="spellEnd"/>
      <w:r>
        <w:rPr>
          <w:rFonts w:ascii="Verdana" w:hAnsi="Verdana"/>
          <w:sz w:val="24"/>
          <w:szCs w:val="24"/>
        </w:rPr>
        <w:t xml:space="preserve"> </w:t>
      </w:r>
      <w:proofErr w:type="spellStart"/>
      <w:r>
        <w:rPr>
          <w:rFonts w:ascii="Verdana" w:hAnsi="Verdana"/>
          <w:sz w:val="24"/>
          <w:szCs w:val="24"/>
        </w:rPr>
        <w:t>reasons</w:t>
      </w:r>
      <w:proofErr w:type="spellEnd"/>
      <w:r>
        <w:rPr>
          <w:rFonts w:ascii="Verdana" w:hAnsi="Verdana"/>
          <w:sz w:val="24"/>
          <w:szCs w:val="24"/>
        </w:rPr>
        <w:t xml:space="preserve"> for </w:t>
      </w:r>
      <w:proofErr w:type="spellStart"/>
      <w:r>
        <w:rPr>
          <w:rFonts w:ascii="Verdana" w:hAnsi="Verdana"/>
          <w:sz w:val="24"/>
          <w:szCs w:val="24"/>
        </w:rPr>
        <w:t>seeking</w:t>
      </w:r>
      <w:proofErr w:type="spellEnd"/>
      <w:r>
        <w:rPr>
          <w:rFonts w:ascii="Verdana" w:hAnsi="Verdana"/>
          <w:sz w:val="24"/>
          <w:szCs w:val="24"/>
        </w:rPr>
        <w:t xml:space="preserve"> to </w:t>
      </w:r>
      <w:proofErr w:type="spellStart"/>
      <w:r>
        <w:rPr>
          <w:rFonts w:ascii="Verdana" w:hAnsi="Verdana"/>
          <w:sz w:val="24"/>
          <w:szCs w:val="24"/>
        </w:rPr>
        <w:t>repeal</w:t>
      </w:r>
      <w:proofErr w:type="spellEnd"/>
      <w:r>
        <w:rPr>
          <w:rFonts w:ascii="Verdana" w:hAnsi="Verdana"/>
          <w:sz w:val="24"/>
          <w:szCs w:val="24"/>
        </w:rPr>
        <w:t xml:space="preserve"> the </w:t>
      </w:r>
      <w:proofErr w:type="spellStart"/>
      <w:r>
        <w:rPr>
          <w:rFonts w:ascii="Verdana" w:hAnsi="Verdana"/>
          <w:sz w:val="24"/>
          <w:szCs w:val="24"/>
        </w:rPr>
        <w:t>Human</w:t>
      </w:r>
      <w:proofErr w:type="spellEnd"/>
      <w:r>
        <w:rPr>
          <w:rFonts w:ascii="Verdana" w:hAnsi="Verdana"/>
          <w:sz w:val="24"/>
          <w:szCs w:val="24"/>
        </w:rPr>
        <w:t xml:space="preserve"> </w:t>
      </w:r>
      <w:proofErr w:type="spellStart"/>
      <w:r>
        <w:rPr>
          <w:rFonts w:ascii="Verdana" w:hAnsi="Verdana"/>
          <w:sz w:val="24"/>
          <w:szCs w:val="24"/>
        </w:rPr>
        <w:t>Rights</w:t>
      </w:r>
      <w:proofErr w:type="spellEnd"/>
      <w:r>
        <w:rPr>
          <w:rFonts w:ascii="Verdana" w:hAnsi="Verdana"/>
          <w:sz w:val="24"/>
          <w:szCs w:val="24"/>
        </w:rPr>
        <w:t xml:space="preserve"> </w:t>
      </w:r>
      <w:proofErr w:type="spellStart"/>
      <w:r>
        <w:rPr>
          <w:rFonts w:ascii="Verdana" w:hAnsi="Verdana"/>
          <w:sz w:val="24"/>
          <w:szCs w:val="24"/>
        </w:rPr>
        <w:t>Act</w:t>
      </w:r>
      <w:proofErr w:type="spellEnd"/>
      <w:r>
        <w:rPr>
          <w:rFonts w:ascii="Verdana" w:hAnsi="Verdana"/>
          <w:sz w:val="24"/>
          <w:szCs w:val="24"/>
        </w:rPr>
        <w:t xml:space="preserve">. </w:t>
      </w:r>
      <w:proofErr w:type="spellStart"/>
      <w:r>
        <w:rPr>
          <w:rFonts w:ascii="Verdana" w:hAnsi="Verdana"/>
          <w:sz w:val="24"/>
          <w:szCs w:val="24"/>
        </w:rPr>
        <w:t>These</w:t>
      </w:r>
      <w:proofErr w:type="spellEnd"/>
      <w:r>
        <w:rPr>
          <w:rFonts w:ascii="Verdana" w:hAnsi="Verdana"/>
          <w:sz w:val="24"/>
          <w:szCs w:val="24"/>
        </w:rPr>
        <w:t xml:space="preserve"> </w:t>
      </w:r>
      <w:proofErr w:type="spellStart"/>
      <w:r>
        <w:rPr>
          <w:rFonts w:ascii="Verdana" w:hAnsi="Verdana"/>
          <w:sz w:val="24"/>
          <w:szCs w:val="24"/>
        </w:rPr>
        <w:t>included</w:t>
      </w:r>
      <w:proofErr w:type="spellEnd"/>
      <w:r>
        <w:rPr>
          <w:rFonts w:ascii="Verdana" w:hAnsi="Verdana"/>
          <w:sz w:val="24"/>
          <w:szCs w:val="24"/>
        </w:rPr>
        <w:t xml:space="preserve"> the </w:t>
      </w:r>
      <w:proofErr w:type="spellStart"/>
      <w:r>
        <w:rPr>
          <w:rFonts w:ascii="Verdana" w:hAnsi="Verdana"/>
          <w:sz w:val="24"/>
          <w:szCs w:val="24"/>
        </w:rPr>
        <w:t>status</w:t>
      </w:r>
      <w:proofErr w:type="spellEnd"/>
      <w:r>
        <w:rPr>
          <w:rFonts w:ascii="Verdana" w:hAnsi="Verdana"/>
          <w:sz w:val="24"/>
          <w:szCs w:val="24"/>
        </w:rPr>
        <w:t xml:space="preserve"> of the jurisprudence of the </w:t>
      </w:r>
      <w:proofErr w:type="spellStart"/>
      <w:r>
        <w:rPr>
          <w:rFonts w:ascii="Verdana" w:hAnsi="Verdana"/>
          <w:sz w:val="24"/>
          <w:szCs w:val="24"/>
        </w:rPr>
        <w:t>European</w:t>
      </w:r>
      <w:proofErr w:type="spellEnd"/>
      <w:r>
        <w:rPr>
          <w:rFonts w:ascii="Verdana" w:hAnsi="Verdana"/>
          <w:sz w:val="24"/>
          <w:szCs w:val="24"/>
        </w:rPr>
        <w:t xml:space="preserve"> Court of </w:t>
      </w:r>
      <w:proofErr w:type="spellStart"/>
      <w:r>
        <w:rPr>
          <w:rFonts w:ascii="Verdana" w:hAnsi="Verdana"/>
          <w:sz w:val="24"/>
          <w:szCs w:val="24"/>
        </w:rPr>
        <w:t>Human</w:t>
      </w:r>
      <w:proofErr w:type="spellEnd"/>
      <w:r>
        <w:rPr>
          <w:rFonts w:ascii="Verdana" w:hAnsi="Verdana"/>
          <w:sz w:val="24"/>
          <w:szCs w:val="24"/>
        </w:rPr>
        <w:t xml:space="preserve"> </w:t>
      </w:r>
      <w:proofErr w:type="spellStart"/>
      <w:r>
        <w:rPr>
          <w:rFonts w:ascii="Verdana" w:hAnsi="Verdana"/>
          <w:sz w:val="24"/>
          <w:szCs w:val="24"/>
        </w:rPr>
        <w:t>Rights</w:t>
      </w:r>
      <w:proofErr w:type="spellEnd"/>
      <w:r>
        <w:rPr>
          <w:rFonts w:ascii="Verdana" w:hAnsi="Verdana"/>
          <w:sz w:val="24"/>
          <w:szCs w:val="24"/>
        </w:rPr>
        <w:t xml:space="preserve"> in </w:t>
      </w:r>
      <w:proofErr w:type="spellStart"/>
      <w:r>
        <w:rPr>
          <w:rFonts w:ascii="Verdana" w:hAnsi="Verdana"/>
          <w:sz w:val="24"/>
          <w:szCs w:val="24"/>
        </w:rPr>
        <w:t>domestic</w:t>
      </w:r>
      <w:proofErr w:type="spellEnd"/>
      <w:r>
        <w:rPr>
          <w:rFonts w:ascii="Verdana" w:hAnsi="Verdana"/>
          <w:sz w:val="24"/>
          <w:szCs w:val="24"/>
        </w:rPr>
        <w:t xml:space="preserve"> courts, the </w:t>
      </w:r>
      <w:proofErr w:type="spellStart"/>
      <w:r>
        <w:rPr>
          <w:rFonts w:ascii="Verdana" w:hAnsi="Verdana"/>
          <w:sz w:val="24"/>
          <w:szCs w:val="24"/>
        </w:rPr>
        <w:t>extra-territorial</w:t>
      </w:r>
      <w:proofErr w:type="spellEnd"/>
      <w:r>
        <w:rPr>
          <w:rFonts w:ascii="Verdana" w:hAnsi="Verdana"/>
          <w:sz w:val="24"/>
          <w:szCs w:val="24"/>
        </w:rPr>
        <w:t xml:space="preserve"> </w:t>
      </w:r>
      <w:proofErr w:type="spellStart"/>
      <w:r>
        <w:rPr>
          <w:rFonts w:ascii="Verdana" w:hAnsi="Verdana"/>
          <w:sz w:val="24"/>
          <w:szCs w:val="24"/>
        </w:rPr>
        <w:t>effect</w:t>
      </w:r>
      <w:proofErr w:type="spellEnd"/>
      <w:r>
        <w:rPr>
          <w:rFonts w:ascii="Verdana" w:hAnsi="Verdana"/>
          <w:sz w:val="24"/>
          <w:szCs w:val="24"/>
        </w:rPr>
        <w:t xml:space="preserve"> of </w:t>
      </w:r>
      <w:proofErr w:type="spellStart"/>
      <w:r>
        <w:rPr>
          <w:rFonts w:ascii="Verdana" w:hAnsi="Verdana"/>
          <w:sz w:val="24"/>
          <w:szCs w:val="24"/>
        </w:rPr>
        <w:t>human</w:t>
      </w:r>
      <w:proofErr w:type="spellEnd"/>
      <w:r>
        <w:rPr>
          <w:rFonts w:ascii="Verdana" w:hAnsi="Verdana"/>
          <w:sz w:val="24"/>
          <w:szCs w:val="24"/>
        </w:rPr>
        <w:t xml:space="preserve"> </w:t>
      </w:r>
      <w:proofErr w:type="spellStart"/>
      <w:r>
        <w:rPr>
          <w:rFonts w:ascii="Verdana" w:hAnsi="Verdana"/>
          <w:sz w:val="24"/>
          <w:szCs w:val="24"/>
        </w:rPr>
        <w:t>rights</w:t>
      </w:r>
      <w:proofErr w:type="spellEnd"/>
      <w:r>
        <w:rPr>
          <w:rFonts w:ascii="Verdana" w:hAnsi="Verdana"/>
          <w:sz w:val="24"/>
          <w:szCs w:val="24"/>
        </w:rPr>
        <w:t xml:space="preserve"> and the </w:t>
      </w:r>
      <w:proofErr w:type="spellStart"/>
      <w:r>
        <w:rPr>
          <w:rFonts w:ascii="Verdana" w:hAnsi="Verdana"/>
          <w:sz w:val="24"/>
          <w:szCs w:val="24"/>
        </w:rPr>
        <w:t>desire</w:t>
      </w:r>
      <w:proofErr w:type="spellEnd"/>
      <w:r>
        <w:rPr>
          <w:rFonts w:ascii="Verdana" w:hAnsi="Verdana"/>
          <w:sz w:val="24"/>
          <w:szCs w:val="24"/>
        </w:rPr>
        <w:t xml:space="preserve"> to </w:t>
      </w:r>
      <w:proofErr w:type="spellStart"/>
      <w:r>
        <w:rPr>
          <w:rFonts w:ascii="Verdana" w:hAnsi="Verdana"/>
          <w:sz w:val="24"/>
          <w:szCs w:val="24"/>
        </w:rPr>
        <w:t>be</w:t>
      </w:r>
      <w:proofErr w:type="spellEnd"/>
      <w:r>
        <w:rPr>
          <w:rFonts w:ascii="Verdana" w:hAnsi="Verdana"/>
          <w:sz w:val="24"/>
          <w:szCs w:val="24"/>
        </w:rPr>
        <w:t xml:space="preserve"> able to </w:t>
      </w:r>
      <w:proofErr w:type="spellStart"/>
      <w:r>
        <w:rPr>
          <w:rFonts w:ascii="Verdana" w:hAnsi="Verdana"/>
          <w:sz w:val="24"/>
          <w:szCs w:val="24"/>
        </w:rPr>
        <w:t>emphasise</w:t>
      </w:r>
      <w:proofErr w:type="spellEnd"/>
      <w:r>
        <w:rPr>
          <w:rFonts w:ascii="Verdana" w:hAnsi="Verdana"/>
          <w:sz w:val="24"/>
          <w:szCs w:val="24"/>
        </w:rPr>
        <w:t xml:space="preserve"> the importance of one right over </w:t>
      </w:r>
      <w:proofErr w:type="spellStart"/>
      <w:r>
        <w:rPr>
          <w:rFonts w:ascii="Verdana" w:hAnsi="Verdana"/>
          <w:sz w:val="24"/>
          <w:szCs w:val="24"/>
        </w:rPr>
        <w:t>another</w:t>
      </w:r>
      <w:proofErr w:type="spellEnd"/>
      <w:r>
        <w:rPr>
          <w:rFonts w:ascii="Verdana" w:hAnsi="Verdana"/>
          <w:sz w:val="24"/>
          <w:szCs w:val="24"/>
        </w:rPr>
        <w:t>.</w:t>
      </w:r>
      <w:r>
        <w:rPr>
          <w:rStyle w:val="FootnoteReference"/>
          <w:rFonts w:ascii="Verdana" w:eastAsia="Verdana" w:hAnsi="Verdana" w:cs="Verdana"/>
          <w:sz w:val="24"/>
          <w:szCs w:val="24"/>
        </w:rPr>
        <w:footnoteReference w:id="8"/>
      </w:r>
    </w:p>
    <w:p w:rsidR="00FA5218" w:rsidRDefault="00FA5218">
      <w:pPr>
        <w:pStyle w:val="ListParagraph"/>
        <w:ind w:left="0"/>
      </w:pPr>
    </w:p>
    <w:p w:rsidR="00FA5218" w:rsidRDefault="00720B60">
      <w:pPr>
        <w:pStyle w:val="BodyA"/>
        <w:numPr>
          <w:ilvl w:val="0"/>
          <w:numId w:val="2"/>
        </w:numPr>
        <w:spacing w:after="0" w:line="240" w:lineRule="auto"/>
        <w:rPr>
          <w:rFonts w:ascii="Verdana" w:hAnsi="Verdana"/>
          <w:sz w:val="24"/>
          <w:szCs w:val="24"/>
          <w:lang w:val="en-US"/>
        </w:rPr>
      </w:pPr>
      <w:r>
        <w:rPr>
          <w:rStyle w:val="news-date"/>
          <w:rFonts w:ascii="Verdana" w:hAnsi="Verdana"/>
          <w:sz w:val="24"/>
          <w:szCs w:val="24"/>
        </w:rPr>
        <w:t>The three UK national human rights institutions issued a joint statement to the UN Human Rights Committee setting out the value of the HRA as:</w:t>
      </w:r>
    </w:p>
    <w:p w:rsidR="00FA5218" w:rsidRDefault="00FA5218">
      <w:pPr>
        <w:pStyle w:val="BodyA"/>
        <w:spacing w:after="0" w:line="240" w:lineRule="auto"/>
      </w:pPr>
    </w:p>
    <w:p w:rsidR="00FA5218" w:rsidRDefault="00720B60">
      <w:pPr>
        <w:pStyle w:val="BodyA"/>
        <w:spacing w:after="0" w:line="240" w:lineRule="auto"/>
        <w:ind w:left="720"/>
      </w:pPr>
      <w:r>
        <w:rPr>
          <w:rFonts w:ascii="Verdana" w:hAnsi="Verdana"/>
          <w:sz w:val="24"/>
          <w:szCs w:val="24"/>
          <w:lang w:val="en-US"/>
        </w:rPr>
        <w:t>providing essential protection to everyone in the United Kingdom enabling fundamental rights to be enforced in domestic courts…the HRA is well crafted and both reflects and is embedded in the constitutional arrangements for the UK.  In particular, it maintains parliamentary sovereignty, a primary role for domestic courts in the interpretation of the ECHR and is central to arrangements for devolution in NI, Wales and Scotland.</w:t>
      </w:r>
      <w:r>
        <w:rPr>
          <w:rFonts w:ascii="Verdana" w:eastAsia="Verdana" w:hAnsi="Verdana" w:cs="Verdana"/>
          <w:i/>
          <w:iCs/>
          <w:sz w:val="24"/>
          <w:szCs w:val="24"/>
          <w:vertAlign w:val="superscript"/>
          <w:lang w:val="en-US"/>
        </w:rPr>
        <w:footnoteReference w:id="9"/>
      </w:r>
    </w:p>
    <w:p w:rsidR="00FA5218" w:rsidRDefault="00FA5218">
      <w:pPr>
        <w:pStyle w:val="Body"/>
      </w:pPr>
    </w:p>
    <w:p w:rsidR="00FA5218" w:rsidRDefault="00720B60">
      <w:pPr>
        <w:pStyle w:val="ListParagraph"/>
        <w:numPr>
          <w:ilvl w:val="0"/>
          <w:numId w:val="2"/>
        </w:numPr>
        <w:rPr>
          <w:rFonts w:ascii="Verdana" w:hAnsi="Verdana"/>
        </w:rPr>
      </w:pPr>
      <w:r>
        <w:rPr>
          <w:rFonts w:ascii="Verdana" w:hAnsi="Verdana"/>
        </w:rPr>
        <w:t>The Belfast (Good Friday) Agreement was agreed in April 1998. It is a treaty between the UK and Ireland and is lodged at the UN. Therein, the UK Government outlines its intention to incorporate into NI law the ECHR “with direct access to the courts, and remedies for breach of the Convention, including power for the courts to overrule [NI] Assembly legislation on grounds of inconsistency”.</w:t>
      </w:r>
      <w:r>
        <w:rPr>
          <w:rFonts w:ascii="Verdana" w:eastAsia="Verdana" w:hAnsi="Verdana" w:cs="Verdana"/>
          <w:vertAlign w:val="superscript"/>
        </w:rPr>
        <w:footnoteReference w:id="10"/>
      </w:r>
      <w:r>
        <w:rPr>
          <w:rFonts w:ascii="Verdana" w:hAnsi="Verdana"/>
        </w:rPr>
        <w:t xml:space="preserve"> The HRA, incorporating the ECHR, came into force in October 2000.</w:t>
      </w:r>
    </w:p>
    <w:p w:rsidR="00FA5218" w:rsidRDefault="00FA5218">
      <w:pPr>
        <w:pStyle w:val="ListParagraph"/>
        <w:ind w:left="0"/>
      </w:pPr>
    </w:p>
    <w:p w:rsidR="00FA5218" w:rsidRDefault="00720B60">
      <w:pPr>
        <w:pStyle w:val="ListParagraph"/>
        <w:numPr>
          <w:ilvl w:val="0"/>
          <w:numId w:val="2"/>
        </w:numPr>
        <w:rPr>
          <w:rFonts w:ascii="Verdana" w:hAnsi="Verdana"/>
        </w:rPr>
      </w:pPr>
      <w:r>
        <w:rPr>
          <w:rFonts w:ascii="Verdana" w:hAnsi="Verdana"/>
        </w:rPr>
        <w:lastRenderedPageBreak/>
        <w:t>The subsequent St Andrews Agreement 2006 reaffirmed that human rights and equality are at the heart of the new dispensation in NI,</w:t>
      </w:r>
      <w:r>
        <w:rPr>
          <w:rFonts w:ascii="Verdana" w:eastAsia="Verdana" w:hAnsi="Verdana" w:cs="Verdana"/>
          <w:vertAlign w:val="superscript"/>
        </w:rPr>
        <w:footnoteReference w:id="11"/>
      </w:r>
      <w:r>
        <w:rPr>
          <w:rFonts w:ascii="Verdana" w:hAnsi="Verdana"/>
        </w:rPr>
        <w:t xml:space="preserve"> and the recent Stormont House Agreement 2014 confirmed that future measures on parades and inquests will comply with the ECHR.</w:t>
      </w:r>
      <w:r>
        <w:rPr>
          <w:rFonts w:ascii="Verdana" w:eastAsia="Verdana" w:hAnsi="Verdana" w:cs="Verdana"/>
          <w:vertAlign w:val="superscript"/>
        </w:rPr>
        <w:footnoteReference w:id="12"/>
      </w:r>
    </w:p>
    <w:p w:rsidR="00FA5218" w:rsidRDefault="00FA5218">
      <w:pPr>
        <w:pStyle w:val="ListParagraph"/>
        <w:ind w:left="0"/>
      </w:pPr>
    </w:p>
    <w:p w:rsidR="00FA5218" w:rsidRDefault="00720B60">
      <w:pPr>
        <w:pStyle w:val="ListParagraph"/>
        <w:numPr>
          <w:ilvl w:val="0"/>
          <w:numId w:val="2"/>
        </w:numPr>
        <w:rPr>
          <w:rFonts w:ascii="Verdana" w:hAnsi="Verdana"/>
        </w:rPr>
      </w:pPr>
      <w:r>
        <w:rPr>
          <w:rFonts w:ascii="Verdana" w:hAnsi="Verdana"/>
        </w:rPr>
        <w:t xml:space="preserve">The Commission and the Irish Human Rights and Equality Commission made a joint presentation to the House of the </w:t>
      </w:r>
      <w:proofErr w:type="spellStart"/>
      <w:r>
        <w:rPr>
          <w:rFonts w:ascii="Verdana" w:hAnsi="Verdana"/>
        </w:rPr>
        <w:t>Oireachtas</w:t>
      </w:r>
      <w:proofErr w:type="spellEnd"/>
      <w:r>
        <w:rPr>
          <w:rFonts w:ascii="Verdana" w:hAnsi="Verdana"/>
        </w:rPr>
        <w:t xml:space="preserve"> Joint Committee on the Implementation of the Good Friday/Belfast Agreement relating to the proposals. In his evidence to the Committee the Chief Commissioner </w:t>
      </w:r>
      <w:proofErr w:type="spellStart"/>
      <w:r>
        <w:rPr>
          <w:rFonts w:ascii="Verdana" w:hAnsi="Verdana"/>
        </w:rPr>
        <w:t>emphasised</w:t>
      </w:r>
      <w:proofErr w:type="spellEnd"/>
      <w:r>
        <w:rPr>
          <w:rFonts w:ascii="Verdana" w:hAnsi="Verdana"/>
        </w:rPr>
        <w:t xml:space="preserve"> the centrality of the HRA to the Belfast (Good Friday) Agreement stating:</w:t>
      </w:r>
    </w:p>
    <w:p w:rsidR="00FA5218" w:rsidRDefault="00FA5218">
      <w:pPr>
        <w:pStyle w:val="BodyA"/>
        <w:spacing w:after="0" w:line="240" w:lineRule="auto"/>
      </w:pPr>
    </w:p>
    <w:p w:rsidR="00FA5218" w:rsidRDefault="00720B60">
      <w:pPr>
        <w:pStyle w:val="BodyA"/>
        <w:spacing w:after="0" w:line="240" w:lineRule="auto"/>
        <w:ind w:left="720"/>
      </w:pPr>
      <w:r>
        <w:rPr>
          <w:rFonts w:ascii="Verdana" w:hAnsi="Verdana"/>
          <w:sz w:val="24"/>
          <w:szCs w:val="24"/>
          <w:lang w:val="en-US"/>
        </w:rPr>
        <w:t>In effect, human rights protection and compliance has been a cornerstone of the Belfast/Good Friday Agreement and subsequent agreements. Attempts to dilute the role of the European Court of Human Rights and the European Court of Human Rights jurisprudence, runs counter to the Belfast/Good Friday Agreement. The Commission believes that any legislative proposals should not undermine the commitments contained within the Belfast/Good Friday Agreement.</w:t>
      </w:r>
      <w:r>
        <w:rPr>
          <w:rFonts w:ascii="Verdana" w:eastAsia="Verdana" w:hAnsi="Verdana" w:cs="Verdana"/>
          <w:sz w:val="24"/>
          <w:szCs w:val="24"/>
          <w:vertAlign w:val="superscript"/>
          <w:lang w:val="en-US"/>
        </w:rPr>
        <w:footnoteReference w:id="13"/>
      </w:r>
    </w:p>
    <w:p w:rsidR="00FA5218" w:rsidRDefault="00FA5218">
      <w:pPr>
        <w:pStyle w:val="BodyA"/>
        <w:spacing w:after="0" w:line="240" w:lineRule="auto"/>
      </w:pPr>
    </w:p>
    <w:p w:rsidR="00FA5218" w:rsidRDefault="00720B60">
      <w:pPr>
        <w:pStyle w:val="BodyA"/>
        <w:numPr>
          <w:ilvl w:val="0"/>
          <w:numId w:val="2"/>
        </w:numPr>
        <w:spacing w:after="0" w:line="240" w:lineRule="auto"/>
        <w:rPr>
          <w:rFonts w:ascii="Verdana" w:hAnsi="Verdana"/>
          <w:sz w:val="24"/>
          <w:szCs w:val="24"/>
          <w:lang w:val="en-US"/>
        </w:rPr>
      </w:pPr>
      <w:r>
        <w:rPr>
          <w:rStyle w:val="news-date"/>
          <w:rFonts w:ascii="Verdana" w:hAnsi="Verdana"/>
          <w:sz w:val="24"/>
          <w:szCs w:val="24"/>
        </w:rPr>
        <w:t>Following its examination of the UK in 2015, the UN Human Rights Committee recommended that the UK:</w:t>
      </w:r>
    </w:p>
    <w:p w:rsidR="00FA5218" w:rsidRDefault="00FA5218">
      <w:pPr>
        <w:pStyle w:val="BodyA"/>
        <w:spacing w:after="0" w:line="240" w:lineRule="auto"/>
      </w:pPr>
    </w:p>
    <w:p w:rsidR="00FA5218" w:rsidRDefault="00720B60">
      <w:pPr>
        <w:pStyle w:val="BodyA"/>
        <w:spacing w:after="0" w:line="240" w:lineRule="auto"/>
        <w:ind w:left="720"/>
      </w:pPr>
      <w:r>
        <w:rPr>
          <w:rStyle w:val="None"/>
          <w:rFonts w:ascii="Verdana" w:hAnsi="Verdana"/>
          <w:sz w:val="24"/>
          <w:szCs w:val="24"/>
          <w:lang w:val="en-US"/>
        </w:rPr>
        <w:t xml:space="preserve">Ensure that any legislation passed </w:t>
      </w:r>
      <w:r>
        <w:rPr>
          <w:rStyle w:val="None"/>
          <w:rFonts w:ascii="Verdana" w:hAnsi="Verdana"/>
          <w:i/>
          <w:iCs/>
          <w:sz w:val="24"/>
          <w:szCs w:val="24"/>
          <w:lang w:val="en-US"/>
        </w:rPr>
        <w:t xml:space="preserve">in lieu </w:t>
      </w:r>
      <w:r>
        <w:rPr>
          <w:rStyle w:val="None"/>
          <w:rFonts w:ascii="Verdana" w:hAnsi="Verdana"/>
          <w:sz w:val="24"/>
          <w:szCs w:val="24"/>
          <w:lang w:val="en-US"/>
        </w:rPr>
        <w:t>of the Human Rights Act 1998, were such legislation to be passed, would be aimed at strengthening the status of international human rights, including the provisions of the Covenant, in the domestic legal order and provide effective protection of those rights across all jurisdictions.</w:t>
      </w:r>
      <w:r>
        <w:rPr>
          <w:rStyle w:val="None"/>
          <w:rFonts w:ascii="Verdana" w:eastAsia="Verdana" w:hAnsi="Verdana" w:cs="Verdana"/>
          <w:sz w:val="24"/>
          <w:szCs w:val="24"/>
          <w:vertAlign w:val="superscript"/>
          <w:lang w:val="en-US"/>
        </w:rPr>
        <w:footnoteReference w:id="14"/>
      </w:r>
    </w:p>
    <w:p w:rsidR="00FA5218" w:rsidRDefault="00FA5218">
      <w:pPr>
        <w:pStyle w:val="BodyA"/>
        <w:spacing w:after="0" w:line="240" w:lineRule="auto"/>
      </w:pPr>
    </w:p>
    <w:p w:rsidR="00FA5218" w:rsidRDefault="00720B60">
      <w:pPr>
        <w:pStyle w:val="BodyA"/>
        <w:numPr>
          <w:ilvl w:val="0"/>
          <w:numId w:val="4"/>
        </w:numPr>
        <w:spacing w:after="0" w:line="240" w:lineRule="auto"/>
        <w:rPr>
          <w:rFonts w:ascii="Verdana" w:hAnsi="Verdana"/>
          <w:b/>
          <w:bCs/>
          <w:sz w:val="24"/>
          <w:szCs w:val="24"/>
          <w:lang w:val="en-US"/>
        </w:rPr>
      </w:pPr>
      <w:r>
        <w:rPr>
          <w:rStyle w:val="news-date"/>
          <w:rFonts w:ascii="Verdana" w:hAnsi="Verdana"/>
          <w:b/>
          <w:bCs/>
          <w:sz w:val="24"/>
          <w:szCs w:val="24"/>
        </w:rPr>
        <w:t xml:space="preserve">The Committee may wish to recommend that any legislation introduced to replace the Human Rights Act 1998, were such legislation to be passed, should be aimed at building on existing human rights, </w:t>
      </w:r>
      <w:proofErr w:type="spellStart"/>
      <w:r>
        <w:rPr>
          <w:rStyle w:val="news-date"/>
          <w:rFonts w:ascii="Verdana" w:hAnsi="Verdana"/>
          <w:b/>
          <w:bCs/>
          <w:sz w:val="24"/>
          <w:szCs w:val="24"/>
        </w:rPr>
        <w:t>recognise</w:t>
      </w:r>
      <w:proofErr w:type="spellEnd"/>
      <w:r>
        <w:rPr>
          <w:rStyle w:val="news-date"/>
          <w:rFonts w:ascii="Verdana" w:hAnsi="Verdana"/>
          <w:b/>
          <w:bCs/>
          <w:sz w:val="24"/>
          <w:szCs w:val="24"/>
        </w:rPr>
        <w:t xml:space="preserve"> the standing of the Belfast (Good Friday) Agreement as an international treaty and provide effective protection of those rights across all jurisdictions and further recommend that the process of adoption should ensure the full and effective participation of children.</w:t>
      </w:r>
    </w:p>
    <w:p w:rsidR="00FA5218" w:rsidRDefault="00FA5218">
      <w:pPr>
        <w:pStyle w:val="BodyA"/>
        <w:spacing w:after="0" w:line="240" w:lineRule="auto"/>
      </w:pPr>
    </w:p>
    <w:p w:rsidR="00FA5218" w:rsidRDefault="00FA5218">
      <w:pPr>
        <w:pStyle w:val="BodyA"/>
        <w:spacing w:after="0" w:line="240" w:lineRule="auto"/>
      </w:pPr>
    </w:p>
    <w:p w:rsidR="00FA5218" w:rsidRDefault="00720B60">
      <w:pPr>
        <w:pStyle w:val="BodyA"/>
        <w:spacing w:after="0" w:line="240" w:lineRule="auto"/>
      </w:pPr>
      <w:r>
        <w:rPr>
          <w:rStyle w:val="None"/>
          <w:rFonts w:ascii="Verdana" w:hAnsi="Verdana"/>
          <w:b/>
          <w:bCs/>
          <w:sz w:val="24"/>
          <w:szCs w:val="24"/>
          <w:lang w:val="en-US"/>
        </w:rPr>
        <w:t xml:space="preserve">Bill of Rights for NI </w:t>
      </w:r>
    </w:p>
    <w:p w:rsidR="00FA5218" w:rsidRDefault="00FA5218">
      <w:pPr>
        <w:pStyle w:val="BodyA"/>
        <w:spacing w:after="0" w:line="240" w:lineRule="auto"/>
      </w:pPr>
    </w:p>
    <w:p w:rsidR="00FA5218" w:rsidRDefault="00720B60">
      <w:pPr>
        <w:pStyle w:val="BodyA"/>
        <w:numPr>
          <w:ilvl w:val="0"/>
          <w:numId w:val="4"/>
        </w:numPr>
        <w:spacing w:after="0" w:line="240" w:lineRule="auto"/>
        <w:rPr>
          <w:rFonts w:ascii="Verdana" w:hAnsi="Verdana"/>
          <w:b/>
          <w:bCs/>
          <w:sz w:val="24"/>
          <w:szCs w:val="24"/>
          <w:lang w:val="en-US"/>
        </w:rPr>
      </w:pPr>
      <w:r>
        <w:rPr>
          <w:rStyle w:val="news-date"/>
          <w:rFonts w:ascii="Verdana" w:hAnsi="Verdana"/>
          <w:b/>
          <w:bCs/>
          <w:sz w:val="24"/>
          <w:szCs w:val="24"/>
        </w:rPr>
        <w:t xml:space="preserve"> </w:t>
      </w:r>
      <w:r>
        <w:rPr>
          <w:rStyle w:val="None"/>
          <w:rFonts w:ascii="Verdana" w:hAnsi="Verdana"/>
          <w:sz w:val="24"/>
          <w:szCs w:val="24"/>
          <w:lang w:val="en-US"/>
        </w:rPr>
        <w:t>As required by the Belfast (Good Friday) Agreement and the NI Act 1998, the Commission provided advice to the UK Government on a Bill of Rights for NI in 2008. On receipt of its advice the NIO sought views from the public by way of a public consultation.</w:t>
      </w:r>
      <w:r>
        <w:rPr>
          <w:rStyle w:val="None"/>
          <w:rFonts w:ascii="Verdana" w:eastAsia="Verdana" w:hAnsi="Verdana" w:cs="Verdana"/>
          <w:sz w:val="24"/>
          <w:szCs w:val="24"/>
          <w:vertAlign w:val="superscript"/>
          <w:lang w:val="en-US"/>
        </w:rPr>
        <w:footnoteReference w:id="15"/>
      </w:r>
    </w:p>
    <w:p w:rsidR="00FA5218" w:rsidRDefault="00FA5218">
      <w:pPr>
        <w:pStyle w:val="BodyA"/>
        <w:spacing w:after="0" w:line="240" w:lineRule="auto"/>
      </w:pPr>
    </w:p>
    <w:p w:rsidR="00FA5218" w:rsidRDefault="00720B60">
      <w:pPr>
        <w:pStyle w:val="BodyA"/>
        <w:numPr>
          <w:ilvl w:val="0"/>
          <w:numId w:val="4"/>
        </w:numPr>
        <w:spacing w:after="0" w:line="240" w:lineRule="auto"/>
        <w:rPr>
          <w:rFonts w:ascii="Verdana" w:hAnsi="Verdana"/>
          <w:b/>
          <w:bCs/>
          <w:sz w:val="24"/>
          <w:szCs w:val="24"/>
          <w:lang w:val="en-US"/>
        </w:rPr>
      </w:pPr>
      <w:r>
        <w:rPr>
          <w:rStyle w:val="None"/>
          <w:rFonts w:ascii="Verdana" w:hAnsi="Verdana"/>
          <w:sz w:val="24"/>
          <w:szCs w:val="24"/>
          <w:lang w:val="en-US"/>
        </w:rPr>
        <w:t xml:space="preserve">In December 2010 the Minister of State within the NIO reported that there was: </w:t>
      </w:r>
    </w:p>
    <w:p w:rsidR="00FA5218" w:rsidRDefault="00FA5218">
      <w:pPr>
        <w:pStyle w:val="BodyA"/>
        <w:spacing w:after="0" w:line="240" w:lineRule="auto"/>
        <w:ind w:left="720"/>
      </w:pPr>
    </w:p>
    <w:p w:rsidR="00FA5218" w:rsidRDefault="00720B60">
      <w:pPr>
        <w:pStyle w:val="BodyA"/>
        <w:spacing w:after="0" w:line="240" w:lineRule="auto"/>
        <w:ind w:left="720"/>
      </w:pPr>
      <w:proofErr w:type="gramStart"/>
      <w:r>
        <w:rPr>
          <w:rStyle w:val="None"/>
          <w:rFonts w:ascii="Verdana" w:hAnsi="Verdana"/>
          <w:sz w:val="24"/>
          <w:szCs w:val="24"/>
          <w:lang w:val="en-US"/>
        </w:rPr>
        <w:t>considerable</w:t>
      </w:r>
      <w:proofErr w:type="gramEnd"/>
      <w:r>
        <w:rPr>
          <w:rStyle w:val="None"/>
          <w:rFonts w:ascii="Verdana" w:hAnsi="Verdana"/>
          <w:sz w:val="24"/>
          <w:szCs w:val="24"/>
          <w:lang w:val="en-US"/>
        </w:rPr>
        <w:t xml:space="preserve"> support from human rights and community groups for a wide-ranging Bill of Rights along the lines of that recommended by the NI Human Rights Commission.</w:t>
      </w:r>
      <w:r>
        <w:rPr>
          <w:rStyle w:val="None"/>
          <w:rFonts w:ascii="Verdana" w:eastAsia="Verdana" w:hAnsi="Verdana" w:cs="Verdana"/>
          <w:sz w:val="24"/>
          <w:szCs w:val="24"/>
          <w:vertAlign w:val="superscript"/>
          <w:lang w:val="en-US"/>
        </w:rPr>
        <w:footnoteReference w:id="16"/>
      </w:r>
    </w:p>
    <w:p w:rsidR="00FA5218" w:rsidRDefault="00FA5218">
      <w:pPr>
        <w:pStyle w:val="BodyA"/>
        <w:spacing w:after="0" w:line="240" w:lineRule="auto"/>
      </w:pPr>
    </w:p>
    <w:p w:rsidR="00FA5218" w:rsidRDefault="00720B60">
      <w:pPr>
        <w:pStyle w:val="BodyA"/>
        <w:numPr>
          <w:ilvl w:val="0"/>
          <w:numId w:val="2"/>
        </w:numPr>
        <w:spacing w:after="0" w:line="240" w:lineRule="auto"/>
        <w:rPr>
          <w:rFonts w:ascii="Verdana" w:hAnsi="Verdana"/>
          <w:sz w:val="24"/>
          <w:szCs w:val="24"/>
          <w:lang w:val="en-US"/>
        </w:rPr>
      </w:pPr>
      <w:r>
        <w:rPr>
          <w:rStyle w:val="news-date"/>
          <w:rFonts w:ascii="Verdana" w:hAnsi="Verdana"/>
          <w:sz w:val="24"/>
          <w:szCs w:val="24"/>
        </w:rPr>
        <w:t>Since 2010 it has been consistently stated that there has been a lack of political consensus around a Bill of Rights for NI.</w:t>
      </w:r>
      <w:r>
        <w:rPr>
          <w:rStyle w:val="FootnoteReference"/>
          <w:rFonts w:ascii="Verdana" w:eastAsia="Verdana" w:hAnsi="Verdana" w:cs="Verdana"/>
          <w:sz w:val="24"/>
          <w:szCs w:val="24"/>
        </w:rPr>
        <w:footnoteReference w:id="17"/>
      </w:r>
      <w:r>
        <w:rPr>
          <w:rStyle w:val="news-date"/>
          <w:rFonts w:ascii="Verdana" w:hAnsi="Verdana"/>
          <w:sz w:val="24"/>
          <w:szCs w:val="24"/>
        </w:rPr>
        <w:t xml:space="preserve"> The Commission reported on the absence of any significant development to progress a Bill of Rights for NI in its earlier submission.</w:t>
      </w:r>
    </w:p>
    <w:p w:rsidR="00FA5218" w:rsidRDefault="00FA5218">
      <w:pPr>
        <w:pStyle w:val="BodyA"/>
        <w:spacing w:after="0" w:line="240" w:lineRule="auto"/>
      </w:pPr>
    </w:p>
    <w:p w:rsidR="00FA5218" w:rsidRDefault="00720B60">
      <w:pPr>
        <w:pStyle w:val="BodyA"/>
        <w:numPr>
          <w:ilvl w:val="0"/>
          <w:numId w:val="2"/>
        </w:numPr>
        <w:spacing w:after="0" w:line="240" w:lineRule="auto"/>
        <w:rPr>
          <w:rFonts w:ascii="Verdana" w:hAnsi="Verdana"/>
          <w:sz w:val="24"/>
          <w:szCs w:val="24"/>
          <w:lang w:val="en-US"/>
        </w:rPr>
      </w:pPr>
      <w:r>
        <w:rPr>
          <w:rStyle w:val="news-date"/>
          <w:rFonts w:ascii="Verdana" w:hAnsi="Verdana"/>
          <w:sz w:val="24"/>
          <w:szCs w:val="24"/>
        </w:rPr>
        <w:t>In 2015 the Commission updated the UN Human Rights Committee on the lack of progress in relation to a Bill of Rights for NI. The UN Human Rights Committee subsequently expressed concern:</w:t>
      </w:r>
    </w:p>
    <w:p w:rsidR="00FA5218" w:rsidRDefault="00FA5218">
      <w:pPr>
        <w:pStyle w:val="BodyA"/>
        <w:spacing w:after="0" w:line="240" w:lineRule="auto"/>
      </w:pPr>
    </w:p>
    <w:p w:rsidR="00FA5218" w:rsidRDefault="00720B60">
      <w:pPr>
        <w:pStyle w:val="BodyA"/>
        <w:spacing w:after="0" w:line="240" w:lineRule="auto"/>
        <w:ind w:left="720"/>
      </w:pPr>
      <w:proofErr w:type="gramStart"/>
      <w:r>
        <w:rPr>
          <w:rStyle w:val="None"/>
          <w:rFonts w:ascii="Verdana" w:hAnsi="Verdana"/>
          <w:sz w:val="24"/>
          <w:szCs w:val="24"/>
          <w:lang w:val="en-US"/>
        </w:rPr>
        <w:t>about</w:t>
      </w:r>
      <w:proofErr w:type="gramEnd"/>
      <w:r>
        <w:rPr>
          <w:rStyle w:val="None"/>
          <w:rFonts w:ascii="Verdana" w:hAnsi="Verdana"/>
          <w:sz w:val="24"/>
          <w:szCs w:val="24"/>
          <w:lang w:val="en-US"/>
        </w:rPr>
        <w:t xml:space="preserve"> the slow progress in introducing the Bill of Rights for Northern Ireland and about the lack of a comprehensive mechanism for the review of existing gaps and inconsistencies between the domestic human rights legal framework and the rights covered in the Covenant. </w:t>
      </w:r>
      <w:r>
        <w:rPr>
          <w:rStyle w:val="None"/>
          <w:rFonts w:ascii="Verdana" w:eastAsia="Verdana" w:hAnsi="Verdana" w:cs="Verdana"/>
          <w:sz w:val="24"/>
          <w:szCs w:val="24"/>
          <w:vertAlign w:val="superscript"/>
          <w:lang w:val="en-US"/>
        </w:rPr>
        <w:footnoteReference w:id="18"/>
      </w:r>
    </w:p>
    <w:p w:rsidR="00FA5218" w:rsidRDefault="00FA5218">
      <w:pPr>
        <w:pStyle w:val="BodyA"/>
        <w:spacing w:after="0" w:line="240" w:lineRule="auto"/>
      </w:pPr>
    </w:p>
    <w:p w:rsidR="00FA5218" w:rsidRDefault="00720B60">
      <w:pPr>
        <w:pStyle w:val="BodyA"/>
        <w:numPr>
          <w:ilvl w:val="0"/>
          <w:numId w:val="2"/>
        </w:numPr>
        <w:spacing w:after="0" w:line="240" w:lineRule="auto"/>
        <w:rPr>
          <w:rFonts w:ascii="Verdana" w:hAnsi="Verdana"/>
          <w:sz w:val="24"/>
          <w:szCs w:val="24"/>
          <w:lang w:val="en-US"/>
        </w:rPr>
      </w:pPr>
      <w:r>
        <w:rPr>
          <w:rStyle w:val="news-date"/>
          <w:rFonts w:ascii="Verdana" w:hAnsi="Verdana"/>
          <w:sz w:val="24"/>
          <w:szCs w:val="24"/>
        </w:rPr>
        <w:t>The Committee recommended that the State Party:</w:t>
      </w:r>
    </w:p>
    <w:p w:rsidR="00FA5218" w:rsidRDefault="00720B60">
      <w:pPr>
        <w:pStyle w:val="BodyA"/>
        <w:spacing w:after="0" w:line="240" w:lineRule="auto"/>
      </w:pPr>
      <w:r>
        <w:rPr>
          <w:rStyle w:val="None"/>
          <w:rFonts w:ascii="Verdana" w:hAnsi="Verdana"/>
          <w:sz w:val="24"/>
          <w:szCs w:val="24"/>
          <w:lang w:val="en-US"/>
        </w:rPr>
        <w:t>Ensure that the Bill of Rights for Northern Ireland incorporates all the rights enshrined in the Covenant and expedite the process of its adoption.</w:t>
      </w:r>
      <w:r>
        <w:rPr>
          <w:rStyle w:val="None"/>
          <w:rFonts w:ascii="Verdana" w:eastAsia="Verdana" w:hAnsi="Verdana" w:cs="Verdana"/>
          <w:sz w:val="24"/>
          <w:szCs w:val="24"/>
          <w:vertAlign w:val="superscript"/>
          <w:lang w:val="en-US"/>
        </w:rPr>
        <w:footnoteReference w:id="19"/>
      </w:r>
    </w:p>
    <w:p w:rsidR="00FA5218" w:rsidRDefault="00FA5218">
      <w:pPr>
        <w:pStyle w:val="BodyA"/>
        <w:spacing w:after="0" w:line="240" w:lineRule="auto"/>
      </w:pPr>
    </w:p>
    <w:p w:rsidR="00FA5218" w:rsidRDefault="00720B60">
      <w:pPr>
        <w:pStyle w:val="BodyA"/>
        <w:numPr>
          <w:ilvl w:val="0"/>
          <w:numId w:val="4"/>
        </w:numPr>
        <w:spacing w:after="0" w:line="240" w:lineRule="auto"/>
        <w:rPr>
          <w:rFonts w:ascii="Verdana" w:hAnsi="Verdana"/>
          <w:b/>
          <w:bCs/>
          <w:sz w:val="24"/>
          <w:szCs w:val="24"/>
          <w:lang w:val="en-US"/>
        </w:rPr>
      </w:pPr>
      <w:r>
        <w:rPr>
          <w:rStyle w:val="news-date"/>
          <w:rFonts w:ascii="Verdana" w:hAnsi="Verdana"/>
          <w:b/>
          <w:bCs/>
          <w:sz w:val="24"/>
          <w:szCs w:val="24"/>
        </w:rPr>
        <w:t xml:space="preserve">The Committee may wish to seek an update from the State Party on measures it has taken to progress the adoption of a Bill of Rights for Northern Ireland. </w:t>
      </w:r>
    </w:p>
    <w:p w:rsidR="00FA5218" w:rsidRDefault="00FA5218">
      <w:pPr>
        <w:pStyle w:val="BodyA"/>
        <w:spacing w:after="0" w:line="240" w:lineRule="auto"/>
      </w:pPr>
    </w:p>
    <w:p w:rsidR="00FA5218" w:rsidRDefault="00FA5218">
      <w:pPr>
        <w:pStyle w:val="BodyA"/>
        <w:spacing w:after="0" w:line="240" w:lineRule="auto"/>
      </w:pPr>
    </w:p>
    <w:p w:rsidR="00FA5218" w:rsidRDefault="00720B60">
      <w:pPr>
        <w:pStyle w:val="BodyA"/>
        <w:spacing w:after="0" w:line="240" w:lineRule="auto"/>
      </w:pPr>
      <w:r>
        <w:rPr>
          <w:rStyle w:val="None"/>
          <w:rFonts w:ascii="Verdana" w:hAnsi="Verdana"/>
          <w:b/>
          <w:bCs/>
          <w:sz w:val="24"/>
          <w:szCs w:val="24"/>
          <w:lang w:val="en-US"/>
        </w:rPr>
        <w:lastRenderedPageBreak/>
        <w:t>Legislative Framework</w:t>
      </w:r>
    </w:p>
    <w:p w:rsidR="00FA5218" w:rsidRDefault="00FA5218">
      <w:pPr>
        <w:pStyle w:val="BodyA"/>
        <w:spacing w:after="0" w:line="240" w:lineRule="auto"/>
      </w:pPr>
    </w:p>
    <w:p w:rsidR="00FA5218" w:rsidRDefault="00720B60">
      <w:pPr>
        <w:pStyle w:val="BodyA"/>
        <w:numPr>
          <w:ilvl w:val="0"/>
          <w:numId w:val="4"/>
        </w:numPr>
        <w:spacing w:after="0" w:line="240" w:lineRule="auto"/>
        <w:rPr>
          <w:rFonts w:ascii="Verdana" w:hAnsi="Verdana"/>
          <w:b/>
          <w:bCs/>
          <w:sz w:val="24"/>
          <w:szCs w:val="24"/>
        </w:rPr>
      </w:pPr>
      <w:r>
        <w:rPr>
          <w:rStyle w:val="None"/>
          <w:rFonts w:ascii="Verdana" w:hAnsi="Verdana"/>
          <w:sz w:val="24"/>
          <w:szCs w:val="24"/>
        </w:rPr>
        <w:t xml:space="preserve">The </w:t>
      </w:r>
      <w:proofErr w:type="spellStart"/>
      <w:r>
        <w:rPr>
          <w:rStyle w:val="None"/>
          <w:rFonts w:ascii="Verdana" w:hAnsi="Verdana"/>
          <w:sz w:val="24"/>
          <w:szCs w:val="24"/>
        </w:rPr>
        <w:t>Children</w:t>
      </w:r>
      <w:proofErr w:type="spellEnd"/>
      <w:r>
        <w:rPr>
          <w:rStyle w:val="None"/>
          <w:rFonts w:ascii="Verdana" w:hAnsi="Verdana"/>
          <w:sz w:val="24"/>
          <w:szCs w:val="24"/>
        </w:rPr>
        <w:t xml:space="preserve"> (NI) </w:t>
      </w:r>
      <w:proofErr w:type="spellStart"/>
      <w:r>
        <w:rPr>
          <w:rStyle w:val="None"/>
          <w:rFonts w:ascii="Verdana" w:hAnsi="Verdana"/>
          <w:sz w:val="24"/>
          <w:szCs w:val="24"/>
        </w:rPr>
        <w:t>Order</w:t>
      </w:r>
      <w:proofErr w:type="spellEnd"/>
      <w:r>
        <w:rPr>
          <w:rStyle w:val="None"/>
          <w:rFonts w:ascii="Verdana" w:hAnsi="Verdana"/>
          <w:sz w:val="24"/>
          <w:szCs w:val="24"/>
        </w:rPr>
        <w:t xml:space="preserve"> 1995 </w:t>
      </w:r>
      <w:proofErr w:type="spellStart"/>
      <w:r>
        <w:rPr>
          <w:rStyle w:val="None"/>
          <w:rFonts w:ascii="Verdana" w:hAnsi="Verdana"/>
          <w:sz w:val="24"/>
          <w:szCs w:val="24"/>
        </w:rPr>
        <w:t>is</w:t>
      </w:r>
      <w:proofErr w:type="spellEnd"/>
      <w:r>
        <w:rPr>
          <w:rStyle w:val="None"/>
          <w:rFonts w:ascii="Verdana" w:hAnsi="Verdana"/>
          <w:sz w:val="24"/>
          <w:szCs w:val="24"/>
        </w:rPr>
        <w:t xml:space="preserve"> the </w:t>
      </w:r>
      <w:proofErr w:type="spellStart"/>
      <w:r>
        <w:rPr>
          <w:rStyle w:val="None"/>
          <w:rFonts w:ascii="Verdana" w:hAnsi="Verdana"/>
          <w:sz w:val="24"/>
          <w:szCs w:val="24"/>
        </w:rPr>
        <w:t>legislative</w:t>
      </w:r>
      <w:proofErr w:type="spellEnd"/>
      <w:r>
        <w:rPr>
          <w:rStyle w:val="None"/>
          <w:rFonts w:ascii="Verdana" w:hAnsi="Verdana"/>
          <w:sz w:val="24"/>
          <w:szCs w:val="24"/>
        </w:rPr>
        <w:t xml:space="preserve"> </w:t>
      </w:r>
      <w:proofErr w:type="spellStart"/>
      <w:r>
        <w:rPr>
          <w:rStyle w:val="None"/>
          <w:rFonts w:ascii="Verdana" w:hAnsi="Verdana"/>
          <w:sz w:val="24"/>
          <w:szCs w:val="24"/>
        </w:rPr>
        <w:t>framework</w:t>
      </w:r>
      <w:proofErr w:type="spellEnd"/>
      <w:r>
        <w:rPr>
          <w:rStyle w:val="None"/>
          <w:rFonts w:ascii="Verdana" w:hAnsi="Verdana"/>
          <w:sz w:val="24"/>
          <w:szCs w:val="24"/>
        </w:rPr>
        <w:t xml:space="preserve"> </w:t>
      </w:r>
      <w:proofErr w:type="spellStart"/>
      <w:r>
        <w:rPr>
          <w:rStyle w:val="None"/>
          <w:rFonts w:ascii="Verdana" w:hAnsi="Verdana"/>
          <w:sz w:val="24"/>
          <w:szCs w:val="24"/>
        </w:rPr>
        <w:t>safeguarding</w:t>
      </w:r>
      <w:proofErr w:type="spellEnd"/>
      <w:r>
        <w:rPr>
          <w:rStyle w:val="None"/>
          <w:rFonts w:ascii="Verdana" w:hAnsi="Verdana"/>
          <w:sz w:val="24"/>
          <w:szCs w:val="24"/>
        </w:rPr>
        <w:t xml:space="preserve"> </w:t>
      </w:r>
      <w:proofErr w:type="spellStart"/>
      <w:r>
        <w:rPr>
          <w:rStyle w:val="None"/>
          <w:rFonts w:ascii="Verdana" w:hAnsi="Verdana"/>
          <w:sz w:val="24"/>
          <w:szCs w:val="24"/>
        </w:rPr>
        <w:t>children</w:t>
      </w:r>
      <w:proofErr w:type="spellEnd"/>
      <w:r>
        <w:rPr>
          <w:rStyle w:val="None"/>
          <w:rFonts w:ascii="Verdana" w:hAnsi="Verdana"/>
          <w:sz w:val="24"/>
          <w:szCs w:val="24"/>
        </w:rPr>
        <w:t xml:space="preserve"> in </w:t>
      </w:r>
      <w:proofErr w:type="spellStart"/>
      <w:r>
        <w:rPr>
          <w:rStyle w:val="None"/>
          <w:rFonts w:ascii="Verdana" w:hAnsi="Verdana"/>
          <w:sz w:val="24"/>
          <w:szCs w:val="24"/>
        </w:rPr>
        <w:t>Northern</w:t>
      </w:r>
      <w:proofErr w:type="spellEnd"/>
      <w:r>
        <w:rPr>
          <w:rStyle w:val="None"/>
          <w:rFonts w:ascii="Verdana" w:hAnsi="Verdana"/>
          <w:sz w:val="24"/>
          <w:szCs w:val="24"/>
        </w:rPr>
        <w:t xml:space="preserve"> Ireland. This </w:t>
      </w:r>
      <w:proofErr w:type="spellStart"/>
      <w:r>
        <w:rPr>
          <w:rStyle w:val="None"/>
          <w:rFonts w:ascii="Verdana" w:hAnsi="Verdana"/>
          <w:sz w:val="24"/>
          <w:szCs w:val="24"/>
        </w:rPr>
        <w:t>legislation</w:t>
      </w:r>
      <w:proofErr w:type="spellEnd"/>
      <w:r>
        <w:rPr>
          <w:rStyle w:val="None"/>
          <w:rFonts w:ascii="Verdana" w:hAnsi="Verdana"/>
          <w:sz w:val="24"/>
          <w:szCs w:val="24"/>
        </w:rPr>
        <w:t xml:space="preserve"> </w:t>
      </w:r>
      <w:proofErr w:type="spellStart"/>
      <w:r>
        <w:rPr>
          <w:rStyle w:val="None"/>
          <w:rFonts w:ascii="Verdana" w:hAnsi="Verdana"/>
          <w:sz w:val="24"/>
          <w:szCs w:val="24"/>
        </w:rPr>
        <w:t>is</w:t>
      </w:r>
      <w:proofErr w:type="spellEnd"/>
      <w:r>
        <w:rPr>
          <w:rStyle w:val="None"/>
          <w:rFonts w:ascii="Verdana" w:hAnsi="Verdana"/>
          <w:sz w:val="24"/>
          <w:szCs w:val="24"/>
        </w:rPr>
        <w:t xml:space="preserve"> </w:t>
      </w:r>
      <w:proofErr w:type="spellStart"/>
      <w:r>
        <w:rPr>
          <w:rStyle w:val="None"/>
          <w:rFonts w:ascii="Verdana" w:hAnsi="Verdana"/>
          <w:sz w:val="24"/>
          <w:szCs w:val="24"/>
        </w:rPr>
        <w:t>now</w:t>
      </w:r>
      <w:proofErr w:type="spellEnd"/>
      <w:r>
        <w:rPr>
          <w:rStyle w:val="None"/>
          <w:rFonts w:ascii="Verdana" w:hAnsi="Verdana"/>
          <w:sz w:val="24"/>
          <w:szCs w:val="24"/>
        </w:rPr>
        <w:t xml:space="preserve"> over 20 </w:t>
      </w:r>
      <w:proofErr w:type="spellStart"/>
      <w:r>
        <w:rPr>
          <w:rStyle w:val="None"/>
          <w:rFonts w:ascii="Verdana" w:hAnsi="Verdana"/>
          <w:sz w:val="24"/>
          <w:szCs w:val="24"/>
        </w:rPr>
        <w:t>years</w:t>
      </w:r>
      <w:proofErr w:type="spellEnd"/>
      <w:r>
        <w:rPr>
          <w:rStyle w:val="None"/>
          <w:rFonts w:ascii="Verdana" w:hAnsi="Verdana"/>
          <w:sz w:val="24"/>
          <w:szCs w:val="24"/>
        </w:rPr>
        <w:t xml:space="preserve"> </w:t>
      </w:r>
      <w:proofErr w:type="spellStart"/>
      <w:r>
        <w:rPr>
          <w:rStyle w:val="None"/>
          <w:rFonts w:ascii="Verdana" w:hAnsi="Verdana"/>
          <w:sz w:val="24"/>
          <w:szCs w:val="24"/>
        </w:rPr>
        <w:t>old</w:t>
      </w:r>
      <w:proofErr w:type="spellEnd"/>
      <w:r>
        <w:rPr>
          <w:rStyle w:val="None"/>
          <w:rFonts w:ascii="Verdana" w:hAnsi="Verdana"/>
          <w:sz w:val="24"/>
          <w:szCs w:val="24"/>
        </w:rPr>
        <w:t xml:space="preserve"> and </w:t>
      </w:r>
      <w:proofErr w:type="spellStart"/>
      <w:r>
        <w:rPr>
          <w:rStyle w:val="None"/>
          <w:rFonts w:ascii="Verdana" w:hAnsi="Verdana"/>
          <w:sz w:val="24"/>
          <w:szCs w:val="24"/>
        </w:rPr>
        <w:t>there</w:t>
      </w:r>
      <w:proofErr w:type="spellEnd"/>
      <w:r>
        <w:rPr>
          <w:rStyle w:val="None"/>
          <w:rFonts w:ascii="Verdana" w:hAnsi="Verdana"/>
          <w:sz w:val="24"/>
          <w:szCs w:val="24"/>
        </w:rPr>
        <w:t xml:space="preserve"> </w:t>
      </w:r>
      <w:proofErr w:type="spellStart"/>
      <w:r>
        <w:rPr>
          <w:rStyle w:val="None"/>
          <w:rFonts w:ascii="Verdana" w:hAnsi="Verdana"/>
          <w:sz w:val="24"/>
          <w:szCs w:val="24"/>
        </w:rPr>
        <w:t>is</w:t>
      </w:r>
      <w:proofErr w:type="spellEnd"/>
      <w:r>
        <w:rPr>
          <w:rStyle w:val="None"/>
          <w:rFonts w:ascii="Verdana" w:hAnsi="Verdana"/>
          <w:sz w:val="24"/>
          <w:szCs w:val="24"/>
        </w:rPr>
        <w:t xml:space="preserve"> </w:t>
      </w:r>
      <w:proofErr w:type="gramStart"/>
      <w:r>
        <w:rPr>
          <w:rStyle w:val="None"/>
          <w:rFonts w:ascii="Verdana" w:hAnsi="Verdana"/>
          <w:sz w:val="24"/>
          <w:szCs w:val="24"/>
        </w:rPr>
        <w:t>a</w:t>
      </w:r>
      <w:proofErr w:type="gramEnd"/>
      <w:r>
        <w:rPr>
          <w:rStyle w:val="None"/>
          <w:rFonts w:ascii="Verdana" w:hAnsi="Verdana"/>
          <w:sz w:val="24"/>
          <w:szCs w:val="24"/>
        </w:rPr>
        <w:t xml:space="preserve"> </w:t>
      </w:r>
      <w:proofErr w:type="spellStart"/>
      <w:r>
        <w:rPr>
          <w:rStyle w:val="None"/>
          <w:rFonts w:ascii="Verdana" w:hAnsi="Verdana"/>
          <w:sz w:val="24"/>
          <w:szCs w:val="24"/>
        </w:rPr>
        <w:t>strong</w:t>
      </w:r>
      <w:proofErr w:type="spellEnd"/>
      <w:r>
        <w:rPr>
          <w:rStyle w:val="None"/>
          <w:rFonts w:ascii="Verdana" w:hAnsi="Verdana"/>
          <w:sz w:val="24"/>
          <w:szCs w:val="24"/>
        </w:rPr>
        <w:t xml:space="preserve"> case for </w:t>
      </w:r>
      <w:proofErr w:type="spellStart"/>
      <w:r>
        <w:rPr>
          <w:rStyle w:val="None"/>
          <w:rFonts w:ascii="Verdana" w:hAnsi="Verdana"/>
          <w:sz w:val="24"/>
          <w:szCs w:val="24"/>
        </w:rPr>
        <w:t>review</w:t>
      </w:r>
      <w:proofErr w:type="spellEnd"/>
      <w:r>
        <w:rPr>
          <w:rStyle w:val="None"/>
          <w:rFonts w:ascii="Verdana" w:hAnsi="Verdana"/>
          <w:sz w:val="24"/>
          <w:szCs w:val="24"/>
        </w:rPr>
        <w:t>.</w:t>
      </w:r>
    </w:p>
    <w:p w:rsidR="00FA5218" w:rsidRDefault="00720B60">
      <w:pPr>
        <w:pStyle w:val="BodyA"/>
        <w:spacing w:after="0" w:line="240" w:lineRule="auto"/>
      </w:pPr>
      <w:r>
        <w:rPr>
          <w:rStyle w:val="None"/>
          <w:rFonts w:ascii="Verdana" w:hAnsi="Verdana"/>
          <w:sz w:val="24"/>
          <w:szCs w:val="24"/>
        </w:rPr>
        <w:t xml:space="preserve">  </w:t>
      </w:r>
    </w:p>
    <w:p w:rsidR="00FA5218" w:rsidRDefault="00720B60">
      <w:pPr>
        <w:pStyle w:val="BodyA"/>
        <w:numPr>
          <w:ilvl w:val="0"/>
          <w:numId w:val="4"/>
        </w:numPr>
        <w:spacing w:after="0" w:line="240" w:lineRule="auto"/>
        <w:rPr>
          <w:rFonts w:ascii="Verdana" w:hAnsi="Verdana"/>
          <w:b/>
          <w:bCs/>
          <w:sz w:val="24"/>
          <w:szCs w:val="24"/>
          <w:lang w:val="en-US"/>
        </w:rPr>
      </w:pPr>
      <w:r>
        <w:rPr>
          <w:rStyle w:val="None"/>
          <w:rFonts w:ascii="Verdana" w:hAnsi="Verdana"/>
          <w:sz w:val="24"/>
          <w:szCs w:val="24"/>
          <w:lang w:val="en-US"/>
        </w:rPr>
        <w:t>In 2014 the Commission published a report into alternative care provision for children in Northern Ireland.</w:t>
      </w:r>
      <w:r>
        <w:rPr>
          <w:rStyle w:val="None"/>
          <w:rFonts w:ascii="Verdana" w:hAnsi="Verdana"/>
          <w:sz w:val="24"/>
          <w:szCs w:val="24"/>
          <w:vertAlign w:val="superscript"/>
          <w:lang w:val="en-US"/>
        </w:rPr>
        <w:t xml:space="preserve"> </w:t>
      </w:r>
      <w:r>
        <w:rPr>
          <w:rStyle w:val="None"/>
          <w:rFonts w:ascii="Verdana" w:eastAsia="Verdana" w:hAnsi="Verdana" w:cs="Verdana"/>
          <w:sz w:val="24"/>
          <w:szCs w:val="24"/>
          <w:vertAlign w:val="superscript"/>
          <w:lang w:val="en-US"/>
        </w:rPr>
        <w:footnoteReference w:id="20"/>
      </w:r>
      <w:r>
        <w:rPr>
          <w:rStyle w:val="None"/>
          <w:rFonts w:ascii="Verdana" w:hAnsi="Verdana"/>
          <w:sz w:val="24"/>
          <w:szCs w:val="24"/>
          <w:lang w:val="en-US"/>
        </w:rPr>
        <w:t xml:space="preserve"> The report, </w:t>
      </w:r>
      <w:proofErr w:type="spellStart"/>
      <w:r>
        <w:rPr>
          <w:rStyle w:val="None"/>
          <w:rFonts w:ascii="Verdana" w:hAnsi="Verdana"/>
          <w:sz w:val="24"/>
          <w:szCs w:val="24"/>
          <w:lang w:val="en-US"/>
        </w:rPr>
        <w:t>interalia</w:t>
      </w:r>
      <w:proofErr w:type="spellEnd"/>
      <w:r>
        <w:rPr>
          <w:rStyle w:val="None"/>
          <w:rFonts w:ascii="Verdana" w:hAnsi="Verdana"/>
          <w:sz w:val="24"/>
          <w:szCs w:val="24"/>
          <w:lang w:val="en-US"/>
        </w:rPr>
        <w:t xml:space="preserve">, considered the compatibility of the 1995 Order with the UN CRC and its impact on the rights of children in care. The Commission found that in practice a number of the provisions of the 1995 Order are not complied with, for instance the Order requires health and social care authorities to compile registers of children with disabilities, </w:t>
      </w:r>
      <w:proofErr w:type="gramStart"/>
      <w:r>
        <w:rPr>
          <w:rStyle w:val="None"/>
          <w:rFonts w:ascii="Verdana" w:hAnsi="Verdana"/>
          <w:sz w:val="24"/>
          <w:szCs w:val="24"/>
          <w:lang w:val="en-US"/>
        </w:rPr>
        <w:t>these</w:t>
      </w:r>
      <w:proofErr w:type="gramEnd"/>
      <w:r>
        <w:rPr>
          <w:rStyle w:val="None"/>
          <w:rFonts w:ascii="Verdana" w:hAnsi="Verdana"/>
          <w:sz w:val="24"/>
          <w:szCs w:val="24"/>
          <w:lang w:val="en-US"/>
        </w:rPr>
        <w:t xml:space="preserve"> registers are not currently being produced.</w:t>
      </w:r>
      <w:r>
        <w:rPr>
          <w:rStyle w:val="None"/>
          <w:rFonts w:ascii="Verdana" w:eastAsia="Verdana" w:hAnsi="Verdana" w:cs="Verdana"/>
          <w:sz w:val="24"/>
          <w:szCs w:val="24"/>
          <w:vertAlign w:val="superscript"/>
          <w:lang w:val="en-US"/>
        </w:rPr>
        <w:footnoteReference w:id="21"/>
      </w:r>
      <w:r>
        <w:rPr>
          <w:rStyle w:val="None"/>
          <w:rFonts w:ascii="Verdana" w:hAnsi="Verdana"/>
          <w:sz w:val="24"/>
          <w:szCs w:val="24"/>
          <w:lang w:val="en-US"/>
        </w:rPr>
        <w:t xml:space="preserve"> The 1995 Order also requires an annual general report on the operation of the Order “to be prepared and laid before the Assembly.”</w:t>
      </w:r>
      <w:r>
        <w:rPr>
          <w:rStyle w:val="None"/>
          <w:rFonts w:ascii="Verdana" w:eastAsia="Verdana" w:hAnsi="Verdana" w:cs="Verdana"/>
          <w:sz w:val="24"/>
          <w:szCs w:val="24"/>
          <w:vertAlign w:val="superscript"/>
          <w:lang w:val="en-US"/>
        </w:rPr>
        <w:footnoteReference w:id="22"/>
      </w:r>
      <w:r>
        <w:rPr>
          <w:rStyle w:val="None"/>
          <w:rFonts w:ascii="Verdana" w:hAnsi="Verdana"/>
          <w:sz w:val="24"/>
          <w:szCs w:val="24"/>
          <w:lang w:val="en-US"/>
        </w:rPr>
        <w:t xml:space="preserve"> However, although regular statistics are compiled, this statutory requirement has not been fulfilled, reducing the available data and information for analysis of the 1995 Order. Moreover the report concluded that despite Departmental commitments for the rights of the child to be heard and taken seriously there remained inadequate information to allow children to be heard and taken seriously and to participate meaningfully in decision-making, care planning and in court procedures.</w:t>
      </w:r>
    </w:p>
    <w:p w:rsidR="00FA5218" w:rsidRDefault="00720B60">
      <w:pPr>
        <w:pStyle w:val="BodyA"/>
        <w:spacing w:after="0" w:line="240" w:lineRule="auto"/>
      </w:pPr>
      <w:r>
        <w:rPr>
          <w:rStyle w:val="None"/>
          <w:rFonts w:ascii="Verdana" w:hAnsi="Verdana"/>
          <w:sz w:val="24"/>
          <w:szCs w:val="24"/>
          <w:lang w:val="en-US"/>
        </w:rPr>
        <w:t xml:space="preserve"> </w:t>
      </w:r>
    </w:p>
    <w:p w:rsidR="00FA5218" w:rsidRDefault="00720B60">
      <w:pPr>
        <w:pStyle w:val="BodyA"/>
        <w:numPr>
          <w:ilvl w:val="0"/>
          <w:numId w:val="5"/>
        </w:numPr>
        <w:spacing w:after="0" w:line="240" w:lineRule="auto"/>
        <w:rPr>
          <w:rFonts w:ascii="Verdana" w:hAnsi="Verdana"/>
          <w:b/>
          <w:bCs/>
        </w:rPr>
      </w:pPr>
      <w:r>
        <w:rPr>
          <w:rStyle w:val="None"/>
          <w:rFonts w:ascii="Verdana" w:hAnsi="Verdana"/>
          <w:b/>
          <w:bCs/>
        </w:rPr>
        <w:t xml:space="preserve">The Commission invites the </w:t>
      </w:r>
      <w:proofErr w:type="spellStart"/>
      <w:r>
        <w:rPr>
          <w:rStyle w:val="None"/>
          <w:rFonts w:ascii="Verdana" w:hAnsi="Verdana"/>
          <w:b/>
          <w:bCs/>
        </w:rPr>
        <w:t>Committee</w:t>
      </w:r>
      <w:proofErr w:type="spellEnd"/>
      <w:r>
        <w:rPr>
          <w:rStyle w:val="None"/>
          <w:rFonts w:ascii="Verdana" w:hAnsi="Verdana"/>
          <w:b/>
          <w:bCs/>
        </w:rPr>
        <w:t xml:space="preserve"> to </w:t>
      </w:r>
      <w:proofErr w:type="spellStart"/>
      <w:r>
        <w:rPr>
          <w:rStyle w:val="None"/>
          <w:rFonts w:ascii="Verdana" w:hAnsi="Verdana"/>
          <w:b/>
          <w:bCs/>
        </w:rPr>
        <w:t>recommend</w:t>
      </w:r>
      <w:proofErr w:type="spellEnd"/>
      <w:r>
        <w:rPr>
          <w:rStyle w:val="None"/>
          <w:rFonts w:ascii="Verdana" w:hAnsi="Verdana"/>
          <w:b/>
          <w:bCs/>
        </w:rPr>
        <w:t xml:space="preserve"> </w:t>
      </w:r>
      <w:proofErr w:type="spellStart"/>
      <w:r>
        <w:rPr>
          <w:rStyle w:val="None"/>
          <w:rFonts w:ascii="Verdana" w:hAnsi="Verdana"/>
          <w:b/>
          <w:bCs/>
        </w:rPr>
        <w:t>that</w:t>
      </w:r>
      <w:proofErr w:type="spellEnd"/>
      <w:r>
        <w:rPr>
          <w:rStyle w:val="None"/>
          <w:rFonts w:ascii="Verdana" w:hAnsi="Verdana"/>
          <w:b/>
          <w:bCs/>
        </w:rPr>
        <w:t xml:space="preserve"> the State Party, </w:t>
      </w:r>
      <w:proofErr w:type="spellStart"/>
      <w:r>
        <w:rPr>
          <w:rStyle w:val="None"/>
          <w:rFonts w:ascii="Verdana" w:hAnsi="Verdana"/>
          <w:b/>
          <w:bCs/>
        </w:rPr>
        <w:t>principally</w:t>
      </w:r>
      <w:proofErr w:type="spellEnd"/>
      <w:r>
        <w:rPr>
          <w:rStyle w:val="None"/>
          <w:rFonts w:ascii="Verdana" w:hAnsi="Verdana"/>
          <w:b/>
          <w:bCs/>
        </w:rPr>
        <w:t xml:space="preserve"> the NI </w:t>
      </w:r>
      <w:proofErr w:type="spellStart"/>
      <w:r>
        <w:rPr>
          <w:rStyle w:val="None"/>
          <w:rFonts w:ascii="Verdana" w:hAnsi="Verdana"/>
          <w:b/>
          <w:bCs/>
        </w:rPr>
        <w:t>Executive</w:t>
      </w:r>
      <w:proofErr w:type="spellEnd"/>
      <w:r>
        <w:rPr>
          <w:rStyle w:val="None"/>
          <w:rFonts w:ascii="Verdana" w:hAnsi="Verdana"/>
          <w:b/>
          <w:bCs/>
        </w:rPr>
        <w:t xml:space="preserve"> </w:t>
      </w:r>
      <w:r>
        <w:rPr>
          <w:rStyle w:val="None"/>
          <w:rFonts w:ascii="Verdana" w:hAnsi="Verdana"/>
          <w:b/>
          <w:bCs/>
          <w:lang w:val="en-US"/>
        </w:rPr>
        <w:t xml:space="preserve">ensure that the Children (NI) Order 1995 is reviewed and, in the interim, ensure that its related guidance are up to date and in compliance with international human rights obligations, including the UNCRC and that appropriate reforms are introduced to ensure a child’s right to be heard and to participate meaningfully throughout the care and legal systems is </w:t>
      </w:r>
      <w:proofErr w:type="spellStart"/>
      <w:r>
        <w:rPr>
          <w:rStyle w:val="None"/>
          <w:rFonts w:ascii="Verdana" w:hAnsi="Verdana"/>
          <w:b/>
          <w:bCs/>
          <w:lang w:val="en-US"/>
        </w:rPr>
        <w:t>realised</w:t>
      </w:r>
      <w:proofErr w:type="spellEnd"/>
      <w:r>
        <w:rPr>
          <w:rStyle w:val="None"/>
          <w:rFonts w:ascii="Verdana" w:hAnsi="Verdana"/>
          <w:b/>
          <w:bCs/>
          <w:lang w:val="en-US"/>
        </w:rPr>
        <w:t xml:space="preserve">. </w:t>
      </w:r>
    </w:p>
    <w:p w:rsidR="00FA5218" w:rsidRDefault="00FA5218">
      <w:pPr>
        <w:pStyle w:val="BodyA"/>
        <w:spacing w:after="0" w:line="240" w:lineRule="auto"/>
      </w:pPr>
    </w:p>
    <w:p w:rsidR="00FA5218" w:rsidRDefault="00720B60">
      <w:pPr>
        <w:pStyle w:val="BodyA"/>
        <w:numPr>
          <w:ilvl w:val="0"/>
          <w:numId w:val="4"/>
        </w:numPr>
        <w:spacing w:after="0" w:line="240" w:lineRule="auto"/>
        <w:rPr>
          <w:rFonts w:ascii="Verdana" w:hAnsi="Verdana"/>
          <w:b/>
          <w:bCs/>
          <w:sz w:val="24"/>
          <w:szCs w:val="24"/>
        </w:rPr>
      </w:pPr>
      <w:r>
        <w:rPr>
          <w:rStyle w:val="None"/>
          <w:rFonts w:ascii="Verdana" w:hAnsi="Verdana"/>
          <w:sz w:val="24"/>
          <w:szCs w:val="24"/>
        </w:rPr>
        <w:t xml:space="preserve">In </w:t>
      </w:r>
      <w:proofErr w:type="spellStart"/>
      <w:r>
        <w:rPr>
          <w:rStyle w:val="None"/>
          <w:rFonts w:ascii="Verdana" w:hAnsi="Verdana"/>
          <w:sz w:val="24"/>
          <w:szCs w:val="24"/>
        </w:rPr>
        <w:t>its</w:t>
      </w:r>
      <w:proofErr w:type="spellEnd"/>
      <w:r>
        <w:rPr>
          <w:rStyle w:val="None"/>
          <w:rFonts w:ascii="Verdana" w:hAnsi="Verdana"/>
          <w:sz w:val="24"/>
          <w:szCs w:val="24"/>
        </w:rPr>
        <w:t xml:space="preserve"> </w:t>
      </w:r>
      <w:proofErr w:type="spellStart"/>
      <w:r>
        <w:rPr>
          <w:rStyle w:val="None"/>
          <w:rFonts w:ascii="Verdana" w:hAnsi="Verdana"/>
          <w:sz w:val="24"/>
          <w:szCs w:val="24"/>
        </w:rPr>
        <w:t>earlier</w:t>
      </w:r>
      <w:proofErr w:type="spellEnd"/>
      <w:r>
        <w:rPr>
          <w:rStyle w:val="None"/>
          <w:rFonts w:ascii="Verdana" w:hAnsi="Verdana"/>
          <w:sz w:val="24"/>
          <w:szCs w:val="24"/>
        </w:rPr>
        <w:t xml:space="preserve"> </w:t>
      </w:r>
      <w:proofErr w:type="spellStart"/>
      <w:r>
        <w:rPr>
          <w:rStyle w:val="None"/>
          <w:rFonts w:ascii="Verdana" w:hAnsi="Verdana"/>
          <w:sz w:val="24"/>
          <w:szCs w:val="24"/>
        </w:rPr>
        <w:t>submission</w:t>
      </w:r>
      <w:proofErr w:type="spellEnd"/>
      <w:r>
        <w:rPr>
          <w:rStyle w:val="None"/>
          <w:rFonts w:ascii="Verdana" w:hAnsi="Verdana"/>
          <w:sz w:val="24"/>
          <w:szCs w:val="24"/>
        </w:rPr>
        <w:t xml:space="preserve"> to the </w:t>
      </w:r>
      <w:proofErr w:type="spellStart"/>
      <w:r>
        <w:rPr>
          <w:rStyle w:val="None"/>
          <w:rFonts w:ascii="Verdana" w:hAnsi="Verdana"/>
          <w:sz w:val="24"/>
          <w:szCs w:val="24"/>
        </w:rPr>
        <w:t>Committee</w:t>
      </w:r>
      <w:proofErr w:type="spellEnd"/>
      <w:r>
        <w:rPr>
          <w:rStyle w:val="None"/>
          <w:rFonts w:ascii="Verdana" w:hAnsi="Verdana"/>
          <w:sz w:val="24"/>
          <w:szCs w:val="24"/>
        </w:rPr>
        <w:t xml:space="preserve"> the Commission </w:t>
      </w:r>
      <w:proofErr w:type="spellStart"/>
      <w:r>
        <w:rPr>
          <w:rStyle w:val="None"/>
          <w:rFonts w:ascii="Verdana" w:hAnsi="Verdana"/>
          <w:sz w:val="24"/>
          <w:szCs w:val="24"/>
        </w:rPr>
        <w:t>referred</w:t>
      </w:r>
      <w:proofErr w:type="spellEnd"/>
      <w:r>
        <w:rPr>
          <w:rStyle w:val="None"/>
          <w:rFonts w:ascii="Verdana" w:hAnsi="Verdana"/>
          <w:sz w:val="24"/>
          <w:szCs w:val="24"/>
        </w:rPr>
        <w:t xml:space="preserve"> to the Mental </w:t>
      </w:r>
      <w:proofErr w:type="spellStart"/>
      <w:r>
        <w:rPr>
          <w:rStyle w:val="None"/>
          <w:rFonts w:ascii="Verdana" w:hAnsi="Verdana"/>
          <w:sz w:val="24"/>
          <w:szCs w:val="24"/>
        </w:rPr>
        <w:t>Capacity</w:t>
      </w:r>
      <w:proofErr w:type="spellEnd"/>
      <w:r>
        <w:rPr>
          <w:rStyle w:val="None"/>
          <w:rFonts w:ascii="Verdana" w:hAnsi="Verdana"/>
          <w:sz w:val="24"/>
          <w:szCs w:val="24"/>
        </w:rPr>
        <w:t xml:space="preserve"> (NI) </w:t>
      </w:r>
      <w:proofErr w:type="spellStart"/>
      <w:r>
        <w:rPr>
          <w:rStyle w:val="None"/>
          <w:rFonts w:ascii="Verdana" w:hAnsi="Verdana"/>
          <w:sz w:val="24"/>
          <w:szCs w:val="24"/>
        </w:rPr>
        <w:t>Act</w:t>
      </w:r>
      <w:proofErr w:type="spellEnd"/>
      <w:r>
        <w:rPr>
          <w:rStyle w:val="None"/>
          <w:rFonts w:ascii="Verdana" w:hAnsi="Verdana"/>
          <w:sz w:val="24"/>
          <w:szCs w:val="24"/>
        </w:rPr>
        <w:t xml:space="preserve"> 2016, </w:t>
      </w:r>
      <w:proofErr w:type="spellStart"/>
      <w:r>
        <w:rPr>
          <w:rStyle w:val="None"/>
          <w:rFonts w:ascii="Verdana" w:hAnsi="Verdana"/>
          <w:sz w:val="24"/>
          <w:szCs w:val="24"/>
        </w:rPr>
        <w:t>which</w:t>
      </w:r>
      <w:proofErr w:type="spellEnd"/>
      <w:r>
        <w:rPr>
          <w:rStyle w:val="None"/>
          <w:rFonts w:ascii="Verdana" w:hAnsi="Verdana"/>
          <w:sz w:val="24"/>
          <w:szCs w:val="24"/>
        </w:rPr>
        <w:t xml:space="preserve"> </w:t>
      </w:r>
      <w:proofErr w:type="spellStart"/>
      <w:r>
        <w:rPr>
          <w:rStyle w:val="None"/>
          <w:rFonts w:ascii="Verdana" w:hAnsi="Verdana"/>
          <w:sz w:val="24"/>
          <w:szCs w:val="24"/>
        </w:rPr>
        <w:t>will</w:t>
      </w:r>
      <w:proofErr w:type="spellEnd"/>
      <w:r>
        <w:rPr>
          <w:rStyle w:val="None"/>
          <w:rFonts w:ascii="Verdana" w:hAnsi="Verdana"/>
          <w:sz w:val="24"/>
          <w:szCs w:val="24"/>
        </w:rPr>
        <w:t xml:space="preserve"> </w:t>
      </w:r>
      <w:proofErr w:type="spellStart"/>
      <w:r>
        <w:rPr>
          <w:rStyle w:val="None"/>
          <w:rFonts w:ascii="Verdana" w:hAnsi="Verdana"/>
          <w:sz w:val="24"/>
          <w:szCs w:val="24"/>
        </w:rPr>
        <w:t>introduce</w:t>
      </w:r>
      <w:proofErr w:type="spellEnd"/>
      <w:r>
        <w:rPr>
          <w:rStyle w:val="None"/>
          <w:rFonts w:ascii="Verdana" w:hAnsi="Verdana"/>
          <w:sz w:val="24"/>
          <w:szCs w:val="24"/>
        </w:rPr>
        <w:t xml:space="preserve"> a </w:t>
      </w:r>
      <w:proofErr w:type="spellStart"/>
      <w:r>
        <w:rPr>
          <w:rStyle w:val="None"/>
          <w:rFonts w:ascii="Verdana" w:hAnsi="Verdana"/>
          <w:sz w:val="24"/>
          <w:szCs w:val="24"/>
        </w:rPr>
        <w:t>presumption</w:t>
      </w:r>
      <w:proofErr w:type="spellEnd"/>
      <w:r>
        <w:rPr>
          <w:rStyle w:val="None"/>
          <w:rFonts w:ascii="Verdana" w:hAnsi="Verdana"/>
          <w:sz w:val="24"/>
          <w:szCs w:val="24"/>
        </w:rPr>
        <w:t xml:space="preserve"> of </w:t>
      </w:r>
      <w:proofErr w:type="spellStart"/>
      <w:r>
        <w:rPr>
          <w:rStyle w:val="None"/>
          <w:rFonts w:ascii="Verdana" w:hAnsi="Verdana"/>
          <w:sz w:val="24"/>
          <w:szCs w:val="24"/>
        </w:rPr>
        <w:t>capacity</w:t>
      </w:r>
      <w:proofErr w:type="spellEnd"/>
      <w:r>
        <w:rPr>
          <w:rStyle w:val="None"/>
          <w:rFonts w:ascii="Verdana" w:hAnsi="Verdana"/>
          <w:sz w:val="24"/>
          <w:szCs w:val="24"/>
        </w:rPr>
        <w:t xml:space="preserve"> in </w:t>
      </w:r>
      <w:proofErr w:type="spellStart"/>
      <w:r>
        <w:rPr>
          <w:rStyle w:val="None"/>
          <w:rFonts w:ascii="Verdana" w:hAnsi="Verdana"/>
          <w:sz w:val="24"/>
          <w:szCs w:val="24"/>
        </w:rPr>
        <w:t>those</w:t>
      </w:r>
      <w:proofErr w:type="spellEnd"/>
      <w:r>
        <w:rPr>
          <w:rStyle w:val="None"/>
          <w:rFonts w:ascii="Verdana" w:hAnsi="Verdana"/>
          <w:sz w:val="24"/>
          <w:szCs w:val="24"/>
        </w:rPr>
        <w:t xml:space="preserve"> over the </w:t>
      </w:r>
      <w:proofErr w:type="spellStart"/>
      <w:r>
        <w:rPr>
          <w:rStyle w:val="None"/>
          <w:rFonts w:ascii="Verdana" w:hAnsi="Verdana"/>
          <w:sz w:val="24"/>
          <w:szCs w:val="24"/>
        </w:rPr>
        <w:t>age</w:t>
      </w:r>
      <w:proofErr w:type="spellEnd"/>
      <w:r>
        <w:rPr>
          <w:rStyle w:val="None"/>
          <w:rFonts w:ascii="Verdana" w:hAnsi="Verdana"/>
          <w:sz w:val="24"/>
          <w:szCs w:val="24"/>
        </w:rPr>
        <w:t xml:space="preserve"> of 16.</w:t>
      </w:r>
      <w:r>
        <w:rPr>
          <w:rStyle w:val="None"/>
          <w:rFonts w:ascii="Verdana" w:eastAsia="Verdana" w:hAnsi="Verdana" w:cs="Verdana"/>
          <w:sz w:val="24"/>
          <w:szCs w:val="24"/>
          <w:vertAlign w:val="superscript"/>
        </w:rPr>
        <w:footnoteReference w:id="23"/>
      </w:r>
      <w:r>
        <w:rPr>
          <w:rStyle w:val="None"/>
          <w:rFonts w:ascii="Verdana" w:hAnsi="Verdana"/>
          <w:sz w:val="24"/>
          <w:szCs w:val="24"/>
        </w:rPr>
        <w:t xml:space="preserve"> It </w:t>
      </w:r>
      <w:proofErr w:type="spellStart"/>
      <w:r>
        <w:rPr>
          <w:rStyle w:val="None"/>
          <w:rFonts w:ascii="Verdana" w:hAnsi="Verdana"/>
          <w:sz w:val="24"/>
          <w:szCs w:val="24"/>
        </w:rPr>
        <w:t>had</w:t>
      </w:r>
      <w:proofErr w:type="spellEnd"/>
      <w:r>
        <w:rPr>
          <w:rStyle w:val="None"/>
          <w:rFonts w:ascii="Verdana" w:hAnsi="Verdana"/>
          <w:sz w:val="24"/>
          <w:szCs w:val="24"/>
        </w:rPr>
        <w:t xml:space="preserve"> been </w:t>
      </w:r>
      <w:proofErr w:type="spellStart"/>
      <w:r>
        <w:rPr>
          <w:rStyle w:val="None"/>
          <w:rFonts w:ascii="Verdana" w:hAnsi="Verdana"/>
          <w:sz w:val="24"/>
          <w:szCs w:val="24"/>
        </w:rPr>
        <w:t>anticipated</w:t>
      </w:r>
      <w:proofErr w:type="spellEnd"/>
      <w:r>
        <w:rPr>
          <w:rStyle w:val="None"/>
          <w:rFonts w:ascii="Verdana" w:hAnsi="Verdana"/>
          <w:sz w:val="24"/>
          <w:szCs w:val="24"/>
        </w:rPr>
        <w:t xml:space="preserve"> </w:t>
      </w:r>
      <w:proofErr w:type="spellStart"/>
      <w:r>
        <w:rPr>
          <w:rStyle w:val="None"/>
          <w:rFonts w:ascii="Verdana" w:hAnsi="Verdana"/>
          <w:sz w:val="24"/>
          <w:szCs w:val="24"/>
        </w:rPr>
        <w:t>that</w:t>
      </w:r>
      <w:proofErr w:type="spellEnd"/>
      <w:r>
        <w:rPr>
          <w:rStyle w:val="None"/>
          <w:rFonts w:ascii="Verdana" w:hAnsi="Verdana"/>
          <w:sz w:val="24"/>
          <w:szCs w:val="24"/>
        </w:rPr>
        <w:t xml:space="preserve"> </w:t>
      </w:r>
      <w:proofErr w:type="gramStart"/>
      <w:r>
        <w:rPr>
          <w:rStyle w:val="None"/>
          <w:rFonts w:ascii="Verdana" w:hAnsi="Verdana"/>
          <w:sz w:val="24"/>
          <w:szCs w:val="24"/>
        </w:rPr>
        <w:t>a</w:t>
      </w:r>
      <w:proofErr w:type="gramEnd"/>
      <w:r>
        <w:rPr>
          <w:rStyle w:val="None"/>
          <w:rFonts w:ascii="Verdana" w:hAnsi="Verdana"/>
          <w:sz w:val="24"/>
          <w:szCs w:val="24"/>
        </w:rPr>
        <w:t xml:space="preserve"> </w:t>
      </w:r>
      <w:proofErr w:type="spellStart"/>
      <w:r>
        <w:rPr>
          <w:rStyle w:val="None"/>
          <w:rFonts w:ascii="Verdana" w:hAnsi="Verdana"/>
          <w:sz w:val="24"/>
          <w:szCs w:val="24"/>
        </w:rPr>
        <w:t>review</w:t>
      </w:r>
      <w:proofErr w:type="spellEnd"/>
      <w:r>
        <w:rPr>
          <w:rStyle w:val="None"/>
          <w:rFonts w:ascii="Verdana" w:hAnsi="Verdana"/>
          <w:sz w:val="24"/>
          <w:szCs w:val="24"/>
        </w:rPr>
        <w:t xml:space="preserve"> </w:t>
      </w:r>
      <w:proofErr w:type="spellStart"/>
      <w:r>
        <w:rPr>
          <w:rStyle w:val="None"/>
          <w:rFonts w:ascii="Verdana" w:hAnsi="Verdana"/>
          <w:sz w:val="24"/>
          <w:szCs w:val="24"/>
        </w:rPr>
        <w:t>into</w:t>
      </w:r>
      <w:proofErr w:type="spellEnd"/>
      <w:r>
        <w:rPr>
          <w:rStyle w:val="None"/>
          <w:rFonts w:ascii="Verdana" w:hAnsi="Verdana"/>
          <w:sz w:val="24"/>
          <w:szCs w:val="24"/>
        </w:rPr>
        <w:t xml:space="preserve"> the </w:t>
      </w:r>
      <w:proofErr w:type="spellStart"/>
      <w:r>
        <w:rPr>
          <w:rStyle w:val="None"/>
          <w:rFonts w:ascii="Verdana" w:hAnsi="Verdana"/>
          <w:sz w:val="24"/>
          <w:szCs w:val="24"/>
        </w:rPr>
        <w:t>capacity</w:t>
      </w:r>
      <w:proofErr w:type="spellEnd"/>
      <w:r>
        <w:rPr>
          <w:rStyle w:val="None"/>
          <w:rFonts w:ascii="Verdana" w:hAnsi="Verdana"/>
          <w:sz w:val="24"/>
          <w:szCs w:val="24"/>
        </w:rPr>
        <w:t xml:space="preserve"> of </w:t>
      </w:r>
      <w:proofErr w:type="spellStart"/>
      <w:r>
        <w:rPr>
          <w:rStyle w:val="None"/>
          <w:rFonts w:ascii="Verdana" w:hAnsi="Verdana"/>
          <w:sz w:val="24"/>
          <w:szCs w:val="24"/>
        </w:rPr>
        <w:t>children</w:t>
      </w:r>
      <w:proofErr w:type="spellEnd"/>
      <w:r>
        <w:rPr>
          <w:rStyle w:val="None"/>
          <w:rFonts w:ascii="Verdana" w:hAnsi="Verdana"/>
          <w:sz w:val="24"/>
          <w:szCs w:val="24"/>
        </w:rPr>
        <w:t xml:space="preserve"> </w:t>
      </w:r>
      <w:proofErr w:type="spellStart"/>
      <w:r>
        <w:rPr>
          <w:rStyle w:val="None"/>
          <w:rFonts w:ascii="Verdana" w:hAnsi="Verdana"/>
          <w:sz w:val="24"/>
          <w:szCs w:val="24"/>
        </w:rPr>
        <w:t>under</w:t>
      </w:r>
      <w:proofErr w:type="spellEnd"/>
      <w:r>
        <w:rPr>
          <w:rStyle w:val="None"/>
          <w:rFonts w:ascii="Verdana" w:hAnsi="Verdana"/>
          <w:sz w:val="24"/>
          <w:szCs w:val="24"/>
        </w:rPr>
        <w:t xml:space="preserve"> the </w:t>
      </w:r>
      <w:proofErr w:type="spellStart"/>
      <w:r>
        <w:rPr>
          <w:rStyle w:val="None"/>
          <w:rFonts w:ascii="Verdana" w:hAnsi="Verdana"/>
          <w:sz w:val="24"/>
          <w:szCs w:val="24"/>
        </w:rPr>
        <w:t>age</w:t>
      </w:r>
      <w:proofErr w:type="spellEnd"/>
      <w:r>
        <w:rPr>
          <w:rStyle w:val="None"/>
          <w:rFonts w:ascii="Verdana" w:hAnsi="Verdana"/>
          <w:sz w:val="24"/>
          <w:szCs w:val="24"/>
        </w:rPr>
        <w:t xml:space="preserve"> of 16, </w:t>
      </w:r>
      <w:proofErr w:type="spellStart"/>
      <w:r>
        <w:rPr>
          <w:rStyle w:val="None"/>
          <w:rFonts w:ascii="Verdana" w:hAnsi="Verdana"/>
          <w:sz w:val="24"/>
          <w:szCs w:val="24"/>
        </w:rPr>
        <w:t>including</w:t>
      </w:r>
      <w:proofErr w:type="spellEnd"/>
      <w:r>
        <w:rPr>
          <w:rStyle w:val="None"/>
          <w:rFonts w:ascii="Verdana" w:hAnsi="Verdana"/>
          <w:sz w:val="24"/>
          <w:szCs w:val="24"/>
        </w:rPr>
        <w:t xml:space="preserve"> </w:t>
      </w:r>
      <w:proofErr w:type="spellStart"/>
      <w:r>
        <w:rPr>
          <w:rStyle w:val="None"/>
          <w:rFonts w:ascii="Verdana" w:hAnsi="Verdana"/>
          <w:sz w:val="24"/>
          <w:szCs w:val="24"/>
        </w:rPr>
        <w:t>consideration</w:t>
      </w:r>
      <w:proofErr w:type="spellEnd"/>
      <w:r>
        <w:rPr>
          <w:rStyle w:val="None"/>
          <w:rFonts w:ascii="Verdana" w:hAnsi="Verdana"/>
          <w:sz w:val="24"/>
          <w:szCs w:val="24"/>
        </w:rPr>
        <w:t xml:space="preserve"> of the 1995 </w:t>
      </w:r>
      <w:proofErr w:type="spellStart"/>
      <w:r>
        <w:rPr>
          <w:rStyle w:val="None"/>
          <w:rFonts w:ascii="Verdana" w:hAnsi="Verdana"/>
          <w:sz w:val="24"/>
          <w:szCs w:val="24"/>
        </w:rPr>
        <w:t>Order</w:t>
      </w:r>
      <w:proofErr w:type="spellEnd"/>
      <w:r>
        <w:rPr>
          <w:rStyle w:val="None"/>
          <w:rFonts w:ascii="Verdana" w:hAnsi="Verdana"/>
          <w:sz w:val="24"/>
          <w:szCs w:val="24"/>
        </w:rPr>
        <w:t xml:space="preserve"> </w:t>
      </w:r>
      <w:proofErr w:type="spellStart"/>
      <w:r>
        <w:rPr>
          <w:rStyle w:val="None"/>
          <w:rFonts w:ascii="Verdana" w:hAnsi="Verdana"/>
          <w:sz w:val="24"/>
          <w:szCs w:val="24"/>
        </w:rPr>
        <w:t>would</w:t>
      </w:r>
      <w:proofErr w:type="spellEnd"/>
      <w:r>
        <w:rPr>
          <w:rStyle w:val="None"/>
          <w:rFonts w:ascii="Verdana" w:hAnsi="Verdana"/>
          <w:sz w:val="24"/>
          <w:szCs w:val="24"/>
        </w:rPr>
        <w:t xml:space="preserve"> </w:t>
      </w:r>
      <w:proofErr w:type="spellStart"/>
      <w:r>
        <w:rPr>
          <w:rStyle w:val="None"/>
          <w:rFonts w:ascii="Verdana" w:hAnsi="Verdana"/>
          <w:sz w:val="24"/>
          <w:szCs w:val="24"/>
        </w:rPr>
        <w:t>be</w:t>
      </w:r>
      <w:proofErr w:type="spellEnd"/>
      <w:r>
        <w:rPr>
          <w:rStyle w:val="None"/>
          <w:rFonts w:ascii="Verdana" w:hAnsi="Verdana"/>
          <w:sz w:val="24"/>
          <w:szCs w:val="24"/>
        </w:rPr>
        <w:t xml:space="preserve"> </w:t>
      </w:r>
      <w:proofErr w:type="spellStart"/>
      <w:r>
        <w:rPr>
          <w:rStyle w:val="None"/>
          <w:rFonts w:ascii="Verdana" w:hAnsi="Verdana"/>
          <w:sz w:val="24"/>
          <w:szCs w:val="24"/>
        </w:rPr>
        <w:t>commenced</w:t>
      </w:r>
      <w:proofErr w:type="spellEnd"/>
      <w:r>
        <w:rPr>
          <w:rStyle w:val="None"/>
          <w:rFonts w:ascii="Verdana" w:hAnsi="Verdana"/>
          <w:sz w:val="24"/>
          <w:szCs w:val="24"/>
        </w:rPr>
        <w:t xml:space="preserve"> </w:t>
      </w:r>
      <w:proofErr w:type="spellStart"/>
      <w:r>
        <w:rPr>
          <w:rStyle w:val="None"/>
          <w:rFonts w:ascii="Verdana" w:hAnsi="Verdana"/>
          <w:sz w:val="24"/>
          <w:szCs w:val="24"/>
        </w:rPr>
        <w:lastRenderedPageBreak/>
        <w:t>prior</w:t>
      </w:r>
      <w:proofErr w:type="spellEnd"/>
      <w:r>
        <w:rPr>
          <w:rStyle w:val="None"/>
          <w:rFonts w:ascii="Verdana" w:hAnsi="Verdana"/>
          <w:sz w:val="24"/>
          <w:szCs w:val="24"/>
        </w:rPr>
        <w:t xml:space="preserve"> to the </w:t>
      </w:r>
      <w:proofErr w:type="spellStart"/>
      <w:r>
        <w:rPr>
          <w:rStyle w:val="None"/>
          <w:rFonts w:ascii="Verdana" w:hAnsi="Verdana"/>
          <w:sz w:val="24"/>
          <w:szCs w:val="24"/>
        </w:rPr>
        <w:t>enactment</w:t>
      </w:r>
      <w:proofErr w:type="spellEnd"/>
      <w:r>
        <w:rPr>
          <w:rStyle w:val="None"/>
          <w:rFonts w:ascii="Verdana" w:hAnsi="Verdana"/>
          <w:sz w:val="24"/>
          <w:szCs w:val="24"/>
        </w:rPr>
        <w:t xml:space="preserve"> of </w:t>
      </w:r>
      <w:proofErr w:type="spellStart"/>
      <w:r>
        <w:rPr>
          <w:rStyle w:val="None"/>
          <w:rFonts w:ascii="Verdana" w:hAnsi="Verdana"/>
          <w:sz w:val="24"/>
          <w:szCs w:val="24"/>
        </w:rPr>
        <w:t>this</w:t>
      </w:r>
      <w:proofErr w:type="spellEnd"/>
      <w:r>
        <w:rPr>
          <w:rStyle w:val="None"/>
          <w:rFonts w:ascii="Verdana" w:hAnsi="Verdana"/>
          <w:sz w:val="24"/>
          <w:szCs w:val="24"/>
        </w:rPr>
        <w:t xml:space="preserve"> </w:t>
      </w:r>
      <w:proofErr w:type="spellStart"/>
      <w:r>
        <w:rPr>
          <w:rStyle w:val="None"/>
          <w:rFonts w:ascii="Verdana" w:hAnsi="Verdana"/>
          <w:sz w:val="24"/>
          <w:szCs w:val="24"/>
        </w:rPr>
        <w:t>Act</w:t>
      </w:r>
      <w:proofErr w:type="spellEnd"/>
      <w:r>
        <w:rPr>
          <w:rStyle w:val="None"/>
          <w:rFonts w:ascii="Verdana" w:hAnsi="Verdana"/>
          <w:sz w:val="24"/>
          <w:szCs w:val="24"/>
        </w:rPr>
        <w:t xml:space="preserve">. </w:t>
      </w:r>
      <w:proofErr w:type="spellStart"/>
      <w:r>
        <w:rPr>
          <w:rStyle w:val="None"/>
          <w:rFonts w:ascii="Verdana" w:hAnsi="Verdana"/>
          <w:sz w:val="24"/>
          <w:szCs w:val="24"/>
        </w:rPr>
        <w:t>However</w:t>
      </w:r>
      <w:proofErr w:type="spellEnd"/>
      <w:r>
        <w:rPr>
          <w:rStyle w:val="None"/>
          <w:rFonts w:ascii="Verdana" w:hAnsi="Verdana"/>
          <w:sz w:val="24"/>
          <w:szCs w:val="24"/>
        </w:rPr>
        <w:t xml:space="preserve"> </w:t>
      </w:r>
      <w:proofErr w:type="spellStart"/>
      <w:r>
        <w:rPr>
          <w:rStyle w:val="None"/>
          <w:rFonts w:ascii="Verdana" w:hAnsi="Verdana"/>
          <w:sz w:val="24"/>
          <w:szCs w:val="24"/>
        </w:rPr>
        <w:t>there</w:t>
      </w:r>
      <w:proofErr w:type="spellEnd"/>
      <w:r>
        <w:rPr>
          <w:rStyle w:val="None"/>
          <w:rFonts w:ascii="Verdana" w:hAnsi="Verdana"/>
          <w:sz w:val="24"/>
          <w:szCs w:val="24"/>
        </w:rPr>
        <w:t xml:space="preserve"> are no plans for </w:t>
      </w:r>
      <w:proofErr w:type="spellStart"/>
      <w:r>
        <w:rPr>
          <w:rStyle w:val="None"/>
          <w:rFonts w:ascii="Verdana" w:hAnsi="Verdana"/>
          <w:sz w:val="24"/>
          <w:szCs w:val="24"/>
        </w:rPr>
        <w:t>this</w:t>
      </w:r>
      <w:proofErr w:type="spellEnd"/>
      <w:r>
        <w:rPr>
          <w:rStyle w:val="None"/>
          <w:rFonts w:ascii="Verdana" w:hAnsi="Verdana"/>
          <w:sz w:val="24"/>
          <w:szCs w:val="24"/>
        </w:rPr>
        <w:t xml:space="preserve"> to </w:t>
      </w:r>
      <w:proofErr w:type="spellStart"/>
      <w:r>
        <w:rPr>
          <w:rStyle w:val="None"/>
          <w:rFonts w:ascii="Verdana" w:hAnsi="Verdana"/>
          <w:sz w:val="24"/>
          <w:szCs w:val="24"/>
        </w:rPr>
        <w:t>take</w:t>
      </w:r>
      <w:proofErr w:type="spellEnd"/>
      <w:r>
        <w:rPr>
          <w:rStyle w:val="None"/>
          <w:rFonts w:ascii="Verdana" w:hAnsi="Verdana"/>
          <w:sz w:val="24"/>
          <w:szCs w:val="24"/>
        </w:rPr>
        <w:t xml:space="preserve"> place.</w:t>
      </w:r>
      <w:r>
        <w:rPr>
          <w:rStyle w:val="None"/>
          <w:rFonts w:ascii="Verdana" w:eastAsia="Verdana" w:hAnsi="Verdana" w:cs="Verdana"/>
          <w:sz w:val="24"/>
          <w:szCs w:val="24"/>
          <w:vertAlign w:val="superscript"/>
        </w:rPr>
        <w:footnoteReference w:id="24"/>
      </w:r>
      <w:r>
        <w:rPr>
          <w:rStyle w:val="None"/>
          <w:rFonts w:ascii="Verdana" w:hAnsi="Verdana"/>
          <w:sz w:val="24"/>
          <w:szCs w:val="24"/>
          <w:lang w:val="ru-RU"/>
        </w:rPr>
        <w:t xml:space="preserve">  </w:t>
      </w:r>
    </w:p>
    <w:p w:rsidR="00FA5218" w:rsidRDefault="00FA5218">
      <w:pPr>
        <w:pStyle w:val="BodyA"/>
        <w:spacing w:after="0" w:line="240" w:lineRule="auto"/>
      </w:pPr>
    </w:p>
    <w:p w:rsidR="00FA5218" w:rsidRDefault="00720B60">
      <w:pPr>
        <w:pStyle w:val="BodyA"/>
        <w:numPr>
          <w:ilvl w:val="0"/>
          <w:numId w:val="4"/>
        </w:numPr>
        <w:spacing w:after="0" w:line="240" w:lineRule="auto"/>
        <w:rPr>
          <w:rFonts w:ascii="Verdana" w:hAnsi="Verdana"/>
          <w:b/>
          <w:bCs/>
          <w:sz w:val="24"/>
          <w:szCs w:val="24"/>
        </w:rPr>
      </w:pPr>
      <w:r>
        <w:rPr>
          <w:rStyle w:val="None"/>
          <w:rFonts w:ascii="Verdana" w:hAnsi="Verdana"/>
          <w:b/>
          <w:bCs/>
          <w:sz w:val="24"/>
          <w:szCs w:val="24"/>
        </w:rPr>
        <w:t xml:space="preserve">The Commission invites the </w:t>
      </w:r>
      <w:proofErr w:type="spellStart"/>
      <w:r>
        <w:rPr>
          <w:rStyle w:val="None"/>
          <w:rFonts w:ascii="Verdana" w:hAnsi="Verdana"/>
          <w:b/>
          <w:bCs/>
          <w:sz w:val="24"/>
          <w:szCs w:val="24"/>
        </w:rPr>
        <w:t>Committee</w:t>
      </w:r>
      <w:proofErr w:type="spellEnd"/>
      <w:r>
        <w:rPr>
          <w:rStyle w:val="None"/>
          <w:rFonts w:ascii="Verdana" w:hAnsi="Verdana"/>
          <w:b/>
          <w:bCs/>
          <w:sz w:val="24"/>
          <w:szCs w:val="24"/>
        </w:rPr>
        <w:t xml:space="preserve"> to </w:t>
      </w:r>
      <w:proofErr w:type="spellStart"/>
      <w:r>
        <w:rPr>
          <w:rStyle w:val="None"/>
          <w:rFonts w:ascii="Verdana" w:hAnsi="Verdana"/>
          <w:b/>
          <w:bCs/>
          <w:sz w:val="24"/>
          <w:szCs w:val="24"/>
        </w:rPr>
        <w:t>recommend</w:t>
      </w:r>
      <w:proofErr w:type="spellEnd"/>
      <w:r>
        <w:rPr>
          <w:rStyle w:val="None"/>
          <w:rFonts w:ascii="Verdana" w:hAnsi="Verdana"/>
          <w:b/>
          <w:bCs/>
          <w:sz w:val="24"/>
          <w:szCs w:val="24"/>
        </w:rPr>
        <w:t xml:space="preserve"> </w:t>
      </w:r>
      <w:proofErr w:type="spellStart"/>
      <w:r>
        <w:rPr>
          <w:rStyle w:val="None"/>
          <w:rFonts w:ascii="Verdana" w:hAnsi="Verdana"/>
          <w:b/>
          <w:bCs/>
          <w:sz w:val="24"/>
          <w:szCs w:val="24"/>
        </w:rPr>
        <w:t>that</w:t>
      </w:r>
      <w:proofErr w:type="spellEnd"/>
      <w:r>
        <w:rPr>
          <w:rStyle w:val="None"/>
          <w:rFonts w:ascii="Verdana" w:hAnsi="Verdana"/>
          <w:b/>
          <w:bCs/>
          <w:sz w:val="24"/>
          <w:szCs w:val="24"/>
        </w:rPr>
        <w:t xml:space="preserve"> the State Party, in </w:t>
      </w:r>
      <w:proofErr w:type="spellStart"/>
      <w:r>
        <w:rPr>
          <w:rStyle w:val="None"/>
          <w:rFonts w:ascii="Verdana" w:hAnsi="Verdana"/>
          <w:b/>
          <w:bCs/>
          <w:sz w:val="24"/>
          <w:szCs w:val="24"/>
        </w:rPr>
        <w:t>particular</w:t>
      </w:r>
      <w:proofErr w:type="spellEnd"/>
      <w:r>
        <w:rPr>
          <w:rStyle w:val="None"/>
          <w:rFonts w:ascii="Verdana" w:hAnsi="Verdana"/>
          <w:b/>
          <w:bCs/>
          <w:sz w:val="24"/>
          <w:szCs w:val="24"/>
        </w:rPr>
        <w:t xml:space="preserve"> the NI </w:t>
      </w:r>
      <w:proofErr w:type="spellStart"/>
      <w:r>
        <w:rPr>
          <w:rStyle w:val="None"/>
          <w:rFonts w:ascii="Verdana" w:hAnsi="Verdana"/>
          <w:b/>
          <w:bCs/>
          <w:sz w:val="24"/>
          <w:szCs w:val="24"/>
        </w:rPr>
        <w:t>Executive</w:t>
      </w:r>
      <w:proofErr w:type="spellEnd"/>
      <w:r>
        <w:rPr>
          <w:rStyle w:val="None"/>
          <w:rFonts w:ascii="Verdana" w:hAnsi="Verdana"/>
          <w:b/>
          <w:bCs/>
          <w:sz w:val="24"/>
          <w:szCs w:val="24"/>
        </w:rPr>
        <w:t xml:space="preserve">, carry out a </w:t>
      </w:r>
      <w:proofErr w:type="spellStart"/>
      <w:r>
        <w:rPr>
          <w:rStyle w:val="None"/>
          <w:rFonts w:ascii="Verdana" w:hAnsi="Verdana"/>
          <w:b/>
          <w:bCs/>
          <w:sz w:val="24"/>
          <w:szCs w:val="24"/>
        </w:rPr>
        <w:t>review</w:t>
      </w:r>
      <w:proofErr w:type="spellEnd"/>
      <w:r>
        <w:rPr>
          <w:rStyle w:val="None"/>
          <w:rFonts w:ascii="Verdana" w:hAnsi="Verdana"/>
          <w:b/>
          <w:bCs/>
          <w:sz w:val="24"/>
          <w:szCs w:val="24"/>
        </w:rPr>
        <w:t xml:space="preserve"> of the </w:t>
      </w:r>
      <w:proofErr w:type="spellStart"/>
      <w:r>
        <w:rPr>
          <w:rStyle w:val="None"/>
          <w:rFonts w:ascii="Verdana" w:hAnsi="Verdana"/>
          <w:b/>
          <w:bCs/>
          <w:sz w:val="24"/>
          <w:szCs w:val="24"/>
        </w:rPr>
        <w:t>legal</w:t>
      </w:r>
      <w:proofErr w:type="spellEnd"/>
      <w:r>
        <w:rPr>
          <w:rStyle w:val="None"/>
          <w:rFonts w:ascii="Verdana" w:hAnsi="Verdana"/>
          <w:b/>
          <w:bCs/>
          <w:sz w:val="24"/>
          <w:szCs w:val="24"/>
        </w:rPr>
        <w:t xml:space="preserve"> </w:t>
      </w:r>
      <w:proofErr w:type="spellStart"/>
      <w:r>
        <w:rPr>
          <w:rStyle w:val="None"/>
          <w:rFonts w:ascii="Verdana" w:hAnsi="Verdana"/>
          <w:b/>
          <w:bCs/>
          <w:sz w:val="24"/>
          <w:szCs w:val="24"/>
        </w:rPr>
        <w:t>framework</w:t>
      </w:r>
      <w:proofErr w:type="spellEnd"/>
      <w:r>
        <w:rPr>
          <w:rStyle w:val="None"/>
          <w:rFonts w:ascii="Verdana" w:hAnsi="Verdana"/>
          <w:b/>
          <w:bCs/>
          <w:sz w:val="24"/>
          <w:szCs w:val="24"/>
        </w:rPr>
        <w:t xml:space="preserve"> in </w:t>
      </w:r>
      <w:proofErr w:type="spellStart"/>
      <w:r>
        <w:rPr>
          <w:rStyle w:val="None"/>
          <w:rFonts w:ascii="Verdana" w:hAnsi="Verdana"/>
          <w:b/>
          <w:bCs/>
          <w:sz w:val="24"/>
          <w:szCs w:val="24"/>
        </w:rPr>
        <w:t>Northern</w:t>
      </w:r>
      <w:proofErr w:type="spellEnd"/>
      <w:r>
        <w:rPr>
          <w:rStyle w:val="None"/>
          <w:rFonts w:ascii="Verdana" w:hAnsi="Verdana"/>
          <w:b/>
          <w:bCs/>
          <w:sz w:val="24"/>
          <w:szCs w:val="24"/>
        </w:rPr>
        <w:t xml:space="preserve"> Ireland </w:t>
      </w:r>
      <w:proofErr w:type="spellStart"/>
      <w:r>
        <w:rPr>
          <w:rStyle w:val="None"/>
          <w:rFonts w:ascii="Verdana" w:hAnsi="Verdana"/>
          <w:b/>
          <w:bCs/>
          <w:sz w:val="24"/>
          <w:szCs w:val="24"/>
        </w:rPr>
        <w:t>governing</w:t>
      </w:r>
      <w:proofErr w:type="spellEnd"/>
      <w:r>
        <w:rPr>
          <w:rStyle w:val="None"/>
          <w:rFonts w:ascii="Verdana" w:hAnsi="Verdana"/>
          <w:b/>
          <w:bCs/>
          <w:sz w:val="24"/>
          <w:szCs w:val="24"/>
        </w:rPr>
        <w:t xml:space="preserve"> the </w:t>
      </w:r>
      <w:proofErr w:type="spellStart"/>
      <w:r>
        <w:rPr>
          <w:rStyle w:val="None"/>
          <w:rFonts w:ascii="Verdana" w:hAnsi="Verdana"/>
          <w:b/>
          <w:bCs/>
          <w:sz w:val="24"/>
          <w:szCs w:val="24"/>
        </w:rPr>
        <w:t>capacity</w:t>
      </w:r>
      <w:proofErr w:type="spellEnd"/>
      <w:r>
        <w:rPr>
          <w:rStyle w:val="None"/>
          <w:rFonts w:ascii="Verdana" w:hAnsi="Verdana"/>
          <w:b/>
          <w:bCs/>
          <w:sz w:val="24"/>
          <w:szCs w:val="24"/>
        </w:rPr>
        <w:t xml:space="preserve"> of </w:t>
      </w:r>
      <w:proofErr w:type="spellStart"/>
      <w:r>
        <w:rPr>
          <w:rStyle w:val="None"/>
          <w:rFonts w:ascii="Verdana" w:hAnsi="Verdana"/>
          <w:b/>
          <w:bCs/>
          <w:sz w:val="24"/>
          <w:szCs w:val="24"/>
        </w:rPr>
        <w:t>children</w:t>
      </w:r>
      <w:proofErr w:type="spellEnd"/>
      <w:r>
        <w:rPr>
          <w:rStyle w:val="None"/>
          <w:rFonts w:ascii="Verdana" w:hAnsi="Verdana"/>
          <w:b/>
          <w:bCs/>
          <w:sz w:val="24"/>
          <w:szCs w:val="24"/>
        </w:rPr>
        <w:t xml:space="preserve"> to </w:t>
      </w:r>
      <w:proofErr w:type="spellStart"/>
      <w:r>
        <w:rPr>
          <w:rStyle w:val="None"/>
          <w:rFonts w:ascii="Verdana" w:hAnsi="Verdana"/>
          <w:b/>
          <w:bCs/>
          <w:sz w:val="24"/>
          <w:szCs w:val="24"/>
        </w:rPr>
        <w:t>ensure</w:t>
      </w:r>
      <w:proofErr w:type="spellEnd"/>
      <w:r>
        <w:rPr>
          <w:rStyle w:val="None"/>
          <w:rFonts w:ascii="Verdana" w:hAnsi="Verdana"/>
          <w:b/>
          <w:bCs/>
          <w:sz w:val="24"/>
          <w:szCs w:val="24"/>
        </w:rPr>
        <w:t xml:space="preserve"> full respect </w:t>
      </w:r>
      <w:proofErr w:type="spellStart"/>
      <w:r>
        <w:rPr>
          <w:rStyle w:val="None"/>
          <w:rFonts w:ascii="Verdana" w:hAnsi="Verdana"/>
          <w:b/>
          <w:bCs/>
          <w:sz w:val="24"/>
          <w:szCs w:val="24"/>
        </w:rPr>
        <w:t>is</w:t>
      </w:r>
      <w:proofErr w:type="spellEnd"/>
      <w:r>
        <w:rPr>
          <w:rStyle w:val="None"/>
          <w:rFonts w:ascii="Verdana" w:hAnsi="Verdana"/>
          <w:b/>
          <w:bCs/>
          <w:sz w:val="24"/>
          <w:szCs w:val="24"/>
        </w:rPr>
        <w:t xml:space="preserve"> </w:t>
      </w:r>
      <w:proofErr w:type="spellStart"/>
      <w:r>
        <w:rPr>
          <w:rStyle w:val="None"/>
          <w:rFonts w:ascii="Verdana" w:hAnsi="Verdana"/>
          <w:b/>
          <w:bCs/>
          <w:sz w:val="24"/>
          <w:szCs w:val="24"/>
        </w:rPr>
        <w:t>given</w:t>
      </w:r>
      <w:proofErr w:type="spellEnd"/>
      <w:r>
        <w:rPr>
          <w:rStyle w:val="None"/>
          <w:rFonts w:ascii="Verdana" w:hAnsi="Verdana"/>
          <w:b/>
          <w:bCs/>
          <w:sz w:val="24"/>
          <w:szCs w:val="24"/>
        </w:rPr>
        <w:t xml:space="preserve"> to the </w:t>
      </w:r>
      <w:proofErr w:type="spellStart"/>
      <w:r>
        <w:rPr>
          <w:rStyle w:val="None"/>
          <w:rFonts w:ascii="Verdana" w:hAnsi="Verdana"/>
          <w:b/>
          <w:bCs/>
          <w:sz w:val="24"/>
          <w:szCs w:val="24"/>
        </w:rPr>
        <w:t>emerging</w:t>
      </w:r>
      <w:proofErr w:type="spellEnd"/>
      <w:r>
        <w:rPr>
          <w:rStyle w:val="None"/>
          <w:rFonts w:ascii="Verdana" w:hAnsi="Verdana"/>
          <w:b/>
          <w:bCs/>
          <w:sz w:val="24"/>
          <w:szCs w:val="24"/>
        </w:rPr>
        <w:t xml:space="preserve"> </w:t>
      </w:r>
      <w:proofErr w:type="spellStart"/>
      <w:r>
        <w:rPr>
          <w:rStyle w:val="None"/>
          <w:rFonts w:ascii="Verdana" w:hAnsi="Verdana"/>
          <w:b/>
          <w:bCs/>
          <w:sz w:val="24"/>
          <w:szCs w:val="24"/>
        </w:rPr>
        <w:t>capacity</w:t>
      </w:r>
      <w:proofErr w:type="spellEnd"/>
      <w:r>
        <w:rPr>
          <w:rStyle w:val="None"/>
          <w:rFonts w:ascii="Verdana" w:hAnsi="Verdana"/>
          <w:b/>
          <w:bCs/>
          <w:sz w:val="24"/>
          <w:szCs w:val="24"/>
        </w:rPr>
        <w:t xml:space="preserve"> of </w:t>
      </w:r>
      <w:proofErr w:type="spellStart"/>
      <w:r>
        <w:rPr>
          <w:rStyle w:val="None"/>
          <w:rFonts w:ascii="Verdana" w:hAnsi="Verdana"/>
          <w:b/>
          <w:bCs/>
          <w:sz w:val="24"/>
          <w:szCs w:val="24"/>
        </w:rPr>
        <w:t>children</w:t>
      </w:r>
      <w:proofErr w:type="spellEnd"/>
      <w:r>
        <w:rPr>
          <w:rStyle w:val="None"/>
          <w:rFonts w:ascii="Verdana" w:hAnsi="Verdana"/>
          <w:b/>
          <w:bCs/>
          <w:sz w:val="24"/>
          <w:szCs w:val="24"/>
        </w:rPr>
        <w:t xml:space="preserve">.  </w:t>
      </w:r>
    </w:p>
    <w:p w:rsidR="00FA5218" w:rsidRDefault="00FA5218">
      <w:pPr>
        <w:pStyle w:val="BodyA"/>
        <w:spacing w:after="0" w:line="240" w:lineRule="auto"/>
      </w:pPr>
    </w:p>
    <w:p w:rsidR="00FA5218" w:rsidRDefault="00720B60">
      <w:pPr>
        <w:pStyle w:val="BodyA"/>
        <w:spacing w:after="0" w:line="240" w:lineRule="auto"/>
      </w:pPr>
      <w:r>
        <w:rPr>
          <w:rStyle w:val="None"/>
          <w:rFonts w:ascii="Verdana" w:hAnsi="Verdana"/>
          <w:b/>
          <w:bCs/>
          <w:sz w:val="24"/>
          <w:szCs w:val="24"/>
          <w:lang w:val="en-US"/>
        </w:rPr>
        <w:t>Policy Framework</w:t>
      </w:r>
    </w:p>
    <w:p w:rsidR="00FA5218" w:rsidRDefault="00FA5218">
      <w:pPr>
        <w:pStyle w:val="BodyA"/>
        <w:spacing w:after="0" w:line="240" w:lineRule="auto"/>
      </w:pPr>
    </w:p>
    <w:p w:rsidR="00FA5218" w:rsidRDefault="00720B60">
      <w:pPr>
        <w:pStyle w:val="BodyA"/>
        <w:numPr>
          <w:ilvl w:val="0"/>
          <w:numId w:val="2"/>
        </w:numPr>
        <w:spacing w:after="0" w:line="240" w:lineRule="auto"/>
        <w:rPr>
          <w:rFonts w:ascii="Verdana" w:hAnsi="Verdana"/>
          <w:sz w:val="24"/>
          <w:szCs w:val="24"/>
          <w:lang w:val="en-US"/>
        </w:rPr>
      </w:pPr>
      <w:r>
        <w:rPr>
          <w:rStyle w:val="news-date"/>
          <w:rFonts w:ascii="Verdana" w:hAnsi="Verdana"/>
          <w:sz w:val="24"/>
          <w:szCs w:val="24"/>
        </w:rPr>
        <w:t>In June 2016 the stated timeframe for the OFMDFM</w:t>
      </w:r>
      <w:r>
        <w:rPr>
          <w:rStyle w:val="None"/>
          <w:rFonts w:ascii="Verdana" w:hAnsi="Verdana"/>
          <w:b/>
          <w:bCs/>
          <w:sz w:val="24"/>
          <w:szCs w:val="24"/>
          <w:lang w:val="en-US"/>
        </w:rPr>
        <w:t xml:space="preserve"> </w:t>
      </w:r>
      <w:r>
        <w:rPr>
          <w:rStyle w:val="news-date"/>
          <w:rFonts w:ascii="Verdana" w:hAnsi="Verdana"/>
          <w:sz w:val="24"/>
          <w:szCs w:val="24"/>
        </w:rPr>
        <w:t>Strategy for Children and Young People will come to an end. The replacement of this strategy is yet to be published.</w:t>
      </w:r>
      <w:r>
        <w:rPr>
          <w:rStyle w:val="FootnoteReference"/>
          <w:rFonts w:ascii="Verdana" w:eastAsia="Verdana" w:hAnsi="Verdana" w:cs="Verdana"/>
          <w:sz w:val="24"/>
          <w:szCs w:val="24"/>
        </w:rPr>
        <w:footnoteReference w:id="25"/>
      </w:r>
      <w:r>
        <w:rPr>
          <w:rStyle w:val="news-date"/>
          <w:rFonts w:ascii="Verdana" w:hAnsi="Verdana"/>
          <w:sz w:val="24"/>
          <w:szCs w:val="24"/>
        </w:rPr>
        <w:t xml:space="preserve"> The development of a new child strategy presents an opportunity to address many outstanding issues relating to the rights of children, such as early intervention.</w:t>
      </w:r>
      <w:r>
        <w:rPr>
          <w:rStyle w:val="FootnoteReference"/>
          <w:rFonts w:ascii="Verdana" w:eastAsia="Verdana" w:hAnsi="Verdana" w:cs="Verdana"/>
          <w:sz w:val="24"/>
          <w:szCs w:val="24"/>
        </w:rPr>
        <w:footnoteReference w:id="26"/>
      </w:r>
      <w:r>
        <w:rPr>
          <w:rStyle w:val="news-date"/>
          <w:rFonts w:ascii="Verdana" w:hAnsi="Verdana"/>
          <w:sz w:val="24"/>
          <w:szCs w:val="24"/>
        </w:rPr>
        <w:t xml:space="preserve"> The Commission notes that OFMDFM has reported that: ‘Initial work has now commenced to bring forward the development of a new children and young people's strategy </w:t>
      </w:r>
      <w:proofErr w:type="spellStart"/>
      <w:r>
        <w:rPr>
          <w:rStyle w:val="news-date"/>
          <w:rFonts w:ascii="Verdana" w:hAnsi="Verdana"/>
          <w:sz w:val="24"/>
          <w:szCs w:val="24"/>
        </w:rPr>
        <w:t>utilising</w:t>
      </w:r>
      <w:proofErr w:type="spellEnd"/>
      <w:r>
        <w:rPr>
          <w:rStyle w:val="news-date"/>
          <w:rFonts w:ascii="Verdana" w:hAnsi="Verdana"/>
          <w:sz w:val="24"/>
          <w:szCs w:val="24"/>
        </w:rPr>
        <w:t xml:space="preserve"> a co-design process, listening to the views of stakeholders and building on the strategic outcomes of the current strategy’.</w:t>
      </w:r>
      <w:r>
        <w:rPr>
          <w:rStyle w:val="FootnoteReference"/>
          <w:rFonts w:ascii="Verdana" w:eastAsia="Verdana" w:hAnsi="Verdana" w:cs="Verdana"/>
          <w:sz w:val="24"/>
          <w:szCs w:val="24"/>
        </w:rPr>
        <w:footnoteReference w:id="27"/>
      </w:r>
      <w:r>
        <w:rPr>
          <w:rStyle w:val="news-date"/>
          <w:rFonts w:ascii="Verdana" w:hAnsi="Verdana"/>
          <w:sz w:val="24"/>
          <w:szCs w:val="24"/>
        </w:rPr>
        <w:t xml:space="preserve"> OFMDFM in publishing its child poverty strategy has indicated a new strategy for children and young people is in development.</w:t>
      </w:r>
      <w:r>
        <w:rPr>
          <w:rStyle w:val="FootnoteReference"/>
          <w:rFonts w:ascii="Verdana" w:eastAsia="Verdana" w:hAnsi="Verdana" w:cs="Verdana"/>
          <w:sz w:val="24"/>
          <w:szCs w:val="24"/>
        </w:rPr>
        <w:footnoteReference w:id="28"/>
      </w:r>
      <w:r>
        <w:rPr>
          <w:rStyle w:val="news-date"/>
          <w:rFonts w:ascii="Verdana" w:hAnsi="Verdana"/>
          <w:sz w:val="24"/>
          <w:szCs w:val="24"/>
        </w:rPr>
        <w:t xml:space="preserve"> It is noted that following the general election on 5 May 2016 the NI Executive will be re-structured to comprise 9 Departments rather than 11, the responsibilities for children and young people will transfer from the OFMDFM to the Department of Education.</w:t>
      </w:r>
      <w:r>
        <w:rPr>
          <w:rStyle w:val="FootnoteReference"/>
          <w:rFonts w:ascii="Verdana" w:eastAsia="Verdana" w:hAnsi="Verdana" w:cs="Verdana"/>
          <w:sz w:val="24"/>
          <w:szCs w:val="24"/>
        </w:rPr>
        <w:footnoteReference w:id="29"/>
      </w:r>
      <w:r>
        <w:rPr>
          <w:rStyle w:val="news-date"/>
          <w:rFonts w:ascii="Verdana" w:hAnsi="Verdana"/>
          <w:sz w:val="24"/>
          <w:szCs w:val="24"/>
        </w:rPr>
        <w:t xml:space="preserve">  In this context it is important that a new strategy focuses the attention of relevant departments on the rights of children.</w:t>
      </w:r>
      <w:r>
        <w:rPr>
          <w:rStyle w:val="None"/>
          <w:lang w:val="en-US"/>
        </w:rPr>
        <w:t xml:space="preserve"> </w:t>
      </w:r>
    </w:p>
    <w:p w:rsidR="00FA5218" w:rsidRDefault="00FA5218">
      <w:pPr>
        <w:pStyle w:val="BodyA"/>
        <w:spacing w:after="0" w:line="240" w:lineRule="auto"/>
      </w:pPr>
    </w:p>
    <w:p w:rsidR="00FA5218" w:rsidRDefault="00720B60">
      <w:pPr>
        <w:pStyle w:val="BodyA"/>
        <w:numPr>
          <w:ilvl w:val="0"/>
          <w:numId w:val="4"/>
        </w:numPr>
        <w:spacing w:after="0" w:line="240" w:lineRule="auto"/>
        <w:rPr>
          <w:rFonts w:ascii="Verdana" w:hAnsi="Verdana"/>
          <w:b/>
          <w:bCs/>
          <w:sz w:val="24"/>
          <w:szCs w:val="24"/>
          <w:lang w:val="en-US"/>
        </w:rPr>
      </w:pPr>
      <w:r>
        <w:rPr>
          <w:rStyle w:val="news-date"/>
          <w:rFonts w:ascii="Verdana" w:hAnsi="Verdana"/>
          <w:b/>
          <w:bCs/>
          <w:sz w:val="24"/>
          <w:szCs w:val="24"/>
        </w:rPr>
        <w:t xml:space="preserve">The Committee may wish to recommend that the State Party ensures that the new strategy replacing the current NI Strategy for Children and Young People is a robust child strategy which includes an action plan including the elaboration of indicators and objectives based on the Convention and making provision for independent monitoring. Furthermore the development of the strategy should include meaningful engagement with children and young people, in line with the right to be heard. </w:t>
      </w:r>
    </w:p>
    <w:p w:rsidR="00FA5218" w:rsidRDefault="00FA5218">
      <w:pPr>
        <w:pStyle w:val="BodyA"/>
        <w:spacing w:after="0" w:line="240" w:lineRule="auto"/>
      </w:pPr>
    </w:p>
    <w:p w:rsidR="00FA5218" w:rsidRDefault="00720B60">
      <w:pPr>
        <w:pStyle w:val="BodyA"/>
        <w:spacing w:after="0" w:line="240" w:lineRule="auto"/>
      </w:pPr>
      <w:r>
        <w:rPr>
          <w:rStyle w:val="None"/>
          <w:rFonts w:ascii="Verdana" w:hAnsi="Verdana"/>
          <w:b/>
          <w:bCs/>
          <w:sz w:val="24"/>
          <w:szCs w:val="24"/>
          <w:u w:val="single"/>
          <w:lang w:val="en-US"/>
        </w:rPr>
        <w:lastRenderedPageBreak/>
        <w:t>Violence against children (arts. 19, 24, para.3, 28, para. 2, 34, 37 (a) and 39)</w:t>
      </w:r>
    </w:p>
    <w:p w:rsidR="00FA5218" w:rsidRDefault="00FA5218">
      <w:pPr>
        <w:pStyle w:val="BodyA"/>
        <w:spacing w:after="0" w:line="240" w:lineRule="auto"/>
      </w:pPr>
    </w:p>
    <w:p w:rsidR="00FA5218" w:rsidRDefault="00720B60">
      <w:pPr>
        <w:pStyle w:val="BodyA"/>
        <w:spacing w:after="0" w:line="240" w:lineRule="auto"/>
      </w:pPr>
      <w:r>
        <w:rPr>
          <w:rStyle w:val="None"/>
          <w:rFonts w:ascii="Verdana" w:hAnsi="Verdana"/>
          <w:b/>
          <w:bCs/>
          <w:sz w:val="24"/>
          <w:szCs w:val="24"/>
          <w:lang w:val="en-US"/>
        </w:rPr>
        <w:t>Abuse and neglect</w:t>
      </w:r>
    </w:p>
    <w:p w:rsidR="00FA5218" w:rsidRDefault="00FA5218">
      <w:pPr>
        <w:pStyle w:val="BodyA"/>
        <w:spacing w:after="0" w:line="240" w:lineRule="auto"/>
      </w:pPr>
    </w:p>
    <w:p w:rsidR="00FA5218" w:rsidRDefault="00720B60">
      <w:pPr>
        <w:pStyle w:val="BodyA"/>
        <w:numPr>
          <w:ilvl w:val="0"/>
          <w:numId w:val="2"/>
        </w:numPr>
        <w:spacing w:after="0" w:line="240" w:lineRule="auto"/>
        <w:rPr>
          <w:rFonts w:ascii="Verdana" w:hAnsi="Verdana"/>
          <w:sz w:val="24"/>
          <w:szCs w:val="24"/>
          <w:lang w:val="en-US"/>
        </w:rPr>
      </w:pPr>
      <w:r>
        <w:rPr>
          <w:rStyle w:val="news-date"/>
          <w:rFonts w:ascii="Verdana" w:hAnsi="Verdana"/>
          <w:sz w:val="24"/>
          <w:szCs w:val="24"/>
        </w:rPr>
        <w:t>In 2013 the issue of child sexual exploitation became a priority concern for the NI Executive following revelations about the extent of exploitation during an investigation by the PSNI. This investigation focused on 22 children, most of whom were in the care of social services, and suggested that many more may currently be at risk of sexual exploitation.</w:t>
      </w:r>
      <w:r>
        <w:rPr>
          <w:rStyle w:val="FootnoteReference"/>
          <w:rFonts w:ascii="Verdana" w:eastAsia="Verdana" w:hAnsi="Verdana" w:cs="Verdana"/>
          <w:sz w:val="24"/>
          <w:szCs w:val="24"/>
        </w:rPr>
        <w:footnoteReference w:id="30"/>
      </w:r>
      <w:r>
        <w:rPr>
          <w:rStyle w:val="news-date"/>
          <w:rFonts w:ascii="Verdana" w:hAnsi="Verdana"/>
          <w:sz w:val="24"/>
          <w:szCs w:val="24"/>
        </w:rPr>
        <w:t xml:space="preserve"> The Minister for Health, Social Services and Public Safety instituted a thematic review of these cases with the aim of identifying key learning points and opportunities for improvement for the agencies involved.</w:t>
      </w:r>
      <w:r>
        <w:rPr>
          <w:rStyle w:val="FootnoteReference"/>
          <w:rFonts w:ascii="Verdana" w:eastAsia="Verdana" w:hAnsi="Verdana" w:cs="Verdana"/>
          <w:sz w:val="24"/>
          <w:szCs w:val="24"/>
        </w:rPr>
        <w:footnoteReference w:id="31"/>
      </w:r>
      <w:r>
        <w:rPr>
          <w:rStyle w:val="news-date"/>
          <w:rFonts w:ascii="Verdana" w:hAnsi="Verdana"/>
          <w:sz w:val="24"/>
          <w:szCs w:val="24"/>
        </w:rPr>
        <w:t xml:space="preserve">  At the same time, an independent, expert–led inquiry was jointly commissioned with the Minister for Justice which published in November 2014, the Marshall Report.</w:t>
      </w:r>
      <w:r>
        <w:rPr>
          <w:rStyle w:val="FootnoteReference"/>
          <w:rFonts w:ascii="Verdana" w:eastAsia="Verdana" w:hAnsi="Verdana" w:cs="Verdana"/>
          <w:sz w:val="24"/>
          <w:szCs w:val="24"/>
        </w:rPr>
        <w:footnoteReference w:id="32"/>
      </w:r>
    </w:p>
    <w:p w:rsidR="00FA5218" w:rsidRDefault="00FA5218">
      <w:pPr>
        <w:pStyle w:val="BodyA"/>
        <w:spacing w:after="0" w:line="240" w:lineRule="auto"/>
      </w:pPr>
    </w:p>
    <w:p w:rsidR="00FA5218" w:rsidRDefault="00720B60">
      <w:pPr>
        <w:pStyle w:val="BodyA"/>
        <w:numPr>
          <w:ilvl w:val="0"/>
          <w:numId w:val="2"/>
        </w:numPr>
        <w:spacing w:after="0" w:line="240" w:lineRule="auto"/>
        <w:rPr>
          <w:rFonts w:ascii="Verdana" w:hAnsi="Verdana"/>
          <w:sz w:val="24"/>
          <w:szCs w:val="24"/>
          <w:lang w:val="en-US"/>
        </w:rPr>
      </w:pPr>
      <w:r>
        <w:rPr>
          <w:rStyle w:val="news-date"/>
          <w:rFonts w:ascii="Verdana" w:hAnsi="Verdana"/>
          <w:sz w:val="24"/>
          <w:szCs w:val="24"/>
        </w:rPr>
        <w:t xml:space="preserve">The evidence received by the Inquiry did not suggest that NI is experiencing the type of </w:t>
      </w:r>
      <w:proofErr w:type="spellStart"/>
      <w:r>
        <w:rPr>
          <w:rStyle w:val="news-date"/>
          <w:rFonts w:ascii="Verdana" w:hAnsi="Verdana"/>
          <w:sz w:val="24"/>
          <w:szCs w:val="24"/>
        </w:rPr>
        <w:t>organised</w:t>
      </w:r>
      <w:proofErr w:type="spellEnd"/>
      <w:r>
        <w:rPr>
          <w:rStyle w:val="news-date"/>
          <w:rFonts w:ascii="Verdana" w:hAnsi="Verdana"/>
          <w:sz w:val="24"/>
          <w:szCs w:val="24"/>
        </w:rPr>
        <w:t xml:space="preserve"> exploitation seen in other parts of the UK in recent years. It did, however, raise concerns that some perpetrators of exploitation were individuals connected to paramilitary </w:t>
      </w:r>
      <w:proofErr w:type="spellStart"/>
      <w:r>
        <w:rPr>
          <w:rStyle w:val="news-date"/>
          <w:rFonts w:ascii="Verdana" w:hAnsi="Verdana"/>
          <w:sz w:val="24"/>
          <w:szCs w:val="24"/>
        </w:rPr>
        <w:t>organisations</w:t>
      </w:r>
      <w:proofErr w:type="spellEnd"/>
      <w:r>
        <w:rPr>
          <w:rStyle w:val="news-date"/>
          <w:rFonts w:ascii="Verdana" w:hAnsi="Verdana"/>
          <w:sz w:val="24"/>
          <w:szCs w:val="24"/>
        </w:rPr>
        <w:t xml:space="preserve"> which therefore engendered fear in victims and made it much harder for them to come forward.</w:t>
      </w:r>
      <w:r>
        <w:rPr>
          <w:rStyle w:val="FootnoteReference"/>
          <w:rFonts w:ascii="Verdana" w:eastAsia="Verdana" w:hAnsi="Verdana" w:cs="Verdana"/>
          <w:sz w:val="24"/>
          <w:szCs w:val="24"/>
        </w:rPr>
        <w:footnoteReference w:id="33"/>
      </w:r>
      <w:r>
        <w:rPr>
          <w:rStyle w:val="news-date"/>
          <w:rFonts w:ascii="Verdana" w:hAnsi="Verdana"/>
          <w:sz w:val="24"/>
          <w:szCs w:val="24"/>
        </w:rPr>
        <w:t xml:space="preserve">  This finding resonates with claims from adult victims of childhood sexual abuse by members of paramilitary </w:t>
      </w:r>
      <w:proofErr w:type="spellStart"/>
      <w:r>
        <w:rPr>
          <w:rStyle w:val="news-date"/>
          <w:rFonts w:ascii="Verdana" w:hAnsi="Verdana"/>
          <w:sz w:val="24"/>
          <w:szCs w:val="24"/>
        </w:rPr>
        <w:t>organisations</w:t>
      </w:r>
      <w:proofErr w:type="spellEnd"/>
      <w:r>
        <w:rPr>
          <w:rStyle w:val="news-date"/>
          <w:rFonts w:ascii="Verdana" w:hAnsi="Verdana"/>
          <w:sz w:val="24"/>
          <w:szCs w:val="24"/>
        </w:rPr>
        <w:t xml:space="preserve"> that these </w:t>
      </w:r>
      <w:proofErr w:type="spellStart"/>
      <w:r>
        <w:rPr>
          <w:rStyle w:val="news-date"/>
          <w:rFonts w:ascii="Verdana" w:hAnsi="Verdana"/>
          <w:sz w:val="24"/>
          <w:szCs w:val="24"/>
        </w:rPr>
        <w:t>organisations</w:t>
      </w:r>
      <w:proofErr w:type="spellEnd"/>
      <w:r>
        <w:rPr>
          <w:rStyle w:val="news-date"/>
          <w:rFonts w:ascii="Verdana" w:hAnsi="Verdana"/>
          <w:sz w:val="24"/>
          <w:szCs w:val="24"/>
        </w:rPr>
        <w:t xml:space="preserve"> acted to hide abuse from the authorities, moved perpetrators to other areas and forced victims to participate in ‘kangaroo courts’ when dealing with allegations of sexual abuse against their members.</w:t>
      </w:r>
      <w:r>
        <w:rPr>
          <w:rStyle w:val="FootnoteReference"/>
          <w:rFonts w:ascii="Verdana" w:eastAsia="Verdana" w:hAnsi="Verdana" w:cs="Verdana"/>
          <w:sz w:val="24"/>
          <w:szCs w:val="24"/>
        </w:rPr>
        <w:footnoteReference w:id="34"/>
      </w:r>
      <w:r>
        <w:rPr>
          <w:rStyle w:val="news-date"/>
          <w:rFonts w:ascii="Verdana" w:hAnsi="Verdana"/>
          <w:sz w:val="24"/>
          <w:szCs w:val="24"/>
        </w:rPr>
        <w:t xml:space="preserve">  The findings of an independent review into the handling of three such cases by the Public Prosecution Service has led to a public apology by the Director after it found serious </w:t>
      </w:r>
      <w:r>
        <w:rPr>
          <w:rStyle w:val="None"/>
          <w:rFonts w:ascii="Verdana" w:hAnsi="Verdana"/>
          <w:color w:val="111111"/>
          <w:sz w:val="24"/>
          <w:szCs w:val="24"/>
          <w:u w:color="111111"/>
          <w:shd w:val="clear" w:color="auto" w:fill="FFFFFF"/>
          <w:lang w:val="en-US"/>
        </w:rPr>
        <w:t>failures around strategic planning; management of the cases and in the communication and consultation with victims and witnesses.</w:t>
      </w:r>
      <w:r>
        <w:rPr>
          <w:rStyle w:val="None"/>
          <w:rFonts w:ascii="Verdana" w:eastAsia="Verdana" w:hAnsi="Verdana" w:cs="Verdana"/>
          <w:color w:val="111111"/>
          <w:sz w:val="24"/>
          <w:szCs w:val="24"/>
          <w:u w:color="111111"/>
          <w:shd w:val="clear" w:color="auto" w:fill="FFFFFF"/>
          <w:vertAlign w:val="superscript"/>
          <w:lang w:val="en-US"/>
        </w:rPr>
        <w:footnoteReference w:id="35"/>
      </w:r>
      <w:r>
        <w:rPr>
          <w:rStyle w:val="None"/>
          <w:rFonts w:ascii="Verdana" w:hAnsi="Verdana"/>
          <w:color w:val="111111"/>
          <w:sz w:val="24"/>
          <w:szCs w:val="24"/>
          <w:u w:color="111111"/>
          <w:shd w:val="clear" w:color="auto" w:fill="FFFFFF"/>
          <w:lang w:val="en-US"/>
        </w:rPr>
        <w:t xml:space="preserve"> </w:t>
      </w:r>
    </w:p>
    <w:p w:rsidR="00FA5218" w:rsidRDefault="00FA5218">
      <w:pPr>
        <w:pStyle w:val="BodyA"/>
        <w:spacing w:after="0" w:line="240" w:lineRule="auto"/>
      </w:pPr>
    </w:p>
    <w:p w:rsidR="00FA5218" w:rsidRDefault="00720B60">
      <w:pPr>
        <w:pStyle w:val="BodyA"/>
        <w:numPr>
          <w:ilvl w:val="0"/>
          <w:numId w:val="2"/>
        </w:numPr>
        <w:spacing w:after="0" w:line="240" w:lineRule="auto"/>
        <w:rPr>
          <w:rFonts w:ascii="Verdana" w:hAnsi="Verdana"/>
          <w:sz w:val="24"/>
          <w:szCs w:val="24"/>
          <w:lang w:val="en-US"/>
        </w:rPr>
      </w:pPr>
      <w:r>
        <w:rPr>
          <w:rStyle w:val="news-date"/>
          <w:rFonts w:ascii="Verdana" w:hAnsi="Verdana"/>
          <w:sz w:val="24"/>
          <w:szCs w:val="24"/>
        </w:rPr>
        <w:t xml:space="preserve">The Inquiry report included 17 key recommendations and 60 supporting recommendations for improvement in combating child </w:t>
      </w:r>
      <w:r>
        <w:rPr>
          <w:rStyle w:val="news-date"/>
          <w:rFonts w:ascii="Verdana" w:hAnsi="Verdana"/>
          <w:sz w:val="24"/>
          <w:szCs w:val="24"/>
        </w:rPr>
        <w:lastRenderedPageBreak/>
        <w:t>sexual exploitation, outlining measures for improved inter-agency working, education and awareness raising, training for professionals, funding of preventative services, engagement with communities, support for victims and the development of a regional strategy.</w:t>
      </w:r>
      <w:r>
        <w:rPr>
          <w:rStyle w:val="FootnoteReference"/>
          <w:rFonts w:ascii="Verdana" w:eastAsia="Verdana" w:hAnsi="Verdana" w:cs="Verdana"/>
          <w:sz w:val="24"/>
          <w:szCs w:val="24"/>
        </w:rPr>
        <w:footnoteReference w:id="36"/>
      </w:r>
      <w:r>
        <w:rPr>
          <w:rStyle w:val="news-date"/>
          <w:rFonts w:ascii="Verdana" w:hAnsi="Verdana"/>
          <w:sz w:val="24"/>
          <w:szCs w:val="24"/>
        </w:rPr>
        <w:t xml:space="preserve"> The recommendations also cover the need for legislative reform in a number of areas, including addressing a gap in protection under the Sexual Offences (NI) Order 2008.</w:t>
      </w:r>
      <w:r>
        <w:rPr>
          <w:rStyle w:val="FootnoteReference"/>
          <w:rFonts w:ascii="Verdana" w:eastAsia="Verdana" w:hAnsi="Verdana" w:cs="Verdana"/>
          <w:sz w:val="24"/>
          <w:szCs w:val="24"/>
        </w:rPr>
        <w:footnoteReference w:id="37"/>
      </w:r>
      <w:r>
        <w:rPr>
          <w:rStyle w:val="news-date"/>
          <w:rFonts w:ascii="Verdana" w:hAnsi="Verdana"/>
          <w:sz w:val="24"/>
          <w:szCs w:val="24"/>
        </w:rPr>
        <w:t xml:space="preserve"> </w:t>
      </w:r>
    </w:p>
    <w:p w:rsidR="00FA5218" w:rsidRDefault="00FA5218">
      <w:pPr>
        <w:pStyle w:val="BodyA"/>
        <w:spacing w:after="0" w:line="240" w:lineRule="auto"/>
      </w:pPr>
    </w:p>
    <w:p w:rsidR="00FA5218" w:rsidRDefault="00720B60">
      <w:pPr>
        <w:pStyle w:val="BodyA"/>
        <w:numPr>
          <w:ilvl w:val="0"/>
          <w:numId w:val="2"/>
        </w:numPr>
        <w:spacing w:after="0" w:line="240" w:lineRule="auto"/>
        <w:rPr>
          <w:rFonts w:ascii="Verdana" w:hAnsi="Verdana"/>
          <w:sz w:val="24"/>
          <w:szCs w:val="24"/>
          <w:lang w:val="en-US"/>
        </w:rPr>
      </w:pPr>
      <w:r>
        <w:rPr>
          <w:rStyle w:val="news-date"/>
          <w:rFonts w:ascii="Verdana" w:hAnsi="Verdana"/>
          <w:sz w:val="24"/>
          <w:szCs w:val="24"/>
        </w:rPr>
        <w:t>In its report on the compatibility of the UK with the Optional Protocol on the sale of children, child prostitution and child pornography the Committee raised concerns that:</w:t>
      </w:r>
    </w:p>
    <w:p w:rsidR="00FA5218" w:rsidRDefault="00FA5218">
      <w:pPr>
        <w:pStyle w:val="BodyA"/>
        <w:spacing w:after="0" w:line="240" w:lineRule="auto"/>
      </w:pPr>
    </w:p>
    <w:p w:rsidR="00FA5218" w:rsidRDefault="00720B60">
      <w:pPr>
        <w:pStyle w:val="BodyA"/>
        <w:spacing w:after="0" w:line="240" w:lineRule="auto"/>
        <w:ind w:left="720"/>
      </w:pPr>
      <w:r>
        <w:rPr>
          <w:rStyle w:val="None"/>
          <w:rFonts w:ascii="Verdana" w:hAnsi="Verdana"/>
          <w:sz w:val="24"/>
          <w:szCs w:val="24"/>
          <w:lang w:val="en-US"/>
        </w:rPr>
        <w:t>the Sexual Offences (Northern Ireland) Order 2008, for certain grave offences of sexual exploitation of children between 13 and 16 years of age, such as meeting a child following sexual grooming, engaging in sexual activity with a child, arranging or facilitating a child sex offence, the defendant may claim that he/she believed the victim to be above 16 years.</w:t>
      </w:r>
      <w:r>
        <w:rPr>
          <w:rStyle w:val="None"/>
          <w:rFonts w:ascii="Verdana" w:eastAsia="Verdana" w:hAnsi="Verdana" w:cs="Verdana"/>
          <w:sz w:val="24"/>
          <w:szCs w:val="24"/>
          <w:vertAlign w:val="superscript"/>
          <w:lang w:val="en-US"/>
        </w:rPr>
        <w:footnoteReference w:id="38"/>
      </w:r>
    </w:p>
    <w:p w:rsidR="00FA5218" w:rsidRDefault="00FA5218">
      <w:pPr>
        <w:pStyle w:val="BodyA"/>
        <w:spacing w:after="0" w:line="240" w:lineRule="auto"/>
      </w:pPr>
    </w:p>
    <w:p w:rsidR="00FA5218" w:rsidRDefault="00720B60">
      <w:pPr>
        <w:pStyle w:val="BodyA"/>
        <w:numPr>
          <w:ilvl w:val="0"/>
          <w:numId w:val="2"/>
        </w:numPr>
        <w:spacing w:after="0" w:line="240" w:lineRule="auto"/>
        <w:rPr>
          <w:rFonts w:ascii="Verdana" w:hAnsi="Verdana"/>
          <w:sz w:val="24"/>
          <w:szCs w:val="24"/>
          <w:lang w:val="en-US"/>
        </w:rPr>
      </w:pPr>
      <w:r>
        <w:rPr>
          <w:rStyle w:val="news-date"/>
          <w:rFonts w:ascii="Verdana" w:hAnsi="Verdana"/>
          <w:sz w:val="24"/>
          <w:szCs w:val="24"/>
        </w:rPr>
        <w:t>The Committee recommended reform to the 2008 Order to include “a provision that for child victims, the burden of proof would be reversed”. The DOJ ‘Tackling Child Sexual Exploitation in NI Action Plan’ contains a commitment to consider the 2008 Order and its compatibility with international standards.</w:t>
      </w:r>
      <w:r>
        <w:rPr>
          <w:rStyle w:val="FootnoteReference"/>
          <w:rFonts w:ascii="Verdana" w:eastAsia="Verdana" w:hAnsi="Verdana" w:cs="Verdana"/>
          <w:sz w:val="24"/>
          <w:szCs w:val="24"/>
        </w:rPr>
        <w:footnoteReference w:id="39"/>
      </w:r>
      <w:r>
        <w:rPr>
          <w:rStyle w:val="news-date"/>
          <w:rFonts w:ascii="Verdana" w:hAnsi="Verdana"/>
          <w:sz w:val="24"/>
          <w:szCs w:val="24"/>
        </w:rPr>
        <w:t xml:space="preserve"> This commitment was to be </w:t>
      </w:r>
      <w:proofErr w:type="spellStart"/>
      <w:r>
        <w:rPr>
          <w:rStyle w:val="news-date"/>
          <w:rFonts w:ascii="Verdana" w:hAnsi="Verdana"/>
          <w:sz w:val="24"/>
          <w:szCs w:val="24"/>
        </w:rPr>
        <w:t>realised</w:t>
      </w:r>
      <w:proofErr w:type="spellEnd"/>
      <w:r>
        <w:rPr>
          <w:rStyle w:val="news-date"/>
          <w:rFonts w:ascii="Verdana" w:hAnsi="Verdana"/>
          <w:sz w:val="24"/>
          <w:szCs w:val="24"/>
        </w:rPr>
        <w:t xml:space="preserve"> by December 2015. However, the results of these considerations have not been published and the Commission notes a lack of detail within the reply to the list of issues. The Action Plan also makes provision for the establishment of a inter agency forum on changes to the criminal justice system to achieve more successful prosecutions of the perpetrators.</w:t>
      </w:r>
      <w:r>
        <w:rPr>
          <w:rStyle w:val="FootnoteReference"/>
          <w:rFonts w:ascii="Verdana" w:eastAsia="Verdana" w:hAnsi="Verdana" w:cs="Verdana"/>
          <w:sz w:val="24"/>
          <w:szCs w:val="24"/>
        </w:rPr>
        <w:footnoteReference w:id="40"/>
      </w:r>
      <w:r>
        <w:rPr>
          <w:rStyle w:val="news-date"/>
          <w:rFonts w:ascii="Verdana" w:hAnsi="Verdana"/>
          <w:sz w:val="24"/>
          <w:szCs w:val="24"/>
        </w:rPr>
        <w:t xml:space="preserve"> The Commission considers that the inter agency forum must consider the growing risk of online exploitation given the international evidence of its increasing prevalence. </w:t>
      </w:r>
    </w:p>
    <w:p w:rsidR="00FA5218" w:rsidRDefault="00FA5218">
      <w:pPr>
        <w:pStyle w:val="BodyA"/>
        <w:spacing w:after="0" w:line="240" w:lineRule="auto"/>
      </w:pPr>
    </w:p>
    <w:p w:rsidR="00FA5218" w:rsidRDefault="00720B60">
      <w:pPr>
        <w:pStyle w:val="BodyA"/>
        <w:numPr>
          <w:ilvl w:val="0"/>
          <w:numId w:val="4"/>
        </w:numPr>
        <w:spacing w:after="0" w:line="240" w:lineRule="auto"/>
        <w:rPr>
          <w:rFonts w:ascii="Verdana" w:hAnsi="Verdana"/>
          <w:b/>
          <w:bCs/>
          <w:sz w:val="24"/>
          <w:szCs w:val="24"/>
          <w:lang w:val="en-US"/>
        </w:rPr>
      </w:pPr>
      <w:r>
        <w:rPr>
          <w:rStyle w:val="news-date"/>
          <w:rFonts w:ascii="Verdana" w:hAnsi="Verdana"/>
          <w:b/>
          <w:bCs/>
          <w:sz w:val="24"/>
          <w:szCs w:val="24"/>
        </w:rPr>
        <w:t xml:space="preserve">The Committee may wish to recommend that the State Party ensure the legal framework protecting children from sexual exploitation is fully in compliance with the UN CRC and its </w:t>
      </w:r>
      <w:r>
        <w:rPr>
          <w:rStyle w:val="news-date"/>
          <w:rFonts w:ascii="Verdana" w:hAnsi="Verdana"/>
          <w:b/>
          <w:bCs/>
          <w:sz w:val="24"/>
          <w:szCs w:val="24"/>
        </w:rPr>
        <w:lastRenderedPageBreak/>
        <w:t>Optional Protocol and specifically that the burden of proof under Sexual Offences (Northern Ireland) Order 2008 should be reversed in appropriate circumstances to safeguard child victims.</w:t>
      </w:r>
      <w:r>
        <w:rPr>
          <w:rStyle w:val="None"/>
          <w:rFonts w:ascii="Verdana" w:hAnsi="Verdana"/>
          <w:sz w:val="24"/>
          <w:szCs w:val="24"/>
          <w:lang w:val="en-US"/>
        </w:rPr>
        <w:t xml:space="preserve"> </w:t>
      </w:r>
    </w:p>
    <w:p w:rsidR="00FA5218" w:rsidRDefault="00FA5218">
      <w:pPr>
        <w:pStyle w:val="BodyA"/>
        <w:spacing w:after="0" w:line="240" w:lineRule="auto"/>
      </w:pPr>
    </w:p>
    <w:p w:rsidR="00FA5218" w:rsidRDefault="00720B60">
      <w:pPr>
        <w:pStyle w:val="BodyA"/>
        <w:spacing w:after="0" w:line="240" w:lineRule="auto"/>
      </w:pPr>
      <w:r>
        <w:rPr>
          <w:rStyle w:val="None"/>
          <w:rFonts w:ascii="Verdana" w:hAnsi="Verdana"/>
          <w:b/>
          <w:bCs/>
          <w:sz w:val="24"/>
          <w:szCs w:val="24"/>
          <w:lang w:val="en-US"/>
        </w:rPr>
        <w:t xml:space="preserve">Corporal punishment </w:t>
      </w:r>
    </w:p>
    <w:p w:rsidR="00FA5218" w:rsidRDefault="00FA5218">
      <w:pPr>
        <w:pStyle w:val="BodyA"/>
        <w:spacing w:after="0" w:line="240" w:lineRule="auto"/>
      </w:pPr>
    </w:p>
    <w:p w:rsidR="00FA5218" w:rsidRDefault="00720B60">
      <w:pPr>
        <w:pStyle w:val="BodyA"/>
        <w:numPr>
          <w:ilvl w:val="0"/>
          <w:numId w:val="2"/>
        </w:numPr>
        <w:spacing w:after="0" w:line="240" w:lineRule="auto"/>
        <w:rPr>
          <w:rFonts w:ascii="Verdana" w:hAnsi="Verdana"/>
          <w:sz w:val="24"/>
          <w:szCs w:val="24"/>
          <w:lang w:val="en-US"/>
        </w:rPr>
      </w:pPr>
      <w:r>
        <w:rPr>
          <w:rStyle w:val="news-date"/>
          <w:rFonts w:ascii="Verdana" w:hAnsi="Verdana"/>
          <w:sz w:val="24"/>
          <w:szCs w:val="24"/>
        </w:rPr>
        <w:t xml:space="preserve">The Commission recalls the Committee’s previous concluding observation relating to the removal of the </w:t>
      </w:r>
      <w:proofErr w:type="spellStart"/>
      <w:r>
        <w:rPr>
          <w:rStyle w:val="news-date"/>
          <w:rFonts w:ascii="Verdana" w:hAnsi="Verdana"/>
          <w:sz w:val="24"/>
          <w:szCs w:val="24"/>
        </w:rPr>
        <w:t>defence</w:t>
      </w:r>
      <w:proofErr w:type="spellEnd"/>
      <w:r>
        <w:rPr>
          <w:rStyle w:val="news-date"/>
          <w:rFonts w:ascii="Verdana" w:hAnsi="Verdana"/>
          <w:sz w:val="24"/>
          <w:szCs w:val="24"/>
        </w:rPr>
        <w:t xml:space="preserve"> of reasonable chastisement of a child (Paragraph 29). The Law Reform (Miscellaneous Provisions) (NI) Order 2006 continues to allow for a </w:t>
      </w:r>
      <w:proofErr w:type="spellStart"/>
      <w:r>
        <w:rPr>
          <w:rStyle w:val="news-date"/>
          <w:rFonts w:ascii="Verdana" w:hAnsi="Verdana"/>
          <w:sz w:val="24"/>
          <w:szCs w:val="24"/>
        </w:rPr>
        <w:t>defence</w:t>
      </w:r>
      <w:proofErr w:type="spellEnd"/>
      <w:r>
        <w:rPr>
          <w:rStyle w:val="news-date"/>
          <w:rFonts w:ascii="Verdana" w:hAnsi="Verdana"/>
          <w:sz w:val="24"/>
          <w:szCs w:val="24"/>
        </w:rPr>
        <w:t xml:space="preserve"> of reasonable chastisement of a child, and provides that this is a </w:t>
      </w:r>
      <w:proofErr w:type="spellStart"/>
      <w:r>
        <w:rPr>
          <w:rStyle w:val="news-date"/>
          <w:rFonts w:ascii="Verdana" w:hAnsi="Verdana"/>
          <w:sz w:val="24"/>
          <w:szCs w:val="24"/>
        </w:rPr>
        <w:t>defence</w:t>
      </w:r>
      <w:proofErr w:type="spellEnd"/>
      <w:r>
        <w:rPr>
          <w:rStyle w:val="news-date"/>
          <w:rFonts w:ascii="Verdana" w:hAnsi="Verdana"/>
          <w:sz w:val="24"/>
          <w:szCs w:val="24"/>
        </w:rPr>
        <w:t xml:space="preserve"> to a charge of common assault tried summarily. In 2008 the UNCRC Committee recommended that there should be a prohibition “as a matter of priority” of “all corporal punishment in the family, including through the repeal of all legal </w:t>
      </w:r>
      <w:proofErr w:type="spellStart"/>
      <w:r>
        <w:rPr>
          <w:rStyle w:val="news-date"/>
          <w:rFonts w:ascii="Verdana" w:hAnsi="Verdana"/>
          <w:sz w:val="24"/>
          <w:szCs w:val="24"/>
        </w:rPr>
        <w:t>defences</w:t>
      </w:r>
      <w:proofErr w:type="spellEnd"/>
      <w:r>
        <w:rPr>
          <w:rStyle w:val="news-date"/>
          <w:rFonts w:ascii="Verdana" w:hAnsi="Verdana"/>
          <w:sz w:val="24"/>
          <w:szCs w:val="24"/>
        </w:rPr>
        <w:t>”.</w:t>
      </w:r>
      <w:r>
        <w:rPr>
          <w:rStyle w:val="FootnoteReference"/>
          <w:rFonts w:ascii="Verdana" w:eastAsia="Verdana" w:hAnsi="Verdana" w:cs="Verdana"/>
          <w:sz w:val="24"/>
          <w:szCs w:val="24"/>
        </w:rPr>
        <w:footnoteReference w:id="41"/>
      </w:r>
      <w:r>
        <w:rPr>
          <w:rStyle w:val="news-date"/>
          <w:rFonts w:ascii="Verdana" w:hAnsi="Verdana"/>
          <w:sz w:val="24"/>
          <w:szCs w:val="24"/>
        </w:rPr>
        <w:t xml:space="preserve"> The UK Government has </w:t>
      </w:r>
      <w:proofErr w:type="spellStart"/>
      <w:r>
        <w:rPr>
          <w:rStyle w:val="news-date"/>
          <w:rFonts w:ascii="Verdana" w:hAnsi="Verdana"/>
          <w:sz w:val="24"/>
          <w:szCs w:val="24"/>
        </w:rPr>
        <w:t>emphasised</w:t>
      </w:r>
      <w:proofErr w:type="spellEnd"/>
      <w:r>
        <w:rPr>
          <w:rStyle w:val="news-date"/>
          <w:rFonts w:ascii="Verdana" w:hAnsi="Verdana"/>
          <w:sz w:val="24"/>
          <w:szCs w:val="24"/>
        </w:rPr>
        <w:t xml:space="preserve"> to the UNCRC Committee its belief that “parents should not be </w:t>
      </w:r>
      <w:proofErr w:type="spellStart"/>
      <w:r>
        <w:rPr>
          <w:rStyle w:val="news-date"/>
          <w:rFonts w:ascii="Verdana" w:hAnsi="Verdana"/>
          <w:sz w:val="24"/>
          <w:szCs w:val="24"/>
        </w:rPr>
        <w:t>criminalised</w:t>
      </w:r>
      <w:proofErr w:type="spellEnd"/>
      <w:r>
        <w:rPr>
          <w:rStyle w:val="news-date"/>
          <w:rFonts w:ascii="Verdana" w:hAnsi="Verdana"/>
          <w:sz w:val="24"/>
          <w:szCs w:val="24"/>
        </w:rPr>
        <w:t xml:space="preserve"> for giving a mild smack”.</w:t>
      </w:r>
      <w:r>
        <w:rPr>
          <w:rStyle w:val="FootnoteReference"/>
          <w:rFonts w:ascii="Verdana" w:eastAsia="Verdana" w:hAnsi="Verdana" w:cs="Verdana"/>
          <w:sz w:val="24"/>
          <w:szCs w:val="24"/>
        </w:rPr>
        <w:footnoteReference w:id="42"/>
      </w:r>
    </w:p>
    <w:p w:rsidR="00FA5218" w:rsidRDefault="00FA5218">
      <w:pPr>
        <w:pStyle w:val="BodyA"/>
        <w:spacing w:after="0" w:line="240" w:lineRule="auto"/>
      </w:pPr>
    </w:p>
    <w:p w:rsidR="00FA5218" w:rsidRDefault="00720B60">
      <w:pPr>
        <w:pStyle w:val="BodyA"/>
        <w:numPr>
          <w:ilvl w:val="0"/>
          <w:numId w:val="2"/>
        </w:numPr>
        <w:spacing w:after="0" w:line="240" w:lineRule="auto"/>
        <w:rPr>
          <w:rFonts w:ascii="Verdana" w:hAnsi="Verdana"/>
          <w:sz w:val="24"/>
          <w:szCs w:val="24"/>
          <w:lang w:val="en-US"/>
        </w:rPr>
      </w:pPr>
      <w:r>
        <w:rPr>
          <w:rStyle w:val="news-date"/>
          <w:rFonts w:ascii="Verdana" w:hAnsi="Verdana"/>
          <w:sz w:val="24"/>
          <w:szCs w:val="24"/>
        </w:rPr>
        <w:t xml:space="preserve">The Commission has called on the Department of Justice to bring forward proposals to prohibit corporal punishment of children in the family, including through the repeal of all legal </w:t>
      </w:r>
      <w:proofErr w:type="spellStart"/>
      <w:r>
        <w:rPr>
          <w:rStyle w:val="news-date"/>
          <w:rFonts w:ascii="Verdana" w:hAnsi="Verdana"/>
          <w:sz w:val="24"/>
          <w:szCs w:val="24"/>
        </w:rPr>
        <w:t>defences</w:t>
      </w:r>
      <w:proofErr w:type="spellEnd"/>
      <w:r>
        <w:rPr>
          <w:rStyle w:val="news-date"/>
          <w:rFonts w:ascii="Verdana" w:hAnsi="Verdana"/>
          <w:sz w:val="24"/>
          <w:szCs w:val="24"/>
        </w:rPr>
        <w:t xml:space="preserve">, without further delay. </w:t>
      </w:r>
    </w:p>
    <w:p w:rsidR="00FA5218" w:rsidRDefault="00FA5218">
      <w:pPr>
        <w:pStyle w:val="BodyA"/>
        <w:spacing w:after="0" w:line="240" w:lineRule="auto"/>
      </w:pPr>
    </w:p>
    <w:p w:rsidR="00FA5218" w:rsidRDefault="00720B60">
      <w:pPr>
        <w:pStyle w:val="BodyA"/>
        <w:numPr>
          <w:ilvl w:val="0"/>
          <w:numId w:val="4"/>
        </w:numPr>
        <w:spacing w:after="0" w:line="240" w:lineRule="auto"/>
        <w:rPr>
          <w:rFonts w:ascii="Verdana" w:hAnsi="Verdana"/>
          <w:b/>
          <w:bCs/>
          <w:sz w:val="24"/>
          <w:szCs w:val="24"/>
          <w:lang w:val="en-US"/>
        </w:rPr>
      </w:pPr>
      <w:r>
        <w:rPr>
          <w:rStyle w:val="news-date"/>
          <w:rFonts w:ascii="Verdana" w:hAnsi="Verdana"/>
          <w:b/>
          <w:bCs/>
          <w:sz w:val="24"/>
          <w:szCs w:val="24"/>
        </w:rPr>
        <w:t xml:space="preserve">The Committee may wish to recommend that the State Party amend the Law Reform (Miscellaneous Provisions) (NI) Order 2006 to abolish the </w:t>
      </w:r>
      <w:proofErr w:type="spellStart"/>
      <w:r>
        <w:rPr>
          <w:rStyle w:val="news-date"/>
          <w:rFonts w:ascii="Verdana" w:hAnsi="Verdana"/>
          <w:b/>
          <w:bCs/>
          <w:sz w:val="24"/>
          <w:szCs w:val="24"/>
        </w:rPr>
        <w:t>defence</w:t>
      </w:r>
      <w:proofErr w:type="spellEnd"/>
      <w:r>
        <w:rPr>
          <w:rStyle w:val="news-date"/>
          <w:rFonts w:ascii="Verdana" w:hAnsi="Verdana"/>
          <w:b/>
          <w:bCs/>
          <w:sz w:val="24"/>
          <w:szCs w:val="24"/>
        </w:rPr>
        <w:t xml:space="preserve"> of reasonable chastisement of a child to a charge of common assault and further promote positive non-violent forms of discipline via public campaigns as an alternative to corporal punishment. </w:t>
      </w:r>
    </w:p>
    <w:p w:rsidR="00FA5218" w:rsidRDefault="00FA5218">
      <w:pPr>
        <w:pStyle w:val="BodyA"/>
        <w:spacing w:after="0" w:line="240" w:lineRule="auto"/>
      </w:pPr>
    </w:p>
    <w:p w:rsidR="00FA5218" w:rsidRDefault="00720B60">
      <w:pPr>
        <w:pStyle w:val="BodyA"/>
        <w:spacing w:after="0" w:line="240" w:lineRule="auto"/>
      </w:pPr>
      <w:r>
        <w:rPr>
          <w:rStyle w:val="None"/>
          <w:rFonts w:ascii="Verdana" w:hAnsi="Verdana"/>
          <w:b/>
          <w:bCs/>
          <w:sz w:val="24"/>
          <w:szCs w:val="24"/>
          <w:lang w:val="en-US"/>
        </w:rPr>
        <w:t>Child, Early and Forced Marriage</w:t>
      </w:r>
    </w:p>
    <w:p w:rsidR="00FA5218" w:rsidRDefault="00FA5218">
      <w:pPr>
        <w:pStyle w:val="BodyA"/>
        <w:spacing w:after="0" w:line="240" w:lineRule="auto"/>
      </w:pPr>
    </w:p>
    <w:p w:rsidR="00FA5218" w:rsidRDefault="00720B60">
      <w:pPr>
        <w:pStyle w:val="BodyA"/>
        <w:numPr>
          <w:ilvl w:val="0"/>
          <w:numId w:val="2"/>
        </w:numPr>
        <w:spacing w:after="0" w:line="240" w:lineRule="auto"/>
        <w:rPr>
          <w:rFonts w:ascii="Verdana" w:hAnsi="Verdana"/>
          <w:sz w:val="24"/>
          <w:szCs w:val="24"/>
          <w:lang w:val="en-US"/>
        </w:rPr>
      </w:pPr>
      <w:r>
        <w:rPr>
          <w:rStyle w:val="news-date"/>
          <w:rFonts w:ascii="Verdana" w:hAnsi="Verdana"/>
          <w:sz w:val="24"/>
          <w:szCs w:val="24"/>
        </w:rPr>
        <w:t xml:space="preserve">The Commission notes that paragraph 13 of General Comment No. 4 (2003) states that: </w:t>
      </w:r>
    </w:p>
    <w:p w:rsidR="00FA5218" w:rsidRDefault="00FA5218">
      <w:pPr>
        <w:pStyle w:val="BodyA"/>
        <w:spacing w:after="0" w:line="240" w:lineRule="auto"/>
      </w:pPr>
    </w:p>
    <w:p w:rsidR="00FA5218" w:rsidRDefault="00720B60">
      <w:pPr>
        <w:pStyle w:val="BodyA"/>
        <w:spacing w:after="0" w:line="240" w:lineRule="auto"/>
        <w:ind w:left="720"/>
      </w:pPr>
      <w:r>
        <w:rPr>
          <w:rStyle w:val="None"/>
          <w:rFonts w:ascii="Verdana" w:hAnsi="Verdana"/>
          <w:sz w:val="24"/>
          <w:szCs w:val="24"/>
          <w:lang w:val="en-US"/>
        </w:rPr>
        <w:t>The Committee strongly recommends States Parties to review and, where necessary, reform legislation and practice to increase the minimum age for marriage with and without parental consent to 18 years, for both girls and boys.</w:t>
      </w:r>
      <w:r>
        <w:rPr>
          <w:rStyle w:val="None"/>
          <w:rFonts w:ascii="Verdana" w:eastAsia="Verdana" w:hAnsi="Verdana" w:cs="Verdana"/>
          <w:sz w:val="24"/>
          <w:szCs w:val="24"/>
          <w:vertAlign w:val="superscript"/>
          <w:lang w:val="en-US"/>
        </w:rPr>
        <w:footnoteReference w:id="43"/>
      </w:r>
    </w:p>
    <w:p w:rsidR="00FA5218" w:rsidRDefault="00FA5218">
      <w:pPr>
        <w:pStyle w:val="BodyA"/>
        <w:spacing w:after="0" w:line="240" w:lineRule="auto"/>
      </w:pPr>
    </w:p>
    <w:p w:rsidR="00FA5218" w:rsidRDefault="00720B60">
      <w:pPr>
        <w:pStyle w:val="BodyA"/>
        <w:numPr>
          <w:ilvl w:val="0"/>
          <w:numId w:val="2"/>
        </w:numPr>
        <w:spacing w:after="0" w:line="240" w:lineRule="auto"/>
        <w:rPr>
          <w:rFonts w:ascii="Verdana" w:hAnsi="Verdana"/>
          <w:sz w:val="24"/>
          <w:szCs w:val="24"/>
          <w:lang w:val="en-US"/>
        </w:rPr>
      </w:pPr>
      <w:r>
        <w:rPr>
          <w:rStyle w:val="news-date"/>
          <w:rFonts w:ascii="Verdana" w:hAnsi="Verdana"/>
          <w:sz w:val="24"/>
          <w:szCs w:val="24"/>
        </w:rPr>
        <w:lastRenderedPageBreak/>
        <w:t>The Commission notes that this recommendation reflects that of the CEDAW Committee within its General Recommendation 21.</w:t>
      </w:r>
      <w:r>
        <w:rPr>
          <w:rStyle w:val="FootnoteReference"/>
          <w:rFonts w:ascii="Verdana" w:eastAsia="Verdana" w:hAnsi="Verdana" w:cs="Verdana"/>
          <w:sz w:val="24"/>
          <w:szCs w:val="24"/>
        </w:rPr>
        <w:footnoteReference w:id="44"/>
      </w:r>
      <w:r>
        <w:rPr>
          <w:rStyle w:val="news-date"/>
          <w:rFonts w:ascii="Verdana" w:hAnsi="Verdana"/>
          <w:sz w:val="24"/>
          <w:szCs w:val="24"/>
        </w:rPr>
        <w:t xml:space="preserve"> The Commission refers to paragraph 39 of the State Report, the Marriage (Northern Ireland) Order 2003 provides that 18 is the minimum age at which an individual can consent to marriage. However under the 2003 Order a child aged 16 or 17 years of age may be married with the consent of their parents or legal guardians. The law of Northern Ireland therefore runs contrary to the Committee’s recommendation. </w:t>
      </w:r>
    </w:p>
    <w:p w:rsidR="00FA5218" w:rsidRDefault="00FA5218">
      <w:pPr>
        <w:pStyle w:val="BodyA"/>
        <w:spacing w:after="0" w:line="240" w:lineRule="auto"/>
      </w:pPr>
    </w:p>
    <w:p w:rsidR="00FA5218" w:rsidRDefault="00720B60">
      <w:pPr>
        <w:pStyle w:val="BodyA"/>
        <w:numPr>
          <w:ilvl w:val="0"/>
          <w:numId w:val="2"/>
        </w:numPr>
        <w:spacing w:after="0" w:line="240" w:lineRule="auto"/>
        <w:rPr>
          <w:rFonts w:ascii="Verdana" w:hAnsi="Verdana"/>
          <w:sz w:val="24"/>
          <w:szCs w:val="24"/>
          <w:lang w:val="en-US"/>
        </w:rPr>
      </w:pPr>
      <w:r>
        <w:rPr>
          <w:rStyle w:val="news-date"/>
          <w:rFonts w:ascii="Verdana" w:hAnsi="Verdana"/>
          <w:sz w:val="24"/>
          <w:szCs w:val="24"/>
        </w:rPr>
        <w:t>The Commission notes that in Northern Ireland 68 children were married in 2014 of these 42 were girls and 26 were boys.</w:t>
      </w:r>
      <w:r>
        <w:rPr>
          <w:rStyle w:val="FootnoteReference"/>
          <w:rFonts w:ascii="Verdana" w:eastAsia="Verdana" w:hAnsi="Verdana" w:cs="Verdana"/>
          <w:sz w:val="24"/>
          <w:szCs w:val="24"/>
        </w:rPr>
        <w:footnoteReference w:id="45"/>
      </w:r>
      <w:r>
        <w:rPr>
          <w:rStyle w:val="news-date"/>
          <w:rFonts w:ascii="Verdana" w:hAnsi="Verdana"/>
          <w:sz w:val="24"/>
          <w:szCs w:val="24"/>
        </w:rPr>
        <w:t xml:space="preserve"> It is estimated that globally over the next decade 140 million girls under the age of 18 years will be forced to marry without their consent. This amounts to a rate of 39,000 girls every day.</w:t>
      </w:r>
      <w:r>
        <w:rPr>
          <w:rStyle w:val="FootnoteReference"/>
          <w:rFonts w:ascii="Verdana" w:eastAsia="Verdana" w:hAnsi="Verdana" w:cs="Verdana"/>
          <w:sz w:val="24"/>
          <w:szCs w:val="24"/>
        </w:rPr>
        <w:footnoteReference w:id="46"/>
      </w:r>
      <w:r>
        <w:rPr>
          <w:rStyle w:val="news-date"/>
          <w:rFonts w:ascii="Verdana" w:hAnsi="Verdana"/>
          <w:sz w:val="24"/>
          <w:szCs w:val="24"/>
        </w:rPr>
        <w:t xml:space="preserve"> Whilst most research on the issue of early and forced marriage has focused on developing states, in the calendar year 2014 the Forced Marriage Protected Unit in the UK gave advice or support related to a possible forced marriage in 1,267 cases, the Unit recorded that 11% of victims or potential victims of forced marriage who sought advice or support reported that they were 16 or 17 years of age.</w:t>
      </w:r>
      <w:r>
        <w:rPr>
          <w:rStyle w:val="FootnoteReference"/>
          <w:rFonts w:ascii="Verdana" w:eastAsia="Verdana" w:hAnsi="Verdana" w:cs="Verdana"/>
          <w:sz w:val="24"/>
          <w:szCs w:val="24"/>
        </w:rPr>
        <w:footnoteReference w:id="47"/>
      </w:r>
      <w:r>
        <w:rPr>
          <w:rStyle w:val="news-date"/>
          <w:rFonts w:ascii="Verdana" w:hAnsi="Verdana"/>
          <w:sz w:val="24"/>
          <w:szCs w:val="24"/>
        </w:rPr>
        <w:t xml:space="preserve"> The </w:t>
      </w:r>
      <w:r>
        <w:rPr>
          <w:rStyle w:val="None"/>
          <w:rFonts w:ascii="Verdana" w:hAnsi="Verdana"/>
          <w:kern w:val="36"/>
          <w:sz w:val="24"/>
          <w:szCs w:val="24"/>
          <w:lang w:val="en-US"/>
        </w:rPr>
        <w:t xml:space="preserve">Forced Marriage (Civil Protection) Act 2007 </w:t>
      </w:r>
      <w:r>
        <w:rPr>
          <w:rStyle w:val="news-date"/>
          <w:rFonts w:ascii="Verdana" w:hAnsi="Verdana"/>
          <w:sz w:val="24"/>
          <w:szCs w:val="24"/>
        </w:rPr>
        <w:t>makes provision for protecting individuals against being forced to enter into marriage without their free and full consent, this extends to Northern Ireland.</w:t>
      </w:r>
      <w:r>
        <w:rPr>
          <w:rStyle w:val="FootnoteReference"/>
          <w:rFonts w:ascii="Verdana" w:eastAsia="Verdana" w:hAnsi="Verdana" w:cs="Verdana"/>
          <w:sz w:val="24"/>
          <w:szCs w:val="24"/>
        </w:rPr>
        <w:footnoteReference w:id="48"/>
      </w:r>
    </w:p>
    <w:p w:rsidR="00FA5218" w:rsidRDefault="00FA5218">
      <w:pPr>
        <w:pStyle w:val="BodyA"/>
        <w:spacing w:after="0" w:line="240" w:lineRule="auto"/>
      </w:pPr>
    </w:p>
    <w:p w:rsidR="00FA5218" w:rsidRDefault="00720B60">
      <w:pPr>
        <w:pStyle w:val="BodyA"/>
        <w:numPr>
          <w:ilvl w:val="0"/>
          <w:numId w:val="2"/>
        </w:numPr>
        <w:spacing w:after="0" w:line="240" w:lineRule="auto"/>
        <w:rPr>
          <w:rFonts w:ascii="Verdana" w:hAnsi="Verdana"/>
          <w:sz w:val="24"/>
          <w:szCs w:val="24"/>
          <w:lang w:val="en-US"/>
        </w:rPr>
      </w:pPr>
      <w:r>
        <w:rPr>
          <w:rStyle w:val="news-date"/>
          <w:rFonts w:ascii="Verdana" w:hAnsi="Verdana"/>
          <w:sz w:val="24"/>
          <w:szCs w:val="24"/>
        </w:rPr>
        <w:t>A report of a UK Home Office working group on forced marriage noted the role of parents in the practice of forced marriages:</w:t>
      </w:r>
    </w:p>
    <w:p w:rsidR="00FA5218" w:rsidRDefault="00FA5218">
      <w:pPr>
        <w:pStyle w:val="BodyA"/>
        <w:spacing w:after="0" w:line="240" w:lineRule="auto"/>
      </w:pPr>
    </w:p>
    <w:p w:rsidR="00FA5218" w:rsidRDefault="00720B60">
      <w:pPr>
        <w:pStyle w:val="BodyA"/>
        <w:spacing w:after="0" w:line="240" w:lineRule="auto"/>
      </w:pPr>
      <w:r>
        <w:rPr>
          <w:rStyle w:val="None"/>
          <w:rFonts w:ascii="Verdana" w:hAnsi="Verdana"/>
          <w:sz w:val="24"/>
          <w:szCs w:val="24"/>
          <w:lang w:val="en-US"/>
        </w:rPr>
        <w:t xml:space="preserve">There is a spectrum of </w:t>
      </w:r>
      <w:proofErr w:type="spellStart"/>
      <w:r>
        <w:rPr>
          <w:rStyle w:val="None"/>
          <w:rFonts w:ascii="Verdana" w:hAnsi="Verdana"/>
          <w:sz w:val="24"/>
          <w:szCs w:val="24"/>
          <w:lang w:val="en-US"/>
        </w:rPr>
        <w:t>behaviours</w:t>
      </w:r>
      <w:proofErr w:type="spellEnd"/>
      <w:r>
        <w:rPr>
          <w:rStyle w:val="None"/>
          <w:rFonts w:ascii="Verdana" w:hAnsi="Verdana"/>
          <w:sz w:val="24"/>
          <w:szCs w:val="24"/>
          <w:lang w:val="en-US"/>
        </w:rPr>
        <w:t xml:space="preserve"> behind the term forced marriage, ranging from emotional pressure, exerted by close family members and the extended family, to the more extreme cases, which can involve threatening </w:t>
      </w:r>
      <w:proofErr w:type="spellStart"/>
      <w:r>
        <w:rPr>
          <w:rStyle w:val="None"/>
          <w:rFonts w:ascii="Verdana" w:hAnsi="Verdana"/>
          <w:sz w:val="24"/>
          <w:szCs w:val="24"/>
          <w:lang w:val="en-US"/>
        </w:rPr>
        <w:t>behaviour</w:t>
      </w:r>
      <w:proofErr w:type="spellEnd"/>
      <w:r>
        <w:rPr>
          <w:rStyle w:val="None"/>
          <w:rFonts w:ascii="Verdana" w:hAnsi="Verdana"/>
          <w:sz w:val="24"/>
          <w:szCs w:val="24"/>
          <w:lang w:val="en-US"/>
        </w:rPr>
        <w:t xml:space="preserve">, abduction, imprisonment, physical violence, rape and in some cases murder. People spoke to the Working Group about </w:t>
      </w:r>
      <w:r>
        <w:rPr>
          <w:rStyle w:val="None"/>
          <w:rFonts w:ascii="Verdana" w:hAnsi="Verdana"/>
          <w:sz w:val="24"/>
          <w:szCs w:val="24"/>
          <w:lang w:val="en-US"/>
        </w:rPr>
        <w:lastRenderedPageBreak/>
        <w:t>‘loving manipulation’ in the majority of cases, where parents genuinely felt that they were acting in their children and family’s best interests.’</w:t>
      </w:r>
      <w:r>
        <w:rPr>
          <w:rStyle w:val="None"/>
          <w:rFonts w:ascii="Verdana" w:eastAsia="Verdana" w:hAnsi="Verdana" w:cs="Verdana"/>
          <w:sz w:val="24"/>
          <w:szCs w:val="24"/>
          <w:vertAlign w:val="superscript"/>
          <w:lang w:val="en-US"/>
        </w:rPr>
        <w:footnoteReference w:id="49"/>
      </w:r>
    </w:p>
    <w:p w:rsidR="00FA5218" w:rsidRDefault="00FA5218">
      <w:pPr>
        <w:pStyle w:val="BodyA"/>
        <w:spacing w:after="0" w:line="240" w:lineRule="auto"/>
      </w:pPr>
    </w:p>
    <w:p w:rsidR="00FA5218" w:rsidRDefault="00720B60">
      <w:pPr>
        <w:pStyle w:val="BodyA"/>
        <w:numPr>
          <w:ilvl w:val="0"/>
          <w:numId w:val="4"/>
        </w:numPr>
        <w:spacing w:after="0" w:line="240" w:lineRule="auto"/>
        <w:rPr>
          <w:rFonts w:ascii="Verdana" w:hAnsi="Verdana"/>
          <w:b/>
          <w:bCs/>
          <w:sz w:val="24"/>
          <w:szCs w:val="24"/>
          <w:lang w:val="en-US"/>
        </w:rPr>
      </w:pPr>
      <w:r>
        <w:rPr>
          <w:rStyle w:val="news-date"/>
          <w:rFonts w:ascii="Verdana" w:hAnsi="Verdana"/>
          <w:b/>
          <w:bCs/>
          <w:sz w:val="24"/>
          <w:szCs w:val="24"/>
        </w:rPr>
        <w:t>The Committee may wish to recommend that the State Party take immediate efforts to repeal all legal provisions permitting the marriage of children in Northern Ireland, in line with the Committee’</w:t>
      </w:r>
      <w:r>
        <w:rPr>
          <w:rStyle w:val="None"/>
          <w:rFonts w:ascii="Verdana" w:hAnsi="Verdana"/>
          <w:b/>
          <w:bCs/>
          <w:sz w:val="24"/>
          <w:szCs w:val="24"/>
          <w:lang w:val="it-IT"/>
        </w:rPr>
        <w:t xml:space="preserve">s General Comment.  </w:t>
      </w:r>
    </w:p>
    <w:p w:rsidR="00FA5218" w:rsidRDefault="00FA5218">
      <w:pPr>
        <w:pStyle w:val="Body"/>
      </w:pPr>
    </w:p>
    <w:p w:rsidR="00FA5218" w:rsidRDefault="00720B60">
      <w:pPr>
        <w:pStyle w:val="Body"/>
      </w:pPr>
      <w:proofErr w:type="spellStart"/>
      <w:r>
        <w:rPr>
          <w:rStyle w:val="None"/>
          <w:rFonts w:ascii="Verdana" w:hAnsi="Verdana"/>
          <w:b/>
          <w:bCs/>
          <w:lang w:val="fr-FR"/>
        </w:rPr>
        <w:t>Female</w:t>
      </w:r>
      <w:proofErr w:type="spellEnd"/>
      <w:r>
        <w:rPr>
          <w:rStyle w:val="None"/>
          <w:rFonts w:ascii="Verdana" w:hAnsi="Verdana"/>
          <w:b/>
          <w:bCs/>
          <w:lang w:val="fr-FR"/>
        </w:rPr>
        <w:t xml:space="preserve"> </w:t>
      </w:r>
      <w:proofErr w:type="spellStart"/>
      <w:r>
        <w:rPr>
          <w:rStyle w:val="None"/>
          <w:rFonts w:ascii="Verdana" w:hAnsi="Verdana"/>
          <w:b/>
          <w:bCs/>
          <w:lang w:val="fr-FR"/>
        </w:rPr>
        <w:t>Genital</w:t>
      </w:r>
      <w:proofErr w:type="spellEnd"/>
      <w:r>
        <w:rPr>
          <w:rStyle w:val="None"/>
          <w:rFonts w:ascii="Verdana" w:hAnsi="Verdana"/>
          <w:b/>
          <w:bCs/>
          <w:lang w:val="fr-FR"/>
        </w:rPr>
        <w:t xml:space="preserve"> Mutilation</w:t>
      </w:r>
    </w:p>
    <w:p w:rsidR="00FA5218" w:rsidRDefault="00FA5218">
      <w:pPr>
        <w:pStyle w:val="Body"/>
      </w:pPr>
    </w:p>
    <w:p w:rsidR="00FA5218" w:rsidRDefault="00720B60">
      <w:pPr>
        <w:pStyle w:val="ListParagraph"/>
        <w:numPr>
          <w:ilvl w:val="0"/>
          <w:numId w:val="2"/>
        </w:numPr>
        <w:rPr>
          <w:rFonts w:ascii="Verdana" w:hAnsi="Verdana"/>
        </w:rPr>
      </w:pPr>
      <w:r>
        <w:rPr>
          <w:rStyle w:val="None"/>
          <w:rFonts w:ascii="Verdana" w:hAnsi="Verdana"/>
        </w:rPr>
        <w:t>In 2014, the Commission welcomed the DFP targeted consultation on draft Multi-Agency Guidelines on Female Genital Mutilation. The Guidelines provide advice and support to frontline professionals who are responsible for safeguarding children and protecting adults from the abuses associated with female genital mutilation.</w:t>
      </w:r>
      <w:r>
        <w:rPr>
          <w:rStyle w:val="None"/>
          <w:rFonts w:ascii="Verdana" w:eastAsia="Verdana" w:hAnsi="Verdana" w:cs="Verdana"/>
          <w:vertAlign w:val="superscript"/>
        </w:rPr>
        <w:footnoteReference w:id="50"/>
      </w:r>
    </w:p>
    <w:p w:rsidR="00FA5218" w:rsidRDefault="00FA5218">
      <w:pPr>
        <w:pStyle w:val="Body"/>
      </w:pPr>
    </w:p>
    <w:p w:rsidR="00FA5218" w:rsidRDefault="00720B60">
      <w:pPr>
        <w:pStyle w:val="ListParagraph"/>
        <w:numPr>
          <w:ilvl w:val="0"/>
          <w:numId w:val="2"/>
        </w:numPr>
        <w:rPr>
          <w:rFonts w:ascii="Verdana" w:hAnsi="Verdana"/>
        </w:rPr>
      </w:pPr>
      <w:r>
        <w:rPr>
          <w:rStyle w:val="None"/>
          <w:rFonts w:ascii="Verdana" w:hAnsi="Verdana"/>
        </w:rPr>
        <w:t>The Commission advised the DFP that human rights law requires the NI Executive to “modify social and cultural patterns which see women as subordinate to men.” Female genital mutilation is a severe form of child abuse and a violation of human rights, as well as a “manifestation of deeply entrenched gender inequality and patriarchal cultural norms.”</w:t>
      </w:r>
      <w:r>
        <w:rPr>
          <w:rStyle w:val="None"/>
          <w:rFonts w:ascii="Verdana" w:eastAsia="Verdana" w:hAnsi="Verdana" w:cs="Verdana"/>
          <w:vertAlign w:val="superscript"/>
        </w:rPr>
        <w:footnoteReference w:id="51"/>
      </w:r>
    </w:p>
    <w:p w:rsidR="00FA5218" w:rsidRDefault="00FA5218">
      <w:pPr>
        <w:pStyle w:val="Body"/>
      </w:pPr>
    </w:p>
    <w:p w:rsidR="00FA5218" w:rsidRDefault="00720B60">
      <w:pPr>
        <w:pStyle w:val="ListParagraph"/>
        <w:numPr>
          <w:ilvl w:val="0"/>
          <w:numId w:val="2"/>
        </w:numPr>
        <w:rPr>
          <w:rFonts w:ascii="Verdana" w:hAnsi="Verdana"/>
        </w:rPr>
      </w:pPr>
      <w:r>
        <w:rPr>
          <w:rStyle w:val="None"/>
          <w:rFonts w:ascii="Verdana" w:hAnsi="Verdana"/>
        </w:rPr>
        <w:t xml:space="preserve">The NI Executive approved the publication of Multi-Agency Guidelines in July 2014. The NIHRC welcomed the robust measures to combat this ongoing human rights abuse. The NIHRC considers that the practice guidelines and initiatives by the NI Executive should be supported by an action plan to ensure the guidelines are </w:t>
      </w:r>
      <w:proofErr w:type="spellStart"/>
      <w:r>
        <w:rPr>
          <w:rStyle w:val="None"/>
          <w:rFonts w:ascii="Verdana" w:hAnsi="Verdana"/>
        </w:rPr>
        <w:t>operationalised</w:t>
      </w:r>
      <w:proofErr w:type="spellEnd"/>
      <w:r>
        <w:rPr>
          <w:rStyle w:val="None"/>
          <w:rFonts w:ascii="Verdana" w:hAnsi="Verdana"/>
        </w:rPr>
        <w:t>. In November 2015, the NIHRC wrote to the relevant NI Executive Ministers to seek assurance that a detailed action plan is developed to include: training; awareness raising; research into the prevalence of Female Genital Mutilation; implementation of regional guidance; care pathways; and actions which can be taken to identify and prosecute perpetrators.</w:t>
      </w:r>
      <w:r>
        <w:rPr>
          <w:rStyle w:val="None"/>
          <w:rFonts w:ascii="Verdana" w:eastAsia="Verdana" w:hAnsi="Verdana" w:cs="Verdana"/>
          <w:vertAlign w:val="superscript"/>
        </w:rPr>
        <w:footnoteReference w:id="52"/>
      </w:r>
      <w:r>
        <w:rPr>
          <w:rStyle w:val="None"/>
          <w:rFonts w:ascii="Verdana" w:hAnsi="Verdana"/>
        </w:rPr>
        <w:t xml:space="preserve"> </w:t>
      </w:r>
    </w:p>
    <w:p w:rsidR="00FA5218" w:rsidRDefault="00FA5218">
      <w:pPr>
        <w:pStyle w:val="ListParagraph"/>
        <w:ind w:left="0"/>
      </w:pPr>
    </w:p>
    <w:p w:rsidR="00FA5218" w:rsidRDefault="00720B60">
      <w:pPr>
        <w:pStyle w:val="ListParagraph"/>
        <w:numPr>
          <w:ilvl w:val="0"/>
          <w:numId w:val="2"/>
        </w:numPr>
        <w:rPr>
          <w:rFonts w:ascii="Verdana" w:hAnsi="Verdana"/>
        </w:rPr>
      </w:pPr>
      <w:r>
        <w:rPr>
          <w:rStyle w:val="None"/>
          <w:rFonts w:ascii="Verdana" w:hAnsi="Verdana"/>
        </w:rPr>
        <w:t>The Safeguarding Board NI has established a sub group on Female Genital Mutilation and as part of its terms of reference, an action plan will be developed.</w:t>
      </w:r>
      <w:r>
        <w:rPr>
          <w:rStyle w:val="None"/>
          <w:rFonts w:ascii="Verdana" w:eastAsia="Verdana" w:hAnsi="Verdana" w:cs="Verdana"/>
          <w:vertAlign w:val="superscript"/>
        </w:rPr>
        <w:footnoteReference w:id="53"/>
      </w:r>
    </w:p>
    <w:p w:rsidR="00FA5218" w:rsidRDefault="00FA5218">
      <w:pPr>
        <w:pStyle w:val="ListParagraph"/>
        <w:ind w:left="0"/>
      </w:pPr>
    </w:p>
    <w:p w:rsidR="00FA5218" w:rsidRDefault="00720B60">
      <w:pPr>
        <w:pStyle w:val="ListParagraph"/>
        <w:numPr>
          <w:ilvl w:val="0"/>
          <w:numId w:val="2"/>
        </w:numPr>
        <w:rPr>
          <w:rFonts w:ascii="Verdana" w:hAnsi="Verdana"/>
        </w:rPr>
      </w:pPr>
      <w:r>
        <w:rPr>
          <w:rStyle w:val="None"/>
          <w:rFonts w:ascii="Verdana" w:hAnsi="Verdana"/>
          <w:b/>
          <w:bCs/>
        </w:rPr>
        <w:lastRenderedPageBreak/>
        <w:t xml:space="preserve">The Committee may wish to recommend to the State Party that detailed action plans are developed to combat Female Genital Mutilation to include: training; awareness raising; research into the prevalence of Female Genital Mutilation; implementation of regional guidance; care pathways; and actions which can be taken to identify and prosecute perpetrators.  </w:t>
      </w:r>
    </w:p>
    <w:p w:rsidR="00FA5218" w:rsidRDefault="00FA5218">
      <w:pPr>
        <w:pStyle w:val="BodyA"/>
        <w:spacing w:after="0" w:line="240" w:lineRule="auto"/>
      </w:pPr>
    </w:p>
    <w:p w:rsidR="00FA5218" w:rsidRDefault="00720B60">
      <w:pPr>
        <w:pStyle w:val="BodyA"/>
        <w:spacing w:after="0" w:line="240" w:lineRule="auto"/>
      </w:pPr>
      <w:r>
        <w:rPr>
          <w:rStyle w:val="None"/>
          <w:rFonts w:ascii="Verdana" w:hAnsi="Verdana"/>
          <w:b/>
          <w:bCs/>
          <w:sz w:val="24"/>
          <w:szCs w:val="24"/>
          <w:lang w:val="en-US"/>
        </w:rPr>
        <w:t xml:space="preserve">Paramilitary Style Assaults on children </w:t>
      </w:r>
    </w:p>
    <w:p w:rsidR="00FA5218" w:rsidRDefault="00FA5218">
      <w:pPr>
        <w:pStyle w:val="BodyA"/>
        <w:spacing w:after="0" w:line="240" w:lineRule="auto"/>
      </w:pPr>
    </w:p>
    <w:p w:rsidR="00FA5218" w:rsidRDefault="00720B60">
      <w:pPr>
        <w:pStyle w:val="BodyA"/>
        <w:numPr>
          <w:ilvl w:val="0"/>
          <w:numId w:val="2"/>
        </w:numPr>
        <w:spacing w:after="0" w:line="240" w:lineRule="auto"/>
        <w:rPr>
          <w:rFonts w:ascii="Verdana" w:hAnsi="Verdana"/>
          <w:sz w:val="24"/>
          <w:szCs w:val="24"/>
          <w:lang w:val="en-US"/>
        </w:rPr>
      </w:pPr>
      <w:r>
        <w:rPr>
          <w:rStyle w:val="news-date"/>
          <w:rFonts w:ascii="Verdana" w:hAnsi="Verdana"/>
          <w:sz w:val="24"/>
          <w:szCs w:val="24"/>
        </w:rPr>
        <w:t>In its submission to the pre-sessional working group the Commission reported that 12 children reported to the police that they were victims of paramilitary style shootings and 27 of paramilitary style assaults between 2009 and 2014.</w:t>
      </w:r>
      <w:r>
        <w:rPr>
          <w:rStyle w:val="FootnoteReference"/>
          <w:rFonts w:ascii="Verdana" w:eastAsia="Verdana" w:hAnsi="Verdana" w:cs="Verdana"/>
          <w:sz w:val="24"/>
          <w:szCs w:val="24"/>
        </w:rPr>
        <w:footnoteReference w:id="54"/>
      </w:r>
      <w:r>
        <w:rPr>
          <w:rStyle w:val="news-date"/>
          <w:rFonts w:ascii="Verdana" w:hAnsi="Verdana"/>
          <w:sz w:val="24"/>
          <w:szCs w:val="24"/>
        </w:rPr>
        <w:t xml:space="preserve"> In its reply to the list of issues the Commission has provided further statistics on this issue, in the financial year 2014/15 five children reported that they were victims of paramilitary style attacks. In the same year 433 people presented as homeless to the NI Housing Executive, including 96 families, as a result of paramilitary intimidation, suggesting that there are low reporting rates of paramilitary assaults.</w:t>
      </w:r>
      <w:r>
        <w:rPr>
          <w:rStyle w:val="FootnoteReference"/>
          <w:rFonts w:ascii="Verdana" w:eastAsia="Verdana" w:hAnsi="Verdana" w:cs="Verdana"/>
          <w:sz w:val="24"/>
          <w:szCs w:val="24"/>
        </w:rPr>
        <w:footnoteReference w:id="55"/>
      </w:r>
    </w:p>
    <w:p w:rsidR="00FA5218" w:rsidRDefault="00FA5218">
      <w:pPr>
        <w:pStyle w:val="BodyA"/>
        <w:spacing w:after="0" w:line="240" w:lineRule="auto"/>
      </w:pPr>
    </w:p>
    <w:p w:rsidR="00FA5218" w:rsidRDefault="00720B60">
      <w:pPr>
        <w:pStyle w:val="BodyA"/>
        <w:numPr>
          <w:ilvl w:val="0"/>
          <w:numId w:val="2"/>
        </w:numPr>
        <w:spacing w:after="0" w:line="240" w:lineRule="auto"/>
        <w:rPr>
          <w:rFonts w:ascii="Verdana" w:hAnsi="Verdana"/>
          <w:sz w:val="24"/>
          <w:szCs w:val="24"/>
          <w:lang w:val="en-US"/>
        </w:rPr>
      </w:pPr>
      <w:r>
        <w:rPr>
          <w:rStyle w:val="news-date"/>
          <w:rFonts w:ascii="Verdana" w:hAnsi="Verdana"/>
          <w:sz w:val="24"/>
          <w:szCs w:val="24"/>
        </w:rPr>
        <w:t>In November 2015 the International Fund for Ireland reported that paramilitary groups continue to recruit children.</w:t>
      </w:r>
      <w:r>
        <w:rPr>
          <w:rStyle w:val="FootnoteReference"/>
          <w:rFonts w:ascii="Verdana" w:eastAsia="Verdana" w:hAnsi="Verdana" w:cs="Verdana"/>
          <w:sz w:val="24"/>
          <w:szCs w:val="24"/>
        </w:rPr>
        <w:footnoteReference w:id="56"/>
      </w:r>
      <w:r>
        <w:rPr>
          <w:rStyle w:val="news-date"/>
          <w:rFonts w:ascii="Verdana" w:hAnsi="Verdana"/>
          <w:sz w:val="24"/>
          <w:szCs w:val="24"/>
        </w:rPr>
        <w:t xml:space="preserve"> In 2015 the NI Secretary of State established a body to carry out an assessment: “on the structure, role and purpose of paramilitary groups focusing on those which declared ceasefires in order to support and facilitate the political process”.</w:t>
      </w:r>
      <w:r>
        <w:rPr>
          <w:rStyle w:val="FootnoteReference"/>
          <w:rFonts w:ascii="Verdana" w:eastAsia="Verdana" w:hAnsi="Verdana" w:cs="Verdana"/>
          <w:sz w:val="24"/>
          <w:szCs w:val="24"/>
        </w:rPr>
        <w:footnoteReference w:id="57"/>
      </w:r>
      <w:r>
        <w:rPr>
          <w:rStyle w:val="news-date"/>
          <w:rFonts w:ascii="Verdana" w:hAnsi="Verdana"/>
          <w:sz w:val="24"/>
          <w:szCs w:val="24"/>
        </w:rPr>
        <w:t xml:space="preserve"> The report was published in October 2015 and concluded that all the main paramilitary groups operating during the period of the Troubles remain in existence: this includes the UVF, RHC, UDA (UFF), Provisional IRA and INLA. The assessment body also noted that all of the paramilitary groups maintain a relatively public profile in spite of being illegal </w:t>
      </w:r>
      <w:proofErr w:type="spellStart"/>
      <w:r>
        <w:rPr>
          <w:rStyle w:val="news-date"/>
          <w:rFonts w:ascii="Verdana" w:hAnsi="Verdana"/>
          <w:sz w:val="24"/>
          <w:szCs w:val="24"/>
        </w:rPr>
        <w:t>organisations</w:t>
      </w:r>
      <w:proofErr w:type="spellEnd"/>
      <w:r>
        <w:rPr>
          <w:rStyle w:val="news-date"/>
          <w:rFonts w:ascii="Verdana" w:hAnsi="Verdana"/>
          <w:sz w:val="24"/>
          <w:szCs w:val="24"/>
        </w:rPr>
        <w:t>.</w:t>
      </w:r>
      <w:r>
        <w:rPr>
          <w:rStyle w:val="FootnoteReference"/>
          <w:rFonts w:ascii="Verdana" w:eastAsia="Verdana" w:hAnsi="Verdana" w:cs="Verdana"/>
          <w:sz w:val="24"/>
          <w:szCs w:val="24"/>
        </w:rPr>
        <w:footnoteReference w:id="58"/>
      </w:r>
      <w:r>
        <w:rPr>
          <w:rStyle w:val="news-date"/>
          <w:rFonts w:ascii="Verdana" w:hAnsi="Verdana"/>
          <w:sz w:val="24"/>
          <w:szCs w:val="24"/>
        </w:rPr>
        <w:t xml:space="preserve"> Furthermore:</w:t>
      </w:r>
    </w:p>
    <w:p w:rsidR="00FA5218" w:rsidRDefault="00FA5218">
      <w:pPr>
        <w:pStyle w:val="BodyA"/>
        <w:spacing w:after="0" w:line="240" w:lineRule="auto"/>
      </w:pPr>
    </w:p>
    <w:p w:rsidR="00FA5218" w:rsidRDefault="00720B60">
      <w:pPr>
        <w:pStyle w:val="BodyA"/>
        <w:spacing w:after="0" w:line="240" w:lineRule="auto"/>
        <w:ind w:left="720"/>
      </w:pPr>
      <w:r>
        <w:rPr>
          <w:rStyle w:val="None"/>
          <w:rFonts w:ascii="Verdana" w:hAnsi="Verdana"/>
          <w:sz w:val="24"/>
          <w:szCs w:val="24"/>
          <w:lang w:val="en-US"/>
        </w:rPr>
        <w:lastRenderedPageBreak/>
        <w:t xml:space="preserve">The majority of paramilitary groups still have leadership structures and sub groups across NI. These groups still </w:t>
      </w:r>
      <w:proofErr w:type="spellStart"/>
      <w:r>
        <w:rPr>
          <w:rStyle w:val="None"/>
          <w:rFonts w:ascii="Verdana" w:hAnsi="Verdana"/>
          <w:sz w:val="24"/>
          <w:szCs w:val="24"/>
          <w:lang w:val="en-US"/>
        </w:rPr>
        <w:t>organise</w:t>
      </w:r>
      <w:proofErr w:type="spellEnd"/>
      <w:r>
        <w:rPr>
          <w:rStyle w:val="None"/>
          <w:rFonts w:ascii="Verdana" w:hAnsi="Verdana"/>
          <w:sz w:val="24"/>
          <w:szCs w:val="24"/>
          <w:lang w:val="en-US"/>
        </w:rPr>
        <w:t xml:space="preserve"> themselves along militaristic lines and use labels familiar from the Troubles e.g. ‘</w:t>
      </w:r>
      <w:r>
        <w:rPr>
          <w:rStyle w:val="None"/>
          <w:rFonts w:ascii="Verdana" w:hAnsi="Verdana"/>
          <w:sz w:val="24"/>
          <w:szCs w:val="24"/>
          <w:lang w:val="pt-PT"/>
        </w:rPr>
        <w:t>brigades</w:t>
      </w:r>
      <w:r>
        <w:rPr>
          <w:rStyle w:val="None"/>
          <w:rFonts w:ascii="Verdana" w:hAnsi="Verdana"/>
          <w:sz w:val="24"/>
          <w:szCs w:val="24"/>
          <w:lang w:val="en-US"/>
        </w:rPr>
        <w:t>’ or ‘army council’. These labels makes the groups look more prepared for a campaign of violence than they are. Even in the highly unlikely event that the groups were minded to return to terrorism, we judge they would be unable to resurrect the capability demonstrated at their peak… [t]hey have continuing, albeit much reduced, capability and engage in violence and crime. They cause serious harm to the communities within which they are embedded and undermine support for policing’.</w:t>
      </w:r>
      <w:r>
        <w:rPr>
          <w:rStyle w:val="None"/>
          <w:rFonts w:ascii="Verdana" w:eastAsia="Verdana" w:hAnsi="Verdana" w:cs="Verdana"/>
          <w:sz w:val="24"/>
          <w:szCs w:val="24"/>
          <w:vertAlign w:val="superscript"/>
          <w:lang w:val="en-US"/>
        </w:rPr>
        <w:footnoteReference w:id="59"/>
      </w:r>
    </w:p>
    <w:p w:rsidR="00FA5218" w:rsidRDefault="00FA5218">
      <w:pPr>
        <w:pStyle w:val="BodyA"/>
        <w:spacing w:after="0" w:line="240" w:lineRule="auto"/>
      </w:pPr>
    </w:p>
    <w:p w:rsidR="00FA5218" w:rsidRDefault="00720B60">
      <w:pPr>
        <w:pStyle w:val="BodyA"/>
        <w:numPr>
          <w:ilvl w:val="0"/>
          <w:numId w:val="2"/>
        </w:numPr>
        <w:spacing w:after="0" w:line="240" w:lineRule="auto"/>
        <w:rPr>
          <w:rFonts w:ascii="Verdana" w:hAnsi="Verdana"/>
          <w:sz w:val="24"/>
          <w:szCs w:val="24"/>
          <w:lang w:val="en-US"/>
        </w:rPr>
      </w:pPr>
      <w:r>
        <w:rPr>
          <w:rStyle w:val="news-date"/>
          <w:rFonts w:ascii="Verdana" w:hAnsi="Verdana"/>
          <w:sz w:val="24"/>
          <w:szCs w:val="24"/>
        </w:rPr>
        <w:t>By way of the ‘Fresh Start Agreement’, agreed in November 2015 following the Stormont House Agreement, the NI Executive, UK Government and Irish Government ‘</w:t>
      </w:r>
      <w:r>
        <w:rPr>
          <w:rStyle w:val="None"/>
          <w:rFonts w:ascii="Verdana" w:hAnsi="Verdana"/>
          <w:i/>
          <w:iCs/>
          <w:sz w:val="24"/>
          <w:szCs w:val="24"/>
          <w:lang w:val="en-US"/>
        </w:rPr>
        <w:t>further commit</w:t>
      </w:r>
      <w:r>
        <w:rPr>
          <w:rStyle w:val="None"/>
          <w:rFonts w:ascii="Verdana" w:hAnsi="Verdana"/>
          <w:b/>
          <w:bCs/>
          <w:i/>
          <w:iCs/>
          <w:sz w:val="24"/>
          <w:szCs w:val="24"/>
          <w:lang w:val="en-US"/>
        </w:rPr>
        <w:t xml:space="preserve"> </w:t>
      </w:r>
      <w:r>
        <w:rPr>
          <w:rStyle w:val="news-date"/>
          <w:rFonts w:ascii="Verdana" w:hAnsi="Verdana"/>
          <w:sz w:val="24"/>
          <w:szCs w:val="24"/>
        </w:rPr>
        <w:t xml:space="preserve">to work together to achieve, the disbandment of all paramilitary </w:t>
      </w:r>
      <w:proofErr w:type="spellStart"/>
      <w:r>
        <w:rPr>
          <w:rStyle w:val="news-date"/>
          <w:rFonts w:ascii="Verdana" w:hAnsi="Verdana"/>
          <w:sz w:val="24"/>
          <w:szCs w:val="24"/>
        </w:rPr>
        <w:t>organisations</w:t>
      </w:r>
      <w:proofErr w:type="spellEnd"/>
      <w:r>
        <w:rPr>
          <w:rStyle w:val="news-date"/>
          <w:rFonts w:ascii="Verdana" w:hAnsi="Verdana"/>
          <w:sz w:val="24"/>
          <w:szCs w:val="24"/>
        </w:rPr>
        <w:t xml:space="preserve"> and their structures and to challenge paramilitary attempts to control communities’.</w:t>
      </w:r>
      <w:r>
        <w:rPr>
          <w:rStyle w:val="FootnoteReference"/>
          <w:rFonts w:ascii="Verdana" w:eastAsia="Verdana" w:hAnsi="Verdana" w:cs="Verdana"/>
          <w:sz w:val="24"/>
          <w:szCs w:val="24"/>
        </w:rPr>
        <w:footnoteReference w:id="60"/>
      </w:r>
      <w:r>
        <w:rPr>
          <w:rStyle w:val="news-date"/>
          <w:rFonts w:ascii="Verdana" w:hAnsi="Verdana"/>
          <w:sz w:val="24"/>
          <w:szCs w:val="24"/>
        </w:rPr>
        <w:t xml:space="preserve"> In accordance with the agreement a four member international body will be established to report annually on progress towards ending continuing paramilitary activity. In addition the NI Executive have committed to publish a strategy and action plan to bring about an end to </w:t>
      </w:r>
      <w:proofErr w:type="spellStart"/>
      <w:r>
        <w:rPr>
          <w:rStyle w:val="news-date"/>
          <w:rFonts w:ascii="Verdana" w:hAnsi="Verdana"/>
          <w:sz w:val="24"/>
          <w:szCs w:val="24"/>
        </w:rPr>
        <w:t>paramilitarism</w:t>
      </w:r>
      <w:proofErr w:type="spellEnd"/>
      <w:r>
        <w:rPr>
          <w:rStyle w:val="news-date"/>
          <w:rFonts w:ascii="Verdana" w:hAnsi="Verdana"/>
          <w:sz w:val="24"/>
          <w:szCs w:val="24"/>
        </w:rPr>
        <w:t xml:space="preserve"> by the end of June 2016 and a three person panel has been established to make recommendations to the NI Executive by the end of May 2016.</w:t>
      </w:r>
      <w:r>
        <w:rPr>
          <w:rStyle w:val="FootnoteReference"/>
          <w:rFonts w:ascii="Verdana" w:eastAsia="Verdana" w:hAnsi="Verdana" w:cs="Verdana"/>
          <w:sz w:val="24"/>
          <w:szCs w:val="24"/>
        </w:rPr>
        <w:footnoteReference w:id="61"/>
      </w:r>
      <w:r>
        <w:rPr>
          <w:rStyle w:val="news-date"/>
          <w:rFonts w:ascii="Verdana" w:hAnsi="Verdana"/>
          <w:sz w:val="24"/>
          <w:szCs w:val="24"/>
        </w:rPr>
        <w:t xml:space="preserve"> </w:t>
      </w:r>
    </w:p>
    <w:p w:rsidR="00FA5218" w:rsidRDefault="00FA5218">
      <w:pPr>
        <w:pStyle w:val="BodyA"/>
        <w:spacing w:after="0" w:line="240" w:lineRule="auto"/>
      </w:pPr>
    </w:p>
    <w:p w:rsidR="00FA5218" w:rsidRDefault="00720B60">
      <w:pPr>
        <w:pStyle w:val="BodyA"/>
        <w:numPr>
          <w:ilvl w:val="0"/>
          <w:numId w:val="4"/>
        </w:numPr>
        <w:spacing w:after="0" w:line="240" w:lineRule="auto"/>
        <w:rPr>
          <w:rFonts w:ascii="Verdana" w:hAnsi="Verdana"/>
          <w:b/>
          <w:bCs/>
          <w:sz w:val="24"/>
          <w:szCs w:val="24"/>
          <w:lang w:val="en-US"/>
        </w:rPr>
      </w:pPr>
      <w:r>
        <w:rPr>
          <w:rStyle w:val="news-date"/>
          <w:rFonts w:ascii="Verdana" w:hAnsi="Verdana"/>
          <w:b/>
          <w:bCs/>
          <w:sz w:val="24"/>
          <w:szCs w:val="24"/>
        </w:rPr>
        <w:t xml:space="preserve">The Committee may wish to recommend that the State Party continue to make every effort to bring an end to paramilitary activity in Northern Ireland and to ensure that; all assaults against children by members of paramilitary </w:t>
      </w:r>
      <w:proofErr w:type="spellStart"/>
      <w:r>
        <w:rPr>
          <w:rStyle w:val="news-date"/>
          <w:rFonts w:ascii="Verdana" w:hAnsi="Verdana"/>
          <w:b/>
          <w:bCs/>
          <w:sz w:val="24"/>
          <w:szCs w:val="24"/>
        </w:rPr>
        <w:t>organisations</w:t>
      </w:r>
      <w:proofErr w:type="spellEnd"/>
      <w:r>
        <w:rPr>
          <w:rStyle w:val="news-date"/>
          <w:rFonts w:ascii="Verdana" w:hAnsi="Verdana"/>
          <w:b/>
          <w:bCs/>
          <w:sz w:val="24"/>
          <w:szCs w:val="24"/>
        </w:rPr>
        <w:t xml:space="preserve"> are thoroughly investigated, that perpetrators are prosecuted and, if convicted, punished with appropriate sanctions. </w:t>
      </w:r>
    </w:p>
    <w:p w:rsidR="00FA5218" w:rsidRDefault="00FA5218">
      <w:pPr>
        <w:pStyle w:val="NoSpacing"/>
      </w:pPr>
    </w:p>
    <w:p w:rsidR="00FA5218" w:rsidRDefault="00720B60">
      <w:pPr>
        <w:pStyle w:val="NoSpacing"/>
      </w:pPr>
      <w:r>
        <w:rPr>
          <w:rStyle w:val="None"/>
          <w:rFonts w:ascii="Verdana" w:hAnsi="Verdana"/>
          <w:b/>
          <w:bCs/>
          <w:sz w:val="24"/>
          <w:szCs w:val="24"/>
          <w:u w:val="single"/>
        </w:rPr>
        <w:t>Family environment and alternative care (arts. 5, 9-11, 18 (paras. 1 and 2), 20-21, 25 and 27 (para. 4)</w:t>
      </w:r>
    </w:p>
    <w:p w:rsidR="00FA5218" w:rsidRDefault="00FA5218">
      <w:pPr>
        <w:pStyle w:val="NoSpacing"/>
      </w:pPr>
    </w:p>
    <w:p w:rsidR="00FA5218" w:rsidRDefault="00720B60">
      <w:pPr>
        <w:pStyle w:val="BodyA"/>
        <w:spacing w:after="0" w:line="240" w:lineRule="auto"/>
      </w:pPr>
      <w:r>
        <w:rPr>
          <w:rStyle w:val="None"/>
          <w:rFonts w:ascii="Verdana" w:hAnsi="Verdana"/>
          <w:b/>
          <w:bCs/>
          <w:sz w:val="24"/>
          <w:szCs w:val="24"/>
          <w:lang w:val="en-US"/>
        </w:rPr>
        <w:t>Children in care</w:t>
      </w:r>
    </w:p>
    <w:p w:rsidR="00FA5218" w:rsidRDefault="00FA5218">
      <w:pPr>
        <w:pStyle w:val="BodyA"/>
        <w:spacing w:after="0" w:line="240" w:lineRule="auto"/>
      </w:pPr>
    </w:p>
    <w:p w:rsidR="00FA5218" w:rsidRDefault="00720B60">
      <w:pPr>
        <w:pStyle w:val="BodyA"/>
        <w:numPr>
          <w:ilvl w:val="0"/>
          <w:numId w:val="2"/>
        </w:numPr>
        <w:spacing w:after="0" w:line="240" w:lineRule="auto"/>
        <w:rPr>
          <w:rFonts w:ascii="Verdana" w:hAnsi="Verdana"/>
          <w:sz w:val="24"/>
          <w:szCs w:val="24"/>
          <w:lang w:val="en-US"/>
        </w:rPr>
      </w:pPr>
      <w:r>
        <w:rPr>
          <w:rStyle w:val="news-date"/>
          <w:rFonts w:ascii="Verdana" w:hAnsi="Verdana"/>
          <w:sz w:val="24"/>
          <w:szCs w:val="24"/>
        </w:rPr>
        <w:t xml:space="preserve">The Commission has raised concerns regarding shortcomings in the provisions of the Children (NI) Order 1995 which, </w:t>
      </w:r>
      <w:proofErr w:type="spellStart"/>
      <w:r>
        <w:rPr>
          <w:rStyle w:val="news-date"/>
          <w:rFonts w:ascii="Verdana" w:hAnsi="Verdana"/>
          <w:sz w:val="24"/>
          <w:szCs w:val="24"/>
        </w:rPr>
        <w:t>interalia</w:t>
      </w:r>
      <w:proofErr w:type="spellEnd"/>
      <w:r>
        <w:rPr>
          <w:rStyle w:val="news-date"/>
          <w:rFonts w:ascii="Verdana" w:hAnsi="Verdana"/>
          <w:sz w:val="24"/>
          <w:szCs w:val="24"/>
        </w:rPr>
        <w:t>, regulates the care of 2,858 children who are looked after by Health and Social Care Trusts in Northern Ireland.</w:t>
      </w:r>
      <w:r>
        <w:rPr>
          <w:rStyle w:val="FootnoteReference"/>
          <w:rFonts w:ascii="Verdana" w:eastAsia="Verdana" w:hAnsi="Verdana" w:cs="Verdana"/>
          <w:sz w:val="24"/>
          <w:szCs w:val="24"/>
        </w:rPr>
        <w:footnoteReference w:id="62"/>
      </w:r>
      <w:r>
        <w:rPr>
          <w:rStyle w:val="news-date"/>
          <w:rFonts w:ascii="Verdana" w:hAnsi="Verdana"/>
          <w:sz w:val="24"/>
          <w:szCs w:val="24"/>
        </w:rPr>
        <w:t xml:space="preserve"> </w:t>
      </w:r>
    </w:p>
    <w:p w:rsidR="00FA5218" w:rsidRDefault="00FA5218">
      <w:pPr>
        <w:pStyle w:val="BodyA"/>
        <w:spacing w:after="0" w:line="240" w:lineRule="auto"/>
      </w:pPr>
    </w:p>
    <w:p w:rsidR="00FA5218" w:rsidRDefault="00720B60">
      <w:pPr>
        <w:pStyle w:val="BodyA"/>
        <w:numPr>
          <w:ilvl w:val="0"/>
          <w:numId w:val="2"/>
        </w:numPr>
        <w:spacing w:after="0" w:line="240" w:lineRule="auto"/>
        <w:rPr>
          <w:rFonts w:ascii="Verdana" w:hAnsi="Verdana"/>
          <w:sz w:val="24"/>
          <w:szCs w:val="24"/>
          <w:lang w:val="en-US"/>
        </w:rPr>
      </w:pPr>
      <w:r>
        <w:rPr>
          <w:rStyle w:val="news-date"/>
          <w:rFonts w:ascii="Verdana" w:hAnsi="Verdana"/>
          <w:sz w:val="24"/>
          <w:szCs w:val="24"/>
        </w:rPr>
        <w:lastRenderedPageBreak/>
        <w:t>In 2014 the Commission published a report into the rights of children in care.</w:t>
      </w:r>
      <w:r>
        <w:rPr>
          <w:rStyle w:val="FootnoteReference"/>
          <w:rFonts w:ascii="Verdana" w:eastAsia="Verdana" w:hAnsi="Verdana" w:cs="Verdana"/>
          <w:sz w:val="24"/>
          <w:szCs w:val="24"/>
        </w:rPr>
        <w:footnoteReference w:id="63"/>
      </w:r>
      <w:r>
        <w:rPr>
          <w:rStyle w:val="news-date"/>
          <w:rFonts w:ascii="Verdana" w:hAnsi="Verdana"/>
          <w:sz w:val="24"/>
          <w:szCs w:val="24"/>
        </w:rPr>
        <w:t xml:space="preserve"> The report highlighted that some children are facing placement moves due to financial pressure within Trusts, for example, moving from private fostering agency placements, to Trust’s foster placements. Of the looked after children who had placement moves in the year 2012- 2013, over 20% had between one to three placement moves. While these figures indicate that the majority of Looked </w:t>
      </w:r>
      <w:proofErr w:type="gramStart"/>
      <w:r>
        <w:rPr>
          <w:rStyle w:val="news-date"/>
          <w:rFonts w:ascii="Verdana" w:hAnsi="Verdana"/>
          <w:sz w:val="24"/>
          <w:szCs w:val="24"/>
        </w:rPr>
        <w:t>After</w:t>
      </w:r>
      <w:proofErr w:type="gramEnd"/>
      <w:r>
        <w:rPr>
          <w:rStyle w:val="news-date"/>
          <w:rFonts w:ascii="Verdana" w:hAnsi="Verdana"/>
          <w:sz w:val="24"/>
          <w:szCs w:val="24"/>
        </w:rPr>
        <w:t xml:space="preserve"> Children are in relatively stable placements, those who continue to experience placement moves are exposed to “a level of intense disruption” and “a risk to their sense of security and stability”.</w:t>
      </w:r>
      <w:r>
        <w:rPr>
          <w:rStyle w:val="FootnoteReference"/>
          <w:rFonts w:ascii="Verdana" w:eastAsia="Verdana" w:hAnsi="Verdana" w:cs="Verdana"/>
          <w:sz w:val="24"/>
          <w:szCs w:val="24"/>
        </w:rPr>
        <w:footnoteReference w:id="64"/>
      </w:r>
      <w:r>
        <w:rPr>
          <w:rStyle w:val="news-date"/>
          <w:rFonts w:ascii="Verdana" w:hAnsi="Verdana"/>
          <w:sz w:val="24"/>
          <w:szCs w:val="24"/>
        </w:rPr>
        <w:t xml:space="preserve"> </w:t>
      </w:r>
    </w:p>
    <w:p w:rsidR="00FA5218" w:rsidRDefault="00FA5218">
      <w:pPr>
        <w:pStyle w:val="ListParagraph"/>
        <w:ind w:left="0"/>
      </w:pPr>
    </w:p>
    <w:p w:rsidR="00FA5218" w:rsidRDefault="00720B60">
      <w:pPr>
        <w:pStyle w:val="BodyA"/>
        <w:numPr>
          <w:ilvl w:val="0"/>
          <w:numId w:val="2"/>
        </w:numPr>
        <w:spacing w:after="0" w:line="240" w:lineRule="auto"/>
        <w:rPr>
          <w:rFonts w:ascii="Verdana" w:hAnsi="Verdana"/>
          <w:sz w:val="24"/>
          <w:szCs w:val="24"/>
          <w:lang w:val="en-US"/>
        </w:rPr>
      </w:pPr>
      <w:r>
        <w:rPr>
          <w:rStyle w:val="news-date"/>
          <w:rFonts w:ascii="Verdana" w:hAnsi="Verdana"/>
          <w:sz w:val="24"/>
          <w:szCs w:val="24"/>
        </w:rPr>
        <w:t>In 2014 the Department of Justice and Department of Health conducted a scoping exercise on the operation of the Family Justice System in Northern Ireland, following this, a care proceedings pilot was commissioned to further identify the causes of delay in care proceedings and solutions for dealing with it.</w:t>
      </w:r>
      <w:r>
        <w:rPr>
          <w:rStyle w:val="FootnoteReference"/>
          <w:rFonts w:ascii="Verdana" w:eastAsia="Verdana" w:hAnsi="Verdana" w:cs="Verdana"/>
          <w:sz w:val="24"/>
          <w:szCs w:val="24"/>
        </w:rPr>
        <w:footnoteReference w:id="65"/>
      </w:r>
      <w:r>
        <w:rPr>
          <w:rStyle w:val="news-date"/>
          <w:rFonts w:ascii="Verdana" w:hAnsi="Verdana"/>
          <w:sz w:val="24"/>
          <w:szCs w:val="24"/>
        </w:rPr>
        <w:t xml:space="preserve"> Separate to this initiative the Access to Justice Report Part II makes a number of proposals relating to the family justice procedures and practices, including a suggestion that procedures move away from an adversarial and towards a more inquisitorial approach.</w:t>
      </w:r>
      <w:r>
        <w:rPr>
          <w:rStyle w:val="FootnoteReference"/>
          <w:rFonts w:ascii="Verdana" w:eastAsia="Verdana" w:hAnsi="Verdana" w:cs="Verdana"/>
          <w:sz w:val="24"/>
          <w:szCs w:val="24"/>
        </w:rPr>
        <w:footnoteReference w:id="66"/>
      </w:r>
      <w:r>
        <w:rPr>
          <w:rStyle w:val="news-date"/>
          <w:rFonts w:ascii="Verdana" w:hAnsi="Verdana"/>
          <w:sz w:val="24"/>
          <w:szCs w:val="24"/>
        </w:rPr>
        <w:t xml:space="preserve"> In addition </w:t>
      </w:r>
      <w:r>
        <w:rPr>
          <w:rStyle w:val="None"/>
          <w:rFonts w:ascii="Verdana" w:hAnsi="Verdana"/>
          <w:color w:val="333333"/>
          <w:sz w:val="24"/>
          <w:szCs w:val="24"/>
          <w:u w:color="333333"/>
          <w:lang w:val="en-US"/>
        </w:rPr>
        <w:t>the Lord Chief Justice has recently commissioned Lord Justice Gillen to consider the case for reform in respect of the civil and family justice.</w:t>
      </w:r>
      <w:r>
        <w:rPr>
          <w:rStyle w:val="None"/>
          <w:rFonts w:ascii="Verdana" w:eastAsia="Verdana" w:hAnsi="Verdana" w:cs="Verdana"/>
          <w:color w:val="333333"/>
          <w:sz w:val="24"/>
          <w:szCs w:val="24"/>
          <w:u w:color="333333"/>
          <w:vertAlign w:val="superscript"/>
          <w:lang w:val="en-US"/>
        </w:rPr>
        <w:footnoteReference w:id="67"/>
      </w:r>
      <w:r>
        <w:rPr>
          <w:rStyle w:val="None"/>
          <w:rFonts w:ascii="Verdana" w:hAnsi="Verdana"/>
          <w:color w:val="333333"/>
          <w:sz w:val="24"/>
          <w:szCs w:val="24"/>
          <w:u w:color="333333"/>
          <w:lang w:val="en-US"/>
        </w:rPr>
        <w:t xml:space="preserve"> </w:t>
      </w:r>
    </w:p>
    <w:p w:rsidR="00FA5218" w:rsidRDefault="00FA5218">
      <w:pPr>
        <w:pStyle w:val="BodyA"/>
        <w:spacing w:after="0" w:line="240" w:lineRule="auto"/>
      </w:pPr>
    </w:p>
    <w:p w:rsidR="00FA5218" w:rsidRDefault="00720B60">
      <w:pPr>
        <w:pStyle w:val="BodyA"/>
        <w:numPr>
          <w:ilvl w:val="0"/>
          <w:numId w:val="4"/>
        </w:numPr>
        <w:spacing w:after="0" w:line="240" w:lineRule="auto"/>
        <w:rPr>
          <w:rFonts w:ascii="Verdana" w:hAnsi="Verdana"/>
          <w:b/>
          <w:bCs/>
          <w:sz w:val="24"/>
          <w:szCs w:val="24"/>
          <w:lang w:val="en-US"/>
        </w:rPr>
      </w:pPr>
      <w:r>
        <w:rPr>
          <w:rStyle w:val="news-date"/>
          <w:rFonts w:ascii="Verdana" w:hAnsi="Verdana"/>
          <w:b/>
          <w:bCs/>
          <w:sz w:val="24"/>
          <w:szCs w:val="24"/>
        </w:rPr>
        <w:t xml:space="preserve">The Commission encourages the Committee to recommend that the State Party; </w:t>
      </w:r>
    </w:p>
    <w:p w:rsidR="00FA5218" w:rsidRDefault="00FA5218">
      <w:pPr>
        <w:pStyle w:val="BodyA"/>
        <w:spacing w:after="0" w:line="240" w:lineRule="auto"/>
      </w:pPr>
    </w:p>
    <w:p w:rsidR="00FA5218" w:rsidRDefault="00720B60">
      <w:pPr>
        <w:pStyle w:val="BodyA"/>
        <w:spacing w:after="0" w:line="240" w:lineRule="auto"/>
        <w:ind w:left="720"/>
      </w:pPr>
      <w:proofErr w:type="gramStart"/>
      <w:r>
        <w:rPr>
          <w:rStyle w:val="None"/>
          <w:rFonts w:ascii="Verdana" w:hAnsi="Verdana"/>
          <w:b/>
          <w:bCs/>
          <w:sz w:val="24"/>
          <w:szCs w:val="24"/>
          <w:lang w:val="en-US"/>
        </w:rPr>
        <w:t>ensure</w:t>
      </w:r>
      <w:proofErr w:type="gramEnd"/>
      <w:r>
        <w:rPr>
          <w:rStyle w:val="None"/>
          <w:rFonts w:ascii="Verdana" w:hAnsi="Verdana"/>
          <w:b/>
          <w:bCs/>
          <w:sz w:val="24"/>
          <w:szCs w:val="24"/>
          <w:lang w:val="en-US"/>
        </w:rPr>
        <w:t xml:space="preserve"> judicial procedures relating to children in care are speedy and efficient in line with the UN CRC, in particular the principle of best interests; </w:t>
      </w:r>
    </w:p>
    <w:p w:rsidR="00FA5218" w:rsidRDefault="00FA5218">
      <w:pPr>
        <w:pStyle w:val="BodyA"/>
        <w:spacing w:after="0" w:line="240" w:lineRule="auto"/>
        <w:ind w:left="720"/>
      </w:pPr>
    </w:p>
    <w:p w:rsidR="00FA5218" w:rsidRDefault="00720B60">
      <w:pPr>
        <w:pStyle w:val="BodyA"/>
        <w:spacing w:after="0" w:line="240" w:lineRule="auto"/>
        <w:ind w:left="720"/>
      </w:pPr>
      <w:proofErr w:type="gramStart"/>
      <w:r>
        <w:rPr>
          <w:rStyle w:val="None"/>
          <w:rFonts w:ascii="Verdana" w:hAnsi="Verdana"/>
          <w:b/>
          <w:bCs/>
          <w:sz w:val="24"/>
          <w:szCs w:val="24"/>
          <w:lang w:val="en-US"/>
        </w:rPr>
        <w:t>review</w:t>
      </w:r>
      <w:proofErr w:type="gramEnd"/>
      <w:r>
        <w:rPr>
          <w:rStyle w:val="None"/>
          <w:rFonts w:ascii="Verdana" w:hAnsi="Verdana"/>
          <w:b/>
          <w:bCs/>
          <w:sz w:val="24"/>
          <w:szCs w:val="24"/>
          <w:lang w:val="en-US"/>
        </w:rPr>
        <w:t xml:space="preserve"> the adequacy of legislation and guidance regarding private fostering and the potential need for reform;</w:t>
      </w:r>
    </w:p>
    <w:p w:rsidR="00FA5218" w:rsidRDefault="00FA5218">
      <w:pPr>
        <w:pStyle w:val="BodyA"/>
        <w:spacing w:after="0" w:line="240" w:lineRule="auto"/>
      </w:pPr>
    </w:p>
    <w:p w:rsidR="00FA5218" w:rsidRDefault="00720B60">
      <w:pPr>
        <w:pStyle w:val="BodyA"/>
        <w:spacing w:after="0" w:line="240" w:lineRule="auto"/>
        <w:ind w:left="720"/>
      </w:pPr>
      <w:r>
        <w:rPr>
          <w:rStyle w:val="None"/>
          <w:rFonts w:ascii="Verdana" w:hAnsi="Verdana"/>
          <w:b/>
          <w:bCs/>
          <w:sz w:val="24"/>
          <w:szCs w:val="24"/>
          <w:lang w:val="en-US"/>
        </w:rPr>
        <w:t xml:space="preserve">take steps to improve the availability of appropriate placements for children in care, including foster care provided by private fostering agencies, which should be based on the child’s best interests; </w:t>
      </w:r>
    </w:p>
    <w:p w:rsidR="00FA5218" w:rsidRDefault="00FA5218">
      <w:pPr>
        <w:pStyle w:val="BodyA"/>
        <w:spacing w:after="0" w:line="240" w:lineRule="auto"/>
      </w:pPr>
    </w:p>
    <w:p w:rsidR="00FA5218" w:rsidRDefault="00720B60">
      <w:pPr>
        <w:pStyle w:val="BodyA"/>
        <w:spacing w:after="0" w:line="240" w:lineRule="auto"/>
        <w:ind w:left="720"/>
      </w:pPr>
      <w:proofErr w:type="gramStart"/>
      <w:r>
        <w:rPr>
          <w:rStyle w:val="None"/>
          <w:rFonts w:ascii="Verdana" w:hAnsi="Verdana"/>
          <w:b/>
          <w:bCs/>
          <w:sz w:val="24"/>
          <w:szCs w:val="24"/>
          <w:lang w:val="en-US"/>
        </w:rPr>
        <w:t>bring</w:t>
      </w:r>
      <w:proofErr w:type="gramEnd"/>
      <w:r>
        <w:rPr>
          <w:rStyle w:val="None"/>
          <w:rFonts w:ascii="Verdana" w:hAnsi="Verdana"/>
          <w:b/>
          <w:bCs/>
          <w:sz w:val="24"/>
          <w:szCs w:val="24"/>
          <w:lang w:val="en-US"/>
        </w:rPr>
        <w:t xml:space="preserve"> forward proposals to increase placement stability for children in care;</w:t>
      </w:r>
    </w:p>
    <w:p w:rsidR="00FA5218" w:rsidRDefault="00FA5218">
      <w:pPr>
        <w:pStyle w:val="BodyA"/>
        <w:spacing w:after="0" w:line="240" w:lineRule="auto"/>
      </w:pPr>
    </w:p>
    <w:p w:rsidR="00FA5218" w:rsidRDefault="00720B60">
      <w:pPr>
        <w:pStyle w:val="BodyA"/>
        <w:spacing w:after="0" w:line="240" w:lineRule="auto"/>
        <w:ind w:left="720"/>
      </w:pPr>
      <w:proofErr w:type="gramStart"/>
      <w:r>
        <w:rPr>
          <w:rStyle w:val="None"/>
          <w:rFonts w:ascii="Verdana" w:hAnsi="Verdana"/>
          <w:b/>
          <w:bCs/>
          <w:sz w:val="24"/>
          <w:szCs w:val="24"/>
          <w:lang w:val="en-US"/>
        </w:rPr>
        <w:lastRenderedPageBreak/>
        <w:t>review</w:t>
      </w:r>
      <w:proofErr w:type="gramEnd"/>
      <w:r>
        <w:rPr>
          <w:rStyle w:val="None"/>
          <w:rFonts w:ascii="Verdana" w:hAnsi="Verdana"/>
          <w:b/>
          <w:bCs/>
          <w:sz w:val="24"/>
          <w:szCs w:val="24"/>
          <w:lang w:val="en-US"/>
        </w:rPr>
        <w:t xml:space="preserve"> the adequacy of permanency planning at social services and court levels; and </w:t>
      </w:r>
    </w:p>
    <w:p w:rsidR="00FA5218" w:rsidRDefault="00FA5218">
      <w:pPr>
        <w:pStyle w:val="BodyA"/>
        <w:spacing w:after="0" w:line="240" w:lineRule="auto"/>
      </w:pPr>
    </w:p>
    <w:p w:rsidR="00FA5218" w:rsidRDefault="00720B60">
      <w:pPr>
        <w:pStyle w:val="BodyA"/>
        <w:spacing w:after="0" w:line="240" w:lineRule="auto"/>
        <w:ind w:left="720"/>
      </w:pPr>
      <w:proofErr w:type="gramStart"/>
      <w:r>
        <w:rPr>
          <w:rStyle w:val="None"/>
          <w:rFonts w:ascii="Verdana" w:hAnsi="Verdana"/>
          <w:b/>
          <w:bCs/>
          <w:sz w:val="24"/>
          <w:szCs w:val="24"/>
          <w:lang w:val="en-US"/>
        </w:rPr>
        <w:t>consider</w:t>
      </w:r>
      <w:proofErr w:type="gramEnd"/>
      <w:r>
        <w:rPr>
          <w:rStyle w:val="None"/>
          <w:rFonts w:ascii="Verdana" w:hAnsi="Verdana"/>
          <w:b/>
          <w:bCs/>
          <w:sz w:val="24"/>
          <w:szCs w:val="24"/>
          <w:lang w:val="en-US"/>
        </w:rPr>
        <w:t xml:space="preserve"> necessary reforms to ensure timely permanence planning and better outcomes for children.</w:t>
      </w:r>
    </w:p>
    <w:p w:rsidR="00FA5218" w:rsidRDefault="00FA5218">
      <w:pPr>
        <w:pStyle w:val="NoSpacing"/>
      </w:pPr>
    </w:p>
    <w:p w:rsidR="00FA5218" w:rsidRDefault="00FA5218">
      <w:pPr>
        <w:pStyle w:val="BodyA"/>
        <w:spacing w:after="0" w:line="240" w:lineRule="auto"/>
      </w:pPr>
    </w:p>
    <w:p w:rsidR="00FA5218" w:rsidRDefault="00720B60">
      <w:pPr>
        <w:pStyle w:val="BodyA"/>
        <w:spacing w:after="0" w:line="240" w:lineRule="auto"/>
      </w:pPr>
      <w:r>
        <w:rPr>
          <w:rStyle w:val="None"/>
          <w:rFonts w:ascii="Verdana" w:hAnsi="Verdana"/>
          <w:b/>
          <w:bCs/>
          <w:sz w:val="24"/>
          <w:szCs w:val="24"/>
          <w:lang w:val="en-US"/>
        </w:rPr>
        <w:t>Adoption legislation</w:t>
      </w:r>
    </w:p>
    <w:p w:rsidR="00FA5218" w:rsidRDefault="00FA5218">
      <w:pPr>
        <w:pStyle w:val="BodyA"/>
        <w:spacing w:after="0" w:line="240" w:lineRule="auto"/>
      </w:pPr>
    </w:p>
    <w:p w:rsidR="00FA5218" w:rsidRDefault="00720B60">
      <w:pPr>
        <w:pStyle w:val="BodyA"/>
        <w:numPr>
          <w:ilvl w:val="0"/>
          <w:numId w:val="2"/>
        </w:numPr>
        <w:spacing w:after="0" w:line="240" w:lineRule="auto"/>
        <w:rPr>
          <w:rFonts w:ascii="Verdana" w:hAnsi="Verdana"/>
          <w:sz w:val="24"/>
          <w:szCs w:val="24"/>
          <w:lang w:val="en-US"/>
        </w:rPr>
      </w:pPr>
      <w:r>
        <w:rPr>
          <w:rStyle w:val="news-date"/>
          <w:rFonts w:ascii="Verdana" w:hAnsi="Verdana"/>
          <w:sz w:val="24"/>
          <w:szCs w:val="24"/>
        </w:rPr>
        <w:t>In 2006 the DHSSPS outlined a number of problems in the existing adoption legislation and noted that: “there is a disparity between adoption legislation in Northern Ireland and other UK regions”.</w:t>
      </w:r>
      <w:r>
        <w:rPr>
          <w:rStyle w:val="FootnoteReference"/>
          <w:rFonts w:ascii="Verdana" w:eastAsia="Verdana" w:hAnsi="Verdana" w:cs="Verdana"/>
          <w:sz w:val="24"/>
          <w:szCs w:val="24"/>
        </w:rPr>
        <w:footnoteReference w:id="68"/>
      </w:r>
    </w:p>
    <w:p w:rsidR="00FA5218" w:rsidRDefault="00FA5218">
      <w:pPr>
        <w:pStyle w:val="BodyA"/>
        <w:spacing w:after="0" w:line="240" w:lineRule="auto"/>
      </w:pPr>
    </w:p>
    <w:p w:rsidR="00FA5218" w:rsidRDefault="00720B60">
      <w:pPr>
        <w:pStyle w:val="BodyA"/>
        <w:numPr>
          <w:ilvl w:val="0"/>
          <w:numId w:val="2"/>
        </w:numPr>
        <w:spacing w:after="0" w:line="240" w:lineRule="auto"/>
        <w:rPr>
          <w:rFonts w:ascii="Verdana" w:hAnsi="Verdana"/>
          <w:sz w:val="24"/>
          <w:szCs w:val="24"/>
          <w:lang w:val="en-US"/>
        </w:rPr>
      </w:pPr>
      <w:r>
        <w:rPr>
          <w:rStyle w:val="news-date"/>
          <w:rFonts w:ascii="Verdana" w:hAnsi="Verdana"/>
          <w:sz w:val="24"/>
          <w:szCs w:val="24"/>
        </w:rPr>
        <w:t>It is widely accepted that adoption needs a stronger focus in terms of ensuring permanency of care for looked after children and addressing the long term implications of adoption for children and families affected by its processes. Changes to The Adoption (Northern Ireland) Order 1987 are required to reflect these emerging needs and to ensure that where adoption is the plan, the court will deal with each child’s case in a rigorous but expeditious manner.</w:t>
      </w:r>
      <w:r>
        <w:rPr>
          <w:rStyle w:val="FootnoteReference"/>
          <w:rFonts w:ascii="Verdana" w:eastAsia="Verdana" w:hAnsi="Verdana" w:cs="Verdana"/>
          <w:sz w:val="24"/>
          <w:szCs w:val="24"/>
        </w:rPr>
        <w:footnoteReference w:id="69"/>
      </w:r>
    </w:p>
    <w:p w:rsidR="00FA5218" w:rsidRDefault="00FA5218">
      <w:pPr>
        <w:pStyle w:val="BodyA"/>
        <w:spacing w:after="0" w:line="240" w:lineRule="auto"/>
      </w:pPr>
    </w:p>
    <w:p w:rsidR="00FA5218" w:rsidRDefault="00720B60">
      <w:pPr>
        <w:pStyle w:val="BodyA"/>
        <w:numPr>
          <w:ilvl w:val="0"/>
          <w:numId w:val="2"/>
        </w:numPr>
        <w:spacing w:after="0" w:line="240" w:lineRule="auto"/>
        <w:rPr>
          <w:rFonts w:ascii="Verdana" w:hAnsi="Verdana"/>
          <w:sz w:val="24"/>
          <w:szCs w:val="24"/>
          <w:lang w:val="en-US"/>
        </w:rPr>
      </w:pPr>
      <w:r>
        <w:rPr>
          <w:rStyle w:val="news-date"/>
          <w:rFonts w:ascii="Verdana" w:hAnsi="Verdana"/>
          <w:sz w:val="24"/>
          <w:szCs w:val="24"/>
        </w:rPr>
        <w:t>A decade later and the 1987 Order remains in place and no Bill proposing its amendment has yet been published. We understand that draft legislation has been produced but that the NI Executive will not approve its publication due to the proposed inclusion of legislative provision for same sex couples to be considered as adoptive parents. The Commission remains concerned at the lack of an up to date comprehensive legal framework governing the adoption process. Moreover the number of children adopted from care in Northern Ireland dropped from 89 in 2013/14 to 72 in 2014/15 and the average length of time for a child to be adopted has also increased to three years and one month.</w:t>
      </w:r>
      <w:r>
        <w:rPr>
          <w:rStyle w:val="FootnoteReference"/>
          <w:rFonts w:ascii="Verdana" w:eastAsia="Verdana" w:hAnsi="Verdana" w:cs="Verdana"/>
          <w:sz w:val="24"/>
          <w:szCs w:val="24"/>
        </w:rPr>
        <w:footnoteReference w:id="70"/>
      </w:r>
    </w:p>
    <w:p w:rsidR="00FA5218" w:rsidRDefault="00FA5218">
      <w:pPr>
        <w:pStyle w:val="BodyA"/>
        <w:spacing w:after="0" w:line="240" w:lineRule="auto"/>
      </w:pPr>
    </w:p>
    <w:p w:rsidR="00FA5218" w:rsidRDefault="00720B60">
      <w:pPr>
        <w:pStyle w:val="BodyA"/>
        <w:numPr>
          <w:ilvl w:val="0"/>
          <w:numId w:val="4"/>
        </w:numPr>
        <w:spacing w:after="0" w:line="240" w:lineRule="auto"/>
        <w:rPr>
          <w:rFonts w:ascii="Verdana" w:hAnsi="Verdana"/>
          <w:b/>
          <w:bCs/>
          <w:sz w:val="24"/>
          <w:szCs w:val="24"/>
          <w:lang w:val="en-US"/>
        </w:rPr>
      </w:pPr>
      <w:r>
        <w:rPr>
          <w:rStyle w:val="news-date"/>
          <w:rFonts w:ascii="Verdana" w:hAnsi="Verdana"/>
          <w:b/>
          <w:bCs/>
          <w:sz w:val="24"/>
          <w:szCs w:val="24"/>
        </w:rPr>
        <w:t xml:space="preserve">The Committee may wish to recommend that the State Party review the 1987 Order and bring forward proposals for amendment to ensure adoption legislation in Northern Ireland is fully compatible with the UN CRC. </w:t>
      </w:r>
    </w:p>
    <w:p w:rsidR="00FA5218" w:rsidRDefault="00FA5218">
      <w:pPr>
        <w:pStyle w:val="NoSpacing"/>
      </w:pPr>
    </w:p>
    <w:p w:rsidR="00720B60" w:rsidRDefault="00720B60">
      <w:pPr>
        <w:pStyle w:val="NoSpacing"/>
        <w:rPr>
          <w:rStyle w:val="None"/>
          <w:rFonts w:ascii="Verdana" w:hAnsi="Verdana"/>
          <w:b/>
          <w:bCs/>
          <w:sz w:val="24"/>
          <w:szCs w:val="24"/>
          <w:u w:val="single"/>
        </w:rPr>
      </w:pPr>
    </w:p>
    <w:p w:rsidR="00720B60" w:rsidRDefault="00720B60">
      <w:pPr>
        <w:pStyle w:val="NoSpacing"/>
        <w:rPr>
          <w:rStyle w:val="None"/>
          <w:rFonts w:ascii="Verdana" w:hAnsi="Verdana"/>
          <w:b/>
          <w:bCs/>
          <w:sz w:val="24"/>
          <w:szCs w:val="24"/>
          <w:u w:val="single"/>
        </w:rPr>
      </w:pPr>
    </w:p>
    <w:p w:rsidR="00720B60" w:rsidRDefault="00720B60">
      <w:pPr>
        <w:pStyle w:val="NoSpacing"/>
        <w:rPr>
          <w:rStyle w:val="None"/>
          <w:rFonts w:ascii="Verdana" w:hAnsi="Verdana"/>
          <w:b/>
          <w:bCs/>
          <w:sz w:val="24"/>
          <w:szCs w:val="24"/>
          <w:u w:val="single"/>
        </w:rPr>
      </w:pPr>
    </w:p>
    <w:p w:rsidR="00720B60" w:rsidRDefault="00720B60">
      <w:pPr>
        <w:pStyle w:val="NoSpacing"/>
        <w:rPr>
          <w:rStyle w:val="None"/>
          <w:rFonts w:ascii="Verdana" w:hAnsi="Verdana"/>
          <w:b/>
          <w:bCs/>
          <w:sz w:val="24"/>
          <w:szCs w:val="24"/>
          <w:u w:val="single"/>
        </w:rPr>
      </w:pPr>
    </w:p>
    <w:p w:rsidR="00FA5218" w:rsidRDefault="00720B60">
      <w:pPr>
        <w:pStyle w:val="NoSpacing"/>
      </w:pPr>
      <w:r>
        <w:rPr>
          <w:rStyle w:val="None"/>
          <w:rFonts w:ascii="Verdana" w:hAnsi="Verdana"/>
          <w:b/>
          <w:bCs/>
          <w:sz w:val="24"/>
          <w:szCs w:val="24"/>
          <w:u w:val="single"/>
        </w:rPr>
        <w:lastRenderedPageBreak/>
        <w:t>Disability, basic health and welfare (arts. 6, 18 (para. 3) 23, 24, 26, 27 (paras. 1-3) and 33)</w:t>
      </w:r>
    </w:p>
    <w:p w:rsidR="00FA5218" w:rsidRDefault="00FA5218">
      <w:pPr>
        <w:pStyle w:val="BodyA"/>
        <w:spacing w:after="0" w:line="240" w:lineRule="auto"/>
      </w:pPr>
    </w:p>
    <w:p w:rsidR="00FA5218" w:rsidRDefault="00720B60">
      <w:pPr>
        <w:pStyle w:val="BodyA"/>
        <w:spacing w:after="0" w:line="240" w:lineRule="auto"/>
      </w:pPr>
      <w:r>
        <w:rPr>
          <w:rStyle w:val="None"/>
          <w:rFonts w:ascii="Verdana" w:hAnsi="Verdana"/>
          <w:b/>
          <w:bCs/>
          <w:sz w:val="24"/>
          <w:szCs w:val="24"/>
          <w:lang w:val="en-US"/>
        </w:rPr>
        <w:t>Child Poverty</w:t>
      </w:r>
    </w:p>
    <w:p w:rsidR="00FA5218" w:rsidRDefault="00FA5218">
      <w:pPr>
        <w:pStyle w:val="BodyA"/>
        <w:spacing w:after="0" w:line="240" w:lineRule="auto"/>
      </w:pPr>
    </w:p>
    <w:p w:rsidR="00FA5218" w:rsidRDefault="00720B60">
      <w:pPr>
        <w:pStyle w:val="BodyA"/>
        <w:numPr>
          <w:ilvl w:val="0"/>
          <w:numId w:val="2"/>
        </w:numPr>
        <w:spacing w:after="0" w:line="240" w:lineRule="auto"/>
        <w:rPr>
          <w:rFonts w:ascii="Verdana" w:hAnsi="Verdana"/>
          <w:sz w:val="24"/>
          <w:szCs w:val="24"/>
          <w:lang w:val="en-US"/>
        </w:rPr>
      </w:pPr>
      <w:r>
        <w:rPr>
          <w:rStyle w:val="news-date"/>
          <w:rFonts w:ascii="Verdana" w:hAnsi="Verdana"/>
          <w:sz w:val="24"/>
          <w:szCs w:val="24"/>
        </w:rPr>
        <w:t xml:space="preserve">The Commission previously advised the Committee that a revised Child Poverty Strategy 2014-17 and Annual Report for 2014-15 had not been published. The Child Poverty Strategy for 2014-17 and Annual Report for 2014-15 </w:t>
      </w:r>
      <w:r>
        <w:rPr>
          <w:rStyle w:val="None"/>
          <w:rFonts w:ascii="Verdana" w:hAnsi="Verdana"/>
          <w:sz w:val="24"/>
          <w:szCs w:val="24"/>
          <w:lang w:val="en-US"/>
        </w:rPr>
        <w:t>were both published in March 2016.</w:t>
      </w:r>
      <w:r>
        <w:rPr>
          <w:rStyle w:val="None"/>
          <w:rFonts w:ascii="Verdana" w:eastAsia="Verdana" w:hAnsi="Verdana" w:cs="Verdana"/>
          <w:sz w:val="24"/>
          <w:szCs w:val="24"/>
          <w:vertAlign w:val="superscript"/>
          <w:lang w:val="en-US"/>
        </w:rPr>
        <w:footnoteReference w:id="71"/>
      </w:r>
      <w:r>
        <w:rPr>
          <w:rStyle w:val="None"/>
          <w:rFonts w:ascii="Verdana" w:hAnsi="Verdana"/>
          <w:sz w:val="24"/>
          <w:szCs w:val="24"/>
          <w:lang w:val="en-US"/>
        </w:rPr>
        <w:t xml:space="preserve"> </w:t>
      </w:r>
      <w:r>
        <w:rPr>
          <w:rStyle w:val="None"/>
          <w:rFonts w:ascii="Verdana" w:hAnsi="Verdana"/>
          <w:sz w:val="24"/>
          <w:szCs w:val="24"/>
        </w:rPr>
        <w:t xml:space="preserve">The </w:t>
      </w:r>
      <w:proofErr w:type="spellStart"/>
      <w:r>
        <w:rPr>
          <w:rStyle w:val="None"/>
          <w:rFonts w:ascii="Verdana" w:hAnsi="Verdana"/>
          <w:sz w:val="24"/>
          <w:szCs w:val="24"/>
        </w:rPr>
        <w:t>strategy</w:t>
      </w:r>
      <w:proofErr w:type="spellEnd"/>
      <w:r>
        <w:rPr>
          <w:rStyle w:val="None"/>
          <w:rFonts w:ascii="Verdana" w:hAnsi="Verdana"/>
          <w:sz w:val="24"/>
          <w:szCs w:val="24"/>
        </w:rPr>
        <w:t xml:space="preserve"> sets out the </w:t>
      </w:r>
      <w:proofErr w:type="spellStart"/>
      <w:r>
        <w:rPr>
          <w:rStyle w:val="None"/>
          <w:rFonts w:ascii="Verdana" w:hAnsi="Verdana"/>
          <w:sz w:val="24"/>
          <w:szCs w:val="24"/>
        </w:rPr>
        <w:t>indicators</w:t>
      </w:r>
      <w:proofErr w:type="spellEnd"/>
      <w:r>
        <w:rPr>
          <w:rStyle w:val="None"/>
          <w:rFonts w:ascii="Verdana" w:hAnsi="Verdana"/>
          <w:sz w:val="24"/>
          <w:szCs w:val="24"/>
        </w:rPr>
        <w:t xml:space="preserve"> </w:t>
      </w:r>
      <w:proofErr w:type="spellStart"/>
      <w:r>
        <w:rPr>
          <w:rStyle w:val="None"/>
          <w:rFonts w:ascii="Verdana" w:hAnsi="Verdana"/>
          <w:sz w:val="24"/>
          <w:szCs w:val="24"/>
        </w:rPr>
        <w:t>that</w:t>
      </w:r>
      <w:proofErr w:type="spellEnd"/>
      <w:r>
        <w:rPr>
          <w:rStyle w:val="None"/>
          <w:rFonts w:ascii="Verdana" w:hAnsi="Verdana"/>
          <w:sz w:val="24"/>
          <w:szCs w:val="24"/>
        </w:rPr>
        <w:t xml:space="preserve"> </w:t>
      </w:r>
      <w:proofErr w:type="spellStart"/>
      <w:r>
        <w:rPr>
          <w:rStyle w:val="None"/>
          <w:rFonts w:ascii="Verdana" w:hAnsi="Verdana"/>
          <w:sz w:val="24"/>
          <w:szCs w:val="24"/>
        </w:rPr>
        <w:t>will</w:t>
      </w:r>
      <w:proofErr w:type="spellEnd"/>
      <w:r>
        <w:rPr>
          <w:rStyle w:val="None"/>
          <w:rFonts w:ascii="Verdana" w:hAnsi="Verdana"/>
          <w:sz w:val="24"/>
          <w:szCs w:val="24"/>
        </w:rPr>
        <w:t xml:space="preserve"> </w:t>
      </w:r>
      <w:proofErr w:type="spellStart"/>
      <w:r>
        <w:rPr>
          <w:rStyle w:val="None"/>
          <w:rFonts w:ascii="Verdana" w:hAnsi="Verdana"/>
          <w:sz w:val="24"/>
          <w:szCs w:val="24"/>
        </w:rPr>
        <w:t>be</w:t>
      </w:r>
      <w:proofErr w:type="spellEnd"/>
      <w:r>
        <w:rPr>
          <w:rStyle w:val="None"/>
          <w:rFonts w:ascii="Verdana" w:hAnsi="Verdana"/>
          <w:sz w:val="24"/>
          <w:szCs w:val="24"/>
        </w:rPr>
        <w:t xml:space="preserve"> </w:t>
      </w:r>
      <w:proofErr w:type="spellStart"/>
      <w:r>
        <w:rPr>
          <w:rStyle w:val="None"/>
          <w:rFonts w:ascii="Verdana" w:hAnsi="Verdana"/>
          <w:sz w:val="24"/>
          <w:szCs w:val="24"/>
        </w:rPr>
        <w:t>used</w:t>
      </w:r>
      <w:proofErr w:type="spellEnd"/>
      <w:r>
        <w:rPr>
          <w:rStyle w:val="None"/>
          <w:rFonts w:ascii="Verdana" w:hAnsi="Verdana"/>
          <w:sz w:val="24"/>
          <w:szCs w:val="24"/>
        </w:rPr>
        <w:t xml:space="preserve"> to </w:t>
      </w:r>
      <w:proofErr w:type="spellStart"/>
      <w:r>
        <w:rPr>
          <w:rStyle w:val="None"/>
          <w:rFonts w:ascii="Verdana" w:hAnsi="Verdana"/>
          <w:sz w:val="24"/>
          <w:szCs w:val="24"/>
        </w:rPr>
        <w:t>measure</w:t>
      </w:r>
      <w:proofErr w:type="spellEnd"/>
      <w:r>
        <w:rPr>
          <w:rStyle w:val="None"/>
          <w:rFonts w:ascii="Verdana" w:hAnsi="Verdana"/>
          <w:sz w:val="24"/>
          <w:szCs w:val="24"/>
        </w:rPr>
        <w:t xml:space="preserve"> </w:t>
      </w:r>
      <w:proofErr w:type="spellStart"/>
      <w:r>
        <w:rPr>
          <w:rStyle w:val="None"/>
          <w:rFonts w:ascii="Verdana" w:hAnsi="Verdana"/>
          <w:sz w:val="24"/>
          <w:szCs w:val="24"/>
        </w:rPr>
        <w:t>its</w:t>
      </w:r>
      <w:proofErr w:type="spellEnd"/>
      <w:r>
        <w:rPr>
          <w:rStyle w:val="None"/>
          <w:rFonts w:ascii="Verdana" w:hAnsi="Verdana"/>
          <w:sz w:val="24"/>
          <w:szCs w:val="24"/>
        </w:rPr>
        <w:t xml:space="preserve"> </w:t>
      </w:r>
      <w:proofErr w:type="spellStart"/>
      <w:r>
        <w:rPr>
          <w:rStyle w:val="None"/>
          <w:rFonts w:ascii="Verdana" w:hAnsi="Verdana"/>
          <w:sz w:val="24"/>
          <w:szCs w:val="24"/>
        </w:rPr>
        <w:t>achievements</w:t>
      </w:r>
      <w:proofErr w:type="spellEnd"/>
      <w:r>
        <w:rPr>
          <w:rStyle w:val="None"/>
          <w:rFonts w:ascii="Verdana" w:hAnsi="Verdana"/>
          <w:sz w:val="24"/>
          <w:szCs w:val="24"/>
        </w:rPr>
        <w:t xml:space="preserve">, </w:t>
      </w:r>
      <w:proofErr w:type="spellStart"/>
      <w:r>
        <w:rPr>
          <w:rStyle w:val="None"/>
          <w:rFonts w:ascii="Verdana" w:hAnsi="Verdana"/>
          <w:sz w:val="24"/>
          <w:szCs w:val="24"/>
        </w:rPr>
        <w:t>including</w:t>
      </w:r>
      <w:proofErr w:type="spellEnd"/>
      <w:r>
        <w:rPr>
          <w:rStyle w:val="None"/>
          <w:rFonts w:ascii="Verdana" w:hAnsi="Verdana"/>
          <w:sz w:val="24"/>
          <w:szCs w:val="24"/>
        </w:rPr>
        <w:t xml:space="preserve"> </w:t>
      </w:r>
      <w:proofErr w:type="spellStart"/>
      <w:r>
        <w:rPr>
          <w:rStyle w:val="None"/>
          <w:rFonts w:ascii="Verdana" w:hAnsi="Verdana"/>
          <w:sz w:val="24"/>
          <w:szCs w:val="24"/>
        </w:rPr>
        <w:t>two</w:t>
      </w:r>
      <w:proofErr w:type="spellEnd"/>
      <w:r>
        <w:rPr>
          <w:rStyle w:val="None"/>
          <w:rFonts w:ascii="Verdana" w:hAnsi="Verdana"/>
          <w:sz w:val="24"/>
          <w:szCs w:val="24"/>
        </w:rPr>
        <w:t xml:space="preserve"> headline </w:t>
      </w:r>
      <w:proofErr w:type="spellStart"/>
      <w:r>
        <w:rPr>
          <w:rStyle w:val="None"/>
          <w:rFonts w:ascii="Verdana" w:hAnsi="Verdana"/>
          <w:sz w:val="24"/>
          <w:szCs w:val="24"/>
        </w:rPr>
        <w:t>indicators</w:t>
      </w:r>
      <w:proofErr w:type="spellEnd"/>
      <w:r>
        <w:rPr>
          <w:rStyle w:val="None"/>
          <w:rFonts w:ascii="Verdana" w:hAnsi="Verdana"/>
          <w:sz w:val="24"/>
          <w:szCs w:val="24"/>
        </w:rPr>
        <w:t xml:space="preserve">, </w:t>
      </w:r>
      <w:proofErr w:type="spellStart"/>
      <w:r>
        <w:rPr>
          <w:rStyle w:val="None"/>
          <w:rFonts w:ascii="Verdana" w:hAnsi="Verdana"/>
          <w:sz w:val="24"/>
          <w:szCs w:val="24"/>
        </w:rPr>
        <w:t>which</w:t>
      </w:r>
      <w:proofErr w:type="spellEnd"/>
      <w:r>
        <w:rPr>
          <w:rStyle w:val="None"/>
          <w:rFonts w:ascii="Verdana" w:hAnsi="Verdana"/>
          <w:sz w:val="24"/>
          <w:szCs w:val="24"/>
        </w:rPr>
        <w:t xml:space="preserve"> are </w:t>
      </w:r>
      <w:proofErr w:type="spellStart"/>
      <w:r>
        <w:rPr>
          <w:rStyle w:val="None"/>
          <w:rFonts w:ascii="Verdana" w:hAnsi="Verdana"/>
          <w:sz w:val="24"/>
          <w:szCs w:val="24"/>
        </w:rPr>
        <w:t>two</w:t>
      </w:r>
      <w:proofErr w:type="spellEnd"/>
      <w:r>
        <w:rPr>
          <w:rStyle w:val="None"/>
          <w:rFonts w:ascii="Verdana" w:hAnsi="Verdana"/>
          <w:sz w:val="24"/>
          <w:szCs w:val="24"/>
        </w:rPr>
        <w:t xml:space="preserve"> of the </w:t>
      </w:r>
      <w:proofErr w:type="spellStart"/>
      <w:r>
        <w:rPr>
          <w:rStyle w:val="None"/>
          <w:rFonts w:ascii="Verdana" w:hAnsi="Verdana"/>
          <w:sz w:val="24"/>
          <w:szCs w:val="24"/>
        </w:rPr>
        <w:t>measures</w:t>
      </w:r>
      <w:proofErr w:type="spellEnd"/>
      <w:r>
        <w:rPr>
          <w:rStyle w:val="None"/>
          <w:rFonts w:ascii="Verdana" w:hAnsi="Verdana"/>
          <w:sz w:val="24"/>
          <w:szCs w:val="24"/>
        </w:rPr>
        <w:t xml:space="preserve"> set out in the Child </w:t>
      </w:r>
      <w:proofErr w:type="spellStart"/>
      <w:r>
        <w:rPr>
          <w:rStyle w:val="None"/>
          <w:rFonts w:ascii="Verdana" w:hAnsi="Verdana"/>
          <w:sz w:val="24"/>
          <w:szCs w:val="24"/>
        </w:rPr>
        <w:t>Poverty</w:t>
      </w:r>
      <w:proofErr w:type="spellEnd"/>
      <w:r>
        <w:rPr>
          <w:rStyle w:val="None"/>
          <w:rFonts w:ascii="Verdana" w:hAnsi="Verdana"/>
          <w:sz w:val="24"/>
          <w:szCs w:val="24"/>
        </w:rPr>
        <w:t xml:space="preserve"> </w:t>
      </w:r>
      <w:proofErr w:type="spellStart"/>
      <w:r>
        <w:rPr>
          <w:rStyle w:val="None"/>
          <w:rFonts w:ascii="Verdana" w:hAnsi="Verdana"/>
          <w:sz w:val="24"/>
          <w:szCs w:val="24"/>
        </w:rPr>
        <w:t>Act</w:t>
      </w:r>
      <w:proofErr w:type="spellEnd"/>
      <w:r>
        <w:rPr>
          <w:rStyle w:val="None"/>
          <w:rFonts w:ascii="Verdana" w:hAnsi="Verdana"/>
          <w:sz w:val="24"/>
          <w:szCs w:val="24"/>
        </w:rPr>
        <w:t xml:space="preserve"> 2010, </w:t>
      </w:r>
      <w:proofErr w:type="spellStart"/>
      <w:r>
        <w:rPr>
          <w:rStyle w:val="None"/>
          <w:rFonts w:ascii="Verdana" w:hAnsi="Verdana"/>
          <w:sz w:val="24"/>
          <w:szCs w:val="24"/>
        </w:rPr>
        <w:t>absolute</w:t>
      </w:r>
      <w:proofErr w:type="spellEnd"/>
      <w:r>
        <w:rPr>
          <w:rStyle w:val="None"/>
          <w:rFonts w:ascii="Verdana" w:hAnsi="Verdana"/>
          <w:sz w:val="24"/>
          <w:szCs w:val="24"/>
        </w:rPr>
        <w:t xml:space="preserve"> </w:t>
      </w:r>
      <w:proofErr w:type="spellStart"/>
      <w:r>
        <w:rPr>
          <w:rStyle w:val="None"/>
          <w:rFonts w:ascii="Verdana" w:hAnsi="Verdana"/>
          <w:sz w:val="24"/>
          <w:szCs w:val="24"/>
        </w:rPr>
        <w:t>child</w:t>
      </w:r>
      <w:proofErr w:type="spellEnd"/>
      <w:r>
        <w:rPr>
          <w:rStyle w:val="None"/>
          <w:rFonts w:ascii="Verdana" w:hAnsi="Verdana"/>
          <w:sz w:val="24"/>
          <w:szCs w:val="24"/>
        </w:rPr>
        <w:t xml:space="preserve"> </w:t>
      </w:r>
      <w:proofErr w:type="spellStart"/>
      <w:r>
        <w:rPr>
          <w:rStyle w:val="None"/>
          <w:rFonts w:ascii="Verdana" w:hAnsi="Verdana"/>
          <w:sz w:val="24"/>
          <w:szCs w:val="24"/>
        </w:rPr>
        <w:t>poverty</w:t>
      </w:r>
      <w:proofErr w:type="spellEnd"/>
      <w:r>
        <w:rPr>
          <w:rStyle w:val="None"/>
          <w:rFonts w:ascii="Verdana" w:hAnsi="Verdana"/>
          <w:sz w:val="24"/>
          <w:szCs w:val="24"/>
        </w:rPr>
        <w:t xml:space="preserve"> and relative </w:t>
      </w:r>
      <w:proofErr w:type="spellStart"/>
      <w:r>
        <w:rPr>
          <w:rStyle w:val="None"/>
          <w:rFonts w:ascii="Verdana" w:hAnsi="Verdana"/>
          <w:sz w:val="24"/>
          <w:szCs w:val="24"/>
        </w:rPr>
        <w:t>child</w:t>
      </w:r>
      <w:proofErr w:type="spellEnd"/>
      <w:r>
        <w:rPr>
          <w:rStyle w:val="None"/>
          <w:rFonts w:ascii="Verdana" w:hAnsi="Verdana"/>
          <w:sz w:val="24"/>
          <w:szCs w:val="24"/>
        </w:rPr>
        <w:t xml:space="preserve"> </w:t>
      </w:r>
      <w:proofErr w:type="spellStart"/>
      <w:r>
        <w:rPr>
          <w:rStyle w:val="None"/>
          <w:rFonts w:ascii="Verdana" w:hAnsi="Verdana"/>
          <w:sz w:val="24"/>
          <w:szCs w:val="24"/>
        </w:rPr>
        <w:t>poverty</w:t>
      </w:r>
      <w:proofErr w:type="spellEnd"/>
      <w:r>
        <w:rPr>
          <w:rStyle w:val="None"/>
          <w:rFonts w:ascii="Verdana" w:hAnsi="Verdana"/>
          <w:sz w:val="24"/>
          <w:szCs w:val="24"/>
        </w:rPr>
        <w:t>.</w:t>
      </w:r>
      <w:r>
        <w:rPr>
          <w:rStyle w:val="None"/>
          <w:rFonts w:ascii="Verdana" w:eastAsia="Verdana" w:hAnsi="Verdana" w:cs="Verdana"/>
          <w:sz w:val="24"/>
          <w:szCs w:val="24"/>
          <w:vertAlign w:val="superscript"/>
        </w:rPr>
        <w:footnoteReference w:id="72"/>
      </w:r>
      <w:r>
        <w:rPr>
          <w:rStyle w:val="None"/>
          <w:rFonts w:ascii="Verdana" w:hAnsi="Verdana"/>
          <w:sz w:val="24"/>
          <w:szCs w:val="24"/>
        </w:rPr>
        <w:t xml:space="preserve"> In addition the </w:t>
      </w:r>
      <w:proofErr w:type="spellStart"/>
      <w:r>
        <w:rPr>
          <w:rStyle w:val="None"/>
          <w:rFonts w:ascii="Verdana" w:hAnsi="Verdana"/>
          <w:sz w:val="24"/>
          <w:szCs w:val="24"/>
        </w:rPr>
        <w:t>strategy</w:t>
      </w:r>
      <w:proofErr w:type="spellEnd"/>
      <w:r>
        <w:rPr>
          <w:rStyle w:val="None"/>
          <w:rFonts w:ascii="Verdana" w:hAnsi="Verdana"/>
          <w:sz w:val="24"/>
          <w:szCs w:val="24"/>
        </w:rPr>
        <w:t xml:space="preserve"> </w:t>
      </w:r>
      <w:proofErr w:type="spellStart"/>
      <w:r>
        <w:rPr>
          <w:rStyle w:val="None"/>
          <w:rFonts w:ascii="Verdana" w:hAnsi="Verdana"/>
          <w:sz w:val="24"/>
          <w:szCs w:val="24"/>
        </w:rPr>
        <w:t>contains</w:t>
      </w:r>
      <w:proofErr w:type="spellEnd"/>
      <w:r>
        <w:rPr>
          <w:rStyle w:val="None"/>
          <w:rFonts w:ascii="Verdana" w:hAnsi="Verdana"/>
          <w:sz w:val="24"/>
          <w:szCs w:val="24"/>
        </w:rPr>
        <w:t xml:space="preserve"> four </w:t>
      </w:r>
      <w:proofErr w:type="spellStart"/>
      <w:r>
        <w:rPr>
          <w:rStyle w:val="None"/>
          <w:rFonts w:ascii="Verdana" w:hAnsi="Verdana"/>
          <w:sz w:val="24"/>
          <w:szCs w:val="24"/>
        </w:rPr>
        <w:t>outcomes</w:t>
      </w:r>
      <w:proofErr w:type="spellEnd"/>
      <w:r>
        <w:rPr>
          <w:rStyle w:val="None"/>
          <w:rFonts w:ascii="Verdana" w:hAnsi="Verdana"/>
          <w:sz w:val="24"/>
          <w:szCs w:val="24"/>
        </w:rPr>
        <w:t xml:space="preserve">: </w:t>
      </w:r>
      <w:proofErr w:type="spellStart"/>
      <w:r>
        <w:rPr>
          <w:rStyle w:val="None"/>
          <w:rFonts w:ascii="Verdana" w:hAnsi="Verdana"/>
          <w:sz w:val="24"/>
          <w:szCs w:val="24"/>
        </w:rPr>
        <w:t>that</w:t>
      </w:r>
      <w:proofErr w:type="spellEnd"/>
      <w:r>
        <w:rPr>
          <w:rStyle w:val="None"/>
          <w:rFonts w:ascii="Verdana" w:hAnsi="Verdana"/>
          <w:sz w:val="24"/>
          <w:szCs w:val="24"/>
        </w:rPr>
        <w:t xml:space="preserve"> </w:t>
      </w:r>
      <w:proofErr w:type="spellStart"/>
      <w:r>
        <w:rPr>
          <w:rStyle w:val="None"/>
          <w:rFonts w:ascii="Verdana" w:hAnsi="Verdana"/>
          <w:sz w:val="24"/>
          <w:szCs w:val="24"/>
        </w:rPr>
        <w:t>families</w:t>
      </w:r>
      <w:proofErr w:type="spellEnd"/>
      <w:r>
        <w:rPr>
          <w:rStyle w:val="None"/>
          <w:rFonts w:ascii="Verdana" w:hAnsi="Verdana"/>
          <w:sz w:val="24"/>
          <w:szCs w:val="24"/>
        </w:rPr>
        <w:t xml:space="preserve"> </w:t>
      </w:r>
      <w:proofErr w:type="spellStart"/>
      <w:r>
        <w:rPr>
          <w:rStyle w:val="None"/>
          <w:rFonts w:ascii="Verdana" w:hAnsi="Verdana"/>
          <w:sz w:val="24"/>
          <w:szCs w:val="24"/>
        </w:rPr>
        <w:t>experience</w:t>
      </w:r>
      <w:proofErr w:type="spellEnd"/>
      <w:r>
        <w:rPr>
          <w:rStyle w:val="None"/>
          <w:rFonts w:ascii="Verdana" w:hAnsi="Verdana"/>
          <w:sz w:val="24"/>
          <w:szCs w:val="24"/>
        </w:rPr>
        <w:t xml:space="preserve"> </w:t>
      </w:r>
      <w:proofErr w:type="spellStart"/>
      <w:r>
        <w:rPr>
          <w:rStyle w:val="None"/>
          <w:rFonts w:ascii="Verdana" w:hAnsi="Verdana"/>
          <w:sz w:val="24"/>
          <w:szCs w:val="24"/>
        </w:rPr>
        <w:t>well</w:t>
      </w:r>
      <w:proofErr w:type="spellEnd"/>
      <w:r>
        <w:rPr>
          <w:rStyle w:val="None"/>
          <w:rFonts w:ascii="Verdana" w:hAnsi="Verdana"/>
          <w:sz w:val="24"/>
          <w:szCs w:val="24"/>
        </w:rPr>
        <w:t xml:space="preserve"> </w:t>
      </w:r>
      <w:proofErr w:type="spellStart"/>
      <w:r>
        <w:rPr>
          <w:rStyle w:val="None"/>
          <w:rFonts w:ascii="Verdana" w:hAnsi="Verdana"/>
          <w:sz w:val="24"/>
          <w:szCs w:val="24"/>
        </w:rPr>
        <w:t>being</w:t>
      </w:r>
      <w:proofErr w:type="spellEnd"/>
      <w:r>
        <w:rPr>
          <w:rStyle w:val="None"/>
          <w:rFonts w:ascii="Verdana" w:hAnsi="Verdana"/>
          <w:sz w:val="24"/>
          <w:szCs w:val="24"/>
        </w:rPr>
        <w:t xml:space="preserve">; </w:t>
      </w:r>
      <w:proofErr w:type="spellStart"/>
      <w:r>
        <w:rPr>
          <w:rStyle w:val="None"/>
          <w:rFonts w:ascii="Verdana" w:hAnsi="Verdana"/>
          <w:sz w:val="24"/>
          <w:szCs w:val="24"/>
        </w:rPr>
        <w:t>that</w:t>
      </w:r>
      <w:proofErr w:type="spellEnd"/>
      <w:r>
        <w:rPr>
          <w:rStyle w:val="None"/>
          <w:rFonts w:ascii="Verdana" w:hAnsi="Verdana"/>
          <w:sz w:val="24"/>
          <w:szCs w:val="24"/>
        </w:rPr>
        <w:t xml:space="preserve"> </w:t>
      </w:r>
      <w:proofErr w:type="spellStart"/>
      <w:r>
        <w:rPr>
          <w:rStyle w:val="None"/>
          <w:rFonts w:ascii="Verdana" w:hAnsi="Verdana"/>
          <w:sz w:val="24"/>
          <w:szCs w:val="24"/>
        </w:rPr>
        <w:t>child</w:t>
      </w:r>
      <w:proofErr w:type="spellEnd"/>
      <w:r>
        <w:rPr>
          <w:rStyle w:val="None"/>
          <w:rFonts w:ascii="Verdana" w:hAnsi="Verdana"/>
          <w:sz w:val="24"/>
          <w:szCs w:val="24"/>
        </w:rPr>
        <w:t xml:space="preserve"> in </w:t>
      </w:r>
      <w:proofErr w:type="spellStart"/>
      <w:r>
        <w:rPr>
          <w:rStyle w:val="None"/>
          <w:rFonts w:ascii="Verdana" w:hAnsi="Verdana"/>
          <w:sz w:val="24"/>
          <w:szCs w:val="24"/>
        </w:rPr>
        <w:t>poverty</w:t>
      </w:r>
      <w:proofErr w:type="spellEnd"/>
      <w:r>
        <w:rPr>
          <w:rStyle w:val="None"/>
          <w:rFonts w:ascii="Verdana" w:hAnsi="Verdana"/>
          <w:sz w:val="24"/>
          <w:szCs w:val="24"/>
        </w:rPr>
        <w:t xml:space="preserve"> </w:t>
      </w:r>
      <w:proofErr w:type="spellStart"/>
      <w:r>
        <w:rPr>
          <w:rStyle w:val="None"/>
          <w:rFonts w:ascii="Verdana" w:hAnsi="Verdana"/>
          <w:sz w:val="24"/>
          <w:szCs w:val="24"/>
        </w:rPr>
        <w:t>learn</w:t>
      </w:r>
      <w:proofErr w:type="spellEnd"/>
      <w:r>
        <w:rPr>
          <w:rStyle w:val="None"/>
          <w:rFonts w:ascii="Verdana" w:hAnsi="Verdana"/>
          <w:sz w:val="24"/>
          <w:szCs w:val="24"/>
        </w:rPr>
        <w:t xml:space="preserve"> and </w:t>
      </w:r>
      <w:proofErr w:type="spellStart"/>
      <w:r>
        <w:rPr>
          <w:rStyle w:val="None"/>
          <w:rFonts w:ascii="Verdana" w:hAnsi="Verdana"/>
          <w:sz w:val="24"/>
          <w:szCs w:val="24"/>
        </w:rPr>
        <w:t>achieve</w:t>
      </w:r>
      <w:proofErr w:type="spellEnd"/>
      <w:r>
        <w:rPr>
          <w:rStyle w:val="None"/>
          <w:rFonts w:ascii="Verdana" w:hAnsi="Verdana"/>
          <w:sz w:val="24"/>
          <w:szCs w:val="24"/>
        </w:rPr>
        <w:t xml:space="preserve">; </w:t>
      </w:r>
      <w:proofErr w:type="spellStart"/>
      <w:r>
        <w:rPr>
          <w:rStyle w:val="None"/>
          <w:rFonts w:ascii="Verdana" w:hAnsi="Verdana"/>
          <w:sz w:val="24"/>
          <w:szCs w:val="24"/>
        </w:rPr>
        <w:t>that</w:t>
      </w:r>
      <w:proofErr w:type="spellEnd"/>
      <w:r>
        <w:rPr>
          <w:rStyle w:val="None"/>
          <w:rFonts w:ascii="Verdana" w:hAnsi="Verdana"/>
          <w:sz w:val="24"/>
          <w:szCs w:val="24"/>
        </w:rPr>
        <w:t xml:space="preserve"> </w:t>
      </w:r>
      <w:proofErr w:type="spellStart"/>
      <w:r>
        <w:rPr>
          <w:rStyle w:val="None"/>
          <w:rFonts w:ascii="Verdana" w:hAnsi="Verdana"/>
          <w:sz w:val="24"/>
          <w:szCs w:val="24"/>
        </w:rPr>
        <w:t>children</w:t>
      </w:r>
      <w:proofErr w:type="spellEnd"/>
      <w:r>
        <w:rPr>
          <w:rStyle w:val="None"/>
          <w:rFonts w:ascii="Verdana" w:hAnsi="Verdana"/>
          <w:sz w:val="24"/>
          <w:szCs w:val="24"/>
        </w:rPr>
        <w:t xml:space="preserve"> in </w:t>
      </w:r>
      <w:proofErr w:type="spellStart"/>
      <w:r>
        <w:rPr>
          <w:rStyle w:val="None"/>
          <w:rFonts w:ascii="Verdana" w:hAnsi="Verdana"/>
          <w:sz w:val="24"/>
          <w:szCs w:val="24"/>
        </w:rPr>
        <w:t>poverty</w:t>
      </w:r>
      <w:proofErr w:type="spellEnd"/>
      <w:r>
        <w:rPr>
          <w:rStyle w:val="None"/>
          <w:rFonts w:ascii="Verdana" w:hAnsi="Verdana"/>
          <w:sz w:val="24"/>
          <w:szCs w:val="24"/>
        </w:rPr>
        <w:t xml:space="preserve"> are </w:t>
      </w:r>
      <w:proofErr w:type="spellStart"/>
      <w:r>
        <w:rPr>
          <w:rStyle w:val="None"/>
          <w:rFonts w:ascii="Verdana" w:hAnsi="Verdana"/>
          <w:sz w:val="24"/>
          <w:szCs w:val="24"/>
        </w:rPr>
        <w:t>healthy</w:t>
      </w:r>
      <w:proofErr w:type="spellEnd"/>
      <w:r>
        <w:rPr>
          <w:rStyle w:val="None"/>
          <w:rFonts w:ascii="Verdana" w:hAnsi="Verdana"/>
          <w:sz w:val="24"/>
          <w:szCs w:val="24"/>
        </w:rPr>
        <w:t xml:space="preserve">; and </w:t>
      </w:r>
      <w:proofErr w:type="spellStart"/>
      <w:r>
        <w:rPr>
          <w:rStyle w:val="None"/>
          <w:rFonts w:ascii="Verdana" w:hAnsi="Verdana"/>
          <w:sz w:val="24"/>
          <w:szCs w:val="24"/>
        </w:rPr>
        <w:t>that</w:t>
      </w:r>
      <w:proofErr w:type="spellEnd"/>
      <w:r>
        <w:rPr>
          <w:rStyle w:val="None"/>
          <w:rFonts w:ascii="Verdana" w:hAnsi="Verdana"/>
          <w:sz w:val="24"/>
          <w:szCs w:val="24"/>
        </w:rPr>
        <w:t xml:space="preserve"> </w:t>
      </w:r>
      <w:proofErr w:type="spellStart"/>
      <w:r>
        <w:rPr>
          <w:rStyle w:val="None"/>
          <w:rFonts w:ascii="Verdana" w:hAnsi="Verdana"/>
          <w:sz w:val="24"/>
          <w:szCs w:val="24"/>
        </w:rPr>
        <w:t>children</w:t>
      </w:r>
      <w:proofErr w:type="spellEnd"/>
      <w:r>
        <w:rPr>
          <w:rStyle w:val="None"/>
          <w:rFonts w:ascii="Verdana" w:hAnsi="Verdana"/>
          <w:sz w:val="24"/>
          <w:szCs w:val="24"/>
        </w:rPr>
        <w:t xml:space="preserve"> in </w:t>
      </w:r>
      <w:proofErr w:type="spellStart"/>
      <w:r>
        <w:rPr>
          <w:rStyle w:val="None"/>
          <w:rFonts w:ascii="Verdana" w:hAnsi="Verdana"/>
          <w:sz w:val="24"/>
          <w:szCs w:val="24"/>
        </w:rPr>
        <w:t>poverty</w:t>
      </w:r>
      <w:proofErr w:type="spellEnd"/>
      <w:r>
        <w:rPr>
          <w:rStyle w:val="None"/>
          <w:rFonts w:ascii="Verdana" w:hAnsi="Verdana"/>
          <w:sz w:val="24"/>
          <w:szCs w:val="24"/>
        </w:rPr>
        <w:t xml:space="preserve"> live in </w:t>
      </w:r>
      <w:proofErr w:type="spellStart"/>
      <w:r>
        <w:rPr>
          <w:rStyle w:val="None"/>
          <w:rFonts w:ascii="Verdana" w:hAnsi="Verdana"/>
          <w:sz w:val="24"/>
          <w:szCs w:val="24"/>
        </w:rPr>
        <w:t>safe</w:t>
      </w:r>
      <w:proofErr w:type="spellEnd"/>
      <w:r>
        <w:rPr>
          <w:rStyle w:val="None"/>
          <w:rFonts w:ascii="Verdana" w:hAnsi="Verdana"/>
          <w:sz w:val="24"/>
          <w:szCs w:val="24"/>
        </w:rPr>
        <w:t xml:space="preserve">, </w:t>
      </w:r>
      <w:proofErr w:type="spellStart"/>
      <w:r>
        <w:rPr>
          <w:rStyle w:val="None"/>
          <w:rFonts w:ascii="Verdana" w:hAnsi="Verdana"/>
          <w:sz w:val="24"/>
          <w:szCs w:val="24"/>
        </w:rPr>
        <w:t>secure</w:t>
      </w:r>
      <w:proofErr w:type="spellEnd"/>
      <w:r>
        <w:rPr>
          <w:rStyle w:val="None"/>
          <w:rFonts w:ascii="Verdana" w:hAnsi="Verdana"/>
          <w:sz w:val="24"/>
          <w:szCs w:val="24"/>
        </w:rPr>
        <w:t xml:space="preserve"> and stable </w:t>
      </w:r>
      <w:proofErr w:type="spellStart"/>
      <w:r>
        <w:rPr>
          <w:rStyle w:val="None"/>
          <w:rFonts w:ascii="Verdana" w:hAnsi="Verdana"/>
          <w:sz w:val="24"/>
          <w:szCs w:val="24"/>
        </w:rPr>
        <w:t>environments</w:t>
      </w:r>
      <w:proofErr w:type="spellEnd"/>
      <w:r>
        <w:rPr>
          <w:rStyle w:val="None"/>
          <w:rFonts w:ascii="Verdana" w:hAnsi="Verdana"/>
          <w:sz w:val="24"/>
          <w:szCs w:val="24"/>
        </w:rPr>
        <w:t>.</w:t>
      </w:r>
      <w:r>
        <w:rPr>
          <w:rStyle w:val="None"/>
          <w:rFonts w:ascii="Verdana" w:hAnsi="Verdana"/>
          <w:sz w:val="24"/>
          <w:szCs w:val="24"/>
          <w:vertAlign w:val="superscript"/>
          <w:lang w:val="en-US"/>
        </w:rPr>
        <w:t xml:space="preserve"> </w:t>
      </w:r>
      <w:r>
        <w:rPr>
          <w:rStyle w:val="None"/>
          <w:rFonts w:ascii="Verdana" w:eastAsia="Verdana" w:hAnsi="Verdana" w:cs="Verdana"/>
          <w:sz w:val="24"/>
          <w:szCs w:val="24"/>
          <w:vertAlign w:val="superscript"/>
          <w:lang w:val="en-US"/>
        </w:rPr>
        <w:footnoteReference w:id="73"/>
      </w:r>
      <w:r>
        <w:rPr>
          <w:rStyle w:val="None"/>
          <w:rFonts w:ascii="Verdana" w:hAnsi="Verdana"/>
          <w:sz w:val="24"/>
          <w:szCs w:val="24"/>
          <w:vertAlign w:val="superscript"/>
          <w:lang w:val="en-US"/>
        </w:rPr>
        <w:t xml:space="preserve"> </w:t>
      </w:r>
      <w:r>
        <w:rPr>
          <w:rStyle w:val="None"/>
          <w:rFonts w:ascii="Verdana" w:hAnsi="Verdana"/>
          <w:sz w:val="24"/>
          <w:szCs w:val="24"/>
        </w:rPr>
        <w:t xml:space="preserve">For </w:t>
      </w:r>
      <w:proofErr w:type="spellStart"/>
      <w:r>
        <w:rPr>
          <w:rStyle w:val="None"/>
          <w:rFonts w:ascii="Verdana" w:hAnsi="Verdana"/>
          <w:sz w:val="24"/>
          <w:szCs w:val="24"/>
        </w:rPr>
        <w:t>each</w:t>
      </w:r>
      <w:proofErr w:type="spellEnd"/>
      <w:r>
        <w:rPr>
          <w:rStyle w:val="None"/>
          <w:rFonts w:ascii="Verdana" w:hAnsi="Verdana"/>
          <w:sz w:val="24"/>
          <w:szCs w:val="24"/>
        </w:rPr>
        <w:t xml:space="preserve"> of </w:t>
      </w:r>
      <w:proofErr w:type="spellStart"/>
      <w:r>
        <w:rPr>
          <w:rStyle w:val="None"/>
          <w:rFonts w:ascii="Verdana" w:hAnsi="Verdana"/>
          <w:sz w:val="24"/>
          <w:szCs w:val="24"/>
        </w:rPr>
        <w:t>these</w:t>
      </w:r>
      <w:proofErr w:type="spellEnd"/>
      <w:r>
        <w:rPr>
          <w:rStyle w:val="None"/>
          <w:rFonts w:ascii="Verdana" w:hAnsi="Verdana"/>
          <w:sz w:val="24"/>
          <w:szCs w:val="24"/>
        </w:rPr>
        <w:t xml:space="preserve"> </w:t>
      </w:r>
      <w:proofErr w:type="spellStart"/>
      <w:r>
        <w:rPr>
          <w:rStyle w:val="None"/>
          <w:rFonts w:ascii="Verdana" w:hAnsi="Verdana"/>
          <w:sz w:val="24"/>
          <w:szCs w:val="24"/>
        </w:rPr>
        <w:t>outcomes</w:t>
      </w:r>
      <w:proofErr w:type="spellEnd"/>
      <w:r>
        <w:rPr>
          <w:rStyle w:val="None"/>
          <w:rFonts w:ascii="Verdana" w:hAnsi="Verdana"/>
          <w:sz w:val="24"/>
          <w:szCs w:val="24"/>
        </w:rPr>
        <w:t xml:space="preserve">, </w:t>
      </w:r>
      <w:proofErr w:type="spellStart"/>
      <w:r>
        <w:rPr>
          <w:rStyle w:val="None"/>
          <w:rFonts w:ascii="Verdana" w:hAnsi="Verdana"/>
          <w:sz w:val="24"/>
          <w:szCs w:val="24"/>
        </w:rPr>
        <w:t>three</w:t>
      </w:r>
      <w:proofErr w:type="spellEnd"/>
      <w:r>
        <w:rPr>
          <w:rStyle w:val="None"/>
          <w:rFonts w:ascii="Verdana" w:hAnsi="Verdana"/>
          <w:sz w:val="24"/>
          <w:szCs w:val="24"/>
        </w:rPr>
        <w:t xml:space="preserve"> </w:t>
      </w:r>
      <w:proofErr w:type="spellStart"/>
      <w:r>
        <w:rPr>
          <w:rStyle w:val="None"/>
          <w:rFonts w:ascii="Verdana" w:hAnsi="Verdana"/>
          <w:sz w:val="24"/>
          <w:szCs w:val="24"/>
        </w:rPr>
        <w:t>further</w:t>
      </w:r>
      <w:proofErr w:type="spellEnd"/>
      <w:r>
        <w:rPr>
          <w:rStyle w:val="None"/>
          <w:rFonts w:ascii="Verdana" w:hAnsi="Verdana"/>
          <w:sz w:val="24"/>
          <w:szCs w:val="24"/>
        </w:rPr>
        <w:t xml:space="preserve"> population </w:t>
      </w:r>
      <w:proofErr w:type="spellStart"/>
      <w:r>
        <w:rPr>
          <w:rStyle w:val="None"/>
          <w:rFonts w:ascii="Verdana" w:hAnsi="Verdana"/>
          <w:sz w:val="24"/>
          <w:szCs w:val="24"/>
        </w:rPr>
        <w:t>indicators</w:t>
      </w:r>
      <w:proofErr w:type="spellEnd"/>
      <w:r>
        <w:rPr>
          <w:rStyle w:val="None"/>
          <w:rFonts w:ascii="Verdana" w:hAnsi="Verdana"/>
          <w:sz w:val="24"/>
          <w:szCs w:val="24"/>
        </w:rPr>
        <w:t xml:space="preserve"> </w:t>
      </w:r>
      <w:proofErr w:type="spellStart"/>
      <w:r>
        <w:rPr>
          <w:rStyle w:val="None"/>
          <w:rFonts w:ascii="Verdana" w:hAnsi="Verdana"/>
          <w:sz w:val="24"/>
          <w:szCs w:val="24"/>
        </w:rPr>
        <w:t>will</w:t>
      </w:r>
      <w:proofErr w:type="spellEnd"/>
      <w:r>
        <w:rPr>
          <w:rStyle w:val="None"/>
          <w:rFonts w:ascii="Verdana" w:hAnsi="Verdana"/>
          <w:sz w:val="24"/>
          <w:szCs w:val="24"/>
        </w:rPr>
        <w:t xml:space="preserve"> </w:t>
      </w:r>
      <w:proofErr w:type="spellStart"/>
      <w:r>
        <w:rPr>
          <w:rStyle w:val="None"/>
          <w:rFonts w:ascii="Verdana" w:hAnsi="Verdana"/>
          <w:sz w:val="24"/>
          <w:szCs w:val="24"/>
        </w:rPr>
        <w:t>be</w:t>
      </w:r>
      <w:proofErr w:type="spellEnd"/>
      <w:r>
        <w:rPr>
          <w:rStyle w:val="None"/>
          <w:rFonts w:ascii="Verdana" w:hAnsi="Verdana"/>
          <w:sz w:val="24"/>
          <w:szCs w:val="24"/>
        </w:rPr>
        <w:t xml:space="preserve"> </w:t>
      </w:r>
      <w:proofErr w:type="spellStart"/>
      <w:r>
        <w:rPr>
          <w:rStyle w:val="None"/>
          <w:rFonts w:ascii="Verdana" w:hAnsi="Verdana"/>
          <w:sz w:val="24"/>
          <w:szCs w:val="24"/>
        </w:rPr>
        <w:t>used</w:t>
      </w:r>
      <w:proofErr w:type="spellEnd"/>
      <w:r>
        <w:rPr>
          <w:rStyle w:val="None"/>
          <w:rFonts w:ascii="Verdana" w:hAnsi="Verdana"/>
          <w:sz w:val="24"/>
          <w:szCs w:val="24"/>
        </w:rPr>
        <w:t xml:space="preserve"> to </w:t>
      </w:r>
      <w:proofErr w:type="spellStart"/>
      <w:r>
        <w:rPr>
          <w:rStyle w:val="None"/>
          <w:rFonts w:ascii="Verdana" w:hAnsi="Verdana"/>
          <w:sz w:val="24"/>
          <w:szCs w:val="24"/>
        </w:rPr>
        <w:t>measure</w:t>
      </w:r>
      <w:proofErr w:type="spellEnd"/>
      <w:r>
        <w:rPr>
          <w:rStyle w:val="None"/>
          <w:rFonts w:ascii="Verdana" w:hAnsi="Verdana"/>
          <w:sz w:val="24"/>
          <w:szCs w:val="24"/>
        </w:rPr>
        <w:t xml:space="preserve"> </w:t>
      </w:r>
      <w:proofErr w:type="spellStart"/>
      <w:r>
        <w:rPr>
          <w:rStyle w:val="None"/>
          <w:rFonts w:ascii="Verdana" w:hAnsi="Verdana"/>
          <w:sz w:val="24"/>
          <w:szCs w:val="24"/>
        </w:rPr>
        <w:t>achievements</w:t>
      </w:r>
      <w:proofErr w:type="spellEnd"/>
      <w:r>
        <w:rPr>
          <w:rStyle w:val="None"/>
          <w:rFonts w:ascii="Verdana" w:hAnsi="Verdana"/>
          <w:sz w:val="24"/>
          <w:szCs w:val="24"/>
        </w:rPr>
        <w:t xml:space="preserve">. For </w:t>
      </w:r>
      <w:proofErr w:type="spellStart"/>
      <w:r>
        <w:rPr>
          <w:rStyle w:val="None"/>
          <w:rFonts w:ascii="Verdana" w:hAnsi="Verdana"/>
          <w:sz w:val="24"/>
          <w:szCs w:val="24"/>
        </w:rPr>
        <w:t>example</w:t>
      </w:r>
      <w:proofErr w:type="spellEnd"/>
      <w:r>
        <w:rPr>
          <w:rStyle w:val="None"/>
          <w:rFonts w:ascii="Verdana" w:hAnsi="Verdana"/>
          <w:sz w:val="24"/>
          <w:szCs w:val="24"/>
        </w:rPr>
        <w:t xml:space="preserve">, in relation to the </w:t>
      </w:r>
      <w:proofErr w:type="spellStart"/>
      <w:r>
        <w:rPr>
          <w:rStyle w:val="None"/>
          <w:rFonts w:ascii="Verdana" w:hAnsi="Verdana"/>
          <w:sz w:val="24"/>
          <w:szCs w:val="24"/>
        </w:rPr>
        <w:t>outcome</w:t>
      </w:r>
      <w:proofErr w:type="spellEnd"/>
      <w:r>
        <w:rPr>
          <w:rStyle w:val="None"/>
          <w:rFonts w:ascii="Verdana" w:hAnsi="Verdana"/>
          <w:sz w:val="24"/>
          <w:szCs w:val="24"/>
        </w:rPr>
        <w:t xml:space="preserve"> </w:t>
      </w:r>
      <w:proofErr w:type="spellStart"/>
      <w:r>
        <w:rPr>
          <w:rStyle w:val="None"/>
          <w:rFonts w:ascii="Verdana" w:hAnsi="Verdana"/>
          <w:sz w:val="24"/>
          <w:szCs w:val="24"/>
        </w:rPr>
        <w:t>that</w:t>
      </w:r>
      <w:proofErr w:type="spellEnd"/>
      <w:r>
        <w:rPr>
          <w:rStyle w:val="None"/>
          <w:rFonts w:ascii="Verdana" w:hAnsi="Verdana"/>
          <w:sz w:val="24"/>
          <w:szCs w:val="24"/>
        </w:rPr>
        <w:t xml:space="preserve"> </w:t>
      </w:r>
      <w:proofErr w:type="spellStart"/>
      <w:r>
        <w:rPr>
          <w:rStyle w:val="None"/>
          <w:rFonts w:ascii="Verdana" w:hAnsi="Verdana"/>
          <w:sz w:val="24"/>
          <w:szCs w:val="24"/>
        </w:rPr>
        <w:t>children</w:t>
      </w:r>
      <w:proofErr w:type="spellEnd"/>
      <w:r>
        <w:rPr>
          <w:rStyle w:val="None"/>
          <w:rFonts w:ascii="Verdana" w:hAnsi="Verdana"/>
          <w:sz w:val="24"/>
          <w:szCs w:val="24"/>
        </w:rPr>
        <w:t xml:space="preserve"> live in </w:t>
      </w:r>
      <w:proofErr w:type="spellStart"/>
      <w:r>
        <w:rPr>
          <w:rStyle w:val="None"/>
          <w:rFonts w:ascii="Verdana" w:hAnsi="Verdana"/>
          <w:sz w:val="24"/>
          <w:szCs w:val="24"/>
        </w:rPr>
        <w:t>safe</w:t>
      </w:r>
      <w:proofErr w:type="spellEnd"/>
      <w:r>
        <w:rPr>
          <w:rStyle w:val="None"/>
          <w:rFonts w:ascii="Verdana" w:hAnsi="Verdana"/>
          <w:sz w:val="24"/>
          <w:szCs w:val="24"/>
        </w:rPr>
        <w:t xml:space="preserve">, </w:t>
      </w:r>
      <w:proofErr w:type="spellStart"/>
      <w:r>
        <w:rPr>
          <w:rStyle w:val="None"/>
          <w:rFonts w:ascii="Verdana" w:hAnsi="Verdana"/>
          <w:sz w:val="24"/>
          <w:szCs w:val="24"/>
        </w:rPr>
        <w:t>secure</w:t>
      </w:r>
      <w:proofErr w:type="spellEnd"/>
      <w:r>
        <w:rPr>
          <w:rStyle w:val="None"/>
          <w:rFonts w:ascii="Verdana" w:hAnsi="Verdana"/>
          <w:sz w:val="24"/>
          <w:szCs w:val="24"/>
        </w:rPr>
        <w:t xml:space="preserve"> and stable </w:t>
      </w:r>
      <w:proofErr w:type="spellStart"/>
      <w:r>
        <w:rPr>
          <w:rStyle w:val="None"/>
          <w:rFonts w:ascii="Verdana" w:hAnsi="Verdana"/>
          <w:sz w:val="24"/>
          <w:szCs w:val="24"/>
        </w:rPr>
        <w:t>environments</w:t>
      </w:r>
      <w:proofErr w:type="spellEnd"/>
      <w:r>
        <w:rPr>
          <w:rStyle w:val="None"/>
          <w:rFonts w:ascii="Verdana" w:hAnsi="Verdana"/>
          <w:sz w:val="24"/>
          <w:szCs w:val="24"/>
        </w:rPr>
        <w:t xml:space="preserve"> one of the </w:t>
      </w:r>
      <w:proofErr w:type="spellStart"/>
      <w:r>
        <w:rPr>
          <w:rStyle w:val="None"/>
          <w:rFonts w:ascii="Verdana" w:hAnsi="Verdana"/>
          <w:sz w:val="24"/>
          <w:szCs w:val="24"/>
        </w:rPr>
        <w:t>indicators</w:t>
      </w:r>
      <w:proofErr w:type="spellEnd"/>
      <w:r>
        <w:rPr>
          <w:rStyle w:val="None"/>
          <w:rFonts w:ascii="Verdana" w:hAnsi="Verdana"/>
          <w:sz w:val="24"/>
          <w:szCs w:val="24"/>
        </w:rPr>
        <w:t xml:space="preserve"> </w:t>
      </w:r>
      <w:proofErr w:type="spellStart"/>
      <w:r>
        <w:rPr>
          <w:rStyle w:val="None"/>
          <w:rFonts w:ascii="Verdana" w:hAnsi="Verdana"/>
          <w:sz w:val="24"/>
          <w:szCs w:val="24"/>
        </w:rPr>
        <w:t>is</w:t>
      </w:r>
      <w:proofErr w:type="spellEnd"/>
      <w:r>
        <w:rPr>
          <w:rStyle w:val="None"/>
          <w:rFonts w:ascii="Verdana" w:hAnsi="Verdana"/>
          <w:sz w:val="24"/>
          <w:szCs w:val="24"/>
        </w:rPr>
        <w:t xml:space="preserve"> the </w:t>
      </w:r>
      <w:proofErr w:type="spellStart"/>
      <w:r>
        <w:rPr>
          <w:rStyle w:val="None"/>
          <w:rFonts w:ascii="Verdana" w:hAnsi="Verdana"/>
          <w:sz w:val="24"/>
          <w:szCs w:val="24"/>
        </w:rPr>
        <w:t>number</w:t>
      </w:r>
      <w:proofErr w:type="spellEnd"/>
      <w:r>
        <w:rPr>
          <w:rStyle w:val="None"/>
          <w:rFonts w:ascii="Verdana" w:hAnsi="Verdana"/>
          <w:sz w:val="24"/>
          <w:szCs w:val="24"/>
        </w:rPr>
        <w:t xml:space="preserve"> of </w:t>
      </w:r>
      <w:proofErr w:type="spellStart"/>
      <w:r>
        <w:rPr>
          <w:rStyle w:val="None"/>
          <w:rFonts w:ascii="Verdana" w:hAnsi="Verdana"/>
          <w:sz w:val="24"/>
          <w:szCs w:val="24"/>
        </w:rPr>
        <w:t>families</w:t>
      </w:r>
      <w:proofErr w:type="spellEnd"/>
      <w:r>
        <w:rPr>
          <w:rStyle w:val="None"/>
          <w:rFonts w:ascii="Verdana" w:hAnsi="Verdana"/>
          <w:sz w:val="24"/>
          <w:szCs w:val="24"/>
        </w:rPr>
        <w:t xml:space="preserve"> </w:t>
      </w:r>
      <w:proofErr w:type="spellStart"/>
      <w:r>
        <w:rPr>
          <w:rStyle w:val="None"/>
          <w:rFonts w:ascii="Verdana" w:hAnsi="Verdana"/>
          <w:sz w:val="24"/>
          <w:szCs w:val="24"/>
        </w:rPr>
        <w:t>presenting</w:t>
      </w:r>
      <w:proofErr w:type="spellEnd"/>
      <w:r>
        <w:rPr>
          <w:rStyle w:val="None"/>
          <w:rFonts w:ascii="Verdana" w:hAnsi="Verdana"/>
          <w:sz w:val="24"/>
          <w:szCs w:val="24"/>
        </w:rPr>
        <w:t xml:space="preserve"> to the NI </w:t>
      </w:r>
      <w:proofErr w:type="spellStart"/>
      <w:r>
        <w:rPr>
          <w:rStyle w:val="None"/>
          <w:rFonts w:ascii="Verdana" w:hAnsi="Verdana"/>
          <w:sz w:val="24"/>
          <w:szCs w:val="24"/>
        </w:rPr>
        <w:t>Housing</w:t>
      </w:r>
      <w:proofErr w:type="spellEnd"/>
      <w:r>
        <w:rPr>
          <w:rStyle w:val="None"/>
          <w:rFonts w:ascii="Verdana" w:hAnsi="Verdana"/>
          <w:sz w:val="24"/>
          <w:szCs w:val="24"/>
        </w:rPr>
        <w:t xml:space="preserve"> </w:t>
      </w:r>
      <w:proofErr w:type="spellStart"/>
      <w:r>
        <w:rPr>
          <w:rStyle w:val="None"/>
          <w:rFonts w:ascii="Verdana" w:hAnsi="Verdana"/>
          <w:sz w:val="24"/>
          <w:szCs w:val="24"/>
        </w:rPr>
        <w:t>Executive</w:t>
      </w:r>
      <w:proofErr w:type="spellEnd"/>
      <w:r>
        <w:rPr>
          <w:rStyle w:val="None"/>
          <w:rFonts w:ascii="Verdana" w:hAnsi="Verdana"/>
          <w:sz w:val="24"/>
          <w:szCs w:val="24"/>
        </w:rPr>
        <w:t xml:space="preserve"> as </w:t>
      </w:r>
      <w:proofErr w:type="spellStart"/>
      <w:r>
        <w:rPr>
          <w:rStyle w:val="None"/>
          <w:rFonts w:ascii="Verdana" w:hAnsi="Verdana"/>
          <w:sz w:val="24"/>
          <w:szCs w:val="24"/>
        </w:rPr>
        <w:t>homeless</w:t>
      </w:r>
      <w:proofErr w:type="spellEnd"/>
      <w:r>
        <w:rPr>
          <w:rStyle w:val="None"/>
          <w:rFonts w:ascii="Verdana" w:hAnsi="Verdana"/>
          <w:sz w:val="24"/>
          <w:szCs w:val="24"/>
        </w:rPr>
        <w:t xml:space="preserve">. The Commission </w:t>
      </w:r>
      <w:proofErr w:type="spellStart"/>
      <w:r>
        <w:rPr>
          <w:rStyle w:val="None"/>
          <w:rFonts w:ascii="Verdana" w:hAnsi="Verdana"/>
          <w:sz w:val="24"/>
          <w:szCs w:val="24"/>
        </w:rPr>
        <w:t>will</w:t>
      </w:r>
      <w:proofErr w:type="spellEnd"/>
      <w:r>
        <w:rPr>
          <w:rStyle w:val="None"/>
          <w:rFonts w:ascii="Verdana" w:hAnsi="Verdana"/>
          <w:sz w:val="24"/>
          <w:szCs w:val="24"/>
        </w:rPr>
        <w:t xml:space="preserve"> </w:t>
      </w:r>
      <w:proofErr w:type="spellStart"/>
      <w:r>
        <w:rPr>
          <w:rStyle w:val="None"/>
          <w:rFonts w:ascii="Verdana" w:hAnsi="Verdana"/>
          <w:sz w:val="24"/>
          <w:szCs w:val="24"/>
        </w:rPr>
        <w:t>be</w:t>
      </w:r>
      <w:proofErr w:type="spellEnd"/>
      <w:r>
        <w:rPr>
          <w:rStyle w:val="None"/>
          <w:rFonts w:ascii="Verdana" w:hAnsi="Verdana"/>
          <w:sz w:val="24"/>
          <w:szCs w:val="24"/>
        </w:rPr>
        <w:t xml:space="preserve"> </w:t>
      </w:r>
      <w:proofErr w:type="spellStart"/>
      <w:r>
        <w:rPr>
          <w:rStyle w:val="None"/>
          <w:rFonts w:ascii="Verdana" w:hAnsi="Verdana"/>
          <w:sz w:val="24"/>
          <w:szCs w:val="24"/>
        </w:rPr>
        <w:t>engaging</w:t>
      </w:r>
      <w:proofErr w:type="spellEnd"/>
      <w:r>
        <w:rPr>
          <w:rStyle w:val="None"/>
          <w:rFonts w:ascii="Verdana" w:hAnsi="Verdana"/>
          <w:sz w:val="24"/>
          <w:szCs w:val="24"/>
        </w:rPr>
        <w:t xml:space="preserve"> </w:t>
      </w:r>
      <w:proofErr w:type="spellStart"/>
      <w:r>
        <w:rPr>
          <w:rStyle w:val="None"/>
          <w:rFonts w:ascii="Verdana" w:hAnsi="Verdana"/>
          <w:sz w:val="24"/>
          <w:szCs w:val="24"/>
        </w:rPr>
        <w:t>with</w:t>
      </w:r>
      <w:proofErr w:type="spellEnd"/>
      <w:r>
        <w:rPr>
          <w:rStyle w:val="None"/>
          <w:rFonts w:ascii="Verdana" w:hAnsi="Verdana"/>
          <w:sz w:val="24"/>
          <w:szCs w:val="24"/>
        </w:rPr>
        <w:t xml:space="preserve"> the OFMDFM to </w:t>
      </w:r>
      <w:proofErr w:type="spellStart"/>
      <w:r>
        <w:rPr>
          <w:rStyle w:val="None"/>
          <w:rFonts w:ascii="Verdana" w:hAnsi="Verdana"/>
          <w:sz w:val="24"/>
          <w:szCs w:val="24"/>
        </w:rPr>
        <w:t>ensure</w:t>
      </w:r>
      <w:proofErr w:type="spellEnd"/>
      <w:r>
        <w:rPr>
          <w:rStyle w:val="None"/>
          <w:rFonts w:ascii="Verdana" w:hAnsi="Verdana"/>
          <w:sz w:val="24"/>
          <w:szCs w:val="24"/>
        </w:rPr>
        <w:t xml:space="preserve"> the </w:t>
      </w:r>
      <w:proofErr w:type="spellStart"/>
      <w:r>
        <w:rPr>
          <w:rStyle w:val="None"/>
          <w:rFonts w:ascii="Verdana" w:hAnsi="Verdana"/>
          <w:sz w:val="24"/>
          <w:szCs w:val="24"/>
        </w:rPr>
        <w:t>indicators</w:t>
      </w:r>
      <w:proofErr w:type="spellEnd"/>
      <w:r>
        <w:rPr>
          <w:rStyle w:val="None"/>
          <w:rFonts w:ascii="Verdana" w:hAnsi="Verdana"/>
          <w:sz w:val="24"/>
          <w:szCs w:val="24"/>
        </w:rPr>
        <w:t xml:space="preserve"> are </w:t>
      </w:r>
      <w:proofErr w:type="spellStart"/>
      <w:r>
        <w:rPr>
          <w:rStyle w:val="None"/>
          <w:rFonts w:ascii="Verdana" w:hAnsi="Verdana"/>
          <w:sz w:val="24"/>
          <w:szCs w:val="24"/>
        </w:rPr>
        <w:t>effectively</w:t>
      </w:r>
      <w:proofErr w:type="spellEnd"/>
      <w:r>
        <w:rPr>
          <w:rStyle w:val="None"/>
          <w:rFonts w:ascii="Verdana" w:hAnsi="Verdana"/>
          <w:sz w:val="24"/>
          <w:szCs w:val="24"/>
        </w:rPr>
        <w:t xml:space="preserve"> </w:t>
      </w:r>
      <w:proofErr w:type="spellStart"/>
      <w:r>
        <w:rPr>
          <w:rStyle w:val="None"/>
          <w:rFonts w:ascii="Verdana" w:hAnsi="Verdana"/>
          <w:sz w:val="24"/>
          <w:szCs w:val="24"/>
        </w:rPr>
        <w:t>capturing</w:t>
      </w:r>
      <w:proofErr w:type="spellEnd"/>
      <w:r>
        <w:rPr>
          <w:rStyle w:val="None"/>
          <w:rFonts w:ascii="Verdana" w:hAnsi="Verdana"/>
          <w:sz w:val="24"/>
          <w:szCs w:val="24"/>
        </w:rPr>
        <w:t xml:space="preserve"> data </w:t>
      </w:r>
      <w:proofErr w:type="spellStart"/>
      <w:r>
        <w:rPr>
          <w:rStyle w:val="None"/>
          <w:rFonts w:ascii="Verdana" w:hAnsi="Verdana"/>
          <w:sz w:val="24"/>
          <w:szCs w:val="24"/>
        </w:rPr>
        <w:t>related</w:t>
      </w:r>
      <w:proofErr w:type="spellEnd"/>
      <w:r>
        <w:rPr>
          <w:rStyle w:val="None"/>
          <w:rFonts w:ascii="Verdana" w:hAnsi="Verdana"/>
          <w:sz w:val="24"/>
          <w:szCs w:val="24"/>
        </w:rPr>
        <w:t xml:space="preserve"> to the </w:t>
      </w:r>
      <w:proofErr w:type="spellStart"/>
      <w:r>
        <w:rPr>
          <w:rStyle w:val="None"/>
          <w:rFonts w:ascii="Verdana" w:hAnsi="Verdana"/>
          <w:sz w:val="24"/>
          <w:szCs w:val="24"/>
        </w:rPr>
        <w:t>well</w:t>
      </w:r>
      <w:proofErr w:type="spellEnd"/>
      <w:r>
        <w:rPr>
          <w:rStyle w:val="None"/>
          <w:rFonts w:ascii="Verdana" w:hAnsi="Verdana"/>
          <w:sz w:val="24"/>
          <w:szCs w:val="24"/>
        </w:rPr>
        <w:t xml:space="preserve"> </w:t>
      </w:r>
      <w:proofErr w:type="spellStart"/>
      <w:r>
        <w:rPr>
          <w:rStyle w:val="None"/>
          <w:rFonts w:ascii="Verdana" w:hAnsi="Verdana"/>
          <w:sz w:val="24"/>
          <w:szCs w:val="24"/>
        </w:rPr>
        <w:t>being</w:t>
      </w:r>
      <w:proofErr w:type="spellEnd"/>
      <w:r>
        <w:rPr>
          <w:rStyle w:val="None"/>
          <w:rFonts w:ascii="Verdana" w:hAnsi="Verdana"/>
          <w:sz w:val="24"/>
          <w:szCs w:val="24"/>
        </w:rPr>
        <w:t xml:space="preserve"> of </w:t>
      </w:r>
      <w:proofErr w:type="spellStart"/>
      <w:r>
        <w:rPr>
          <w:rStyle w:val="None"/>
          <w:rFonts w:ascii="Verdana" w:hAnsi="Verdana"/>
          <w:sz w:val="24"/>
          <w:szCs w:val="24"/>
        </w:rPr>
        <w:t>children</w:t>
      </w:r>
      <w:proofErr w:type="spellEnd"/>
      <w:r>
        <w:rPr>
          <w:rStyle w:val="None"/>
          <w:rFonts w:ascii="Verdana" w:hAnsi="Verdana"/>
          <w:sz w:val="24"/>
          <w:szCs w:val="24"/>
        </w:rPr>
        <w:t xml:space="preserve">. </w:t>
      </w:r>
      <w:proofErr w:type="spellStart"/>
      <w:r>
        <w:rPr>
          <w:rStyle w:val="None"/>
          <w:rFonts w:ascii="Verdana" w:hAnsi="Verdana"/>
          <w:sz w:val="24"/>
          <w:szCs w:val="24"/>
        </w:rPr>
        <w:t>With</w:t>
      </w:r>
      <w:proofErr w:type="spellEnd"/>
      <w:r>
        <w:rPr>
          <w:rStyle w:val="None"/>
          <w:rFonts w:ascii="Verdana" w:hAnsi="Verdana"/>
          <w:sz w:val="24"/>
          <w:szCs w:val="24"/>
        </w:rPr>
        <w:t xml:space="preserve"> respect to </w:t>
      </w:r>
      <w:proofErr w:type="spellStart"/>
      <w:r>
        <w:rPr>
          <w:rStyle w:val="None"/>
          <w:rFonts w:ascii="Verdana" w:hAnsi="Verdana"/>
          <w:sz w:val="24"/>
          <w:szCs w:val="24"/>
        </w:rPr>
        <w:t>homelessness</w:t>
      </w:r>
      <w:proofErr w:type="spellEnd"/>
      <w:r>
        <w:rPr>
          <w:rStyle w:val="None"/>
          <w:rFonts w:ascii="Verdana" w:hAnsi="Verdana"/>
          <w:sz w:val="24"/>
          <w:szCs w:val="24"/>
        </w:rPr>
        <w:t xml:space="preserve"> the Commission notes the high </w:t>
      </w:r>
      <w:proofErr w:type="spellStart"/>
      <w:r>
        <w:rPr>
          <w:rStyle w:val="None"/>
          <w:rFonts w:ascii="Verdana" w:hAnsi="Verdana"/>
          <w:sz w:val="24"/>
          <w:szCs w:val="24"/>
        </w:rPr>
        <w:t>number</w:t>
      </w:r>
      <w:proofErr w:type="spellEnd"/>
      <w:r>
        <w:rPr>
          <w:rStyle w:val="None"/>
          <w:rFonts w:ascii="Verdana" w:hAnsi="Verdana"/>
          <w:sz w:val="24"/>
          <w:szCs w:val="24"/>
        </w:rPr>
        <w:t xml:space="preserve"> of </w:t>
      </w:r>
      <w:proofErr w:type="spellStart"/>
      <w:r>
        <w:rPr>
          <w:rStyle w:val="None"/>
          <w:rFonts w:ascii="Verdana" w:hAnsi="Verdana"/>
          <w:sz w:val="24"/>
          <w:szCs w:val="24"/>
        </w:rPr>
        <w:t>looked</w:t>
      </w:r>
      <w:proofErr w:type="spellEnd"/>
      <w:r>
        <w:rPr>
          <w:rStyle w:val="None"/>
          <w:rFonts w:ascii="Verdana" w:hAnsi="Verdana"/>
          <w:sz w:val="24"/>
          <w:szCs w:val="24"/>
        </w:rPr>
        <w:t xml:space="preserve"> </w:t>
      </w:r>
      <w:proofErr w:type="spellStart"/>
      <w:r>
        <w:rPr>
          <w:rStyle w:val="None"/>
          <w:rFonts w:ascii="Verdana" w:hAnsi="Verdana"/>
          <w:sz w:val="24"/>
          <w:szCs w:val="24"/>
        </w:rPr>
        <w:t>after</w:t>
      </w:r>
      <w:proofErr w:type="spellEnd"/>
      <w:r>
        <w:rPr>
          <w:rStyle w:val="None"/>
          <w:rFonts w:ascii="Verdana" w:hAnsi="Verdana"/>
          <w:sz w:val="24"/>
          <w:szCs w:val="24"/>
        </w:rPr>
        <w:t xml:space="preserve"> </w:t>
      </w:r>
      <w:proofErr w:type="spellStart"/>
      <w:r>
        <w:rPr>
          <w:rStyle w:val="None"/>
          <w:rFonts w:ascii="Verdana" w:hAnsi="Verdana"/>
          <w:sz w:val="24"/>
          <w:szCs w:val="24"/>
        </w:rPr>
        <w:t>children</w:t>
      </w:r>
      <w:proofErr w:type="spellEnd"/>
      <w:r>
        <w:rPr>
          <w:rStyle w:val="None"/>
          <w:rFonts w:ascii="Verdana" w:hAnsi="Verdana"/>
          <w:sz w:val="24"/>
          <w:szCs w:val="24"/>
        </w:rPr>
        <w:t xml:space="preserve"> </w:t>
      </w:r>
      <w:proofErr w:type="spellStart"/>
      <w:r>
        <w:rPr>
          <w:rStyle w:val="None"/>
          <w:rFonts w:ascii="Verdana" w:hAnsi="Verdana"/>
          <w:sz w:val="24"/>
          <w:szCs w:val="24"/>
        </w:rPr>
        <w:t>who</w:t>
      </w:r>
      <w:proofErr w:type="spellEnd"/>
      <w:r>
        <w:rPr>
          <w:rStyle w:val="None"/>
          <w:rFonts w:ascii="Verdana" w:hAnsi="Verdana"/>
          <w:sz w:val="24"/>
          <w:szCs w:val="24"/>
        </w:rPr>
        <w:t xml:space="preserve"> </w:t>
      </w:r>
      <w:proofErr w:type="spellStart"/>
      <w:r>
        <w:rPr>
          <w:rStyle w:val="None"/>
          <w:rFonts w:ascii="Verdana" w:hAnsi="Verdana"/>
          <w:sz w:val="24"/>
          <w:szCs w:val="24"/>
        </w:rPr>
        <w:t>find</w:t>
      </w:r>
      <w:proofErr w:type="spellEnd"/>
      <w:r>
        <w:rPr>
          <w:rStyle w:val="None"/>
          <w:rFonts w:ascii="Verdana" w:hAnsi="Verdana"/>
          <w:sz w:val="24"/>
          <w:szCs w:val="24"/>
        </w:rPr>
        <w:t xml:space="preserve"> </w:t>
      </w:r>
      <w:proofErr w:type="spellStart"/>
      <w:r>
        <w:rPr>
          <w:rStyle w:val="None"/>
          <w:rFonts w:ascii="Verdana" w:hAnsi="Verdana"/>
          <w:sz w:val="24"/>
          <w:szCs w:val="24"/>
        </w:rPr>
        <w:t>themselves</w:t>
      </w:r>
      <w:proofErr w:type="spellEnd"/>
      <w:r>
        <w:rPr>
          <w:rStyle w:val="None"/>
          <w:rFonts w:ascii="Verdana" w:hAnsi="Verdana"/>
          <w:sz w:val="24"/>
          <w:szCs w:val="24"/>
        </w:rPr>
        <w:t xml:space="preserve"> </w:t>
      </w:r>
      <w:proofErr w:type="spellStart"/>
      <w:r>
        <w:rPr>
          <w:rStyle w:val="None"/>
          <w:rFonts w:ascii="Verdana" w:hAnsi="Verdana"/>
          <w:sz w:val="24"/>
          <w:szCs w:val="24"/>
        </w:rPr>
        <w:t>homeless</w:t>
      </w:r>
      <w:proofErr w:type="spellEnd"/>
      <w:r>
        <w:rPr>
          <w:rStyle w:val="None"/>
          <w:rFonts w:ascii="Verdana" w:hAnsi="Verdana"/>
          <w:sz w:val="24"/>
          <w:szCs w:val="24"/>
        </w:rPr>
        <w:t xml:space="preserve">, </w:t>
      </w:r>
      <w:proofErr w:type="spellStart"/>
      <w:r>
        <w:rPr>
          <w:rStyle w:val="None"/>
          <w:rFonts w:ascii="Verdana" w:hAnsi="Verdana"/>
          <w:sz w:val="24"/>
          <w:szCs w:val="24"/>
        </w:rPr>
        <w:t>this</w:t>
      </w:r>
      <w:proofErr w:type="spellEnd"/>
      <w:r>
        <w:rPr>
          <w:rStyle w:val="None"/>
          <w:rFonts w:ascii="Verdana" w:hAnsi="Verdana"/>
          <w:sz w:val="24"/>
          <w:szCs w:val="24"/>
        </w:rPr>
        <w:t xml:space="preserve"> issue </w:t>
      </w:r>
      <w:proofErr w:type="spellStart"/>
      <w:r>
        <w:rPr>
          <w:rStyle w:val="None"/>
          <w:rFonts w:ascii="Verdana" w:hAnsi="Verdana"/>
          <w:sz w:val="24"/>
          <w:szCs w:val="24"/>
        </w:rPr>
        <w:t>should</w:t>
      </w:r>
      <w:proofErr w:type="spellEnd"/>
      <w:r>
        <w:rPr>
          <w:rStyle w:val="None"/>
          <w:rFonts w:ascii="Verdana" w:hAnsi="Verdana"/>
          <w:sz w:val="24"/>
          <w:szCs w:val="24"/>
        </w:rPr>
        <w:t xml:space="preserve"> </w:t>
      </w:r>
      <w:proofErr w:type="spellStart"/>
      <w:r>
        <w:rPr>
          <w:rStyle w:val="None"/>
          <w:rFonts w:ascii="Verdana" w:hAnsi="Verdana"/>
          <w:sz w:val="24"/>
          <w:szCs w:val="24"/>
        </w:rPr>
        <w:t>be</w:t>
      </w:r>
      <w:proofErr w:type="spellEnd"/>
      <w:r>
        <w:rPr>
          <w:rStyle w:val="None"/>
          <w:rFonts w:ascii="Verdana" w:hAnsi="Verdana"/>
          <w:sz w:val="24"/>
          <w:szCs w:val="24"/>
        </w:rPr>
        <w:t xml:space="preserve"> </w:t>
      </w:r>
      <w:proofErr w:type="spellStart"/>
      <w:r>
        <w:rPr>
          <w:rStyle w:val="None"/>
          <w:rFonts w:ascii="Verdana" w:hAnsi="Verdana"/>
          <w:sz w:val="24"/>
          <w:szCs w:val="24"/>
        </w:rPr>
        <w:t>monitored</w:t>
      </w:r>
      <w:proofErr w:type="spellEnd"/>
      <w:r>
        <w:rPr>
          <w:rStyle w:val="None"/>
          <w:rFonts w:ascii="Verdana" w:hAnsi="Verdana"/>
          <w:sz w:val="24"/>
          <w:szCs w:val="24"/>
        </w:rPr>
        <w:t xml:space="preserve"> by the </w:t>
      </w:r>
      <w:proofErr w:type="spellStart"/>
      <w:r>
        <w:rPr>
          <w:rStyle w:val="None"/>
          <w:rFonts w:ascii="Verdana" w:hAnsi="Verdana"/>
          <w:sz w:val="24"/>
          <w:szCs w:val="24"/>
        </w:rPr>
        <w:t>strategy</w:t>
      </w:r>
      <w:proofErr w:type="spellEnd"/>
      <w:r>
        <w:rPr>
          <w:rStyle w:val="None"/>
          <w:rFonts w:ascii="Verdana" w:hAnsi="Verdana"/>
          <w:sz w:val="24"/>
          <w:szCs w:val="24"/>
        </w:rPr>
        <w:t>.</w:t>
      </w:r>
      <w:r>
        <w:rPr>
          <w:rStyle w:val="None"/>
          <w:rFonts w:ascii="Verdana" w:eastAsia="Verdana" w:hAnsi="Verdana" w:cs="Verdana"/>
          <w:sz w:val="24"/>
          <w:szCs w:val="24"/>
          <w:vertAlign w:val="superscript"/>
        </w:rPr>
        <w:footnoteReference w:id="74"/>
      </w:r>
    </w:p>
    <w:p w:rsidR="00FA5218" w:rsidRDefault="00FA5218">
      <w:pPr>
        <w:pStyle w:val="BodyA"/>
        <w:spacing w:after="0" w:line="240" w:lineRule="auto"/>
      </w:pPr>
    </w:p>
    <w:p w:rsidR="00FA5218" w:rsidRDefault="00720B60">
      <w:pPr>
        <w:pStyle w:val="BodyA"/>
        <w:numPr>
          <w:ilvl w:val="0"/>
          <w:numId w:val="2"/>
        </w:numPr>
        <w:spacing w:after="0" w:line="240" w:lineRule="auto"/>
        <w:rPr>
          <w:rFonts w:ascii="Verdana" w:hAnsi="Verdana"/>
          <w:sz w:val="24"/>
          <w:szCs w:val="24"/>
          <w:lang w:val="en-US"/>
        </w:rPr>
      </w:pPr>
      <w:r>
        <w:rPr>
          <w:rStyle w:val="news-date"/>
          <w:rFonts w:ascii="Verdana" w:hAnsi="Verdana"/>
          <w:sz w:val="24"/>
          <w:szCs w:val="24"/>
        </w:rPr>
        <w:t>The UK Government introduced new legislation to amend the Child Poverty Act 2010 which received Royal Assent in March 2016. This legislation will change child poverty measures on a UK wide basis which may have implications for the Child Poverty Strategy in NI.</w:t>
      </w:r>
      <w:r>
        <w:rPr>
          <w:rStyle w:val="FootnoteReference"/>
          <w:rFonts w:ascii="Verdana" w:eastAsia="Verdana" w:hAnsi="Verdana" w:cs="Verdana"/>
          <w:sz w:val="24"/>
          <w:szCs w:val="24"/>
        </w:rPr>
        <w:footnoteReference w:id="75"/>
      </w:r>
      <w:r>
        <w:rPr>
          <w:rStyle w:val="news-date"/>
          <w:rFonts w:ascii="Verdana" w:hAnsi="Verdana"/>
          <w:sz w:val="24"/>
          <w:szCs w:val="24"/>
        </w:rPr>
        <w:t xml:space="preserve"> The Westminster Government repealed the targets related to relative income, combined low income and material deprivation, absolute low </w:t>
      </w:r>
      <w:r>
        <w:rPr>
          <w:rStyle w:val="news-date"/>
          <w:rFonts w:ascii="Verdana" w:hAnsi="Verdana"/>
          <w:sz w:val="24"/>
          <w:szCs w:val="24"/>
        </w:rPr>
        <w:lastRenderedPageBreak/>
        <w:t>income and persistent poverty. The Child Poverty Action Group (CPAG) argued:</w:t>
      </w:r>
      <w:r>
        <w:rPr>
          <w:rStyle w:val="FootnoteReference"/>
          <w:rFonts w:ascii="Verdana" w:eastAsia="Verdana" w:hAnsi="Verdana" w:cs="Verdana"/>
          <w:sz w:val="24"/>
          <w:szCs w:val="24"/>
        </w:rPr>
        <w:footnoteReference w:id="76"/>
      </w:r>
    </w:p>
    <w:p w:rsidR="00FA5218" w:rsidRDefault="00FA5218">
      <w:pPr>
        <w:pStyle w:val="ListParagraph"/>
        <w:ind w:left="0"/>
      </w:pPr>
    </w:p>
    <w:p w:rsidR="00FA5218" w:rsidRDefault="00720B60">
      <w:pPr>
        <w:pStyle w:val="BodyA"/>
        <w:spacing w:after="0" w:line="240" w:lineRule="auto"/>
        <w:ind w:left="720"/>
      </w:pPr>
      <w:r>
        <w:rPr>
          <w:rStyle w:val="None"/>
          <w:rFonts w:ascii="Verdana" w:hAnsi="Verdana"/>
          <w:sz w:val="24"/>
          <w:szCs w:val="24"/>
          <w:lang w:val="en-US"/>
        </w:rPr>
        <w:t>these proposed reporting requirements are not measures of poverty; are supplements to it ...any measures that are not sensitive to changes of income cannot be regarded as a robust measurement of poverty.</w:t>
      </w:r>
    </w:p>
    <w:p w:rsidR="00FA5218" w:rsidRDefault="00FA5218">
      <w:pPr>
        <w:pStyle w:val="BodyA"/>
        <w:spacing w:after="0" w:line="240" w:lineRule="auto"/>
        <w:ind w:left="720"/>
      </w:pPr>
    </w:p>
    <w:p w:rsidR="00FA5218" w:rsidRDefault="00720B60">
      <w:pPr>
        <w:pStyle w:val="BodyA"/>
        <w:numPr>
          <w:ilvl w:val="0"/>
          <w:numId w:val="4"/>
        </w:numPr>
        <w:spacing w:after="0" w:line="240" w:lineRule="auto"/>
        <w:rPr>
          <w:rFonts w:ascii="Verdana" w:hAnsi="Verdana"/>
          <w:b/>
          <w:bCs/>
          <w:sz w:val="24"/>
          <w:szCs w:val="24"/>
          <w:lang w:val="en-US"/>
        </w:rPr>
      </w:pPr>
      <w:r>
        <w:rPr>
          <w:rStyle w:val="None"/>
          <w:rFonts w:ascii="Verdana" w:hAnsi="Verdana"/>
          <w:sz w:val="24"/>
          <w:szCs w:val="24"/>
          <w:lang w:val="en-US"/>
        </w:rPr>
        <w:t>In its place, the UK Government has retained only one requirement to further measure child poverty in low income households. There are reports that the target to eliminate child poverty by 2020 is unlikely to be reached and that the number of children in poverty has actually increased.</w:t>
      </w:r>
      <w:r>
        <w:rPr>
          <w:rStyle w:val="None"/>
          <w:rFonts w:ascii="Verdana" w:eastAsia="Verdana" w:hAnsi="Verdana" w:cs="Verdana"/>
          <w:sz w:val="24"/>
          <w:szCs w:val="24"/>
          <w:vertAlign w:val="superscript"/>
          <w:lang w:val="en-US"/>
        </w:rPr>
        <w:footnoteReference w:id="77"/>
      </w:r>
    </w:p>
    <w:p w:rsidR="00FA5218" w:rsidRDefault="00FA5218">
      <w:pPr>
        <w:pStyle w:val="BodyA"/>
        <w:spacing w:after="0" w:line="240" w:lineRule="auto"/>
      </w:pPr>
    </w:p>
    <w:p w:rsidR="00FA5218" w:rsidRDefault="00720B60">
      <w:pPr>
        <w:pStyle w:val="BodyA"/>
        <w:numPr>
          <w:ilvl w:val="0"/>
          <w:numId w:val="4"/>
        </w:numPr>
        <w:spacing w:after="0" w:line="240" w:lineRule="auto"/>
        <w:rPr>
          <w:rFonts w:ascii="Verdana" w:hAnsi="Verdana"/>
          <w:b/>
          <w:bCs/>
          <w:sz w:val="24"/>
          <w:szCs w:val="24"/>
          <w:lang w:val="en-US"/>
        </w:rPr>
      </w:pPr>
      <w:r>
        <w:rPr>
          <w:rStyle w:val="news-date"/>
          <w:rFonts w:ascii="Verdana" w:hAnsi="Verdana"/>
          <w:b/>
          <w:bCs/>
          <w:sz w:val="24"/>
          <w:szCs w:val="24"/>
        </w:rPr>
        <w:t xml:space="preserve">The Committee may wish to recommend that the State party: </w:t>
      </w:r>
    </w:p>
    <w:p w:rsidR="00FA5218" w:rsidRDefault="00FA5218">
      <w:pPr>
        <w:pStyle w:val="BodyA"/>
        <w:spacing w:after="0" w:line="240" w:lineRule="auto"/>
      </w:pPr>
    </w:p>
    <w:p w:rsidR="00FA5218" w:rsidRDefault="00720B60">
      <w:pPr>
        <w:pStyle w:val="BodyA"/>
        <w:spacing w:after="0" w:line="240" w:lineRule="auto"/>
        <w:ind w:left="720"/>
      </w:pPr>
      <w:proofErr w:type="gramStart"/>
      <w:r>
        <w:rPr>
          <w:rStyle w:val="None"/>
          <w:rFonts w:ascii="Verdana" w:hAnsi="Verdana"/>
          <w:b/>
          <w:bCs/>
          <w:sz w:val="24"/>
          <w:szCs w:val="24"/>
          <w:lang w:val="en-US"/>
        </w:rPr>
        <w:t>priorities</w:t>
      </w:r>
      <w:proofErr w:type="gramEnd"/>
      <w:r>
        <w:rPr>
          <w:rStyle w:val="None"/>
          <w:rFonts w:ascii="Verdana" w:hAnsi="Verdana"/>
          <w:b/>
          <w:bCs/>
          <w:sz w:val="24"/>
          <w:szCs w:val="24"/>
          <w:lang w:val="en-US"/>
        </w:rPr>
        <w:t xml:space="preserve"> the publication of the Anti-poverty strategy; </w:t>
      </w:r>
    </w:p>
    <w:p w:rsidR="00FA5218" w:rsidRDefault="00FA5218">
      <w:pPr>
        <w:pStyle w:val="BodyA"/>
        <w:spacing w:after="0" w:line="240" w:lineRule="auto"/>
        <w:ind w:left="720"/>
      </w:pPr>
    </w:p>
    <w:p w:rsidR="00FA5218" w:rsidRDefault="00720B60">
      <w:pPr>
        <w:pStyle w:val="BodyA"/>
        <w:spacing w:after="0" w:line="240" w:lineRule="auto"/>
        <w:ind w:left="720"/>
      </w:pPr>
      <w:proofErr w:type="gramStart"/>
      <w:r>
        <w:rPr>
          <w:rStyle w:val="None"/>
          <w:rFonts w:ascii="Verdana" w:hAnsi="Verdana"/>
          <w:b/>
          <w:bCs/>
          <w:sz w:val="24"/>
          <w:szCs w:val="24"/>
          <w:lang w:val="en-US"/>
        </w:rPr>
        <w:t>ensure</w:t>
      </w:r>
      <w:proofErr w:type="gramEnd"/>
      <w:r>
        <w:rPr>
          <w:rStyle w:val="None"/>
          <w:rFonts w:ascii="Verdana" w:hAnsi="Verdana"/>
          <w:b/>
          <w:bCs/>
          <w:sz w:val="24"/>
          <w:szCs w:val="24"/>
          <w:lang w:val="en-US"/>
        </w:rPr>
        <w:t xml:space="preserve"> the full and effective implementation of the Northern Ireland Child Poverty Strategy; and</w:t>
      </w:r>
    </w:p>
    <w:p w:rsidR="00FA5218" w:rsidRDefault="00FA5218">
      <w:pPr>
        <w:pStyle w:val="BodyA"/>
        <w:spacing w:after="0" w:line="240" w:lineRule="auto"/>
      </w:pPr>
    </w:p>
    <w:p w:rsidR="00FA5218" w:rsidRDefault="00720B60">
      <w:pPr>
        <w:pStyle w:val="BodyA"/>
        <w:spacing w:after="0" w:line="240" w:lineRule="auto"/>
        <w:ind w:left="720"/>
      </w:pPr>
      <w:proofErr w:type="gramStart"/>
      <w:r>
        <w:rPr>
          <w:rStyle w:val="None"/>
          <w:rFonts w:ascii="Verdana" w:hAnsi="Verdana"/>
          <w:b/>
          <w:bCs/>
          <w:sz w:val="24"/>
          <w:szCs w:val="24"/>
          <w:lang w:val="en-US"/>
        </w:rPr>
        <w:t>retains</w:t>
      </w:r>
      <w:proofErr w:type="gramEnd"/>
      <w:r>
        <w:rPr>
          <w:rStyle w:val="None"/>
          <w:rFonts w:ascii="Verdana" w:hAnsi="Verdana"/>
          <w:b/>
          <w:bCs/>
          <w:sz w:val="24"/>
          <w:szCs w:val="24"/>
          <w:lang w:val="en-US"/>
        </w:rPr>
        <w:t xml:space="preserve"> the wider and more comprehensive income related targets in measuring child poverty in NI.</w:t>
      </w:r>
    </w:p>
    <w:p w:rsidR="00FA5218" w:rsidRDefault="00FA5218">
      <w:pPr>
        <w:pStyle w:val="BodyA"/>
        <w:spacing w:after="0" w:line="240" w:lineRule="auto"/>
      </w:pPr>
    </w:p>
    <w:p w:rsidR="00FA5218" w:rsidRDefault="00720B60">
      <w:pPr>
        <w:pStyle w:val="BodyA"/>
        <w:spacing w:after="0" w:line="240" w:lineRule="auto"/>
      </w:pPr>
      <w:r>
        <w:rPr>
          <w:rStyle w:val="None"/>
          <w:rFonts w:ascii="Verdana" w:hAnsi="Verdana"/>
          <w:b/>
          <w:bCs/>
          <w:sz w:val="24"/>
          <w:szCs w:val="24"/>
          <w:u w:val="single"/>
          <w:lang w:val="en-US"/>
        </w:rPr>
        <w:t xml:space="preserve">Education, leisure and cultural activities (arts. 28, 29, 30 and 31) </w:t>
      </w:r>
    </w:p>
    <w:p w:rsidR="00FA5218" w:rsidRDefault="00FA5218">
      <w:pPr>
        <w:pStyle w:val="BodyA"/>
        <w:spacing w:after="0" w:line="240" w:lineRule="auto"/>
      </w:pPr>
    </w:p>
    <w:p w:rsidR="00FA5218" w:rsidRDefault="00720B60">
      <w:pPr>
        <w:pStyle w:val="BodyA"/>
        <w:spacing w:after="0" w:line="240" w:lineRule="auto"/>
      </w:pPr>
      <w:proofErr w:type="spellStart"/>
      <w:r>
        <w:rPr>
          <w:rStyle w:val="None"/>
          <w:rFonts w:ascii="Verdana" w:hAnsi="Verdana"/>
          <w:b/>
          <w:bCs/>
          <w:sz w:val="24"/>
          <w:szCs w:val="24"/>
          <w:lang w:val="en-US"/>
        </w:rPr>
        <w:t>Traveller</w:t>
      </w:r>
      <w:proofErr w:type="spellEnd"/>
      <w:r>
        <w:rPr>
          <w:rStyle w:val="None"/>
          <w:rFonts w:ascii="Verdana" w:hAnsi="Verdana"/>
          <w:b/>
          <w:bCs/>
          <w:sz w:val="24"/>
          <w:szCs w:val="24"/>
          <w:lang w:val="en-US"/>
        </w:rPr>
        <w:t xml:space="preserve"> Education</w:t>
      </w:r>
    </w:p>
    <w:p w:rsidR="00FA5218" w:rsidRDefault="00FA5218">
      <w:pPr>
        <w:pStyle w:val="BodyA"/>
        <w:spacing w:after="0" w:line="240" w:lineRule="auto"/>
      </w:pPr>
    </w:p>
    <w:p w:rsidR="00FA5218" w:rsidRDefault="00720B60">
      <w:pPr>
        <w:pStyle w:val="BodyA"/>
        <w:numPr>
          <w:ilvl w:val="0"/>
          <w:numId w:val="2"/>
        </w:numPr>
        <w:spacing w:after="0" w:line="240" w:lineRule="auto"/>
        <w:rPr>
          <w:rFonts w:ascii="Verdana" w:hAnsi="Verdana"/>
          <w:sz w:val="24"/>
          <w:szCs w:val="24"/>
          <w:lang w:val="en-US"/>
        </w:rPr>
      </w:pPr>
      <w:r>
        <w:rPr>
          <w:rStyle w:val="news-date"/>
          <w:rFonts w:ascii="Verdana" w:hAnsi="Verdana"/>
          <w:sz w:val="24"/>
          <w:szCs w:val="24"/>
        </w:rPr>
        <w:t xml:space="preserve">In November 2013 the Minister of Education for Northern Ireland published the </w:t>
      </w:r>
      <w:proofErr w:type="spellStart"/>
      <w:r>
        <w:rPr>
          <w:rStyle w:val="news-date"/>
          <w:rFonts w:ascii="Verdana" w:hAnsi="Verdana"/>
          <w:sz w:val="24"/>
          <w:szCs w:val="24"/>
        </w:rPr>
        <w:t>Traveller</w:t>
      </w:r>
      <w:proofErr w:type="spellEnd"/>
      <w:r>
        <w:rPr>
          <w:rStyle w:val="news-date"/>
          <w:rFonts w:ascii="Verdana" w:hAnsi="Verdana"/>
          <w:sz w:val="24"/>
          <w:szCs w:val="24"/>
        </w:rPr>
        <w:t xml:space="preserve"> Child in Education Action Framework, at the launch of the Framework the Minister stated:</w:t>
      </w:r>
    </w:p>
    <w:p w:rsidR="00FA5218" w:rsidRDefault="00FA5218">
      <w:pPr>
        <w:pStyle w:val="BodyA"/>
        <w:spacing w:after="0" w:line="240" w:lineRule="auto"/>
      </w:pPr>
    </w:p>
    <w:p w:rsidR="00FA5218" w:rsidRDefault="00720B60">
      <w:pPr>
        <w:pStyle w:val="BodyA"/>
        <w:spacing w:after="0" w:line="240" w:lineRule="auto"/>
      </w:pPr>
      <w:r>
        <w:rPr>
          <w:rStyle w:val="None"/>
          <w:rFonts w:ascii="Verdana" w:hAnsi="Verdana"/>
          <w:sz w:val="24"/>
          <w:szCs w:val="24"/>
          <w:lang w:val="en-US"/>
        </w:rPr>
        <w:t xml:space="preserve">This is very much a Framework for action. It is the start of the journey of inclusion, to ensure that </w:t>
      </w:r>
      <w:proofErr w:type="spellStart"/>
      <w:r>
        <w:rPr>
          <w:rStyle w:val="None"/>
          <w:rFonts w:ascii="Verdana" w:hAnsi="Verdana"/>
          <w:sz w:val="24"/>
          <w:szCs w:val="24"/>
          <w:lang w:val="en-US"/>
        </w:rPr>
        <w:t>Traveller</w:t>
      </w:r>
      <w:proofErr w:type="spellEnd"/>
      <w:r>
        <w:rPr>
          <w:rStyle w:val="None"/>
          <w:rFonts w:ascii="Verdana" w:hAnsi="Verdana"/>
          <w:sz w:val="24"/>
          <w:szCs w:val="24"/>
          <w:lang w:val="en-US"/>
        </w:rPr>
        <w:t xml:space="preserve"> children have the opportunity to benefit from the educational opportunities on offer.</w:t>
      </w:r>
      <w:r>
        <w:rPr>
          <w:rStyle w:val="None"/>
          <w:rFonts w:ascii="Verdana" w:eastAsia="Verdana" w:hAnsi="Verdana" w:cs="Verdana"/>
          <w:sz w:val="24"/>
          <w:szCs w:val="24"/>
          <w:vertAlign w:val="superscript"/>
          <w:lang w:val="en-US"/>
        </w:rPr>
        <w:footnoteReference w:id="78"/>
      </w:r>
      <w:r>
        <w:rPr>
          <w:rStyle w:val="None"/>
          <w:rFonts w:ascii="Verdana" w:hAnsi="Verdana"/>
          <w:sz w:val="24"/>
          <w:szCs w:val="24"/>
          <w:lang w:val="en-US"/>
        </w:rPr>
        <w:t xml:space="preserve"> [</w:t>
      </w:r>
      <w:proofErr w:type="gramStart"/>
      <w:r>
        <w:rPr>
          <w:rStyle w:val="None"/>
          <w:rFonts w:ascii="Verdana" w:hAnsi="Verdana"/>
          <w:sz w:val="24"/>
          <w:szCs w:val="24"/>
          <w:lang w:val="en-US"/>
        </w:rPr>
        <w:t>the</w:t>
      </w:r>
      <w:proofErr w:type="gramEnd"/>
      <w:r>
        <w:rPr>
          <w:rStyle w:val="None"/>
          <w:rFonts w:ascii="Verdana" w:hAnsi="Verdana"/>
          <w:sz w:val="24"/>
          <w:szCs w:val="24"/>
          <w:lang w:val="en-US"/>
        </w:rPr>
        <w:t xml:space="preserve"> Minister further stated]</w:t>
      </w:r>
    </w:p>
    <w:p w:rsidR="00FA5218" w:rsidRDefault="00720B60">
      <w:pPr>
        <w:pStyle w:val="BodyA"/>
        <w:spacing w:after="0" w:line="240" w:lineRule="auto"/>
      </w:pPr>
      <w:r>
        <w:rPr>
          <w:rStyle w:val="None"/>
          <w:rFonts w:ascii="Verdana" w:hAnsi="Verdana"/>
          <w:sz w:val="24"/>
          <w:szCs w:val="24"/>
          <w:lang w:val="en-US"/>
        </w:rPr>
        <w:t>An independent Monitoring and Evaluation Group will be established within the next few months to monitor the Action Framework. That group will report progress directly to me.</w:t>
      </w:r>
      <w:r>
        <w:rPr>
          <w:rStyle w:val="None"/>
          <w:rFonts w:ascii="Verdana" w:eastAsia="Verdana" w:hAnsi="Verdana" w:cs="Verdana"/>
          <w:sz w:val="24"/>
          <w:szCs w:val="24"/>
          <w:vertAlign w:val="superscript"/>
          <w:lang w:val="en-US"/>
        </w:rPr>
        <w:footnoteReference w:id="79"/>
      </w:r>
    </w:p>
    <w:p w:rsidR="00FA5218" w:rsidRDefault="00FA5218">
      <w:pPr>
        <w:pStyle w:val="BodyA"/>
        <w:spacing w:after="0" w:line="240" w:lineRule="auto"/>
      </w:pPr>
    </w:p>
    <w:p w:rsidR="00FA5218" w:rsidRDefault="00720B60">
      <w:pPr>
        <w:pStyle w:val="BodyA"/>
        <w:numPr>
          <w:ilvl w:val="0"/>
          <w:numId w:val="2"/>
        </w:numPr>
        <w:spacing w:after="0" w:line="240" w:lineRule="auto"/>
        <w:rPr>
          <w:rFonts w:ascii="Verdana" w:hAnsi="Verdana"/>
          <w:sz w:val="24"/>
          <w:szCs w:val="24"/>
          <w:lang w:val="en-US"/>
        </w:rPr>
      </w:pPr>
      <w:r>
        <w:rPr>
          <w:rStyle w:val="news-date"/>
          <w:rFonts w:ascii="Verdana" w:hAnsi="Verdana"/>
          <w:sz w:val="24"/>
          <w:szCs w:val="24"/>
        </w:rPr>
        <w:lastRenderedPageBreak/>
        <w:t xml:space="preserve">In January 2016 in responding to a written question the Minister stated that: “The </w:t>
      </w:r>
      <w:proofErr w:type="spellStart"/>
      <w:r>
        <w:rPr>
          <w:rStyle w:val="news-date"/>
          <w:rFonts w:ascii="Verdana" w:hAnsi="Verdana"/>
          <w:sz w:val="24"/>
          <w:szCs w:val="24"/>
        </w:rPr>
        <w:t>Traveller</w:t>
      </w:r>
      <w:proofErr w:type="spellEnd"/>
      <w:r>
        <w:rPr>
          <w:rStyle w:val="news-date"/>
          <w:rFonts w:ascii="Verdana" w:hAnsi="Verdana"/>
          <w:sz w:val="24"/>
          <w:szCs w:val="24"/>
        </w:rPr>
        <w:t xml:space="preserve"> Education Monitoring Group has not yet been established.”</w:t>
      </w:r>
      <w:r>
        <w:rPr>
          <w:rStyle w:val="FootnoteReference"/>
          <w:rFonts w:ascii="Verdana" w:eastAsia="Verdana" w:hAnsi="Verdana" w:cs="Verdana"/>
          <w:sz w:val="24"/>
          <w:szCs w:val="24"/>
        </w:rPr>
        <w:footnoteReference w:id="80"/>
      </w:r>
      <w:r>
        <w:rPr>
          <w:rStyle w:val="news-date"/>
          <w:rFonts w:ascii="Verdana" w:hAnsi="Verdana"/>
          <w:sz w:val="24"/>
          <w:szCs w:val="24"/>
        </w:rPr>
        <w:t xml:space="preserve"> This remains the position. The absence of a Monitoring Group is a significant obstacle to assessing the effectiveness of the Framework.</w:t>
      </w:r>
    </w:p>
    <w:p w:rsidR="00FA5218" w:rsidRDefault="00FA5218">
      <w:pPr>
        <w:pStyle w:val="BodyA"/>
        <w:spacing w:after="0" w:line="240" w:lineRule="auto"/>
      </w:pPr>
    </w:p>
    <w:p w:rsidR="00FA5218" w:rsidRDefault="00720B60">
      <w:pPr>
        <w:pStyle w:val="BodyA"/>
        <w:numPr>
          <w:ilvl w:val="0"/>
          <w:numId w:val="2"/>
        </w:numPr>
        <w:spacing w:after="0" w:line="240" w:lineRule="auto"/>
        <w:rPr>
          <w:rFonts w:ascii="Verdana" w:hAnsi="Verdana"/>
          <w:sz w:val="24"/>
          <w:szCs w:val="24"/>
          <w:lang w:val="en-US"/>
        </w:rPr>
      </w:pPr>
      <w:r>
        <w:rPr>
          <w:rStyle w:val="None"/>
          <w:rFonts w:ascii="Verdana" w:hAnsi="Verdana"/>
          <w:b/>
          <w:bCs/>
          <w:sz w:val="24"/>
          <w:szCs w:val="24"/>
          <w:lang w:val="en-US"/>
        </w:rPr>
        <w:t xml:space="preserve">The Committee may wish to recommend that the State party ensure the effective implementation of the Northern Ireland </w:t>
      </w:r>
      <w:proofErr w:type="spellStart"/>
      <w:r>
        <w:rPr>
          <w:rStyle w:val="None"/>
          <w:rFonts w:ascii="Verdana" w:hAnsi="Verdana"/>
          <w:b/>
          <w:bCs/>
          <w:sz w:val="24"/>
          <w:szCs w:val="24"/>
          <w:lang w:val="en-US"/>
        </w:rPr>
        <w:t>Traveller</w:t>
      </w:r>
      <w:proofErr w:type="spellEnd"/>
      <w:r>
        <w:rPr>
          <w:rStyle w:val="None"/>
          <w:rFonts w:ascii="Verdana" w:hAnsi="Verdana"/>
          <w:b/>
          <w:bCs/>
          <w:sz w:val="24"/>
          <w:szCs w:val="24"/>
          <w:lang w:val="en-US"/>
        </w:rPr>
        <w:t xml:space="preserve"> Child in Education Action Framework and the establishment of the Monitoring Group to ensure effective oversight.</w:t>
      </w:r>
    </w:p>
    <w:p w:rsidR="00FA5218" w:rsidRDefault="00FA5218">
      <w:pPr>
        <w:pStyle w:val="BodyA"/>
        <w:spacing w:after="0" w:line="240" w:lineRule="auto"/>
      </w:pPr>
    </w:p>
    <w:p w:rsidR="00FA5218" w:rsidRDefault="00720B60">
      <w:pPr>
        <w:pStyle w:val="BodyA"/>
        <w:spacing w:after="0" w:line="240" w:lineRule="auto"/>
      </w:pPr>
      <w:r>
        <w:rPr>
          <w:rStyle w:val="None"/>
          <w:rFonts w:ascii="Verdana" w:hAnsi="Verdana"/>
          <w:b/>
          <w:bCs/>
          <w:sz w:val="24"/>
          <w:szCs w:val="24"/>
          <w:lang w:val="en-US"/>
        </w:rPr>
        <w:t xml:space="preserve">Segregation in Education </w:t>
      </w:r>
    </w:p>
    <w:p w:rsidR="00FA5218" w:rsidRDefault="00FA5218">
      <w:pPr>
        <w:pStyle w:val="BodyA"/>
        <w:spacing w:after="0" w:line="240" w:lineRule="auto"/>
      </w:pPr>
    </w:p>
    <w:p w:rsidR="00FA5218" w:rsidRDefault="00720B60">
      <w:pPr>
        <w:pStyle w:val="BodyA"/>
        <w:numPr>
          <w:ilvl w:val="0"/>
          <w:numId w:val="2"/>
        </w:numPr>
        <w:spacing w:after="0" w:line="240" w:lineRule="auto"/>
        <w:rPr>
          <w:rFonts w:ascii="Verdana" w:hAnsi="Verdana"/>
          <w:sz w:val="24"/>
          <w:szCs w:val="24"/>
          <w:lang w:val="en-US"/>
        </w:rPr>
      </w:pPr>
      <w:r>
        <w:rPr>
          <w:rStyle w:val="news-date"/>
          <w:rFonts w:ascii="Verdana" w:hAnsi="Verdana"/>
          <w:sz w:val="24"/>
          <w:szCs w:val="24"/>
        </w:rPr>
        <w:t xml:space="preserve">The Commission provided the Committee with an update on the related issues of shared education and integrated education. In considering these two forms of education, it is important to note the differences between the two approaches, integrated education refers to a sophisticated arrangement </w:t>
      </w:r>
      <w:r>
        <w:rPr>
          <w:rStyle w:val="None"/>
          <w:rFonts w:ascii="Verdana" w:hAnsi="Verdana"/>
          <w:i/>
          <w:iCs/>
          <w:sz w:val="24"/>
          <w:szCs w:val="24"/>
          <w:lang w:val="en-US"/>
        </w:rPr>
        <w:t>within</w:t>
      </w:r>
      <w:r>
        <w:rPr>
          <w:rStyle w:val="news-date"/>
          <w:rFonts w:ascii="Verdana" w:hAnsi="Verdana"/>
          <w:sz w:val="24"/>
          <w:szCs w:val="24"/>
        </w:rPr>
        <w:t xml:space="preserve"> a school modelled around the ethos of integration whereas shared education refers to an arrangement </w:t>
      </w:r>
      <w:r>
        <w:rPr>
          <w:rStyle w:val="None"/>
          <w:rFonts w:ascii="Verdana" w:hAnsi="Verdana"/>
          <w:i/>
          <w:iCs/>
          <w:sz w:val="24"/>
          <w:szCs w:val="24"/>
          <w:lang w:val="en-US"/>
        </w:rPr>
        <w:t>between</w:t>
      </w:r>
      <w:r>
        <w:rPr>
          <w:rStyle w:val="news-date"/>
          <w:rFonts w:ascii="Verdana" w:hAnsi="Verdana"/>
          <w:sz w:val="24"/>
          <w:szCs w:val="24"/>
        </w:rPr>
        <w:t xml:space="preserve"> two or more schools, which are each predominantly attended by pupils from the same background.</w:t>
      </w:r>
    </w:p>
    <w:p w:rsidR="00FA5218" w:rsidRDefault="00FA5218">
      <w:pPr>
        <w:pStyle w:val="BodyA"/>
        <w:spacing w:after="0" w:line="240" w:lineRule="auto"/>
      </w:pPr>
    </w:p>
    <w:p w:rsidR="00FA5218" w:rsidRDefault="00720B60">
      <w:pPr>
        <w:pStyle w:val="BodyA"/>
        <w:numPr>
          <w:ilvl w:val="0"/>
          <w:numId w:val="2"/>
        </w:numPr>
        <w:spacing w:after="0" w:line="240" w:lineRule="auto"/>
        <w:rPr>
          <w:rFonts w:ascii="Verdana" w:hAnsi="Verdana"/>
          <w:sz w:val="24"/>
          <w:szCs w:val="24"/>
          <w:lang w:val="it-IT"/>
        </w:rPr>
      </w:pPr>
      <w:r>
        <w:rPr>
          <w:rStyle w:val="None"/>
          <w:rFonts w:ascii="Verdana" w:hAnsi="Verdana"/>
          <w:sz w:val="24"/>
          <w:szCs w:val="24"/>
          <w:lang w:val="it-IT"/>
        </w:rPr>
        <w:t>In its earlier submission to the Committee the Commission referred to the Shared Education Bill, which has now progressed through the NI Assembly.</w:t>
      </w:r>
      <w:r>
        <w:rPr>
          <w:rStyle w:val="FootnoteReference"/>
          <w:rFonts w:ascii="Verdana" w:eastAsia="Verdana" w:hAnsi="Verdana" w:cs="Verdana"/>
          <w:sz w:val="24"/>
          <w:szCs w:val="24"/>
        </w:rPr>
        <w:footnoteReference w:id="81"/>
      </w:r>
      <w:r>
        <w:rPr>
          <w:rStyle w:val="news-date"/>
          <w:rFonts w:ascii="Verdana" w:hAnsi="Verdana"/>
          <w:sz w:val="24"/>
          <w:szCs w:val="24"/>
        </w:rPr>
        <w:t xml:space="preserve"> This Act places an obligation on the Department of Education to promote: “shared education’, which is defined in the Act as ‘the education together of—(a) those of different religious belief, including reasonable numbers of both Protestant and Roman Catholic children or young persons; and (b) those who are experiencing socio-economic deprivation and those who are not, which is secured by the working together and co-operation of two or more relevant providers.” </w:t>
      </w:r>
    </w:p>
    <w:p w:rsidR="00FA5218" w:rsidRDefault="00FA5218">
      <w:pPr>
        <w:pStyle w:val="ListParagraph"/>
        <w:ind w:left="0"/>
      </w:pPr>
    </w:p>
    <w:p w:rsidR="00FA5218" w:rsidRDefault="00720B60">
      <w:pPr>
        <w:pStyle w:val="BodyA"/>
        <w:numPr>
          <w:ilvl w:val="0"/>
          <w:numId w:val="2"/>
        </w:numPr>
        <w:spacing w:after="0" w:line="240" w:lineRule="auto"/>
        <w:rPr>
          <w:rFonts w:ascii="Verdana" w:hAnsi="Verdana"/>
          <w:sz w:val="24"/>
          <w:szCs w:val="24"/>
          <w:lang w:val="en-US"/>
        </w:rPr>
      </w:pPr>
      <w:r>
        <w:rPr>
          <w:rStyle w:val="news-date"/>
          <w:rFonts w:ascii="Verdana" w:hAnsi="Verdana"/>
          <w:sz w:val="24"/>
          <w:szCs w:val="24"/>
        </w:rPr>
        <w:t>The Bill will place an obligation on the Department to report on the impact of shared education on good relations between participating children and young people and on their attitudes towards persons from backgrounds other than their own.</w:t>
      </w:r>
      <w:r>
        <w:rPr>
          <w:rStyle w:val="FootnoteReference"/>
          <w:rFonts w:ascii="Verdana" w:eastAsia="Verdana" w:hAnsi="Verdana" w:cs="Verdana"/>
          <w:sz w:val="24"/>
          <w:szCs w:val="24"/>
        </w:rPr>
        <w:footnoteReference w:id="82"/>
      </w:r>
      <w:r>
        <w:rPr>
          <w:rStyle w:val="news-date"/>
          <w:rFonts w:ascii="Verdana" w:hAnsi="Verdana"/>
          <w:sz w:val="24"/>
          <w:szCs w:val="24"/>
        </w:rPr>
        <w:t xml:space="preserve"> The Commission welcomed the Bill and the reporting obligations on the Department. The delivery of obligations contained within the Shared Education Bill will go some way towards ending segregation in schools in Northern Ireland. Their delivery is dependent on adequate funding and political will. </w:t>
      </w:r>
    </w:p>
    <w:p w:rsidR="00FA5218" w:rsidRDefault="00FA5218">
      <w:pPr>
        <w:pStyle w:val="ListParagraph"/>
        <w:ind w:left="0"/>
      </w:pPr>
    </w:p>
    <w:p w:rsidR="00FA5218" w:rsidRDefault="00720B60">
      <w:pPr>
        <w:pStyle w:val="BodyA"/>
        <w:numPr>
          <w:ilvl w:val="0"/>
          <w:numId w:val="2"/>
        </w:numPr>
        <w:spacing w:after="0" w:line="240" w:lineRule="auto"/>
        <w:rPr>
          <w:rFonts w:ascii="Verdana" w:hAnsi="Verdana"/>
          <w:sz w:val="24"/>
          <w:szCs w:val="24"/>
          <w:lang w:val="en-US"/>
        </w:rPr>
      </w:pPr>
      <w:r>
        <w:rPr>
          <w:rStyle w:val="news-date"/>
          <w:rFonts w:ascii="Verdana" w:hAnsi="Verdana"/>
          <w:sz w:val="24"/>
          <w:szCs w:val="24"/>
        </w:rPr>
        <w:t>In its earlier submission the Commission referred to shortcomings identified by both the NI Assembly and by the NI High Court in the Department of Education planning policy related to the integrated education sector.</w:t>
      </w:r>
      <w:r>
        <w:rPr>
          <w:rStyle w:val="FootnoteReference"/>
          <w:rFonts w:ascii="Verdana" w:eastAsia="Verdana" w:hAnsi="Verdana" w:cs="Verdana"/>
          <w:sz w:val="24"/>
          <w:szCs w:val="24"/>
        </w:rPr>
        <w:footnoteReference w:id="83"/>
      </w:r>
      <w:r>
        <w:rPr>
          <w:rStyle w:val="news-date"/>
          <w:rFonts w:ascii="Verdana" w:hAnsi="Verdana"/>
          <w:sz w:val="24"/>
          <w:szCs w:val="24"/>
        </w:rPr>
        <w:t xml:space="preserve"> In January 2016 the Minister of Education announced a review of the planning, growth and development of integrated education.</w:t>
      </w:r>
      <w:r>
        <w:rPr>
          <w:rStyle w:val="FootnoteReference"/>
          <w:rFonts w:ascii="Verdana" w:eastAsia="Verdana" w:hAnsi="Verdana" w:cs="Verdana"/>
          <w:sz w:val="24"/>
          <w:szCs w:val="24"/>
        </w:rPr>
        <w:footnoteReference w:id="84"/>
      </w:r>
      <w:r>
        <w:rPr>
          <w:rStyle w:val="news-date"/>
          <w:rFonts w:ascii="Verdana" w:hAnsi="Verdana"/>
          <w:sz w:val="24"/>
          <w:szCs w:val="24"/>
        </w:rPr>
        <w:t xml:space="preserve"> In announcing the review the Minister acknowledged that: “Overall growth of the number of schools with an integrated management type has slowed since 2000 … </w:t>
      </w:r>
      <w:r>
        <w:rPr>
          <w:rStyle w:val="None"/>
          <w:rFonts w:ascii="Verdana" w:hAnsi="Verdana"/>
          <w:sz w:val="24"/>
          <w:szCs w:val="24"/>
          <w:lang w:val="pt-PT"/>
        </w:rPr>
        <w:t>[despite]</w:t>
      </w:r>
      <w:r>
        <w:rPr>
          <w:rStyle w:val="news-date"/>
          <w:rFonts w:ascii="Verdana" w:hAnsi="Verdana"/>
          <w:sz w:val="24"/>
          <w:szCs w:val="24"/>
        </w:rPr>
        <w:t>… a high parental demand/support for integrated education”.</w:t>
      </w:r>
      <w:r>
        <w:rPr>
          <w:rStyle w:val="FootnoteReference"/>
          <w:rFonts w:ascii="Verdana" w:eastAsia="Verdana" w:hAnsi="Verdana" w:cs="Verdana"/>
          <w:sz w:val="24"/>
          <w:szCs w:val="24"/>
        </w:rPr>
        <w:footnoteReference w:id="85"/>
      </w:r>
      <w:r>
        <w:rPr>
          <w:rStyle w:val="news-date"/>
          <w:rFonts w:ascii="Verdana" w:hAnsi="Verdana"/>
          <w:sz w:val="24"/>
          <w:szCs w:val="24"/>
        </w:rPr>
        <w:t xml:space="preserve"> The Review team will: “develop short and medium term proposals to develop a more integrated education system based on current legislation, enhance the network of viable schools and are cost effective and value for money”. </w:t>
      </w:r>
      <w:r>
        <w:rPr>
          <w:rStyle w:val="FootnoteReference"/>
          <w:rFonts w:ascii="Verdana" w:eastAsia="Verdana" w:hAnsi="Verdana" w:cs="Verdana"/>
          <w:sz w:val="24"/>
          <w:szCs w:val="24"/>
        </w:rPr>
        <w:footnoteReference w:id="86"/>
      </w:r>
    </w:p>
    <w:p w:rsidR="00FA5218" w:rsidRDefault="00FA5218">
      <w:pPr>
        <w:pStyle w:val="ListParagraph"/>
        <w:ind w:left="0"/>
      </w:pPr>
    </w:p>
    <w:p w:rsidR="00FA5218" w:rsidRDefault="00720B60">
      <w:pPr>
        <w:pStyle w:val="BodyA"/>
        <w:numPr>
          <w:ilvl w:val="0"/>
          <w:numId w:val="2"/>
        </w:numPr>
        <w:spacing w:after="0" w:line="240" w:lineRule="auto"/>
        <w:rPr>
          <w:rFonts w:ascii="Verdana" w:hAnsi="Verdana"/>
          <w:sz w:val="24"/>
          <w:szCs w:val="24"/>
          <w:lang w:val="en-US"/>
        </w:rPr>
      </w:pPr>
      <w:r>
        <w:rPr>
          <w:rStyle w:val="None"/>
          <w:rFonts w:ascii="Verdana" w:hAnsi="Verdana"/>
          <w:b/>
          <w:bCs/>
          <w:sz w:val="24"/>
          <w:szCs w:val="24"/>
          <w:lang w:val="en-US"/>
        </w:rPr>
        <w:t xml:space="preserve">The Committee may wish to recommend, in line with its previous concluding observations, that the State Party </w:t>
      </w:r>
      <w:proofErr w:type="spellStart"/>
      <w:r>
        <w:rPr>
          <w:rStyle w:val="None"/>
          <w:rFonts w:ascii="Verdana" w:hAnsi="Verdana"/>
          <w:b/>
          <w:bCs/>
          <w:sz w:val="24"/>
          <w:szCs w:val="24"/>
        </w:rPr>
        <w:t>take</w:t>
      </w:r>
      <w:proofErr w:type="spellEnd"/>
      <w:r>
        <w:rPr>
          <w:rStyle w:val="None"/>
          <w:rFonts w:ascii="Verdana" w:hAnsi="Verdana"/>
          <w:b/>
          <w:bCs/>
          <w:sz w:val="24"/>
          <w:szCs w:val="24"/>
        </w:rPr>
        <w:t xml:space="preserve"> </w:t>
      </w:r>
      <w:proofErr w:type="spellStart"/>
      <w:r>
        <w:rPr>
          <w:rStyle w:val="None"/>
          <w:rFonts w:ascii="Verdana" w:hAnsi="Verdana"/>
          <w:b/>
          <w:bCs/>
          <w:sz w:val="24"/>
          <w:szCs w:val="24"/>
        </w:rPr>
        <w:t>appropriate</w:t>
      </w:r>
      <w:proofErr w:type="spellEnd"/>
      <w:r>
        <w:rPr>
          <w:rStyle w:val="None"/>
          <w:rFonts w:ascii="Verdana" w:hAnsi="Verdana"/>
          <w:b/>
          <w:bCs/>
          <w:sz w:val="24"/>
          <w:szCs w:val="24"/>
        </w:rPr>
        <w:t xml:space="preserve"> </w:t>
      </w:r>
      <w:proofErr w:type="spellStart"/>
      <w:r>
        <w:rPr>
          <w:rStyle w:val="None"/>
          <w:rFonts w:ascii="Verdana" w:hAnsi="Verdana"/>
          <w:b/>
          <w:bCs/>
          <w:sz w:val="24"/>
          <w:szCs w:val="24"/>
        </w:rPr>
        <w:t>measures</w:t>
      </w:r>
      <w:proofErr w:type="spellEnd"/>
      <w:r>
        <w:rPr>
          <w:rStyle w:val="None"/>
          <w:rFonts w:ascii="Verdana" w:hAnsi="Verdana"/>
          <w:b/>
          <w:bCs/>
          <w:sz w:val="24"/>
          <w:szCs w:val="24"/>
        </w:rPr>
        <w:t xml:space="preserve"> to </w:t>
      </w:r>
      <w:proofErr w:type="spellStart"/>
      <w:r>
        <w:rPr>
          <w:rStyle w:val="None"/>
          <w:rFonts w:ascii="Verdana" w:hAnsi="Verdana"/>
          <w:b/>
          <w:bCs/>
          <w:sz w:val="24"/>
          <w:szCs w:val="24"/>
        </w:rPr>
        <w:t>facilitate</w:t>
      </w:r>
      <w:proofErr w:type="spellEnd"/>
      <w:r>
        <w:rPr>
          <w:rStyle w:val="None"/>
          <w:rFonts w:ascii="Verdana" w:hAnsi="Verdana"/>
          <w:b/>
          <w:bCs/>
          <w:sz w:val="24"/>
          <w:szCs w:val="24"/>
        </w:rPr>
        <w:t xml:space="preserve"> the establishment of </w:t>
      </w:r>
      <w:proofErr w:type="spellStart"/>
      <w:r>
        <w:rPr>
          <w:rStyle w:val="None"/>
          <w:rFonts w:ascii="Verdana" w:hAnsi="Verdana"/>
          <w:b/>
          <w:bCs/>
          <w:sz w:val="24"/>
          <w:szCs w:val="24"/>
        </w:rPr>
        <w:t>additional</w:t>
      </w:r>
      <w:proofErr w:type="spellEnd"/>
      <w:r>
        <w:rPr>
          <w:rStyle w:val="None"/>
          <w:rFonts w:ascii="Verdana" w:hAnsi="Verdana"/>
          <w:b/>
          <w:bCs/>
          <w:sz w:val="24"/>
          <w:szCs w:val="24"/>
        </w:rPr>
        <w:t xml:space="preserve"> </w:t>
      </w:r>
      <w:proofErr w:type="spellStart"/>
      <w:r>
        <w:rPr>
          <w:rStyle w:val="None"/>
          <w:rFonts w:ascii="Verdana" w:hAnsi="Verdana"/>
          <w:b/>
          <w:bCs/>
          <w:sz w:val="24"/>
          <w:szCs w:val="24"/>
        </w:rPr>
        <w:t>integrated</w:t>
      </w:r>
      <w:proofErr w:type="spellEnd"/>
      <w:r>
        <w:rPr>
          <w:rStyle w:val="None"/>
          <w:rFonts w:ascii="Verdana" w:hAnsi="Verdana"/>
          <w:b/>
          <w:bCs/>
          <w:sz w:val="24"/>
          <w:szCs w:val="24"/>
        </w:rPr>
        <w:t xml:space="preserve"> </w:t>
      </w:r>
      <w:proofErr w:type="spellStart"/>
      <w:r>
        <w:rPr>
          <w:rStyle w:val="None"/>
          <w:rFonts w:ascii="Verdana" w:hAnsi="Verdana"/>
          <w:b/>
          <w:bCs/>
          <w:sz w:val="24"/>
          <w:szCs w:val="24"/>
        </w:rPr>
        <w:t>schools</w:t>
      </w:r>
      <w:proofErr w:type="spellEnd"/>
      <w:r>
        <w:rPr>
          <w:rStyle w:val="None"/>
          <w:rFonts w:ascii="Verdana" w:hAnsi="Verdana"/>
          <w:b/>
          <w:bCs/>
          <w:sz w:val="24"/>
          <w:szCs w:val="24"/>
        </w:rPr>
        <w:t xml:space="preserve"> in </w:t>
      </w:r>
      <w:proofErr w:type="spellStart"/>
      <w:r>
        <w:rPr>
          <w:rStyle w:val="None"/>
          <w:rFonts w:ascii="Verdana" w:hAnsi="Verdana"/>
          <w:b/>
          <w:bCs/>
          <w:sz w:val="24"/>
          <w:szCs w:val="24"/>
        </w:rPr>
        <w:t>Northern</w:t>
      </w:r>
      <w:proofErr w:type="spellEnd"/>
      <w:r>
        <w:rPr>
          <w:rStyle w:val="None"/>
          <w:rFonts w:ascii="Verdana" w:hAnsi="Verdana"/>
          <w:b/>
          <w:bCs/>
          <w:sz w:val="24"/>
          <w:szCs w:val="24"/>
        </w:rPr>
        <w:t xml:space="preserve"> Ireland to </w:t>
      </w:r>
      <w:proofErr w:type="spellStart"/>
      <w:r>
        <w:rPr>
          <w:rStyle w:val="None"/>
          <w:rFonts w:ascii="Verdana" w:hAnsi="Verdana"/>
          <w:b/>
          <w:bCs/>
          <w:sz w:val="24"/>
          <w:szCs w:val="24"/>
        </w:rPr>
        <w:t>meet</w:t>
      </w:r>
      <w:proofErr w:type="spellEnd"/>
      <w:r>
        <w:rPr>
          <w:rStyle w:val="None"/>
          <w:rFonts w:ascii="Verdana" w:hAnsi="Verdana"/>
          <w:b/>
          <w:bCs/>
          <w:sz w:val="24"/>
          <w:szCs w:val="24"/>
        </w:rPr>
        <w:t xml:space="preserve"> the </w:t>
      </w:r>
      <w:proofErr w:type="spellStart"/>
      <w:r>
        <w:rPr>
          <w:rStyle w:val="None"/>
          <w:rFonts w:ascii="Verdana" w:hAnsi="Verdana"/>
          <w:b/>
          <w:bCs/>
          <w:sz w:val="24"/>
          <w:szCs w:val="24"/>
        </w:rPr>
        <w:t>demand</w:t>
      </w:r>
      <w:proofErr w:type="spellEnd"/>
      <w:r>
        <w:rPr>
          <w:rStyle w:val="None"/>
          <w:rFonts w:ascii="Verdana" w:hAnsi="Verdana"/>
          <w:b/>
          <w:bCs/>
          <w:sz w:val="24"/>
          <w:szCs w:val="24"/>
        </w:rPr>
        <w:t xml:space="preserve"> of a </w:t>
      </w:r>
      <w:proofErr w:type="spellStart"/>
      <w:r>
        <w:rPr>
          <w:rStyle w:val="None"/>
          <w:rFonts w:ascii="Verdana" w:hAnsi="Verdana"/>
          <w:b/>
          <w:bCs/>
          <w:sz w:val="24"/>
          <w:szCs w:val="24"/>
        </w:rPr>
        <w:t>significant</w:t>
      </w:r>
      <w:proofErr w:type="spellEnd"/>
      <w:r>
        <w:rPr>
          <w:rStyle w:val="None"/>
          <w:rFonts w:ascii="Verdana" w:hAnsi="Verdana"/>
          <w:b/>
          <w:bCs/>
          <w:sz w:val="24"/>
          <w:szCs w:val="24"/>
        </w:rPr>
        <w:t xml:space="preserve"> </w:t>
      </w:r>
      <w:proofErr w:type="spellStart"/>
      <w:r>
        <w:rPr>
          <w:rStyle w:val="None"/>
          <w:rFonts w:ascii="Verdana" w:hAnsi="Verdana"/>
          <w:b/>
          <w:bCs/>
          <w:sz w:val="24"/>
          <w:szCs w:val="24"/>
        </w:rPr>
        <w:t>number</w:t>
      </w:r>
      <w:proofErr w:type="spellEnd"/>
      <w:r>
        <w:rPr>
          <w:rStyle w:val="None"/>
          <w:rFonts w:ascii="Verdana" w:hAnsi="Verdana"/>
          <w:b/>
          <w:bCs/>
          <w:sz w:val="24"/>
          <w:szCs w:val="24"/>
        </w:rPr>
        <w:t xml:space="preserve"> of parents</w:t>
      </w:r>
      <w:r>
        <w:rPr>
          <w:rStyle w:val="None"/>
          <w:rFonts w:ascii="Verdana" w:eastAsia="Verdana" w:hAnsi="Verdana" w:cs="Verdana"/>
          <w:b/>
          <w:bCs/>
          <w:sz w:val="24"/>
          <w:szCs w:val="24"/>
          <w:vertAlign w:val="superscript"/>
          <w:lang w:val="en-US"/>
        </w:rPr>
        <w:footnoteReference w:id="87"/>
      </w:r>
      <w:r>
        <w:rPr>
          <w:rStyle w:val="None"/>
          <w:rFonts w:ascii="Verdana" w:hAnsi="Verdana"/>
          <w:b/>
          <w:bCs/>
          <w:sz w:val="24"/>
          <w:szCs w:val="24"/>
        </w:rPr>
        <w:t xml:space="preserve"> and </w:t>
      </w:r>
      <w:r>
        <w:rPr>
          <w:rStyle w:val="None"/>
          <w:rFonts w:ascii="Verdana" w:hAnsi="Verdana"/>
          <w:b/>
          <w:bCs/>
          <w:sz w:val="24"/>
          <w:szCs w:val="24"/>
          <w:lang w:val="en-US"/>
        </w:rPr>
        <w:t xml:space="preserve">ensure the roll out of shared education initiatives throughout Northern Ireland to allow children throughout the jurisdiction the opportunity to be educated alongside children from different backgrounds. </w:t>
      </w:r>
    </w:p>
    <w:p w:rsidR="00FA5218" w:rsidRDefault="00FA5218">
      <w:pPr>
        <w:pStyle w:val="BodyA"/>
        <w:spacing w:after="0" w:line="240" w:lineRule="auto"/>
      </w:pPr>
    </w:p>
    <w:p w:rsidR="00FA5218" w:rsidRDefault="00720B60">
      <w:pPr>
        <w:pStyle w:val="BodyA"/>
        <w:spacing w:after="0" w:line="240" w:lineRule="auto"/>
      </w:pPr>
      <w:r>
        <w:rPr>
          <w:rStyle w:val="None"/>
          <w:rFonts w:ascii="Verdana" w:hAnsi="Verdana"/>
          <w:b/>
          <w:bCs/>
          <w:sz w:val="24"/>
          <w:szCs w:val="24"/>
          <w:lang w:val="en-US"/>
        </w:rPr>
        <w:t xml:space="preserve">Academic Selection </w:t>
      </w:r>
    </w:p>
    <w:p w:rsidR="00FA5218" w:rsidRDefault="00FA5218">
      <w:pPr>
        <w:pStyle w:val="BodyA"/>
        <w:spacing w:after="0" w:line="240" w:lineRule="auto"/>
      </w:pPr>
    </w:p>
    <w:p w:rsidR="00FA5218" w:rsidRDefault="00720B60">
      <w:pPr>
        <w:pStyle w:val="BodyA"/>
        <w:numPr>
          <w:ilvl w:val="0"/>
          <w:numId w:val="2"/>
        </w:numPr>
        <w:spacing w:after="0" w:line="240" w:lineRule="auto"/>
        <w:rPr>
          <w:rFonts w:ascii="Verdana" w:hAnsi="Verdana"/>
          <w:sz w:val="24"/>
          <w:szCs w:val="24"/>
          <w:lang w:val="en-US"/>
        </w:rPr>
      </w:pPr>
      <w:r>
        <w:rPr>
          <w:rStyle w:val="news-date"/>
          <w:rFonts w:ascii="Verdana" w:hAnsi="Verdana"/>
          <w:sz w:val="24"/>
          <w:szCs w:val="24"/>
        </w:rPr>
        <w:t>As a result of the lack of a legislative framework for school admissions, an informal system of academic testing which is not regulated by the Department of Education, has emerged with most grammar schools continuing to use entrance exam results as the primary determinant for admission to school. Two different exams, both provided by private companies, are commonly used with many children completing both sets of tests.</w:t>
      </w:r>
    </w:p>
    <w:p w:rsidR="00FA5218" w:rsidRDefault="00FA5218">
      <w:pPr>
        <w:pStyle w:val="BodyA"/>
        <w:spacing w:after="0" w:line="240" w:lineRule="auto"/>
      </w:pPr>
    </w:p>
    <w:p w:rsidR="00FA5218" w:rsidRDefault="00720B60">
      <w:pPr>
        <w:pStyle w:val="BodyA"/>
        <w:numPr>
          <w:ilvl w:val="0"/>
          <w:numId w:val="2"/>
        </w:numPr>
        <w:spacing w:after="0" w:line="240" w:lineRule="auto"/>
        <w:rPr>
          <w:rFonts w:ascii="Verdana" w:hAnsi="Verdana"/>
          <w:sz w:val="24"/>
          <w:szCs w:val="24"/>
          <w:lang w:val="en-US"/>
        </w:rPr>
      </w:pPr>
      <w:r>
        <w:rPr>
          <w:rStyle w:val="news-date"/>
          <w:rFonts w:ascii="Verdana" w:hAnsi="Verdana"/>
          <w:sz w:val="24"/>
          <w:szCs w:val="24"/>
        </w:rPr>
        <w:t xml:space="preserve">In its earlier submission the Commission highlighted evidence that the lack of a legislative framework for non-selective post primary </w:t>
      </w:r>
      <w:r>
        <w:rPr>
          <w:rStyle w:val="news-date"/>
          <w:rFonts w:ascii="Verdana" w:hAnsi="Verdana"/>
          <w:sz w:val="24"/>
          <w:szCs w:val="24"/>
        </w:rPr>
        <w:lastRenderedPageBreak/>
        <w:t xml:space="preserve">school admissions disadvantages children from lower socio-economic groups. In December 2015 the findings of a report into the links in achievement and deprivation further corroborated this evidence. The report, commissioned by the OFMDFM, found that: </w:t>
      </w:r>
      <w:r>
        <w:rPr>
          <w:rStyle w:val="None"/>
          <w:rFonts w:ascii="Verdana" w:hAnsi="Verdana"/>
          <w:i/>
          <w:iCs/>
          <w:sz w:val="24"/>
          <w:szCs w:val="24"/>
          <w:lang w:val="en-US"/>
        </w:rPr>
        <w:t xml:space="preserve">“access to the best </w:t>
      </w:r>
      <w:r>
        <w:rPr>
          <w:rStyle w:val="news-date"/>
          <w:rFonts w:ascii="Verdana" w:hAnsi="Verdana"/>
          <w:sz w:val="24"/>
          <w:szCs w:val="24"/>
        </w:rPr>
        <w:t xml:space="preserve">education is too often determined by socio-economic status” and that “The current system significantly </w:t>
      </w:r>
      <w:proofErr w:type="spellStart"/>
      <w:r>
        <w:rPr>
          <w:rStyle w:val="news-date"/>
          <w:rFonts w:ascii="Verdana" w:hAnsi="Verdana"/>
          <w:sz w:val="24"/>
          <w:szCs w:val="24"/>
        </w:rPr>
        <w:t>favours</w:t>
      </w:r>
      <w:proofErr w:type="spellEnd"/>
      <w:r>
        <w:rPr>
          <w:rStyle w:val="news-date"/>
          <w:rFonts w:ascii="Verdana" w:hAnsi="Verdana"/>
          <w:sz w:val="24"/>
          <w:szCs w:val="24"/>
        </w:rPr>
        <w:t xml:space="preserve"> those with positive family norms around education, for example, academically successful parents, and the financial capacity to afford, for example, private tutors”. </w:t>
      </w:r>
      <w:r>
        <w:rPr>
          <w:rStyle w:val="FootnoteReference"/>
          <w:rFonts w:ascii="Verdana" w:eastAsia="Verdana" w:hAnsi="Verdana" w:cs="Verdana"/>
          <w:sz w:val="24"/>
          <w:szCs w:val="24"/>
        </w:rPr>
        <w:footnoteReference w:id="88"/>
      </w:r>
    </w:p>
    <w:p w:rsidR="00FA5218" w:rsidRDefault="00FA5218">
      <w:pPr>
        <w:pStyle w:val="ListParagraph"/>
        <w:ind w:left="0"/>
      </w:pPr>
    </w:p>
    <w:p w:rsidR="00FA5218" w:rsidRDefault="00720B60">
      <w:pPr>
        <w:pStyle w:val="BodyA"/>
        <w:numPr>
          <w:ilvl w:val="0"/>
          <w:numId w:val="2"/>
        </w:numPr>
        <w:spacing w:after="0" w:line="240" w:lineRule="auto"/>
        <w:rPr>
          <w:rFonts w:ascii="Verdana" w:hAnsi="Verdana"/>
          <w:sz w:val="24"/>
          <w:szCs w:val="24"/>
          <w:lang w:val="en-US"/>
        </w:rPr>
      </w:pPr>
      <w:r>
        <w:rPr>
          <w:rStyle w:val="None"/>
          <w:rFonts w:ascii="Verdana" w:hAnsi="Verdana"/>
          <w:b/>
          <w:bCs/>
          <w:sz w:val="24"/>
          <w:szCs w:val="24"/>
          <w:lang w:val="en-US"/>
        </w:rPr>
        <w:t xml:space="preserve">The Commission invites the Committee to recommend, </w:t>
      </w:r>
      <w:r>
        <w:rPr>
          <w:rStyle w:val="None"/>
          <w:rFonts w:ascii="Verdana" w:hAnsi="Verdana"/>
          <w:b/>
          <w:bCs/>
          <w:sz w:val="24"/>
          <w:szCs w:val="24"/>
        </w:rPr>
        <w:t xml:space="preserve">in line </w:t>
      </w:r>
      <w:proofErr w:type="spellStart"/>
      <w:r>
        <w:rPr>
          <w:rStyle w:val="None"/>
          <w:rFonts w:ascii="Verdana" w:hAnsi="Verdana"/>
          <w:b/>
          <w:bCs/>
          <w:sz w:val="24"/>
          <w:szCs w:val="24"/>
        </w:rPr>
        <w:t>with</w:t>
      </w:r>
      <w:proofErr w:type="spellEnd"/>
      <w:r>
        <w:rPr>
          <w:rStyle w:val="None"/>
          <w:rFonts w:ascii="Verdana" w:hAnsi="Verdana"/>
          <w:b/>
          <w:bCs/>
          <w:sz w:val="24"/>
          <w:szCs w:val="24"/>
        </w:rPr>
        <w:t xml:space="preserve"> </w:t>
      </w:r>
      <w:proofErr w:type="spellStart"/>
      <w:r>
        <w:rPr>
          <w:rStyle w:val="None"/>
          <w:rFonts w:ascii="Verdana" w:hAnsi="Verdana"/>
          <w:b/>
          <w:bCs/>
          <w:sz w:val="24"/>
          <w:szCs w:val="24"/>
        </w:rPr>
        <w:t>its</w:t>
      </w:r>
      <w:proofErr w:type="spellEnd"/>
      <w:r>
        <w:rPr>
          <w:rStyle w:val="None"/>
          <w:rFonts w:ascii="Verdana" w:hAnsi="Verdana"/>
          <w:b/>
          <w:bCs/>
          <w:sz w:val="24"/>
          <w:szCs w:val="24"/>
        </w:rPr>
        <w:t xml:space="preserve"> 2008 </w:t>
      </w:r>
      <w:proofErr w:type="spellStart"/>
      <w:r>
        <w:rPr>
          <w:rStyle w:val="None"/>
          <w:rFonts w:ascii="Verdana" w:hAnsi="Verdana"/>
          <w:b/>
          <w:bCs/>
          <w:sz w:val="24"/>
          <w:szCs w:val="24"/>
        </w:rPr>
        <w:t>recommendation</w:t>
      </w:r>
      <w:proofErr w:type="spellEnd"/>
      <w:r>
        <w:rPr>
          <w:rStyle w:val="None"/>
          <w:rFonts w:ascii="Verdana" w:hAnsi="Verdana"/>
          <w:b/>
          <w:bCs/>
          <w:sz w:val="24"/>
          <w:szCs w:val="24"/>
        </w:rPr>
        <w:t xml:space="preserve">, </w:t>
      </w:r>
      <w:proofErr w:type="spellStart"/>
      <w:r>
        <w:rPr>
          <w:rStyle w:val="None"/>
          <w:rFonts w:ascii="Verdana" w:hAnsi="Verdana"/>
          <w:b/>
          <w:bCs/>
          <w:sz w:val="24"/>
          <w:szCs w:val="24"/>
        </w:rPr>
        <w:t>that</w:t>
      </w:r>
      <w:proofErr w:type="spellEnd"/>
      <w:r>
        <w:rPr>
          <w:rStyle w:val="None"/>
          <w:rFonts w:ascii="Verdana" w:hAnsi="Verdana"/>
          <w:b/>
          <w:bCs/>
          <w:sz w:val="24"/>
          <w:szCs w:val="24"/>
        </w:rPr>
        <w:t xml:space="preserve"> the State party </w:t>
      </w:r>
      <w:proofErr w:type="spellStart"/>
      <w:r>
        <w:rPr>
          <w:rStyle w:val="None"/>
          <w:rFonts w:ascii="Verdana" w:hAnsi="Verdana"/>
          <w:b/>
          <w:bCs/>
          <w:sz w:val="24"/>
          <w:szCs w:val="24"/>
        </w:rPr>
        <w:t>effectively</w:t>
      </w:r>
      <w:proofErr w:type="spellEnd"/>
      <w:r>
        <w:rPr>
          <w:rStyle w:val="None"/>
          <w:rFonts w:ascii="Verdana" w:hAnsi="Verdana"/>
          <w:b/>
          <w:bCs/>
          <w:sz w:val="24"/>
          <w:szCs w:val="24"/>
        </w:rPr>
        <w:t xml:space="preserve"> “put an end to the </w:t>
      </w:r>
      <w:proofErr w:type="spellStart"/>
      <w:r>
        <w:rPr>
          <w:rStyle w:val="None"/>
          <w:rFonts w:ascii="Verdana" w:hAnsi="Verdana"/>
          <w:b/>
          <w:bCs/>
          <w:sz w:val="24"/>
          <w:szCs w:val="24"/>
        </w:rPr>
        <w:t>two-tier</w:t>
      </w:r>
      <w:proofErr w:type="spellEnd"/>
      <w:r>
        <w:rPr>
          <w:rStyle w:val="None"/>
          <w:rFonts w:ascii="Verdana" w:hAnsi="Verdana"/>
          <w:b/>
          <w:bCs/>
          <w:sz w:val="24"/>
          <w:szCs w:val="24"/>
        </w:rPr>
        <w:t xml:space="preserve"> culture in </w:t>
      </w:r>
      <w:proofErr w:type="spellStart"/>
      <w:r>
        <w:rPr>
          <w:rStyle w:val="None"/>
          <w:rFonts w:ascii="Verdana" w:hAnsi="Verdana"/>
          <w:b/>
          <w:bCs/>
          <w:sz w:val="24"/>
          <w:szCs w:val="24"/>
        </w:rPr>
        <w:t>Northern</w:t>
      </w:r>
      <w:proofErr w:type="spellEnd"/>
      <w:r>
        <w:rPr>
          <w:rStyle w:val="None"/>
          <w:rFonts w:ascii="Verdana" w:hAnsi="Verdana"/>
          <w:b/>
          <w:bCs/>
          <w:sz w:val="24"/>
          <w:szCs w:val="24"/>
        </w:rPr>
        <w:t xml:space="preserve"> Ireland…and </w:t>
      </w:r>
      <w:proofErr w:type="spellStart"/>
      <w:r>
        <w:rPr>
          <w:rStyle w:val="None"/>
          <w:rFonts w:ascii="Verdana" w:hAnsi="Verdana"/>
          <w:b/>
          <w:bCs/>
          <w:sz w:val="24"/>
          <w:szCs w:val="24"/>
        </w:rPr>
        <w:t>ensure</w:t>
      </w:r>
      <w:proofErr w:type="spellEnd"/>
      <w:r>
        <w:rPr>
          <w:rStyle w:val="None"/>
          <w:rFonts w:ascii="Verdana" w:hAnsi="Verdana"/>
          <w:b/>
          <w:bCs/>
          <w:sz w:val="24"/>
          <w:szCs w:val="24"/>
        </w:rPr>
        <w:t xml:space="preserve"> </w:t>
      </w:r>
      <w:proofErr w:type="spellStart"/>
      <w:r>
        <w:rPr>
          <w:rStyle w:val="None"/>
          <w:rFonts w:ascii="Verdana" w:hAnsi="Verdana"/>
          <w:b/>
          <w:bCs/>
          <w:sz w:val="24"/>
          <w:szCs w:val="24"/>
        </w:rPr>
        <w:t>that</w:t>
      </w:r>
      <w:proofErr w:type="spellEnd"/>
      <w:r>
        <w:rPr>
          <w:rStyle w:val="None"/>
          <w:rFonts w:ascii="Verdana" w:hAnsi="Verdana"/>
          <w:b/>
          <w:bCs/>
          <w:sz w:val="24"/>
          <w:szCs w:val="24"/>
        </w:rPr>
        <w:t xml:space="preserve"> all </w:t>
      </w:r>
      <w:proofErr w:type="spellStart"/>
      <w:r>
        <w:rPr>
          <w:rStyle w:val="None"/>
          <w:rFonts w:ascii="Verdana" w:hAnsi="Verdana"/>
          <w:b/>
          <w:bCs/>
          <w:sz w:val="24"/>
          <w:szCs w:val="24"/>
        </w:rPr>
        <w:t>children</w:t>
      </w:r>
      <w:proofErr w:type="spellEnd"/>
      <w:r>
        <w:rPr>
          <w:rStyle w:val="None"/>
          <w:rFonts w:ascii="Verdana" w:hAnsi="Verdana"/>
          <w:b/>
          <w:bCs/>
          <w:sz w:val="24"/>
          <w:szCs w:val="24"/>
        </w:rPr>
        <w:t xml:space="preserve"> are </w:t>
      </w:r>
      <w:proofErr w:type="spellStart"/>
      <w:r>
        <w:rPr>
          <w:rStyle w:val="None"/>
          <w:rFonts w:ascii="Verdana" w:hAnsi="Verdana"/>
          <w:b/>
          <w:bCs/>
          <w:sz w:val="24"/>
          <w:szCs w:val="24"/>
        </w:rPr>
        <w:t>included</w:t>
      </w:r>
      <w:proofErr w:type="spellEnd"/>
      <w:r>
        <w:rPr>
          <w:rStyle w:val="None"/>
          <w:rFonts w:ascii="Verdana" w:hAnsi="Verdana"/>
          <w:b/>
          <w:bCs/>
          <w:sz w:val="24"/>
          <w:szCs w:val="24"/>
        </w:rPr>
        <w:t xml:space="preserve"> in admission arrangements in post-</w:t>
      </w:r>
      <w:proofErr w:type="spellStart"/>
      <w:r>
        <w:rPr>
          <w:rStyle w:val="None"/>
          <w:rFonts w:ascii="Verdana" w:hAnsi="Verdana"/>
          <w:b/>
          <w:bCs/>
          <w:sz w:val="24"/>
          <w:szCs w:val="24"/>
        </w:rPr>
        <w:t>primary</w:t>
      </w:r>
      <w:proofErr w:type="spellEnd"/>
      <w:r>
        <w:rPr>
          <w:rStyle w:val="None"/>
          <w:rFonts w:ascii="Verdana" w:hAnsi="Verdana"/>
          <w:b/>
          <w:bCs/>
          <w:sz w:val="24"/>
          <w:szCs w:val="24"/>
        </w:rPr>
        <w:t xml:space="preserve"> </w:t>
      </w:r>
      <w:proofErr w:type="spellStart"/>
      <w:r>
        <w:rPr>
          <w:rStyle w:val="None"/>
          <w:rFonts w:ascii="Verdana" w:hAnsi="Verdana"/>
          <w:b/>
          <w:bCs/>
          <w:sz w:val="24"/>
          <w:szCs w:val="24"/>
        </w:rPr>
        <w:t>schools</w:t>
      </w:r>
      <w:proofErr w:type="spellEnd"/>
      <w:r>
        <w:rPr>
          <w:rStyle w:val="None"/>
          <w:rFonts w:ascii="Verdana" w:hAnsi="Verdana"/>
          <w:b/>
          <w:bCs/>
          <w:sz w:val="24"/>
          <w:szCs w:val="24"/>
        </w:rPr>
        <w:t>.”</w:t>
      </w:r>
      <w:r>
        <w:rPr>
          <w:rStyle w:val="None"/>
          <w:rFonts w:ascii="Verdana" w:eastAsia="Verdana" w:hAnsi="Verdana" w:cs="Verdana"/>
          <w:b/>
          <w:bCs/>
          <w:sz w:val="24"/>
          <w:szCs w:val="24"/>
          <w:vertAlign w:val="superscript"/>
          <w:lang w:val="en-US"/>
        </w:rPr>
        <w:footnoteReference w:id="89"/>
      </w:r>
    </w:p>
    <w:p w:rsidR="00FA5218" w:rsidRDefault="00FA5218">
      <w:pPr>
        <w:pStyle w:val="NoSpacing"/>
      </w:pPr>
    </w:p>
    <w:p w:rsidR="00FA5218" w:rsidRDefault="00720B60">
      <w:pPr>
        <w:pStyle w:val="BodyA"/>
        <w:spacing w:after="0" w:line="240" w:lineRule="auto"/>
      </w:pPr>
      <w:r>
        <w:rPr>
          <w:rStyle w:val="None"/>
          <w:rFonts w:ascii="Verdana" w:hAnsi="Verdana"/>
          <w:b/>
          <w:bCs/>
          <w:sz w:val="24"/>
          <w:szCs w:val="24"/>
          <w:lang w:val="en-US"/>
        </w:rPr>
        <w:t xml:space="preserve">Special Educational Needs and Disability </w:t>
      </w:r>
    </w:p>
    <w:p w:rsidR="00FA5218" w:rsidRDefault="00FA5218">
      <w:pPr>
        <w:pStyle w:val="BodyA"/>
        <w:spacing w:after="0" w:line="240" w:lineRule="auto"/>
      </w:pPr>
    </w:p>
    <w:p w:rsidR="00FA5218" w:rsidRDefault="00720B60">
      <w:pPr>
        <w:pStyle w:val="BodyA"/>
        <w:numPr>
          <w:ilvl w:val="0"/>
          <w:numId w:val="2"/>
        </w:numPr>
        <w:spacing w:after="0" w:line="240" w:lineRule="auto"/>
        <w:rPr>
          <w:rFonts w:ascii="Verdana" w:hAnsi="Verdana"/>
          <w:sz w:val="24"/>
          <w:szCs w:val="24"/>
          <w:lang w:val="en-US"/>
        </w:rPr>
      </w:pPr>
      <w:r>
        <w:rPr>
          <w:rStyle w:val="news-date"/>
          <w:rFonts w:ascii="Verdana" w:hAnsi="Verdana"/>
          <w:sz w:val="24"/>
          <w:szCs w:val="24"/>
        </w:rPr>
        <w:t xml:space="preserve">Since the Committee’s pre-session meeting the Special Education Needs Act 2016 has received Royal Assent. The Act introduced a new revised process for the </w:t>
      </w:r>
      <w:proofErr w:type="spellStart"/>
      <w:r>
        <w:rPr>
          <w:rStyle w:val="news-date"/>
          <w:rFonts w:ascii="Verdana" w:hAnsi="Verdana"/>
          <w:sz w:val="24"/>
          <w:szCs w:val="24"/>
        </w:rPr>
        <w:t>statementing</w:t>
      </w:r>
      <w:proofErr w:type="spellEnd"/>
      <w:r>
        <w:rPr>
          <w:rStyle w:val="news-date"/>
          <w:rFonts w:ascii="Verdana" w:hAnsi="Verdana"/>
          <w:sz w:val="24"/>
          <w:szCs w:val="24"/>
        </w:rPr>
        <w:t xml:space="preserve"> of children. There have been concerns that under the revised process children with special needs will receive less support.</w:t>
      </w:r>
      <w:r>
        <w:rPr>
          <w:rStyle w:val="FootnoteReference"/>
          <w:rFonts w:ascii="Verdana" w:eastAsia="Verdana" w:hAnsi="Verdana" w:cs="Verdana"/>
          <w:sz w:val="24"/>
          <w:szCs w:val="24"/>
        </w:rPr>
        <w:footnoteReference w:id="90"/>
      </w:r>
      <w:r>
        <w:rPr>
          <w:rStyle w:val="news-date"/>
          <w:rFonts w:ascii="Verdana" w:hAnsi="Verdana"/>
          <w:sz w:val="24"/>
          <w:szCs w:val="24"/>
        </w:rPr>
        <w:t xml:space="preserve"> An announcement by the Education Authority of an intention to reduce from 4.5 hours to 2.5 hours the time pre-school children with moderate to severe learning difficulties attend nurseries has raised further concerns that budgetary constraints will result in regression in educational support to children with disabilities.</w:t>
      </w:r>
      <w:r>
        <w:rPr>
          <w:rStyle w:val="FootnoteReference"/>
          <w:rFonts w:ascii="Verdana" w:eastAsia="Verdana" w:hAnsi="Verdana" w:cs="Verdana"/>
          <w:sz w:val="24"/>
          <w:szCs w:val="24"/>
        </w:rPr>
        <w:footnoteReference w:id="91"/>
      </w:r>
      <w:r>
        <w:rPr>
          <w:rStyle w:val="news-date"/>
          <w:rFonts w:ascii="Verdana" w:hAnsi="Verdana"/>
          <w:sz w:val="24"/>
          <w:szCs w:val="24"/>
        </w:rPr>
        <w:t xml:space="preserve"> The revised process will provide for reduced timescales for the assessment of children and their needs, such a reduction would be welcome, to </w:t>
      </w:r>
      <w:proofErr w:type="spellStart"/>
      <w:r>
        <w:rPr>
          <w:rStyle w:val="news-date"/>
          <w:rFonts w:ascii="Verdana" w:hAnsi="Verdana"/>
          <w:sz w:val="24"/>
          <w:szCs w:val="24"/>
        </w:rPr>
        <w:t>realise</w:t>
      </w:r>
      <w:proofErr w:type="spellEnd"/>
      <w:r>
        <w:rPr>
          <w:rStyle w:val="news-date"/>
          <w:rFonts w:ascii="Verdana" w:hAnsi="Verdana"/>
          <w:sz w:val="24"/>
          <w:szCs w:val="24"/>
        </w:rPr>
        <w:t xml:space="preserve"> this goal significant investment and robust cross-Departmental processes must be put in place.</w:t>
      </w:r>
      <w:r>
        <w:rPr>
          <w:rStyle w:val="FootnoteReference"/>
          <w:rFonts w:ascii="Verdana" w:eastAsia="Verdana" w:hAnsi="Verdana" w:cs="Verdana"/>
          <w:sz w:val="24"/>
          <w:szCs w:val="24"/>
        </w:rPr>
        <w:footnoteReference w:id="92"/>
      </w:r>
      <w:r>
        <w:rPr>
          <w:rStyle w:val="news-date"/>
          <w:rFonts w:ascii="Verdana" w:hAnsi="Verdana"/>
          <w:sz w:val="24"/>
          <w:szCs w:val="24"/>
        </w:rPr>
        <w:t xml:space="preserve"> Under the new scheme only children of compulsory school age will be afforded the right to appeal to the Special Educational Needs Tribunal.</w:t>
      </w:r>
      <w:r>
        <w:rPr>
          <w:rStyle w:val="FootnoteReference"/>
          <w:rFonts w:ascii="Verdana" w:eastAsia="Verdana" w:hAnsi="Verdana" w:cs="Verdana"/>
          <w:sz w:val="24"/>
          <w:szCs w:val="24"/>
        </w:rPr>
        <w:footnoteReference w:id="93"/>
      </w:r>
      <w:r>
        <w:rPr>
          <w:rStyle w:val="news-date"/>
          <w:rFonts w:ascii="Verdana" w:hAnsi="Verdana"/>
          <w:sz w:val="24"/>
          <w:szCs w:val="24"/>
        </w:rPr>
        <w:t xml:space="preserve"> The Act empowers the Department to pilot the provision of appeal rights for children under compulsory school age.</w:t>
      </w:r>
      <w:r>
        <w:rPr>
          <w:rStyle w:val="FootnoteReference"/>
          <w:rFonts w:ascii="Verdana" w:eastAsia="Verdana" w:hAnsi="Verdana" w:cs="Verdana"/>
          <w:sz w:val="24"/>
          <w:szCs w:val="24"/>
        </w:rPr>
        <w:footnoteReference w:id="94"/>
      </w:r>
      <w:r>
        <w:rPr>
          <w:rStyle w:val="news-date"/>
          <w:rFonts w:ascii="Verdana" w:hAnsi="Verdana"/>
          <w:sz w:val="24"/>
          <w:szCs w:val="24"/>
        </w:rPr>
        <w:t xml:space="preserve"> However, there is no obligation to actually conduct a pilot and the Department has ten years in which to conduct the pilot.</w:t>
      </w:r>
    </w:p>
    <w:p w:rsidR="00FA5218" w:rsidRDefault="00FA5218">
      <w:pPr>
        <w:pStyle w:val="BodyA"/>
        <w:spacing w:after="0" w:line="240" w:lineRule="auto"/>
      </w:pPr>
    </w:p>
    <w:p w:rsidR="00FA5218" w:rsidRDefault="00720B60">
      <w:pPr>
        <w:pStyle w:val="BodyA"/>
        <w:numPr>
          <w:ilvl w:val="0"/>
          <w:numId w:val="2"/>
        </w:numPr>
        <w:spacing w:after="0" w:line="240" w:lineRule="auto"/>
        <w:rPr>
          <w:rFonts w:ascii="Verdana" w:hAnsi="Verdana"/>
          <w:sz w:val="24"/>
          <w:szCs w:val="24"/>
          <w:lang w:val="en-US"/>
        </w:rPr>
      </w:pPr>
      <w:r>
        <w:rPr>
          <w:rStyle w:val="None"/>
          <w:rFonts w:ascii="Verdana" w:hAnsi="Verdana"/>
          <w:b/>
          <w:bCs/>
          <w:sz w:val="24"/>
          <w:szCs w:val="24"/>
          <w:lang w:val="en-US"/>
        </w:rPr>
        <w:t xml:space="preserve">The Committee may wish to recommend that the State Party ensure the implementation of the Special Educational Needs Act 2016 does not result in regression in terms of the numbers of children with special needs who are supported and the level of support which they receive and that revised assessments of children with special needs are sufficiently robust and carried out within an expedited timeframe.  Furthermore, the State Party should ensure the pilot of appeal rights to the Special Educational Needs Tribunal for children under the compulsory school age is carried out expeditiously. </w:t>
      </w:r>
    </w:p>
    <w:p w:rsidR="00FA5218" w:rsidRDefault="00FA5218">
      <w:pPr>
        <w:pStyle w:val="NoSpacing"/>
      </w:pPr>
    </w:p>
    <w:p w:rsidR="00FA5218" w:rsidRDefault="00720B60">
      <w:pPr>
        <w:pStyle w:val="NoSpacing"/>
      </w:pPr>
      <w:r>
        <w:rPr>
          <w:rStyle w:val="None"/>
          <w:rFonts w:ascii="Verdana" w:hAnsi="Verdana"/>
          <w:b/>
          <w:bCs/>
          <w:sz w:val="24"/>
          <w:szCs w:val="24"/>
          <w:u w:val="single"/>
        </w:rPr>
        <w:t>Special protection measures (arts. 22, 30, 32-33, 35-36, 37 (b)-(d), 38, 39 and 40)</w:t>
      </w:r>
    </w:p>
    <w:p w:rsidR="00FA5218" w:rsidRDefault="00FA5218">
      <w:pPr>
        <w:pStyle w:val="BodyA"/>
        <w:spacing w:after="0" w:line="240" w:lineRule="auto"/>
      </w:pPr>
    </w:p>
    <w:p w:rsidR="00FA5218" w:rsidRDefault="00720B60">
      <w:pPr>
        <w:pStyle w:val="BodyA"/>
        <w:spacing w:after="0" w:line="240" w:lineRule="auto"/>
      </w:pPr>
      <w:r>
        <w:rPr>
          <w:rStyle w:val="None"/>
          <w:rFonts w:ascii="Verdana" w:hAnsi="Verdana"/>
          <w:b/>
          <w:bCs/>
          <w:sz w:val="24"/>
          <w:szCs w:val="24"/>
          <w:lang w:val="en-US"/>
        </w:rPr>
        <w:t xml:space="preserve">Youth Justice Review </w:t>
      </w:r>
    </w:p>
    <w:p w:rsidR="00FA5218" w:rsidRDefault="00FA5218">
      <w:pPr>
        <w:pStyle w:val="BodyA"/>
        <w:spacing w:after="0" w:line="240" w:lineRule="auto"/>
      </w:pPr>
    </w:p>
    <w:p w:rsidR="00FA5218" w:rsidRDefault="00720B60">
      <w:pPr>
        <w:pStyle w:val="BodyA"/>
        <w:numPr>
          <w:ilvl w:val="0"/>
          <w:numId w:val="2"/>
        </w:numPr>
        <w:spacing w:after="0" w:line="240" w:lineRule="auto"/>
        <w:rPr>
          <w:rFonts w:ascii="Verdana" w:hAnsi="Verdana"/>
          <w:color w:val="444444"/>
          <w:sz w:val="24"/>
          <w:szCs w:val="24"/>
          <w:lang w:val="en-US"/>
        </w:rPr>
      </w:pPr>
      <w:r>
        <w:rPr>
          <w:rStyle w:val="None"/>
          <w:rFonts w:ascii="Verdana" w:hAnsi="Verdana"/>
          <w:sz w:val="24"/>
          <w:szCs w:val="24"/>
          <w:lang w:val="en-US"/>
        </w:rPr>
        <w:t>The Commission notes that by way of general comment no. 10 the Committee encouraged State Parties to develop and implement a comprehensive juvenile justice policy to prevent and address juvenile delinquency based on and in compliance with the UN CRC.</w:t>
      </w:r>
      <w:r>
        <w:rPr>
          <w:rStyle w:val="None"/>
          <w:rFonts w:ascii="Verdana" w:eastAsia="Verdana" w:hAnsi="Verdana" w:cs="Verdana"/>
          <w:sz w:val="24"/>
          <w:szCs w:val="24"/>
          <w:vertAlign w:val="superscript"/>
          <w:lang w:val="en-US"/>
        </w:rPr>
        <w:footnoteReference w:id="95"/>
      </w:r>
      <w:r>
        <w:rPr>
          <w:rStyle w:val="None"/>
          <w:rFonts w:ascii="Verdana" w:hAnsi="Verdana"/>
          <w:sz w:val="24"/>
          <w:szCs w:val="24"/>
          <w:lang w:val="en-US"/>
        </w:rPr>
        <w:t xml:space="preserve">  A Review of Youth Justice in Northern Ireland was carried out in 2010/11 and a subsequent report contained 49 recommendations for improving the youth justice system in Northern Ireland.</w:t>
      </w:r>
      <w:r>
        <w:rPr>
          <w:rStyle w:val="None"/>
          <w:rFonts w:ascii="Verdana" w:eastAsia="Verdana" w:hAnsi="Verdana" w:cs="Verdana"/>
          <w:sz w:val="24"/>
          <w:szCs w:val="24"/>
          <w:vertAlign w:val="superscript"/>
          <w:lang w:val="en-US"/>
        </w:rPr>
        <w:footnoteReference w:id="96"/>
      </w:r>
      <w:r>
        <w:rPr>
          <w:rStyle w:val="None"/>
          <w:rFonts w:ascii="Verdana" w:hAnsi="Verdana"/>
          <w:sz w:val="24"/>
          <w:szCs w:val="24"/>
          <w:lang w:val="en-US"/>
        </w:rPr>
        <w:t xml:space="preserve"> While the Review was well received and the Minister of Justice set a target to implement 90 percent of the agreed Youth Justice Review recommendations by March 2014, an inspection of progress against the recommendations carried out by the Criminal Justice Inspectorate reported in December 2015 that: </w:t>
      </w:r>
    </w:p>
    <w:p w:rsidR="00FA5218" w:rsidRDefault="00FA5218">
      <w:pPr>
        <w:pStyle w:val="BodyA"/>
        <w:spacing w:after="0" w:line="240" w:lineRule="auto"/>
      </w:pPr>
    </w:p>
    <w:p w:rsidR="00FA5218" w:rsidRDefault="00720B60">
      <w:pPr>
        <w:pStyle w:val="BodyA"/>
        <w:spacing w:after="0" w:line="240" w:lineRule="auto"/>
        <w:ind w:left="720"/>
      </w:pPr>
      <w:r>
        <w:rPr>
          <w:rStyle w:val="None"/>
          <w:rFonts w:ascii="Verdana" w:hAnsi="Verdana"/>
          <w:sz w:val="24"/>
          <w:szCs w:val="24"/>
          <w:lang w:val="en-US"/>
        </w:rPr>
        <w:t xml:space="preserve">Of the 45 accepted recommendations and sub-recommendations assessed, 26.5 have been achieved (59%) and 18.5 not achieved (41%). This fell short of the Ministerial target to achieve 90% of the YJR recommendations by 2014 … The last </w:t>
      </w:r>
      <w:proofErr w:type="spellStart"/>
      <w:r>
        <w:rPr>
          <w:rStyle w:val="None"/>
          <w:rFonts w:ascii="Verdana" w:hAnsi="Verdana"/>
          <w:sz w:val="24"/>
          <w:szCs w:val="24"/>
          <w:lang w:val="en-US"/>
        </w:rPr>
        <w:t>DoJ</w:t>
      </w:r>
      <w:proofErr w:type="spellEnd"/>
      <w:r>
        <w:rPr>
          <w:rStyle w:val="None"/>
          <w:rFonts w:ascii="Verdana" w:hAnsi="Verdana"/>
          <w:sz w:val="24"/>
          <w:szCs w:val="24"/>
          <w:lang w:val="en-US"/>
        </w:rPr>
        <w:t xml:space="preserve"> update on recommendations was made in January 2014, and the </w:t>
      </w:r>
      <w:proofErr w:type="spellStart"/>
      <w:r>
        <w:rPr>
          <w:rStyle w:val="None"/>
          <w:rFonts w:ascii="Verdana" w:hAnsi="Verdana"/>
          <w:sz w:val="24"/>
          <w:szCs w:val="24"/>
          <w:lang w:val="en-US"/>
        </w:rPr>
        <w:t>DoJ</w:t>
      </w:r>
      <w:proofErr w:type="spellEnd"/>
      <w:r>
        <w:rPr>
          <w:rStyle w:val="None"/>
          <w:rFonts w:ascii="Verdana" w:hAnsi="Verdana"/>
          <w:sz w:val="24"/>
          <w:szCs w:val="24"/>
          <w:lang w:val="en-US"/>
        </w:rPr>
        <w:t xml:space="preserve"> Youth Policy Team that </w:t>
      </w:r>
      <w:proofErr w:type="spellStart"/>
      <w:r>
        <w:rPr>
          <w:rStyle w:val="None"/>
          <w:rFonts w:ascii="Verdana" w:hAnsi="Verdana"/>
          <w:sz w:val="24"/>
          <w:szCs w:val="24"/>
          <w:lang w:val="en-US"/>
        </w:rPr>
        <w:t>co-ordinated</w:t>
      </w:r>
      <w:proofErr w:type="spellEnd"/>
      <w:r>
        <w:rPr>
          <w:rStyle w:val="None"/>
          <w:rFonts w:ascii="Verdana" w:hAnsi="Verdana"/>
          <w:sz w:val="24"/>
          <w:szCs w:val="24"/>
          <w:lang w:val="en-US"/>
        </w:rPr>
        <w:t xml:space="preserve"> agency responses, was no longer in place. The role of Criminal Justice Officer in the DHSSPS was no longer funded from April 2015. There was a lack of strategic oversight by the </w:t>
      </w:r>
      <w:proofErr w:type="spellStart"/>
      <w:r>
        <w:rPr>
          <w:rStyle w:val="None"/>
          <w:rFonts w:ascii="Verdana" w:hAnsi="Verdana"/>
          <w:sz w:val="24"/>
          <w:szCs w:val="24"/>
          <w:lang w:val="en-US"/>
        </w:rPr>
        <w:t>DoJ</w:t>
      </w:r>
      <w:proofErr w:type="spellEnd"/>
      <w:r>
        <w:rPr>
          <w:rStyle w:val="None"/>
          <w:rFonts w:ascii="Verdana" w:hAnsi="Verdana"/>
          <w:sz w:val="24"/>
          <w:szCs w:val="24"/>
          <w:lang w:val="en-US"/>
        </w:rPr>
        <w:t xml:space="preserve"> and the implementation of the recommendations was no longer a feature of the Criminal Justice Board agenda. The onus was therefore on the individual agencies to ensure the YJR aims were achieved.</w:t>
      </w:r>
      <w:r>
        <w:rPr>
          <w:rStyle w:val="None"/>
          <w:rFonts w:ascii="Verdana" w:eastAsia="Verdana" w:hAnsi="Verdana" w:cs="Verdana"/>
          <w:sz w:val="24"/>
          <w:szCs w:val="24"/>
          <w:vertAlign w:val="superscript"/>
          <w:lang w:val="en-US"/>
        </w:rPr>
        <w:footnoteReference w:id="97"/>
      </w:r>
    </w:p>
    <w:p w:rsidR="00FA5218" w:rsidRDefault="00FA5218">
      <w:pPr>
        <w:pStyle w:val="BodyA"/>
        <w:spacing w:after="0" w:line="240" w:lineRule="auto"/>
      </w:pPr>
    </w:p>
    <w:p w:rsidR="00FA5218" w:rsidRDefault="00720B60">
      <w:pPr>
        <w:pStyle w:val="BodyA"/>
        <w:numPr>
          <w:ilvl w:val="0"/>
          <w:numId w:val="2"/>
        </w:numPr>
        <w:spacing w:after="0" w:line="240" w:lineRule="auto"/>
        <w:rPr>
          <w:rFonts w:ascii="Verdana" w:hAnsi="Verdana"/>
          <w:sz w:val="24"/>
          <w:szCs w:val="24"/>
          <w:lang w:val="en-US"/>
        </w:rPr>
      </w:pPr>
      <w:r>
        <w:rPr>
          <w:rStyle w:val="news-date"/>
          <w:rFonts w:ascii="Verdana" w:hAnsi="Verdana"/>
          <w:sz w:val="24"/>
          <w:szCs w:val="24"/>
        </w:rPr>
        <w:lastRenderedPageBreak/>
        <w:t>The report by the Criminal Justice Inspectorate acknowledged that some recommendations were less relevant than when they were made and some were unrealistic in expecting delivery within the spirit and letter of what was intended. Nonetheless the report suggested a lack of strategic vision in integrating youth justice goals within the Department of Justice’s criminal justice policy and within the NI Executive’s approach to children in general.</w:t>
      </w:r>
      <w:r>
        <w:rPr>
          <w:rStyle w:val="FootnoteReference"/>
          <w:rFonts w:ascii="Verdana" w:eastAsia="Verdana" w:hAnsi="Verdana" w:cs="Verdana"/>
          <w:sz w:val="24"/>
          <w:szCs w:val="24"/>
        </w:rPr>
        <w:footnoteReference w:id="98"/>
      </w:r>
      <w:r>
        <w:rPr>
          <w:rStyle w:val="news-date"/>
          <w:rFonts w:ascii="Verdana" w:hAnsi="Verdana"/>
          <w:sz w:val="24"/>
          <w:szCs w:val="24"/>
        </w:rPr>
        <w:t xml:space="preserve"> Concerns regarding a lack of momentum around the implementation of the Youth Justice Review recommendations have been compounded by a restructuring within the Department of Justice which has placed the Youth Justice Agency under a new ‘Reducing Offending Directorate’ alongside the NI Prison Service. </w:t>
      </w:r>
      <w:r>
        <w:rPr>
          <w:rStyle w:val="FootnoteReference"/>
          <w:rFonts w:ascii="Verdana" w:eastAsia="Verdana" w:hAnsi="Verdana" w:cs="Verdana"/>
          <w:sz w:val="24"/>
          <w:szCs w:val="24"/>
        </w:rPr>
        <w:footnoteReference w:id="99"/>
      </w:r>
    </w:p>
    <w:p w:rsidR="00FA5218" w:rsidRDefault="00FA5218">
      <w:pPr>
        <w:pStyle w:val="BodyA"/>
        <w:spacing w:after="0" w:line="240" w:lineRule="auto"/>
      </w:pPr>
    </w:p>
    <w:p w:rsidR="00FA5218" w:rsidRDefault="00720B60">
      <w:pPr>
        <w:pStyle w:val="BodyA"/>
        <w:numPr>
          <w:ilvl w:val="0"/>
          <w:numId w:val="2"/>
        </w:numPr>
        <w:spacing w:after="0" w:line="240" w:lineRule="auto"/>
        <w:rPr>
          <w:rFonts w:ascii="Verdana" w:hAnsi="Verdana"/>
          <w:sz w:val="24"/>
          <w:szCs w:val="24"/>
          <w:lang w:val="en-US"/>
        </w:rPr>
      </w:pPr>
      <w:r>
        <w:rPr>
          <w:rStyle w:val="news-date"/>
          <w:rFonts w:ascii="Verdana" w:hAnsi="Verdana"/>
          <w:sz w:val="24"/>
          <w:szCs w:val="24"/>
        </w:rPr>
        <w:t>In his response to this report the Minister of Justice has: commissioned a scoping study into children in the justice system to consider the entire legislative and structural framework surrounding youth justice with a view to further improving the way the justice system responds to children who come into contact with it.</w:t>
      </w:r>
      <w:r>
        <w:rPr>
          <w:rStyle w:val="FootnoteReference"/>
          <w:rFonts w:ascii="Verdana" w:eastAsia="Verdana" w:hAnsi="Verdana" w:cs="Verdana"/>
          <w:sz w:val="24"/>
          <w:szCs w:val="24"/>
        </w:rPr>
        <w:footnoteReference w:id="100"/>
      </w:r>
      <w:r>
        <w:rPr>
          <w:rStyle w:val="news-date"/>
          <w:rFonts w:ascii="Verdana" w:hAnsi="Verdana"/>
          <w:sz w:val="24"/>
          <w:szCs w:val="24"/>
        </w:rPr>
        <w:t xml:space="preserve"> The Minister of Justice provided an overview of the results of the scoping study prior to the dissolution of the NI Assembly for elections.</w:t>
      </w:r>
      <w:r>
        <w:rPr>
          <w:rStyle w:val="FootnoteReference"/>
          <w:rFonts w:ascii="Verdana" w:eastAsia="Verdana" w:hAnsi="Verdana" w:cs="Verdana"/>
          <w:sz w:val="24"/>
          <w:szCs w:val="24"/>
        </w:rPr>
        <w:footnoteReference w:id="101"/>
      </w:r>
    </w:p>
    <w:p w:rsidR="00FA5218" w:rsidRDefault="00FA5218">
      <w:pPr>
        <w:pStyle w:val="BodyA"/>
        <w:spacing w:after="0" w:line="240" w:lineRule="auto"/>
      </w:pPr>
    </w:p>
    <w:p w:rsidR="00FA5218" w:rsidRDefault="00720B60">
      <w:pPr>
        <w:pStyle w:val="BodyA"/>
        <w:numPr>
          <w:ilvl w:val="0"/>
          <w:numId w:val="4"/>
        </w:numPr>
        <w:spacing w:after="0" w:line="240" w:lineRule="auto"/>
        <w:rPr>
          <w:rFonts w:ascii="Verdana" w:hAnsi="Verdana"/>
          <w:b/>
          <w:bCs/>
          <w:sz w:val="24"/>
          <w:szCs w:val="24"/>
          <w:lang w:val="en-US"/>
        </w:rPr>
      </w:pPr>
      <w:r>
        <w:rPr>
          <w:rStyle w:val="news-date"/>
          <w:rFonts w:ascii="Verdana" w:hAnsi="Verdana"/>
          <w:b/>
          <w:bCs/>
          <w:sz w:val="24"/>
          <w:szCs w:val="24"/>
        </w:rPr>
        <w:t xml:space="preserve">The Committee invites the Committee to urge the State Party to ensure the effective implementation of the Youth Justice Review NI to ensure there is in place a comprehensive policy for juvenile justice which ensures a holistic approach to the prevention of juvenile delinquency and that children in conflict with the law are treated in line with their best interests and in ways that promote their reintegration and facilitates them assuming a constructive role in society. </w:t>
      </w:r>
    </w:p>
    <w:p w:rsidR="00FA5218" w:rsidRDefault="00FA5218">
      <w:pPr>
        <w:pStyle w:val="BodyA"/>
        <w:spacing w:after="0" w:line="240" w:lineRule="auto"/>
      </w:pPr>
    </w:p>
    <w:p w:rsidR="00FA5218" w:rsidRDefault="00720B60">
      <w:pPr>
        <w:pStyle w:val="BodyA"/>
        <w:spacing w:after="0" w:line="240" w:lineRule="auto"/>
      </w:pPr>
      <w:r>
        <w:rPr>
          <w:rStyle w:val="None"/>
          <w:rFonts w:ascii="Verdana" w:hAnsi="Verdana"/>
          <w:b/>
          <w:bCs/>
          <w:sz w:val="24"/>
          <w:szCs w:val="24"/>
          <w:u w:color="444444"/>
          <w:lang w:val="en-US"/>
        </w:rPr>
        <w:t>Minimum age of criminal responsibility</w:t>
      </w:r>
    </w:p>
    <w:p w:rsidR="00FA5218" w:rsidRDefault="00FA5218">
      <w:pPr>
        <w:pStyle w:val="NoSpacing"/>
      </w:pPr>
    </w:p>
    <w:p w:rsidR="00FA5218" w:rsidRDefault="00720B60">
      <w:pPr>
        <w:pStyle w:val="NoSpacing"/>
        <w:numPr>
          <w:ilvl w:val="0"/>
          <w:numId w:val="2"/>
        </w:numPr>
        <w:rPr>
          <w:rFonts w:ascii="Verdana" w:hAnsi="Verdana"/>
          <w:sz w:val="24"/>
          <w:szCs w:val="24"/>
        </w:rPr>
      </w:pPr>
      <w:r>
        <w:rPr>
          <w:rStyle w:val="None"/>
          <w:rFonts w:ascii="Verdana" w:hAnsi="Verdana"/>
          <w:sz w:val="24"/>
          <w:szCs w:val="24"/>
        </w:rPr>
        <w:t xml:space="preserve">The age of criminal responsibility remains at 10 years old in Northern Ireland, as in England and Wales, despite the Committee’s recommendations on three separate occasions that the State Party increase the minimum age of criminal responsibility. The NIHRC has repeatedly advised the Northern Ireland Executive that the minimum age of criminal responsibility should be raised to at least 12 in line with international human rights standards as expressed in the Committee’s </w:t>
      </w:r>
      <w:r>
        <w:rPr>
          <w:rStyle w:val="None"/>
          <w:rFonts w:ascii="Verdana" w:hAnsi="Verdana"/>
          <w:sz w:val="24"/>
          <w:szCs w:val="24"/>
        </w:rPr>
        <w:lastRenderedPageBreak/>
        <w:t>General Comment Number 10 which states that a minimum age of criminal responsibility below the age of 12 is not acceptable.</w:t>
      </w:r>
    </w:p>
    <w:p w:rsidR="00FA5218" w:rsidRDefault="00FA5218">
      <w:pPr>
        <w:pStyle w:val="NoSpacing"/>
      </w:pPr>
    </w:p>
    <w:p w:rsidR="00FA5218" w:rsidRDefault="00720B60">
      <w:pPr>
        <w:pStyle w:val="NoSpacing"/>
        <w:numPr>
          <w:ilvl w:val="0"/>
          <w:numId w:val="2"/>
        </w:numPr>
        <w:rPr>
          <w:rFonts w:ascii="Verdana" w:hAnsi="Verdana"/>
          <w:sz w:val="24"/>
          <w:szCs w:val="24"/>
        </w:rPr>
      </w:pPr>
      <w:r>
        <w:rPr>
          <w:rStyle w:val="None"/>
          <w:rFonts w:ascii="Verdana" w:hAnsi="Verdana"/>
          <w:sz w:val="24"/>
          <w:szCs w:val="24"/>
        </w:rPr>
        <w:t>The Review of Youth Justice (2011) recommended that, “[t]he minimum age of criminal responsibility in Northern Ireland should be raised to 12 with immediate effect, and that following a period of review of no more than three years, consideration should be given to raising the age to 14”.</w:t>
      </w:r>
      <w:r>
        <w:rPr>
          <w:rStyle w:val="None"/>
          <w:rFonts w:ascii="Verdana" w:eastAsia="Verdana" w:hAnsi="Verdana" w:cs="Verdana"/>
          <w:sz w:val="24"/>
          <w:szCs w:val="24"/>
          <w:vertAlign w:val="superscript"/>
        </w:rPr>
        <w:footnoteReference w:id="102"/>
      </w:r>
      <w:r>
        <w:rPr>
          <w:rStyle w:val="None"/>
          <w:rFonts w:ascii="Verdana" w:hAnsi="Verdana"/>
          <w:sz w:val="24"/>
          <w:szCs w:val="24"/>
        </w:rPr>
        <w:t xml:space="preserve">  The Minister of Justice for Northern Ireland recently stated:</w:t>
      </w:r>
    </w:p>
    <w:p w:rsidR="00FA5218" w:rsidRDefault="00FA5218">
      <w:pPr>
        <w:pStyle w:val="NoSpacing"/>
      </w:pPr>
    </w:p>
    <w:p w:rsidR="00FA5218" w:rsidRDefault="00720B60" w:rsidP="006A56D8">
      <w:pPr>
        <w:pStyle w:val="NoSpacing"/>
        <w:ind w:left="720"/>
      </w:pPr>
      <w:proofErr w:type="gramStart"/>
      <w:r>
        <w:rPr>
          <w:rStyle w:val="None"/>
          <w:rFonts w:ascii="Verdana" w:hAnsi="Verdana"/>
          <w:sz w:val="24"/>
          <w:szCs w:val="24"/>
        </w:rPr>
        <w:t>in</w:t>
      </w:r>
      <w:proofErr w:type="gramEnd"/>
      <w:r>
        <w:rPr>
          <w:rStyle w:val="None"/>
          <w:rFonts w:ascii="Verdana" w:hAnsi="Verdana"/>
          <w:sz w:val="24"/>
          <w:szCs w:val="24"/>
        </w:rPr>
        <w:t xml:space="preserve"> line with a strong recommendation from the United Nations Committee on the Rights of the Child, I fully support an increase in the Minimum Age of Criminal Responsibility. However any such change would require cross-party support, and there is currently an absence of sufficient political support to implement such an increase.</w:t>
      </w:r>
      <w:r>
        <w:rPr>
          <w:rStyle w:val="None"/>
          <w:rFonts w:ascii="Verdana" w:eastAsia="Verdana" w:hAnsi="Verdana" w:cs="Verdana"/>
          <w:sz w:val="24"/>
          <w:szCs w:val="24"/>
          <w:vertAlign w:val="superscript"/>
        </w:rPr>
        <w:footnoteReference w:id="103"/>
      </w:r>
    </w:p>
    <w:p w:rsidR="00FA5218" w:rsidRDefault="00FA5218">
      <w:pPr>
        <w:pStyle w:val="NoSpacing"/>
      </w:pPr>
    </w:p>
    <w:p w:rsidR="00FA5218" w:rsidRDefault="00720B60">
      <w:pPr>
        <w:pStyle w:val="NoSpacing"/>
        <w:numPr>
          <w:ilvl w:val="0"/>
          <w:numId w:val="2"/>
        </w:numPr>
        <w:rPr>
          <w:rFonts w:ascii="Verdana" w:hAnsi="Verdana"/>
          <w:sz w:val="24"/>
          <w:szCs w:val="24"/>
        </w:rPr>
      </w:pPr>
      <w:r>
        <w:rPr>
          <w:rStyle w:val="None"/>
          <w:rFonts w:ascii="Verdana" w:hAnsi="Verdana"/>
          <w:sz w:val="24"/>
          <w:szCs w:val="24"/>
        </w:rPr>
        <w:t>Whilst the aforementioned scoping study recommended an increase in the age of criminal responsibility the Minister does not intend to bring any legislative proposals before the Northern Ireland Assembly due to a lack of consensus amongst the political parties on this matter.</w:t>
      </w:r>
      <w:r>
        <w:rPr>
          <w:rStyle w:val="None"/>
          <w:rFonts w:ascii="Verdana" w:eastAsia="Verdana" w:hAnsi="Verdana" w:cs="Verdana"/>
          <w:sz w:val="24"/>
          <w:szCs w:val="24"/>
          <w:vertAlign w:val="superscript"/>
        </w:rPr>
        <w:footnoteReference w:id="104"/>
      </w:r>
      <w:r>
        <w:rPr>
          <w:rStyle w:val="None"/>
          <w:rFonts w:ascii="Verdana" w:hAnsi="Verdana"/>
          <w:sz w:val="24"/>
          <w:szCs w:val="24"/>
        </w:rPr>
        <w:t xml:space="preserve"> </w:t>
      </w:r>
    </w:p>
    <w:p w:rsidR="00FA5218" w:rsidRDefault="00FA5218">
      <w:pPr>
        <w:pStyle w:val="NoSpacing"/>
      </w:pPr>
    </w:p>
    <w:p w:rsidR="00FA5218" w:rsidRDefault="00720B60">
      <w:pPr>
        <w:pStyle w:val="Default"/>
        <w:numPr>
          <w:ilvl w:val="0"/>
          <w:numId w:val="4"/>
        </w:numPr>
        <w:rPr>
          <w:b/>
          <w:bCs/>
        </w:rPr>
      </w:pPr>
      <w:r>
        <w:rPr>
          <w:rStyle w:val="None"/>
          <w:b/>
          <w:bCs/>
        </w:rPr>
        <w:t xml:space="preserve">The Commission invites the Committee to ask the State party, including its devolved administrations, to take immediate action to increase the minimum age of criminal responsibility in Northern Ireland. </w:t>
      </w:r>
    </w:p>
    <w:p w:rsidR="00FA5218" w:rsidRDefault="00FA5218">
      <w:pPr>
        <w:pStyle w:val="BodyA"/>
        <w:spacing w:after="0" w:line="240" w:lineRule="auto"/>
      </w:pPr>
    </w:p>
    <w:p w:rsidR="00FA5218" w:rsidRDefault="00720B60">
      <w:pPr>
        <w:pStyle w:val="BodyA"/>
        <w:spacing w:after="0" w:line="240" w:lineRule="auto"/>
      </w:pPr>
      <w:r>
        <w:rPr>
          <w:rStyle w:val="None"/>
          <w:rFonts w:ascii="Verdana" w:hAnsi="Verdana"/>
          <w:b/>
          <w:bCs/>
          <w:sz w:val="24"/>
          <w:szCs w:val="24"/>
          <w:lang w:val="en-US"/>
        </w:rPr>
        <w:t>Detention of Children</w:t>
      </w:r>
    </w:p>
    <w:p w:rsidR="00FA5218" w:rsidRDefault="00FA5218">
      <w:pPr>
        <w:pStyle w:val="BodyA"/>
        <w:spacing w:after="0" w:line="240" w:lineRule="auto"/>
      </w:pPr>
    </w:p>
    <w:p w:rsidR="00FA5218" w:rsidRDefault="00FA5218">
      <w:pPr>
        <w:pStyle w:val="BodyA"/>
        <w:spacing w:after="0" w:line="240" w:lineRule="auto"/>
      </w:pPr>
    </w:p>
    <w:p w:rsidR="00FA5218" w:rsidRDefault="00720B60">
      <w:pPr>
        <w:pStyle w:val="BodyA"/>
        <w:numPr>
          <w:ilvl w:val="0"/>
          <w:numId w:val="2"/>
        </w:numPr>
        <w:spacing w:after="0" w:line="240" w:lineRule="auto"/>
        <w:rPr>
          <w:rFonts w:ascii="Verdana" w:hAnsi="Verdana"/>
          <w:sz w:val="24"/>
          <w:szCs w:val="24"/>
          <w:lang w:val="en-US"/>
        </w:rPr>
      </w:pPr>
      <w:r>
        <w:rPr>
          <w:rStyle w:val="news-date"/>
          <w:rFonts w:ascii="Verdana" w:hAnsi="Verdana"/>
          <w:sz w:val="24"/>
          <w:szCs w:val="24"/>
        </w:rPr>
        <w:t>The Youth Justice Review NI (2011) recommended strict adherence to the statutory presumption of bail supported, inter-alia by the application of relevant, proportionate and realistic bail conditions and the availability of an appropriate mix of suitable accommodation.</w:t>
      </w:r>
      <w:r>
        <w:rPr>
          <w:rStyle w:val="FootnoteReference"/>
          <w:rFonts w:ascii="Verdana" w:eastAsia="Verdana" w:hAnsi="Verdana" w:cs="Verdana"/>
          <w:sz w:val="24"/>
          <w:szCs w:val="24"/>
        </w:rPr>
        <w:footnoteReference w:id="105"/>
      </w:r>
    </w:p>
    <w:p w:rsidR="00FA5218" w:rsidRDefault="00FA5218">
      <w:pPr>
        <w:pStyle w:val="BodyA"/>
        <w:spacing w:after="0" w:line="240" w:lineRule="auto"/>
      </w:pPr>
    </w:p>
    <w:p w:rsidR="00FA5218" w:rsidRDefault="00720B60">
      <w:pPr>
        <w:pStyle w:val="BodyA"/>
        <w:numPr>
          <w:ilvl w:val="0"/>
          <w:numId w:val="2"/>
        </w:numPr>
        <w:spacing w:after="0" w:line="240" w:lineRule="auto"/>
        <w:rPr>
          <w:rFonts w:ascii="Verdana" w:hAnsi="Verdana"/>
          <w:sz w:val="24"/>
          <w:szCs w:val="24"/>
          <w:lang w:val="en-US"/>
        </w:rPr>
      </w:pPr>
      <w:r>
        <w:rPr>
          <w:rStyle w:val="news-date"/>
          <w:rFonts w:ascii="Verdana" w:hAnsi="Verdana"/>
          <w:sz w:val="24"/>
          <w:szCs w:val="24"/>
        </w:rPr>
        <w:t xml:space="preserve">This recommendation was accepted by the Department of Justice and a multi-agency and cross-departmental Bail Action Plan was agreed. An inspection of progress on implementation carried out by the Criminal Justice Inspectorate for NI (CJINI) in December 2015 found </w:t>
      </w:r>
      <w:r>
        <w:rPr>
          <w:rStyle w:val="news-date"/>
          <w:rFonts w:ascii="Verdana" w:hAnsi="Verdana"/>
          <w:sz w:val="24"/>
          <w:szCs w:val="24"/>
        </w:rPr>
        <w:lastRenderedPageBreak/>
        <w:t xml:space="preserve">that, ‘The PACE/Bail Action Plan was no longer viable, with </w:t>
      </w:r>
      <w:proofErr w:type="spellStart"/>
      <w:r>
        <w:rPr>
          <w:rStyle w:val="news-date"/>
          <w:rFonts w:ascii="Verdana" w:hAnsi="Verdana"/>
          <w:sz w:val="24"/>
          <w:szCs w:val="24"/>
        </w:rPr>
        <w:t>DoJ</w:t>
      </w:r>
      <w:proofErr w:type="spellEnd"/>
      <w:r>
        <w:rPr>
          <w:rStyle w:val="news-date"/>
          <w:rFonts w:ascii="Verdana" w:hAnsi="Verdana"/>
          <w:sz w:val="24"/>
          <w:szCs w:val="24"/>
        </w:rPr>
        <w:t xml:space="preserve"> unable to commit personnel to assist with any future scheme. There was no concrete future date for implementation of this recommendation. Accordingly, this recommendation cannot be considered achieved.</w:t>
      </w:r>
      <w:r>
        <w:rPr>
          <w:rStyle w:val="FootnoteReference"/>
          <w:rFonts w:ascii="Verdana" w:eastAsia="Verdana" w:hAnsi="Verdana" w:cs="Verdana"/>
          <w:sz w:val="24"/>
          <w:szCs w:val="24"/>
        </w:rPr>
        <w:footnoteReference w:id="106"/>
      </w:r>
      <w:r>
        <w:rPr>
          <w:rStyle w:val="news-date"/>
          <w:rFonts w:ascii="Verdana" w:hAnsi="Verdana"/>
          <w:sz w:val="24"/>
          <w:szCs w:val="24"/>
        </w:rPr>
        <w:t xml:space="preserve"> </w:t>
      </w:r>
    </w:p>
    <w:p w:rsidR="00FA5218" w:rsidRDefault="00FA5218">
      <w:pPr>
        <w:pStyle w:val="BodyA"/>
        <w:spacing w:after="0" w:line="240" w:lineRule="auto"/>
      </w:pPr>
    </w:p>
    <w:p w:rsidR="00FA5218" w:rsidRDefault="00720B60">
      <w:pPr>
        <w:pStyle w:val="BodyA"/>
        <w:numPr>
          <w:ilvl w:val="0"/>
          <w:numId w:val="2"/>
        </w:numPr>
        <w:spacing w:after="0" w:line="240" w:lineRule="auto"/>
        <w:rPr>
          <w:rFonts w:ascii="Verdana" w:hAnsi="Verdana"/>
          <w:sz w:val="24"/>
          <w:szCs w:val="24"/>
          <w:lang w:val="en-US"/>
        </w:rPr>
      </w:pPr>
      <w:r>
        <w:rPr>
          <w:rStyle w:val="news-date"/>
          <w:rFonts w:ascii="Verdana" w:hAnsi="Verdana"/>
          <w:sz w:val="24"/>
          <w:szCs w:val="24"/>
        </w:rPr>
        <w:t xml:space="preserve">In addition a commitment to legislate to provide that a child will only be remanded in custody where there is a real prospect that they will receive a custodial sentence if convicted has not been </w:t>
      </w:r>
      <w:proofErr w:type="spellStart"/>
      <w:r>
        <w:rPr>
          <w:rStyle w:val="news-date"/>
          <w:rFonts w:ascii="Verdana" w:hAnsi="Verdana"/>
          <w:sz w:val="24"/>
          <w:szCs w:val="24"/>
        </w:rPr>
        <w:t>realised</w:t>
      </w:r>
      <w:proofErr w:type="spellEnd"/>
      <w:r>
        <w:rPr>
          <w:rStyle w:val="news-date"/>
          <w:rFonts w:ascii="Verdana" w:hAnsi="Verdana"/>
          <w:sz w:val="24"/>
          <w:szCs w:val="24"/>
        </w:rPr>
        <w:t>.</w:t>
      </w:r>
      <w:r>
        <w:rPr>
          <w:rStyle w:val="FootnoteReference"/>
          <w:rFonts w:ascii="Verdana" w:eastAsia="Verdana" w:hAnsi="Verdana" w:cs="Verdana"/>
          <w:sz w:val="24"/>
          <w:szCs w:val="24"/>
        </w:rPr>
        <w:footnoteReference w:id="107"/>
      </w:r>
      <w:r>
        <w:rPr>
          <w:rStyle w:val="news-date"/>
          <w:rFonts w:ascii="Verdana" w:hAnsi="Verdana"/>
          <w:sz w:val="24"/>
          <w:szCs w:val="24"/>
        </w:rPr>
        <w:t xml:space="preserve"> </w:t>
      </w:r>
    </w:p>
    <w:p w:rsidR="00FA5218" w:rsidRDefault="00FA5218">
      <w:pPr>
        <w:pStyle w:val="BodyA"/>
        <w:spacing w:after="0" w:line="240" w:lineRule="auto"/>
      </w:pPr>
    </w:p>
    <w:p w:rsidR="00FA5218" w:rsidRDefault="00720B60">
      <w:pPr>
        <w:pStyle w:val="BodyA"/>
        <w:numPr>
          <w:ilvl w:val="0"/>
          <w:numId w:val="2"/>
        </w:numPr>
        <w:spacing w:after="0" w:line="240" w:lineRule="auto"/>
        <w:rPr>
          <w:rFonts w:ascii="Verdana" w:hAnsi="Verdana"/>
          <w:sz w:val="24"/>
          <w:szCs w:val="24"/>
          <w:lang w:val="en-US"/>
        </w:rPr>
      </w:pPr>
      <w:r>
        <w:rPr>
          <w:rStyle w:val="news-date"/>
          <w:rFonts w:ascii="Verdana" w:hAnsi="Verdana"/>
          <w:sz w:val="24"/>
          <w:szCs w:val="24"/>
        </w:rPr>
        <w:t>In 2015 the National Preventative Mechanism designated under the Optional Protocol to the UN CAT Committee published a report of an announced inspection of Woodlands Juvenile Justice Centre.</w:t>
      </w:r>
      <w:r>
        <w:rPr>
          <w:rStyle w:val="FootnoteReference"/>
          <w:rFonts w:ascii="Verdana" w:eastAsia="Verdana" w:hAnsi="Verdana" w:cs="Verdana"/>
          <w:sz w:val="24"/>
          <w:szCs w:val="24"/>
        </w:rPr>
        <w:footnoteReference w:id="108"/>
      </w:r>
      <w:r>
        <w:rPr>
          <w:rStyle w:val="news-date"/>
          <w:rFonts w:ascii="Verdana" w:hAnsi="Verdana"/>
          <w:sz w:val="24"/>
          <w:szCs w:val="24"/>
        </w:rPr>
        <w:t xml:space="preserve"> It recorded that only 9 percent of children imprisoned at Woodlands in 2013-14 were there as a result of being sentenced following a conviction. Of the remainder, 47 percent were formally remanded to custody and 44 percent related to proceedings under the Police and Criminal Evidence (NI) Order 1989 (PACE).</w:t>
      </w:r>
      <w:r>
        <w:rPr>
          <w:rStyle w:val="FootnoteReference"/>
          <w:rFonts w:ascii="Verdana" w:eastAsia="Verdana" w:hAnsi="Verdana" w:cs="Verdana"/>
          <w:sz w:val="24"/>
          <w:szCs w:val="24"/>
        </w:rPr>
        <w:footnoteReference w:id="109"/>
      </w:r>
      <w:r>
        <w:rPr>
          <w:rStyle w:val="news-date"/>
          <w:rFonts w:ascii="Verdana" w:hAnsi="Verdana"/>
          <w:sz w:val="24"/>
          <w:szCs w:val="24"/>
        </w:rPr>
        <w:t xml:space="preserve"> During 2014/15 there were 233 Police and Criminal Evidence (Northern Ireland) Order (PACE) admissions to Woodlands JJC involving 130 individual children.</w:t>
      </w:r>
      <w:r>
        <w:rPr>
          <w:rStyle w:val="FootnoteReference"/>
          <w:rFonts w:ascii="Verdana" w:eastAsia="Verdana" w:hAnsi="Verdana" w:cs="Verdana"/>
          <w:sz w:val="24"/>
          <w:szCs w:val="24"/>
        </w:rPr>
        <w:footnoteReference w:id="110"/>
      </w:r>
      <w:r>
        <w:rPr>
          <w:rStyle w:val="news-date"/>
          <w:rFonts w:ascii="Verdana" w:hAnsi="Verdana"/>
          <w:sz w:val="24"/>
          <w:szCs w:val="24"/>
        </w:rPr>
        <w:t xml:space="preserve"> The National Preventative Mechanism found that the rate of PACE admissions to the Juvenile Justice Centre has almost trebled between 2008–9 and 2013–14 and has described this as ‘disproportionately high’. It recommended that the Youth Justice Agency and its statutory partners should set targets to improve the current arrangements for children who do not have a suitable bail address.</w:t>
      </w:r>
      <w:r>
        <w:rPr>
          <w:rStyle w:val="FootnoteReference"/>
          <w:rFonts w:ascii="Verdana" w:eastAsia="Verdana" w:hAnsi="Verdana" w:cs="Verdana"/>
          <w:sz w:val="24"/>
          <w:szCs w:val="24"/>
        </w:rPr>
        <w:footnoteReference w:id="111"/>
      </w:r>
      <w:r>
        <w:rPr>
          <w:rStyle w:val="news-date"/>
          <w:rFonts w:ascii="Verdana" w:hAnsi="Verdana"/>
          <w:sz w:val="24"/>
          <w:szCs w:val="24"/>
        </w:rPr>
        <w:t xml:space="preserve"> </w:t>
      </w:r>
    </w:p>
    <w:p w:rsidR="00FA5218" w:rsidRDefault="00FA5218">
      <w:pPr>
        <w:pStyle w:val="BodyA"/>
        <w:spacing w:after="0" w:line="240" w:lineRule="auto"/>
      </w:pPr>
    </w:p>
    <w:p w:rsidR="00FA5218" w:rsidRDefault="00720B60">
      <w:pPr>
        <w:pStyle w:val="BodyA"/>
        <w:numPr>
          <w:ilvl w:val="0"/>
          <w:numId w:val="2"/>
        </w:numPr>
        <w:spacing w:after="0" w:line="240" w:lineRule="auto"/>
        <w:rPr>
          <w:rFonts w:ascii="Verdana" w:hAnsi="Verdana"/>
          <w:sz w:val="24"/>
          <w:szCs w:val="24"/>
          <w:lang w:val="en-US"/>
        </w:rPr>
      </w:pPr>
      <w:r>
        <w:rPr>
          <w:rStyle w:val="news-date"/>
          <w:rFonts w:ascii="Verdana" w:hAnsi="Verdana"/>
          <w:sz w:val="24"/>
          <w:szCs w:val="24"/>
        </w:rPr>
        <w:t>The Commission is concerned that Looked-After Children are particularly likely to be held in pre-trial detention, in 2013/14 Looked-After Children accounted for 36 percent of all children admitted to the Juvenile Justice Centre.</w:t>
      </w:r>
      <w:r>
        <w:rPr>
          <w:rStyle w:val="FootnoteReference"/>
          <w:rFonts w:ascii="Verdana" w:eastAsia="Verdana" w:hAnsi="Verdana" w:cs="Verdana"/>
          <w:sz w:val="24"/>
          <w:szCs w:val="24"/>
        </w:rPr>
        <w:footnoteReference w:id="112"/>
      </w:r>
      <w:r>
        <w:rPr>
          <w:rStyle w:val="news-date"/>
          <w:rFonts w:ascii="Verdana" w:hAnsi="Verdana"/>
          <w:sz w:val="24"/>
          <w:szCs w:val="24"/>
        </w:rPr>
        <w:t xml:space="preserve"> The Youth Justice Review recommended that: ‘Looked-After Children should no longer be placed in custody, either through PACE, on remand or sentenced, where this would not </w:t>
      </w:r>
      <w:r>
        <w:rPr>
          <w:rStyle w:val="news-date"/>
          <w:rFonts w:ascii="Verdana" w:hAnsi="Verdana"/>
          <w:sz w:val="24"/>
          <w:szCs w:val="24"/>
        </w:rPr>
        <w:lastRenderedPageBreak/>
        <w:t>have been an outcome for children in the general population’. This recommendation is yet to be achieved. In 2013, a Health and Social Care Trust was found to have breached its duty under Article 27 of the Children Order when it failed to provide alternative accommodation for a child who was the subject of a Care Order and as a result bail could not be granted and it was necessary for the child to be remanded in custody to a Juvenile Justice Centre.</w:t>
      </w:r>
      <w:r>
        <w:rPr>
          <w:rStyle w:val="FootnoteReference"/>
          <w:rFonts w:ascii="Verdana" w:eastAsia="Verdana" w:hAnsi="Verdana" w:cs="Verdana"/>
          <w:sz w:val="24"/>
          <w:szCs w:val="24"/>
        </w:rPr>
        <w:footnoteReference w:id="113"/>
      </w:r>
      <w:r>
        <w:rPr>
          <w:rStyle w:val="news-date"/>
          <w:rFonts w:ascii="Verdana" w:hAnsi="Verdana"/>
          <w:sz w:val="24"/>
          <w:szCs w:val="24"/>
        </w:rPr>
        <w:t xml:space="preserve"> In 2014 the Marshall Report noted that “official documents acknowledge that bail conditions imposed on LAC are likely to be more onerous than for the general population and are often unrealistic or even unachievable and therefore more likely to be breached”.</w:t>
      </w:r>
      <w:r>
        <w:rPr>
          <w:rStyle w:val="FootnoteReference"/>
          <w:rFonts w:ascii="Verdana" w:eastAsia="Verdana" w:hAnsi="Verdana" w:cs="Verdana"/>
          <w:sz w:val="24"/>
          <w:szCs w:val="24"/>
        </w:rPr>
        <w:footnoteReference w:id="114"/>
      </w:r>
    </w:p>
    <w:p w:rsidR="00FA5218" w:rsidRDefault="00FA5218">
      <w:pPr>
        <w:pStyle w:val="BodyA"/>
        <w:spacing w:after="0" w:line="240" w:lineRule="auto"/>
      </w:pPr>
    </w:p>
    <w:p w:rsidR="00FA5218" w:rsidRDefault="00720B60">
      <w:pPr>
        <w:pStyle w:val="BodyA"/>
        <w:numPr>
          <w:ilvl w:val="0"/>
          <w:numId w:val="2"/>
        </w:numPr>
        <w:spacing w:after="0" w:line="240" w:lineRule="auto"/>
        <w:rPr>
          <w:rFonts w:ascii="Verdana" w:hAnsi="Verdana"/>
          <w:sz w:val="24"/>
          <w:szCs w:val="24"/>
          <w:lang w:val="en-US"/>
        </w:rPr>
      </w:pPr>
      <w:r>
        <w:rPr>
          <w:rStyle w:val="news-date"/>
          <w:rFonts w:ascii="Verdana" w:hAnsi="Verdana"/>
          <w:sz w:val="24"/>
          <w:szCs w:val="24"/>
        </w:rPr>
        <w:t>The Minister of Justice has acknowledged that pre-trial detention of children: ‘is a priority issue for the current Scoping Study of Children in the Youth Justice System as the large number of admissions to Woodlands under PACE runs contrary to the principle of custody as a last resort.’</w:t>
      </w:r>
      <w:r>
        <w:rPr>
          <w:rStyle w:val="FootnoteReference"/>
          <w:rFonts w:ascii="Verdana" w:eastAsia="Verdana" w:hAnsi="Verdana" w:cs="Verdana"/>
          <w:sz w:val="24"/>
          <w:szCs w:val="24"/>
        </w:rPr>
        <w:footnoteReference w:id="115"/>
      </w:r>
    </w:p>
    <w:p w:rsidR="00FA5218" w:rsidRDefault="00FA5218">
      <w:pPr>
        <w:pStyle w:val="ListParagraph"/>
        <w:ind w:left="0"/>
      </w:pPr>
    </w:p>
    <w:p w:rsidR="00FA5218" w:rsidRDefault="00720B60">
      <w:pPr>
        <w:pStyle w:val="BodyA"/>
        <w:numPr>
          <w:ilvl w:val="0"/>
          <w:numId w:val="2"/>
        </w:numPr>
        <w:spacing w:after="0" w:line="240" w:lineRule="auto"/>
        <w:rPr>
          <w:rFonts w:ascii="Verdana" w:hAnsi="Verdana"/>
          <w:sz w:val="24"/>
          <w:szCs w:val="24"/>
          <w:lang w:val="en-US"/>
        </w:rPr>
      </w:pPr>
      <w:r>
        <w:rPr>
          <w:rStyle w:val="news-date"/>
          <w:rFonts w:ascii="Verdana" w:hAnsi="Verdana"/>
          <w:sz w:val="24"/>
          <w:szCs w:val="24"/>
        </w:rPr>
        <w:t>The use of custody in circumstances outside of a measure of last resort is particularly concerning given the high number of children entering the justice system with mental health problems, calculated to fluctuate between 45 percent and 64 percent of all children.</w:t>
      </w:r>
      <w:r>
        <w:rPr>
          <w:rStyle w:val="FootnoteReference"/>
          <w:rFonts w:ascii="Verdana" w:eastAsia="Verdana" w:hAnsi="Verdana" w:cs="Verdana"/>
          <w:sz w:val="24"/>
          <w:szCs w:val="24"/>
        </w:rPr>
        <w:footnoteReference w:id="116"/>
      </w:r>
    </w:p>
    <w:p w:rsidR="00FA5218" w:rsidRDefault="00FA5218">
      <w:pPr>
        <w:pStyle w:val="ListParagraph"/>
        <w:ind w:left="0"/>
      </w:pPr>
    </w:p>
    <w:p w:rsidR="00FA5218" w:rsidRDefault="00720B60">
      <w:pPr>
        <w:pStyle w:val="BodyA"/>
        <w:numPr>
          <w:ilvl w:val="0"/>
          <w:numId w:val="2"/>
        </w:numPr>
        <w:spacing w:after="0" w:line="240" w:lineRule="auto"/>
        <w:rPr>
          <w:rFonts w:ascii="Verdana" w:hAnsi="Verdana"/>
          <w:sz w:val="24"/>
          <w:szCs w:val="24"/>
          <w:lang w:val="en-US"/>
        </w:rPr>
      </w:pPr>
      <w:r>
        <w:rPr>
          <w:rStyle w:val="news-date"/>
          <w:rFonts w:ascii="Verdana" w:hAnsi="Verdana"/>
          <w:sz w:val="24"/>
          <w:szCs w:val="24"/>
        </w:rPr>
        <w:t xml:space="preserve">The Commission notes that the Committee has </w:t>
      </w:r>
      <w:proofErr w:type="spellStart"/>
      <w:r>
        <w:rPr>
          <w:rStyle w:val="news-date"/>
          <w:rFonts w:ascii="Verdana" w:hAnsi="Verdana"/>
          <w:sz w:val="24"/>
          <w:szCs w:val="24"/>
        </w:rPr>
        <w:t>emphasised</w:t>
      </w:r>
      <w:proofErr w:type="spellEnd"/>
      <w:r>
        <w:rPr>
          <w:rStyle w:val="news-date"/>
          <w:rFonts w:ascii="Verdana" w:hAnsi="Verdana"/>
          <w:sz w:val="24"/>
          <w:szCs w:val="24"/>
        </w:rPr>
        <w:t xml:space="preserve"> the important of developing alternatives to reduce the use of pre-trial detention.</w:t>
      </w:r>
      <w:r>
        <w:rPr>
          <w:rStyle w:val="FootnoteReference"/>
          <w:rFonts w:ascii="Verdana" w:eastAsia="Verdana" w:hAnsi="Verdana" w:cs="Verdana"/>
          <w:sz w:val="24"/>
          <w:szCs w:val="24"/>
        </w:rPr>
        <w:footnoteReference w:id="117"/>
      </w:r>
      <w:r>
        <w:rPr>
          <w:rStyle w:val="news-date"/>
          <w:rFonts w:ascii="Verdana" w:hAnsi="Verdana"/>
          <w:sz w:val="24"/>
          <w:szCs w:val="24"/>
        </w:rPr>
        <w:t xml:space="preserve"> The Commission considers that significant investment in the development of alternatives to pre-trail detention is required as a matter of priority and notes that this has been acknowledged by the Minister. In reporting the scoping study the Minister stated:</w:t>
      </w:r>
    </w:p>
    <w:p w:rsidR="00FA5218" w:rsidRDefault="00FA5218">
      <w:pPr>
        <w:pStyle w:val="BodyA"/>
        <w:spacing w:after="0" w:line="240" w:lineRule="auto"/>
      </w:pPr>
    </w:p>
    <w:p w:rsidR="00FA5218" w:rsidRDefault="00720B60">
      <w:pPr>
        <w:pStyle w:val="BodyA"/>
        <w:spacing w:after="0" w:line="240" w:lineRule="auto"/>
        <w:ind w:left="720"/>
      </w:pPr>
      <w:r>
        <w:rPr>
          <w:rStyle w:val="None"/>
          <w:rFonts w:ascii="Verdana" w:hAnsi="Verdana"/>
          <w:sz w:val="24"/>
          <w:szCs w:val="24"/>
          <w:lang w:val="en-US"/>
        </w:rPr>
        <w:t xml:space="preserve">Regarding the use of custody, the steering group is clear that it is all too easy for children to enter the juvenile justice </w:t>
      </w:r>
      <w:proofErr w:type="spellStart"/>
      <w:r>
        <w:rPr>
          <w:rStyle w:val="None"/>
          <w:rFonts w:ascii="Verdana" w:hAnsi="Verdana"/>
          <w:sz w:val="24"/>
          <w:szCs w:val="24"/>
          <w:lang w:val="en-US"/>
        </w:rPr>
        <w:t>centre</w:t>
      </w:r>
      <w:proofErr w:type="spellEnd"/>
      <w:r>
        <w:rPr>
          <w:rStyle w:val="None"/>
          <w:rFonts w:ascii="Verdana" w:hAnsi="Verdana"/>
          <w:sz w:val="24"/>
          <w:szCs w:val="24"/>
          <w:lang w:val="en-US"/>
        </w:rPr>
        <w:t xml:space="preserve">. </w:t>
      </w:r>
      <w:proofErr w:type="gramStart"/>
      <w:r>
        <w:rPr>
          <w:rStyle w:val="None"/>
          <w:rFonts w:ascii="Verdana" w:hAnsi="Verdana"/>
          <w:sz w:val="24"/>
          <w:szCs w:val="24"/>
          <w:lang w:val="en-US"/>
        </w:rPr>
        <w:t>It's</w:t>
      </w:r>
      <w:proofErr w:type="gramEnd"/>
      <w:r>
        <w:rPr>
          <w:rStyle w:val="None"/>
          <w:rFonts w:ascii="Verdana" w:hAnsi="Verdana"/>
          <w:sz w:val="24"/>
          <w:szCs w:val="24"/>
          <w:lang w:val="en-US"/>
        </w:rPr>
        <w:t xml:space="preserve"> proposals therefore focus on the need to establish alternative accommodation options, especially short-term overnight calm-down spaces. Having those options means that Woodlands no longer needs to be used as a place of safety for children.</w:t>
      </w:r>
      <w:r>
        <w:rPr>
          <w:rStyle w:val="None"/>
          <w:rFonts w:ascii="Verdana" w:eastAsia="Verdana" w:hAnsi="Verdana" w:cs="Verdana"/>
          <w:sz w:val="24"/>
          <w:szCs w:val="24"/>
          <w:vertAlign w:val="superscript"/>
          <w:lang w:val="en-US"/>
        </w:rPr>
        <w:footnoteReference w:id="118"/>
      </w:r>
    </w:p>
    <w:p w:rsidR="00FA5218" w:rsidRDefault="00FA5218">
      <w:pPr>
        <w:pStyle w:val="BodyA"/>
        <w:spacing w:after="0" w:line="240" w:lineRule="auto"/>
      </w:pPr>
    </w:p>
    <w:p w:rsidR="00FA5218" w:rsidRDefault="00720B60">
      <w:pPr>
        <w:pStyle w:val="BodyA"/>
        <w:numPr>
          <w:ilvl w:val="0"/>
          <w:numId w:val="4"/>
        </w:numPr>
        <w:spacing w:after="0" w:line="240" w:lineRule="auto"/>
        <w:rPr>
          <w:rFonts w:ascii="Verdana" w:hAnsi="Verdana"/>
          <w:b/>
          <w:bCs/>
          <w:sz w:val="24"/>
          <w:szCs w:val="24"/>
          <w:lang w:val="en-US"/>
        </w:rPr>
      </w:pPr>
      <w:r>
        <w:rPr>
          <w:rStyle w:val="news-date"/>
          <w:rFonts w:ascii="Verdana" w:hAnsi="Verdana"/>
          <w:b/>
          <w:bCs/>
          <w:sz w:val="24"/>
          <w:szCs w:val="24"/>
        </w:rPr>
        <w:lastRenderedPageBreak/>
        <w:t xml:space="preserve">The Commission invites the Committee to recommend that the NI Executive take immediate action to ensure that children are held in </w:t>
      </w:r>
      <w:proofErr w:type="spellStart"/>
      <w:r>
        <w:rPr>
          <w:rStyle w:val="news-date"/>
          <w:rFonts w:ascii="Verdana" w:hAnsi="Verdana"/>
          <w:b/>
          <w:bCs/>
          <w:sz w:val="24"/>
          <w:szCs w:val="24"/>
        </w:rPr>
        <w:t>pre trial</w:t>
      </w:r>
      <w:proofErr w:type="spellEnd"/>
      <w:r>
        <w:rPr>
          <w:rStyle w:val="news-date"/>
          <w:rFonts w:ascii="Verdana" w:hAnsi="Verdana"/>
          <w:b/>
          <w:bCs/>
          <w:sz w:val="24"/>
          <w:szCs w:val="24"/>
        </w:rPr>
        <w:t xml:space="preserve"> detention only in circumstances where it is a measure of last resort.</w:t>
      </w:r>
    </w:p>
    <w:p w:rsidR="00FA5218" w:rsidRDefault="00FA5218">
      <w:pPr>
        <w:pStyle w:val="BodyA"/>
        <w:spacing w:after="0" w:line="240" w:lineRule="auto"/>
      </w:pPr>
    </w:p>
    <w:p w:rsidR="00FA5218" w:rsidRDefault="00720B60">
      <w:pPr>
        <w:pStyle w:val="BodyA"/>
        <w:spacing w:after="0" w:line="240" w:lineRule="auto"/>
      </w:pPr>
      <w:r>
        <w:rPr>
          <w:rStyle w:val="None"/>
          <w:rFonts w:ascii="Verdana" w:hAnsi="Verdana"/>
          <w:b/>
          <w:bCs/>
          <w:sz w:val="24"/>
          <w:szCs w:val="24"/>
          <w:lang w:val="en-US"/>
        </w:rPr>
        <w:t>Education in Detention</w:t>
      </w:r>
    </w:p>
    <w:p w:rsidR="00FA5218" w:rsidRDefault="00FA5218">
      <w:pPr>
        <w:pStyle w:val="BodyA"/>
        <w:spacing w:after="0" w:line="240" w:lineRule="auto"/>
      </w:pPr>
    </w:p>
    <w:p w:rsidR="00FA5218" w:rsidRDefault="00720B60">
      <w:pPr>
        <w:pStyle w:val="BodyA"/>
        <w:numPr>
          <w:ilvl w:val="0"/>
          <w:numId w:val="2"/>
        </w:numPr>
        <w:spacing w:after="0" w:line="240" w:lineRule="auto"/>
        <w:rPr>
          <w:rFonts w:ascii="Verdana" w:hAnsi="Verdana"/>
          <w:sz w:val="24"/>
          <w:szCs w:val="24"/>
          <w:lang w:val="en-US"/>
        </w:rPr>
      </w:pPr>
      <w:r>
        <w:rPr>
          <w:rStyle w:val="news-date"/>
          <w:rFonts w:ascii="Verdana" w:hAnsi="Verdana"/>
          <w:sz w:val="24"/>
          <w:szCs w:val="24"/>
        </w:rPr>
        <w:t>In its earlier submission the Commission reported that the Minister of Justice and the Minister of Education had agreed that responsibility for the education of child offenders should be transferred to the Department of Education.</w:t>
      </w:r>
      <w:r>
        <w:rPr>
          <w:rStyle w:val="FootnoteReference"/>
          <w:rFonts w:ascii="Verdana" w:eastAsia="Verdana" w:hAnsi="Verdana" w:cs="Verdana"/>
          <w:sz w:val="24"/>
          <w:szCs w:val="24"/>
        </w:rPr>
        <w:footnoteReference w:id="119"/>
      </w:r>
      <w:r>
        <w:rPr>
          <w:rStyle w:val="news-date"/>
          <w:rFonts w:ascii="Verdana" w:hAnsi="Verdana"/>
          <w:sz w:val="24"/>
          <w:szCs w:val="24"/>
        </w:rPr>
        <w:t xml:space="preserve"> A cross-departmental working group was established to develop an options paper for delivering this commitment which was to be completed in early 2014. The working group included the Department of Employment and Learning to cover post primary education of 16-18 year old children. The Commission welcomed this development.</w:t>
      </w:r>
      <w:r>
        <w:rPr>
          <w:rStyle w:val="FootnoteReference"/>
          <w:rFonts w:ascii="Verdana" w:eastAsia="Verdana" w:hAnsi="Verdana" w:cs="Verdana"/>
          <w:sz w:val="24"/>
          <w:szCs w:val="24"/>
        </w:rPr>
        <w:footnoteReference w:id="120"/>
      </w:r>
      <w:r>
        <w:rPr>
          <w:rStyle w:val="news-date"/>
          <w:rFonts w:ascii="Verdana" w:hAnsi="Verdana"/>
          <w:sz w:val="24"/>
          <w:szCs w:val="24"/>
        </w:rPr>
        <w:t xml:space="preserve"> </w:t>
      </w:r>
    </w:p>
    <w:p w:rsidR="00FA5218" w:rsidRPr="006A56D8" w:rsidRDefault="00FA5218">
      <w:pPr>
        <w:pStyle w:val="BodyA"/>
        <w:spacing w:after="0" w:line="240" w:lineRule="auto"/>
      </w:pPr>
    </w:p>
    <w:p w:rsidR="00FA5218" w:rsidRDefault="00720B60">
      <w:pPr>
        <w:pStyle w:val="BodyA"/>
        <w:numPr>
          <w:ilvl w:val="0"/>
          <w:numId w:val="4"/>
        </w:numPr>
        <w:spacing w:after="0" w:line="240" w:lineRule="auto"/>
        <w:rPr>
          <w:rFonts w:ascii="Verdana" w:hAnsi="Verdana"/>
          <w:b/>
          <w:bCs/>
          <w:sz w:val="24"/>
          <w:szCs w:val="24"/>
          <w:lang w:val="en-US"/>
        </w:rPr>
      </w:pPr>
      <w:r w:rsidRPr="006A56D8">
        <w:rPr>
          <w:rStyle w:val="None"/>
          <w:rFonts w:ascii="Verdana" w:hAnsi="Verdana"/>
          <w:sz w:val="24"/>
          <w:szCs w:val="24"/>
          <w:lang w:val="en-US"/>
        </w:rPr>
        <w:t xml:space="preserve">In 2015 the Ministers of Education and Justice confirmed that Woodlands Juvenile Justice Centre will be </w:t>
      </w:r>
      <w:proofErr w:type="spellStart"/>
      <w:r w:rsidRPr="006A56D8">
        <w:rPr>
          <w:rStyle w:val="None"/>
          <w:rFonts w:ascii="Verdana" w:hAnsi="Verdana"/>
          <w:sz w:val="24"/>
          <w:szCs w:val="24"/>
          <w:lang w:val="en-US"/>
        </w:rPr>
        <w:t>recognised</w:t>
      </w:r>
      <w:proofErr w:type="spellEnd"/>
      <w:r w:rsidRPr="006A56D8">
        <w:rPr>
          <w:rStyle w:val="None"/>
          <w:rFonts w:ascii="Verdana" w:hAnsi="Verdana"/>
          <w:sz w:val="24"/>
          <w:szCs w:val="24"/>
          <w:lang w:val="en-US"/>
        </w:rPr>
        <w:t xml:space="preserve"> under Article 86 of the Education</w:t>
      </w:r>
      <w:r>
        <w:rPr>
          <w:rStyle w:val="None"/>
          <w:rFonts w:ascii="Verdana" w:hAnsi="Verdana"/>
          <w:sz w:val="24"/>
          <w:szCs w:val="24"/>
          <w:lang w:val="en-US"/>
        </w:rPr>
        <w:t xml:space="preserve"> (NI) Order 1998 as part of the Education Authority’s responsibility for “Education Otherwise Than At School” and that responsibility for education of children at Woodlands will transfer from the DOJ to the Education Authority.</w:t>
      </w:r>
      <w:r>
        <w:rPr>
          <w:rStyle w:val="None"/>
          <w:rFonts w:ascii="Verdana" w:eastAsia="Verdana" w:hAnsi="Verdana" w:cs="Verdana"/>
          <w:sz w:val="24"/>
          <w:szCs w:val="24"/>
          <w:vertAlign w:val="superscript"/>
          <w:lang w:val="en-US"/>
        </w:rPr>
        <w:footnoteReference w:id="121"/>
      </w:r>
      <w:r>
        <w:rPr>
          <w:rStyle w:val="None"/>
          <w:rFonts w:ascii="Verdana" w:hAnsi="Verdana"/>
          <w:sz w:val="24"/>
          <w:szCs w:val="24"/>
          <w:lang w:val="en-US"/>
        </w:rPr>
        <w:t xml:space="preserve"> This will facilitate children imprisoned at Woodlands having access to the same standards as any other young person taught outside of a mainstream school. The Department plans to establish an integrated learning and development </w:t>
      </w:r>
      <w:proofErr w:type="spellStart"/>
      <w:r>
        <w:rPr>
          <w:rStyle w:val="None"/>
          <w:rFonts w:ascii="Verdana" w:hAnsi="Verdana"/>
          <w:sz w:val="24"/>
          <w:szCs w:val="24"/>
          <w:lang w:val="en-US"/>
        </w:rPr>
        <w:t>centre</w:t>
      </w:r>
      <w:proofErr w:type="spellEnd"/>
      <w:r>
        <w:rPr>
          <w:rStyle w:val="None"/>
          <w:rFonts w:ascii="Verdana" w:hAnsi="Verdana"/>
          <w:sz w:val="24"/>
          <w:szCs w:val="24"/>
          <w:lang w:val="en-US"/>
        </w:rPr>
        <w:t xml:space="preserve"> that will draw together high quality teaching and vocational skills.</w:t>
      </w:r>
      <w:r>
        <w:rPr>
          <w:rStyle w:val="None"/>
          <w:rFonts w:ascii="Verdana" w:eastAsia="Verdana" w:hAnsi="Verdana" w:cs="Verdana"/>
          <w:sz w:val="24"/>
          <w:szCs w:val="24"/>
          <w:vertAlign w:val="superscript"/>
          <w:lang w:val="en-US"/>
        </w:rPr>
        <w:footnoteReference w:id="122"/>
      </w:r>
      <w:r>
        <w:rPr>
          <w:rStyle w:val="None"/>
          <w:rFonts w:ascii="Verdana" w:hAnsi="Verdana"/>
          <w:sz w:val="24"/>
          <w:szCs w:val="24"/>
          <w:lang w:val="en-US"/>
        </w:rPr>
        <w:t xml:space="preserve"> The Commission welcomed the proposed transfer of responsibilities for the education of children at Woodlands Juvenile Justice Centre from the NI Prison Service to the Department of Education and advised that this transfer take place as soon as possible.</w:t>
      </w:r>
      <w:r>
        <w:rPr>
          <w:rStyle w:val="news-date"/>
          <w:rFonts w:ascii="Verdana" w:hAnsi="Verdana"/>
          <w:b/>
          <w:bCs/>
          <w:sz w:val="24"/>
          <w:szCs w:val="24"/>
        </w:rPr>
        <w:t xml:space="preserve"> </w:t>
      </w:r>
    </w:p>
    <w:p w:rsidR="00FA5218" w:rsidRDefault="00FA5218">
      <w:pPr>
        <w:pStyle w:val="BodyA"/>
        <w:spacing w:after="0" w:line="240" w:lineRule="auto"/>
      </w:pPr>
    </w:p>
    <w:p w:rsidR="00FA5218" w:rsidRDefault="00720B60">
      <w:pPr>
        <w:pStyle w:val="BodyA"/>
        <w:numPr>
          <w:ilvl w:val="0"/>
          <w:numId w:val="4"/>
        </w:numPr>
        <w:spacing w:after="0" w:line="240" w:lineRule="auto"/>
        <w:rPr>
          <w:rFonts w:ascii="Verdana" w:hAnsi="Verdana"/>
          <w:b/>
          <w:bCs/>
          <w:sz w:val="24"/>
          <w:szCs w:val="24"/>
          <w:lang w:val="en-US"/>
        </w:rPr>
      </w:pPr>
      <w:r>
        <w:rPr>
          <w:rStyle w:val="news-date"/>
          <w:rFonts w:ascii="Verdana" w:hAnsi="Verdana"/>
          <w:b/>
          <w:bCs/>
          <w:sz w:val="24"/>
          <w:szCs w:val="24"/>
        </w:rPr>
        <w:t xml:space="preserve">The Committee may wish to recommend that the State Party ensures that every child detained in Northern Ireland of compulsory school age has the right to education suited to his/her needs and abilities, and designed to prepare him/her for return to society; in addition, every child should, when appropriate, receive vocational training in occupations likely to prepare him/her for future employment. </w:t>
      </w:r>
    </w:p>
    <w:p w:rsidR="00FA5218" w:rsidRDefault="00FA5218">
      <w:pPr>
        <w:pStyle w:val="BodyA"/>
        <w:spacing w:after="0" w:line="240" w:lineRule="auto"/>
      </w:pPr>
    </w:p>
    <w:p w:rsidR="006A56D8" w:rsidRDefault="006A56D8">
      <w:pPr>
        <w:pStyle w:val="BodyA"/>
        <w:spacing w:after="0" w:line="240" w:lineRule="auto"/>
        <w:rPr>
          <w:rStyle w:val="None"/>
          <w:rFonts w:ascii="Verdana" w:hAnsi="Verdana"/>
          <w:b/>
          <w:bCs/>
          <w:sz w:val="24"/>
          <w:szCs w:val="24"/>
          <w:lang w:val="en-US"/>
        </w:rPr>
      </w:pPr>
    </w:p>
    <w:p w:rsidR="006A56D8" w:rsidRDefault="006A56D8">
      <w:pPr>
        <w:pStyle w:val="BodyA"/>
        <w:spacing w:after="0" w:line="240" w:lineRule="auto"/>
        <w:rPr>
          <w:rStyle w:val="None"/>
          <w:rFonts w:ascii="Verdana" w:hAnsi="Verdana"/>
          <w:b/>
          <w:bCs/>
          <w:sz w:val="24"/>
          <w:szCs w:val="24"/>
          <w:lang w:val="en-US"/>
        </w:rPr>
      </w:pPr>
    </w:p>
    <w:p w:rsidR="006A56D8" w:rsidRDefault="006A56D8">
      <w:pPr>
        <w:pStyle w:val="BodyA"/>
        <w:spacing w:after="0" w:line="240" w:lineRule="auto"/>
        <w:rPr>
          <w:rStyle w:val="None"/>
          <w:rFonts w:ascii="Verdana" w:hAnsi="Verdana"/>
          <w:b/>
          <w:bCs/>
          <w:sz w:val="24"/>
          <w:szCs w:val="24"/>
          <w:lang w:val="en-US"/>
        </w:rPr>
      </w:pPr>
    </w:p>
    <w:p w:rsidR="00FA5218" w:rsidRDefault="00720B60">
      <w:pPr>
        <w:pStyle w:val="BodyA"/>
        <w:spacing w:after="0" w:line="240" w:lineRule="auto"/>
      </w:pPr>
      <w:r>
        <w:rPr>
          <w:rStyle w:val="None"/>
          <w:rFonts w:ascii="Verdana" w:hAnsi="Verdana"/>
          <w:b/>
          <w:bCs/>
          <w:sz w:val="24"/>
          <w:szCs w:val="24"/>
          <w:lang w:val="en-US"/>
        </w:rPr>
        <w:lastRenderedPageBreak/>
        <w:t>Termination of Pregnancy</w:t>
      </w:r>
    </w:p>
    <w:p w:rsidR="00FA5218" w:rsidRDefault="00FA5218">
      <w:pPr>
        <w:pStyle w:val="BodyA"/>
        <w:spacing w:after="0" w:line="240" w:lineRule="auto"/>
      </w:pPr>
    </w:p>
    <w:p w:rsidR="00FA5218" w:rsidRPr="006A56D8" w:rsidRDefault="00720B60">
      <w:pPr>
        <w:pStyle w:val="BodyA"/>
        <w:numPr>
          <w:ilvl w:val="0"/>
          <w:numId w:val="4"/>
        </w:numPr>
        <w:spacing w:after="0" w:line="240" w:lineRule="auto"/>
        <w:rPr>
          <w:rFonts w:ascii="Verdana" w:hAnsi="Verdana"/>
          <w:bCs/>
          <w:sz w:val="24"/>
          <w:szCs w:val="24"/>
          <w:lang w:val="en-US"/>
        </w:rPr>
      </w:pPr>
      <w:r w:rsidRPr="006A56D8">
        <w:rPr>
          <w:rStyle w:val="None"/>
          <w:rFonts w:ascii="Verdana" w:hAnsi="Verdana"/>
          <w:sz w:val="24"/>
          <w:szCs w:val="24"/>
          <w:lang w:val="en-US"/>
        </w:rPr>
        <w:t>The Commission notes paragraph 56 of the Committee’s General Comment Number 15 in which it states:</w:t>
      </w:r>
    </w:p>
    <w:p w:rsidR="00FA5218" w:rsidRPr="006A56D8" w:rsidRDefault="00FA5218">
      <w:pPr>
        <w:pStyle w:val="BodyA"/>
        <w:spacing w:after="0" w:line="240" w:lineRule="auto"/>
        <w:ind w:left="720"/>
      </w:pPr>
    </w:p>
    <w:p w:rsidR="00FA5218" w:rsidRPr="006A56D8" w:rsidRDefault="00720B60">
      <w:pPr>
        <w:pStyle w:val="BodyA"/>
        <w:spacing w:after="0" w:line="240" w:lineRule="auto"/>
        <w:ind w:left="720" w:right="720"/>
      </w:pPr>
      <w:r w:rsidRPr="006A56D8">
        <w:rPr>
          <w:rStyle w:val="None"/>
          <w:rFonts w:ascii="Verdana" w:hAnsi="Verdana"/>
          <w:sz w:val="24"/>
          <w:szCs w:val="24"/>
          <w:lang w:val="en-US"/>
        </w:rPr>
        <w:t>Given the high rates of pregnancy among adolescents globally and the additional risks of associated morbidity and mortality, States should ensure that health systems and services are able to meet the specific sexual and reproductive health needs of adolescents, including family planning and safe abortion services.</w:t>
      </w:r>
      <w:r w:rsidRPr="006A56D8">
        <w:rPr>
          <w:rStyle w:val="None"/>
          <w:rFonts w:ascii="Verdana" w:eastAsia="Verdana" w:hAnsi="Verdana" w:cs="Verdana"/>
          <w:sz w:val="24"/>
          <w:szCs w:val="24"/>
          <w:vertAlign w:val="superscript"/>
          <w:lang w:val="en-US"/>
        </w:rPr>
        <w:footnoteReference w:id="123"/>
      </w:r>
    </w:p>
    <w:p w:rsidR="00FA5218" w:rsidRPr="006A56D8" w:rsidRDefault="00FA5218">
      <w:pPr>
        <w:pStyle w:val="BodyA"/>
        <w:spacing w:after="0" w:line="240" w:lineRule="auto"/>
      </w:pPr>
    </w:p>
    <w:p w:rsidR="00FA5218" w:rsidRPr="006A56D8" w:rsidRDefault="00720B60">
      <w:pPr>
        <w:pStyle w:val="BodyA"/>
        <w:numPr>
          <w:ilvl w:val="0"/>
          <w:numId w:val="4"/>
        </w:numPr>
        <w:spacing w:after="0" w:line="240" w:lineRule="auto"/>
        <w:rPr>
          <w:rFonts w:ascii="Verdana" w:hAnsi="Verdana"/>
          <w:bCs/>
          <w:sz w:val="24"/>
          <w:szCs w:val="24"/>
          <w:lang w:val="en-US"/>
        </w:rPr>
      </w:pPr>
      <w:r w:rsidRPr="006A56D8">
        <w:rPr>
          <w:rStyle w:val="None"/>
          <w:rFonts w:ascii="Verdana" w:hAnsi="Verdana"/>
          <w:sz w:val="24"/>
          <w:szCs w:val="24"/>
          <w:lang w:val="en-US"/>
        </w:rPr>
        <w:t xml:space="preserve">The Commission notes the Committee's recommendation relating to the </w:t>
      </w:r>
      <w:proofErr w:type="spellStart"/>
      <w:r w:rsidRPr="006A56D8">
        <w:rPr>
          <w:rStyle w:val="None"/>
          <w:rFonts w:ascii="Verdana" w:hAnsi="Verdana"/>
          <w:sz w:val="24"/>
          <w:szCs w:val="24"/>
          <w:lang w:val="en-US"/>
        </w:rPr>
        <w:t>decriminalisation</w:t>
      </w:r>
      <w:proofErr w:type="spellEnd"/>
      <w:r w:rsidRPr="006A56D8">
        <w:rPr>
          <w:rStyle w:val="None"/>
          <w:rFonts w:ascii="Verdana" w:hAnsi="Verdana"/>
          <w:sz w:val="24"/>
          <w:szCs w:val="24"/>
          <w:lang w:val="en-US"/>
        </w:rPr>
        <w:t xml:space="preserve"> of access to termination of pregnancy services for children in Ireland, of January 2016.</w:t>
      </w:r>
      <w:r w:rsidRPr="006A56D8">
        <w:rPr>
          <w:rStyle w:val="None"/>
          <w:rFonts w:ascii="Verdana" w:eastAsia="Verdana" w:hAnsi="Verdana" w:cs="Verdana"/>
          <w:sz w:val="24"/>
          <w:szCs w:val="24"/>
          <w:vertAlign w:val="superscript"/>
          <w:lang w:val="en-US"/>
        </w:rPr>
        <w:footnoteReference w:id="124"/>
      </w:r>
      <w:r w:rsidRPr="006A56D8">
        <w:rPr>
          <w:rStyle w:val="None"/>
          <w:rFonts w:ascii="Verdana" w:hAnsi="Verdana"/>
          <w:sz w:val="24"/>
          <w:szCs w:val="24"/>
          <w:lang w:val="en-US"/>
        </w:rPr>
        <w:t xml:space="preserve"> Termination of pregnancy is currently only available in NI if it is necessary to preserve the life of a woman, including where there is risk of serious and adverse effect which is either long term or permanent. The punishment is life imprisonment for a woman who procures a termination or anyone who unlawfully performs a termination.</w:t>
      </w:r>
      <w:r w:rsidRPr="006A56D8">
        <w:rPr>
          <w:rStyle w:val="None"/>
          <w:rFonts w:ascii="Verdana" w:eastAsia="Verdana" w:hAnsi="Verdana" w:cs="Verdana"/>
          <w:sz w:val="24"/>
          <w:szCs w:val="24"/>
          <w:vertAlign w:val="superscript"/>
          <w:lang w:val="en-US"/>
        </w:rPr>
        <w:footnoteReference w:id="125"/>
      </w:r>
    </w:p>
    <w:p w:rsidR="00FA5218" w:rsidRPr="006A56D8" w:rsidRDefault="00FA5218">
      <w:pPr>
        <w:pStyle w:val="BodyA"/>
        <w:spacing w:after="0" w:line="240" w:lineRule="auto"/>
      </w:pPr>
    </w:p>
    <w:p w:rsidR="00FA5218" w:rsidRPr="006A56D8" w:rsidRDefault="00720B60">
      <w:pPr>
        <w:pStyle w:val="BodyA"/>
        <w:numPr>
          <w:ilvl w:val="0"/>
          <w:numId w:val="4"/>
        </w:numPr>
        <w:spacing w:after="0" w:line="240" w:lineRule="auto"/>
        <w:rPr>
          <w:rFonts w:ascii="Verdana" w:hAnsi="Verdana"/>
          <w:bCs/>
          <w:sz w:val="24"/>
          <w:szCs w:val="24"/>
          <w:lang w:val="en-US"/>
        </w:rPr>
      </w:pPr>
      <w:r w:rsidRPr="006A56D8">
        <w:rPr>
          <w:rStyle w:val="None"/>
          <w:rFonts w:ascii="Verdana" w:hAnsi="Verdana"/>
          <w:sz w:val="24"/>
          <w:szCs w:val="24"/>
          <w:lang w:val="en-US"/>
        </w:rPr>
        <w:t xml:space="preserve">The NIHRC initiated legal proceedings in December 2014 against the NI Department of Justice. It argued that the law on termination of pregnancy in instances of serious malformation of the </w:t>
      </w:r>
      <w:proofErr w:type="spellStart"/>
      <w:r w:rsidRPr="006A56D8">
        <w:rPr>
          <w:rStyle w:val="None"/>
          <w:rFonts w:ascii="Verdana" w:hAnsi="Verdana"/>
          <w:sz w:val="24"/>
          <w:szCs w:val="24"/>
          <w:lang w:val="en-US"/>
        </w:rPr>
        <w:t>foetus</w:t>
      </w:r>
      <w:proofErr w:type="spellEnd"/>
      <w:r w:rsidRPr="006A56D8">
        <w:rPr>
          <w:rStyle w:val="None"/>
          <w:rFonts w:ascii="Verdana" w:hAnsi="Verdana"/>
          <w:sz w:val="24"/>
          <w:szCs w:val="24"/>
          <w:lang w:val="en-US"/>
        </w:rPr>
        <w:t xml:space="preserve"> (including fatal </w:t>
      </w:r>
      <w:proofErr w:type="spellStart"/>
      <w:r w:rsidRPr="006A56D8">
        <w:rPr>
          <w:rStyle w:val="None"/>
          <w:rFonts w:ascii="Verdana" w:hAnsi="Verdana"/>
          <w:sz w:val="24"/>
          <w:szCs w:val="24"/>
          <w:lang w:val="en-US"/>
        </w:rPr>
        <w:t>foetal</w:t>
      </w:r>
      <w:proofErr w:type="spellEnd"/>
      <w:r w:rsidRPr="006A56D8">
        <w:rPr>
          <w:rStyle w:val="None"/>
          <w:rFonts w:ascii="Verdana" w:hAnsi="Verdana"/>
          <w:sz w:val="24"/>
          <w:szCs w:val="24"/>
          <w:lang w:val="en-US"/>
        </w:rPr>
        <w:t xml:space="preserve"> abnormality) or pregnancy as a result of rape or incest in NI is incompatible with article 3 (prohibition on torture, inhuman and degrading treatment), article 8 (right to private, family life, home and correspondence) and article 14 (prohibition of discrimination) of the ECHR. In its affidavits to the Court, the Commission referred to the General Comments and concluding observations of the Committee. </w:t>
      </w:r>
    </w:p>
    <w:p w:rsidR="00FA5218" w:rsidRPr="006A56D8" w:rsidRDefault="00FA5218">
      <w:pPr>
        <w:pStyle w:val="BodyA"/>
        <w:spacing w:after="0" w:line="240" w:lineRule="auto"/>
      </w:pPr>
    </w:p>
    <w:p w:rsidR="00FA5218" w:rsidRPr="006A56D8" w:rsidRDefault="00720B60">
      <w:pPr>
        <w:pStyle w:val="BodyA"/>
        <w:numPr>
          <w:ilvl w:val="0"/>
          <w:numId w:val="4"/>
        </w:numPr>
        <w:spacing w:after="0" w:line="240" w:lineRule="auto"/>
        <w:rPr>
          <w:rFonts w:ascii="Verdana" w:hAnsi="Verdana"/>
          <w:bCs/>
          <w:sz w:val="24"/>
          <w:szCs w:val="24"/>
          <w:lang w:val="en-US"/>
        </w:rPr>
      </w:pPr>
      <w:r w:rsidRPr="006A56D8">
        <w:rPr>
          <w:rStyle w:val="None"/>
          <w:rFonts w:ascii="Verdana" w:hAnsi="Verdana"/>
          <w:sz w:val="24"/>
          <w:szCs w:val="24"/>
          <w:lang w:val="en-US"/>
        </w:rPr>
        <w:t xml:space="preserve">The High Court of Justice in NI ruled in November 2015 that the law on termination on pregnancy in NI is incompatible with Article 8 only of the ECHR in cases of fatal </w:t>
      </w:r>
      <w:proofErr w:type="spellStart"/>
      <w:r w:rsidRPr="006A56D8">
        <w:rPr>
          <w:rStyle w:val="None"/>
          <w:rFonts w:ascii="Verdana" w:hAnsi="Verdana"/>
          <w:sz w:val="24"/>
          <w:szCs w:val="24"/>
          <w:lang w:val="en-US"/>
        </w:rPr>
        <w:t>foetal</w:t>
      </w:r>
      <w:proofErr w:type="spellEnd"/>
      <w:r w:rsidRPr="006A56D8">
        <w:rPr>
          <w:rStyle w:val="None"/>
          <w:rFonts w:ascii="Verdana" w:hAnsi="Verdana"/>
          <w:sz w:val="24"/>
          <w:szCs w:val="24"/>
          <w:lang w:val="en-US"/>
        </w:rPr>
        <w:t xml:space="preserve"> abnormality at any time and sexual crime up to the date the </w:t>
      </w:r>
      <w:proofErr w:type="spellStart"/>
      <w:r w:rsidRPr="006A56D8">
        <w:rPr>
          <w:rStyle w:val="None"/>
          <w:rFonts w:ascii="Verdana" w:hAnsi="Verdana"/>
          <w:sz w:val="24"/>
          <w:szCs w:val="24"/>
          <w:lang w:val="en-US"/>
        </w:rPr>
        <w:t>foetus</w:t>
      </w:r>
      <w:proofErr w:type="spellEnd"/>
      <w:r w:rsidRPr="006A56D8">
        <w:rPr>
          <w:rStyle w:val="None"/>
          <w:rFonts w:ascii="Verdana" w:hAnsi="Verdana"/>
          <w:sz w:val="24"/>
          <w:szCs w:val="24"/>
          <w:lang w:val="en-US"/>
        </w:rPr>
        <w:t xml:space="preserve"> becomes capable of an existence independent of the mother.</w:t>
      </w:r>
      <w:r w:rsidRPr="006A56D8">
        <w:rPr>
          <w:rStyle w:val="None"/>
          <w:rFonts w:ascii="Verdana" w:eastAsia="Verdana" w:hAnsi="Verdana" w:cs="Verdana"/>
          <w:sz w:val="24"/>
          <w:szCs w:val="24"/>
          <w:vertAlign w:val="superscript"/>
          <w:lang w:val="en-US"/>
        </w:rPr>
        <w:footnoteReference w:id="126"/>
      </w:r>
      <w:r w:rsidRPr="006A56D8">
        <w:rPr>
          <w:rStyle w:val="None"/>
          <w:rFonts w:ascii="Verdana" w:hAnsi="Verdana"/>
          <w:sz w:val="24"/>
          <w:szCs w:val="24"/>
          <w:lang w:val="en-US"/>
        </w:rPr>
        <w:t xml:space="preserve"> The High Court in December 2015 granted a Declaration of Incompatibility (DOI), which means that the onus is now on the NI Assembly to change the law in respect of termination. The terms of the DOI were that: </w:t>
      </w:r>
    </w:p>
    <w:p w:rsidR="00FA5218" w:rsidRPr="006A56D8" w:rsidRDefault="00FA5218">
      <w:pPr>
        <w:pStyle w:val="BodyA"/>
        <w:spacing w:after="0" w:line="240" w:lineRule="auto"/>
      </w:pPr>
    </w:p>
    <w:p w:rsidR="00FA5218" w:rsidRPr="006A56D8" w:rsidRDefault="00720B60">
      <w:pPr>
        <w:pStyle w:val="BodyA"/>
        <w:spacing w:after="0" w:line="240" w:lineRule="auto"/>
        <w:ind w:left="720" w:right="720"/>
      </w:pPr>
      <w:r w:rsidRPr="006A56D8">
        <w:rPr>
          <w:rStyle w:val="None"/>
          <w:rFonts w:ascii="Verdana" w:hAnsi="Verdana"/>
          <w:sz w:val="24"/>
          <w:szCs w:val="24"/>
          <w:lang w:val="en-US"/>
        </w:rPr>
        <w:t xml:space="preserve">Sections  58 and 59 of the Offences Against the Person Act 1861 and section 25 of the Criminal Justice Act (NI) 1945 are incompatible with article 8 of the European Convention on Human Rights  in so far as it is an offence: (a) to procure a miscarriage at any stage during a pregnancy where the </w:t>
      </w:r>
      <w:proofErr w:type="spellStart"/>
      <w:r w:rsidRPr="006A56D8">
        <w:rPr>
          <w:rStyle w:val="None"/>
          <w:rFonts w:ascii="Verdana" w:hAnsi="Verdana"/>
          <w:sz w:val="24"/>
          <w:szCs w:val="24"/>
          <w:lang w:val="en-US"/>
        </w:rPr>
        <w:t>foetus</w:t>
      </w:r>
      <w:proofErr w:type="spellEnd"/>
      <w:r w:rsidRPr="006A56D8">
        <w:rPr>
          <w:rStyle w:val="None"/>
          <w:rFonts w:ascii="Verdana" w:hAnsi="Verdana"/>
          <w:sz w:val="24"/>
          <w:szCs w:val="24"/>
          <w:lang w:val="en-US"/>
        </w:rPr>
        <w:t xml:space="preserve"> has been diagnosed with a fatal fetal abnormality; (b) to procure a miscarriage  up to the date where a </w:t>
      </w:r>
      <w:proofErr w:type="spellStart"/>
      <w:r w:rsidRPr="006A56D8">
        <w:rPr>
          <w:rStyle w:val="None"/>
          <w:rFonts w:ascii="Verdana" w:hAnsi="Verdana"/>
          <w:sz w:val="24"/>
          <w:szCs w:val="24"/>
          <w:lang w:val="en-US"/>
        </w:rPr>
        <w:t>feotus</w:t>
      </w:r>
      <w:proofErr w:type="spellEnd"/>
      <w:r w:rsidRPr="006A56D8">
        <w:rPr>
          <w:rStyle w:val="None"/>
          <w:rFonts w:ascii="Verdana" w:hAnsi="Verdana"/>
          <w:sz w:val="24"/>
          <w:szCs w:val="24"/>
          <w:lang w:val="en-US"/>
        </w:rPr>
        <w:t xml:space="preserve"> is capable of being born alive  where the pregnancy  arises as a result of rape or incest.</w:t>
      </w:r>
    </w:p>
    <w:p w:rsidR="00FA5218" w:rsidRDefault="00FA5218">
      <w:pPr>
        <w:pStyle w:val="BodyA"/>
        <w:spacing w:after="0" w:line="240" w:lineRule="auto"/>
      </w:pPr>
    </w:p>
    <w:p w:rsidR="00FA5218" w:rsidRDefault="00720B60">
      <w:pPr>
        <w:pStyle w:val="BodyA"/>
        <w:numPr>
          <w:ilvl w:val="0"/>
          <w:numId w:val="6"/>
        </w:numPr>
        <w:spacing w:after="0" w:line="240" w:lineRule="auto"/>
        <w:rPr>
          <w:rFonts w:ascii="Verdana" w:hAnsi="Verdana"/>
          <w:b/>
          <w:bCs/>
          <w:sz w:val="24"/>
          <w:szCs w:val="24"/>
          <w:lang w:val="en-US"/>
        </w:rPr>
      </w:pPr>
      <w:r>
        <w:rPr>
          <w:rStyle w:val="news-date"/>
          <w:rFonts w:ascii="Verdana" w:hAnsi="Verdana"/>
          <w:b/>
          <w:bCs/>
          <w:sz w:val="24"/>
          <w:szCs w:val="24"/>
        </w:rPr>
        <w:t xml:space="preserve">The Committee may wish to recommend that the State Party takes immediate steps in Northern Ireland to decriminalize abortion in all circumstances and reviews its legislation with a view to ensuring children’s access to safe abortion and post-abortion care services; and ensure that the views of the pregnant girl are always heard and respected in abortion decisions, in line with the Committee recommendation relating to Ireland. </w:t>
      </w:r>
      <w:r>
        <w:rPr>
          <w:rStyle w:val="FootnoteReference"/>
          <w:rFonts w:ascii="Verdana" w:eastAsia="Verdana" w:hAnsi="Verdana" w:cs="Verdana"/>
          <w:b/>
          <w:bCs/>
          <w:sz w:val="24"/>
          <w:szCs w:val="24"/>
        </w:rPr>
        <w:footnoteReference w:id="127"/>
      </w:r>
    </w:p>
    <w:sectPr w:rsidR="00FA5218">
      <w:headerReference w:type="default" r:id="rId8"/>
      <w:footerReference w:type="default" r:id="rId9"/>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7F4C" w:rsidRDefault="00B37F4C">
      <w:r>
        <w:separator/>
      </w:r>
    </w:p>
  </w:endnote>
  <w:endnote w:type="continuationSeparator" w:id="0">
    <w:p w:rsidR="00B37F4C" w:rsidRDefault="00B37F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0B60" w:rsidRDefault="00720B60">
    <w:pPr>
      <w:pStyle w:val="Footer"/>
      <w:pBdr>
        <w:top w:val="single" w:sz="4" w:space="0" w:color="D9D9D9"/>
      </w:pBdr>
      <w:tabs>
        <w:tab w:val="clear" w:pos="9026"/>
        <w:tab w:val="right" w:pos="9000"/>
      </w:tabs>
      <w:jc w:val="right"/>
    </w:pPr>
    <w:r>
      <w:fldChar w:fldCharType="begin"/>
    </w:r>
    <w:r>
      <w:instrText xml:space="preserve"> PAGE </w:instrText>
    </w:r>
    <w:r>
      <w:fldChar w:fldCharType="separate"/>
    </w:r>
    <w:r w:rsidR="00C65145">
      <w:rPr>
        <w:noProof/>
      </w:rPr>
      <w:t>30</w:t>
    </w:r>
    <w:r>
      <w:fldChar w:fldCharType="end"/>
    </w:r>
    <w:r>
      <w:t xml:space="preserve"> | </w:t>
    </w:r>
    <w:r>
      <w:rPr>
        <w:color w:val="808080"/>
        <w:spacing w:val="-1"/>
        <w:u w:color="808080"/>
      </w:rPr>
      <w:t>Page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7F4C" w:rsidRDefault="00B37F4C">
      <w:r>
        <w:separator/>
      </w:r>
    </w:p>
  </w:footnote>
  <w:footnote w:type="continuationSeparator" w:id="0">
    <w:p w:rsidR="00B37F4C" w:rsidRDefault="00B37F4C">
      <w:r>
        <w:continuationSeparator/>
      </w:r>
    </w:p>
  </w:footnote>
  <w:footnote w:type="continuationNotice" w:id="1">
    <w:p w:rsidR="00B37F4C" w:rsidRDefault="00B37F4C"/>
  </w:footnote>
  <w:footnote w:id="2">
    <w:p w:rsidR="00720B60" w:rsidRDefault="00720B60">
      <w:pPr>
        <w:pStyle w:val="FootnoteText"/>
      </w:pPr>
      <w:r>
        <w:rPr>
          <w:rFonts w:ascii="Verdana" w:eastAsia="Verdana" w:hAnsi="Verdana" w:cs="Verdana"/>
          <w:b/>
          <w:bCs/>
          <w:sz w:val="24"/>
          <w:szCs w:val="24"/>
          <w:vertAlign w:val="superscript"/>
        </w:rPr>
        <w:footnoteRef/>
      </w:r>
      <w:r>
        <w:t xml:space="preserve"> UNCRC Committee, Concluding Observations: United Kingdom of Great Britain and Northern Ireland, CRC/C/15/Add.188, 2002, para 48.  </w:t>
      </w:r>
    </w:p>
  </w:footnote>
  <w:footnote w:id="3">
    <w:p w:rsidR="00720B60" w:rsidRDefault="00720B60">
      <w:pPr>
        <w:pStyle w:val="FootnoteText"/>
      </w:pPr>
      <w:r>
        <w:rPr>
          <w:rFonts w:ascii="Verdana" w:eastAsia="Verdana" w:hAnsi="Verdana" w:cs="Verdana"/>
          <w:b/>
          <w:bCs/>
          <w:sz w:val="24"/>
          <w:szCs w:val="24"/>
          <w:vertAlign w:val="superscript"/>
        </w:rPr>
        <w:footnoteRef/>
      </w:r>
      <w:r>
        <w:t xml:space="preserve"> UNCRC Committee, Concluding Observations: United Kingdom of Great Britain and Northern Ireland, CRC/C/GBR/CO/4, 2008, para 67  </w:t>
      </w:r>
    </w:p>
  </w:footnote>
  <w:footnote w:id="4">
    <w:p w:rsidR="00720B60" w:rsidRDefault="00720B60">
      <w:pPr>
        <w:pStyle w:val="FootnoteText"/>
      </w:pPr>
      <w:r>
        <w:rPr>
          <w:rFonts w:ascii="Verdana" w:eastAsia="Verdana" w:hAnsi="Verdana" w:cs="Verdana"/>
          <w:b/>
          <w:bCs/>
          <w:sz w:val="24"/>
          <w:szCs w:val="24"/>
          <w:vertAlign w:val="superscript"/>
        </w:rPr>
        <w:footnoteRef/>
      </w:r>
      <w:r>
        <w:t xml:space="preserve"> UN CRC Committee, Concluding Observations Ireland CRC/C/IRL/CO/3-4 PARA 58</w:t>
      </w:r>
    </w:p>
  </w:footnote>
  <w:footnote w:id="5">
    <w:p w:rsidR="00720B60" w:rsidRDefault="00720B60">
      <w:pPr>
        <w:pStyle w:val="FootnoteText"/>
      </w:pPr>
      <w:r>
        <w:rPr>
          <w:rFonts w:ascii="Verdana" w:eastAsia="Verdana" w:hAnsi="Verdana" w:cs="Verdana"/>
          <w:sz w:val="24"/>
          <w:szCs w:val="24"/>
          <w:vertAlign w:val="superscript"/>
        </w:rPr>
        <w:footnoteRef/>
      </w:r>
      <w:r>
        <w:t xml:space="preserve"> Reply to the List of Issues para 3  In October 2014 the Conservative Party issued proposals for the reform of human rights protections in the UK, including the repeal of the HRA 1998 and its replacement with a “British Bill of Rights and Responsibilities”.  These proposals were refined in the Conservative party manifesto and in the Queen’s Speech of May 2015.  In the Queen’s speech the Government announced that it: </w:t>
      </w:r>
    </w:p>
    <w:p w:rsidR="00720B60" w:rsidRDefault="00720B60">
      <w:pPr>
        <w:pStyle w:val="FootnoteText"/>
      </w:pPr>
      <w:proofErr w:type="gramStart"/>
      <w:r>
        <w:t>will</w:t>
      </w:r>
      <w:proofErr w:type="gramEnd"/>
      <w:r>
        <w:t xml:space="preserve"> bring forward proposals for a Bill of Rights to replace the Human Rights Act. This would reform and </w:t>
      </w:r>
      <w:proofErr w:type="spellStart"/>
      <w:r>
        <w:t>modernise</w:t>
      </w:r>
      <w:proofErr w:type="spellEnd"/>
      <w:r>
        <w:t xml:space="preserve"> our human rights legal framework and restore common sense to the application of human rights laws.  It would also protect existing rights, which are an essential part of a modern, democratic society, and better protect against abuse of the system and misuse of human rights.</w:t>
      </w:r>
    </w:p>
  </w:footnote>
  <w:footnote w:id="6">
    <w:p w:rsidR="00720B60" w:rsidRDefault="00720B60">
      <w:pPr>
        <w:pStyle w:val="FootnoteText"/>
      </w:pPr>
      <w:r>
        <w:rPr>
          <w:rFonts w:ascii="Verdana" w:eastAsia="Verdana" w:hAnsi="Verdana" w:cs="Verdana"/>
          <w:vertAlign w:val="superscript"/>
        </w:rPr>
        <w:footnoteRef/>
      </w:r>
      <w:r>
        <w:t xml:space="preserve"> Letter from </w:t>
      </w:r>
      <w:proofErr w:type="spellStart"/>
      <w:r>
        <w:t>Rt</w:t>
      </w:r>
      <w:proofErr w:type="spellEnd"/>
      <w:r>
        <w:t xml:space="preserve"> Hon Michael Gove MP to </w:t>
      </w:r>
      <w:proofErr w:type="spellStart"/>
      <w:r>
        <w:t>Rt</w:t>
      </w:r>
      <w:proofErr w:type="spellEnd"/>
      <w:r>
        <w:t xml:space="preserve"> Hon Harriet Harman MP (22 November 2015)</w:t>
      </w:r>
    </w:p>
  </w:footnote>
  <w:footnote w:id="7">
    <w:p w:rsidR="00720B60" w:rsidRDefault="00720B60">
      <w:pPr>
        <w:pStyle w:val="FootnoteText"/>
      </w:pPr>
      <w:r>
        <w:rPr>
          <w:rFonts w:ascii="Verdana" w:eastAsia="Verdana" w:hAnsi="Verdana" w:cs="Verdana"/>
          <w:sz w:val="24"/>
          <w:szCs w:val="24"/>
          <w:vertAlign w:val="superscript"/>
        </w:rPr>
        <w:footnoteRef/>
      </w:r>
      <w:r>
        <w:t xml:space="preserve"> </w:t>
      </w:r>
      <w:hyperlink r:id="rId1" w:history="1">
        <w:r>
          <w:rPr>
            <w:rStyle w:val="Hyperlink0"/>
          </w:rPr>
          <w:t>http://www.parliament.uk/business/committees/committees-a-z/lords-select/eu-justice-subcommittee/inquiries/parliament-2015/potential-impact-of-repealing-the-human-rights-act-on-eu-law/</w:t>
        </w:r>
      </w:hyperlink>
      <w:r>
        <w:t xml:space="preserve"> </w:t>
      </w:r>
    </w:p>
  </w:footnote>
  <w:footnote w:id="8">
    <w:p w:rsidR="00720B60" w:rsidRDefault="00720B60">
      <w:pPr>
        <w:pStyle w:val="FootnoteText"/>
      </w:pPr>
      <w:r>
        <w:rPr>
          <w:rFonts w:ascii="Verdana" w:eastAsia="Verdana" w:hAnsi="Verdana" w:cs="Verdana"/>
          <w:sz w:val="24"/>
          <w:szCs w:val="24"/>
          <w:vertAlign w:val="superscript"/>
        </w:rPr>
        <w:footnoteRef/>
      </w:r>
      <w:r>
        <w:t xml:space="preserve"> The Select Committee on the European Union, Justice Sub-Committee, </w:t>
      </w:r>
    </w:p>
    <w:p w:rsidR="00720B60" w:rsidRDefault="00720B60">
      <w:pPr>
        <w:pStyle w:val="FootnoteText"/>
      </w:pPr>
      <w:r>
        <w:t>‘</w:t>
      </w:r>
      <w:hyperlink r:id="rId2" w:history="1">
        <w:r>
          <w:rPr>
            <w:rStyle w:val="Hyperlink0"/>
          </w:rPr>
          <w:t>Inquiry on the Potential Impact on EU law of repealing the Human Rights Act’</w:t>
        </w:r>
      </w:hyperlink>
      <w:r>
        <w:t xml:space="preserve"> (2 February 2016) pp3-4</w:t>
      </w:r>
    </w:p>
  </w:footnote>
  <w:footnote w:id="9">
    <w:p w:rsidR="00720B60" w:rsidRDefault="00720B60">
      <w:pPr>
        <w:pStyle w:val="FootnoteText"/>
      </w:pPr>
      <w:r>
        <w:rPr>
          <w:rFonts w:ascii="Verdana" w:eastAsia="Verdana" w:hAnsi="Verdana" w:cs="Verdana"/>
          <w:i/>
          <w:iCs/>
          <w:sz w:val="24"/>
          <w:szCs w:val="24"/>
          <w:vertAlign w:val="superscript"/>
        </w:rPr>
        <w:footnoteRef/>
      </w:r>
      <w:r>
        <w:t xml:space="preserve"> EHRC, SHRC, NIHRC ‘ Correspondence to the UN Human Rights Committee’ July 2015 </w:t>
      </w:r>
    </w:p>
  </w:footnote>
  <w:footnote w:id="10">
    <w:p w:rsidR="00720B60" w:rsidRDefault="00720B60">
      <w:pPr>
        <w:pStyle w:val="FootnoteText"/>
      </w:pPr>
      <w:r>
        <w:rPr>
          <w:rFonts w:ascii="Verdana" w:eastAsia="Verdana" w:hAnsi="Verdana" w:cs="Verdana"/>
          <w:vertAlign w:val="superscript"/>
        </w:rPr>
        <w:footnoteRef/>
      </w:r>
      <w:r>
        <w:t xml:space="preserve"> Belfast (Good Friday) Agreement 1998, Annex 1</w:t>
      </w:r>
    </w:p>
  </w:footnote>
  <w:footnote w:id="11">
    <w:p w:rsidR="00720B60" w:rsidRDefault="00720B60">
      <w:pPr>
        <w:pStyle w:val="FootnoteText"/>
      </w:pPr>
      <w:r>
        <w:rPr>
          <w:rFonts w:ascii="Verdana" w:eastAsia="Verdana" w:hAnsi="Verdana" w:cs="Verdana"/>
          <w:vertAlign w:val="superscript"/>
        </w:rPr>
        <w:footnoteRef/>
      </w:r>
      <w:r>
        <w:t xml:space="preserve"> </w:t>
      </w:r>
      <w:hyperlink r:id="rId3" w:history="1">
        <w:r>
          <w:rPr>
            <w:rStyle w:val="Hyperlink0"/>
          </w:rPr>
          <w:t>St Andrew's Agreement 2006</w:t>
        </w:r>
      </w:hyperlink>
      <w:r>
        <w:t>, para 3</w:t>
      </w:r>
    </w:p>
  </w:footnote>
  <w:footnote w:id="12">
    <w:p w:rsidR="00720B60" w:rsidRDefault="00720B60">
      <w:pPr>
        <w:pStyle w:val="FootnoteText"/>
      </w:pPr>
      <w:r>
        <w:rPr>
          <w:rFonts w:ascii="Verdana" w:eastAsia="Verdana" w:hAnsi="Verdana" w:cs="Verdana"/>
          <w:vertAlign w:val="superscript"/>
        </w:rPr>
        <w:footnoteRef/>
      </w:r>
      <w:r>
        <w:t xml:space="preserve"> The </w:t>
      </w:r>
      <w:hyperlink r:id="rId4" w:history="1">
        <w:r>
          <w:rPr>
            <w:rStyle w:val="Hyperlink0"/>
          </w:rPr>
          <w:t>Stormont House Agreement 2014</w:t>
        </w:r>
      </w:hyperlink>
      <w:r>
        <w:t>, states that: any legislation on parades will have “proper regard for fundamental rights protected by the ECHR” (para 19); and, that “the Executive will take appropriate steps to improve the way the legacy inquest function is conducted to comply with ECHR Article 2 requirements.” (para 31)</w:t>
      </w:r>
    </w:p>
  </w:footnote>
  <w:footnote w:id="13">
    <w:p w:rsidR="00720B60" w:rsidRDefault="00720B60">
      <w:pPr>
        <w:pStyle w:val="FootnoteText"/>
      </w:pPr>
      <w:r>
        <w:rPr>
          <w:rFonts w:ascii="Verdana" w:eastAsia="Verdana" w:hAnsi="Verdana" w:cs="Verdana"/>
          <w:sz w:val="24"/>
          <w:szCs w:val="24"/>
          <w:vertAlign w:val="superscript"/>
        </w:rPr>
        <w:footnoteRef/>
      </w:r>
      <w:r>
        <w:t xml:space="preserve"> Joint Statement of IHREC and NIHRC 25 June 2015 available at: </w:t>
      </w:r>
      <w:hyperlink r:id="rId5" w:history="1">
        <w:r>
          <w:rPr>
            <w:rStyle w:val="Hyperlink1"/>
          </w:rPr>
          <w:t>http://www.nihrc.org/news/detail/joint-statement-of-irish-human-rights-and-equality-commission-and-northern</w:t>
        </w:r>
      </w:hyperlink>
      <w:r>
        <w:t xml:space="preserve"> </w:t>
      </w:r>
    </w:p>
  </w:footnote>
  <w:footnote w:id="14">
    <w:p w:rsidR="00720B60" w:rsidRDefault="00720B60">
      <w:pPr>
        <w:pStyle w:val="FootnoteText"/>
      </w:pPr>
      <w:r>
        <w:rPr>
          <w:rStyle w:val="None"/>
          <w:rFonts w:ascii="Verdana" w:eastAsia="Verdana" w:hAnsi="Verdana" w:cs="Verdana"/>
          <w:sz w:val="24"/>
          <w:szCs w:val="24"/>
          <w:vertAlign w:val="superscript"/>
        </w:rPr>
        <w:footnoteRef/>
      </w:r>
      <w:r>
        <w:t xml:space="preserve"> UN Human Rights Committee Concluding observations on seventh periodic report submitted by the UK CCPR/C/GBR/CO/7 2015 Para 5(c) </w:t>
      </w:r>
    </w:p>
  </w:footnote>
  <w:footnote w:id="15">
    <w:p w:rsidR="00720B60" w:rsidRDefault="00720B60">
      <w:pPr>
        <w:pStyle w:val="FootnoteText"/>
      </w:pPr>
      <w:r>
        <w:rPr>
          <w:rStyle w:val="None"/>
          <w:rFonts w:ascii="Verdana" w:eastAsia="Verdana" w:hAnsi="Verdana" w:cs="Verdana"/>
          <w:sz w:val="24"/>
          <w:szCs w:val="24"/>
          <w:vertAlign w:val="superscript"/>
        </w:rPr>
        <w:footnoteRef/>
      </w:r>
      <w:r>
        <w:t xml:space="preserve"> NIO ‘Consultation Paper: A Bill of Rights for NI: Next Steps’ (November 2009)</w:t>
      </w:r>
    </w:p>
  </w:footnote>
  <w:footnote w:id="16">
    <w:p w:rsidR="00720B60" w:rsidRDefault="00720B60">
      <w:pPr>
        <w:pStyle w:val="FootnoteText"/>
      </w:pPr>
      <w:r>
        <w:rPr>
          <w:rStyle w:val="None"/>
          <w:rFonts w:ascii="Verdana" w:eastAsia="Verdana" w:hAnsi="Verdana" w:cs="Verdana"/>
          <w:sz w:val="24"/>
          <w:szCs w:val="24"/>
          <w:vertAlign w:val="superscript"/>
        </w:rPr>
        <w:footnoteRef/>
      </w:r>
      <w:r>
        <w:t xml:space="preserve"> Minister of State Hugo Swire MP, Written Ministerial Statement to Parliament, 16 December 2010</w:t>
      </w:r>
    </w:p>
  </w:footnote>
  <w:footnote w:id="17">
    <w:p w:rsidR="00720B60" w:rsidRDefault="00720B60">
      <w:pPr>
        <w:pStyle w:val="FootnoteText"/>
      </w:pPr>
      <w:r>
        <w:rPr>
          <w:rStyle w:val="None"/>
          <w:rFonts w:ascii="Verdana" w:eastAsia="Verdana" w:hAnsi="Verdana" w:cs="Verdana"/>
          <w:sz w:val="24"/>
          <w:szCs w:val="24"/>
          <w:vertAlign w:val="superscript"/>
        </w:rPr>
        <w:footnoteRef/>
      </w:r>
      <w:r>
        <w:t xml:space="preserve"> Westminster Hall Tuesday 16 July 2013 [</w:t>
      </w:r>
      <w:proofErr w:type="spellStart"/>
      <w:r>
        <w:t>Mr</w:t>
      </w:r>
      <w:proofErr w:type="spellEnd"/>
      <w:r>
        <w:t xml:space="preserve"> Christopher </w:t>
      </w:r>
      <w:proofErr w:type="spellStart"/>
      <w:r>
        <w:t>Chope</w:t>
      </w:r>
      <w:proofErr w:type="spellEnd"/>
      <w:r>
        <w:t xml:space="preserve"> in the Chair] Column 190WH Bill of Rights (NI)</w:t>
      </w:r>
    </w:p>
  </w:footnote>
  <w:footnote w:id="18">
    <w:p w:rsidR="00720B60" w:rsidRDefault="00720B60">
      <w:pPr>
        <w:pStyle w:val="FootnoteText"/>
      </w:pPr>
      <w:r>
        <w:rPr>
          <w:rStyle w:val="None"/>
          <w:rFonts w:ascii="Verdana" w:eastAsia="Verdana" w:hAnsi="Verdana" w:cs="Verdana"/>
          <w:sz w:val="24"/>
          <w:szCs w:val="24"/>
          <w:vertAlign w:val="superscript"/>
        </w:rPr>
        <w:footnoteRef/>
      </w:r>
      <w:r>
        <w:t xml:space="preserve"> UN Human Rights Committee Concluding observations on seventh periodic report submitted by the UK CCPR/C/GBR/CO/7 2015 Para 5 </w:t>
      </w:r>
    </w:p>
  </w:footnote>
  <w:footnote w:id="19">
    <w:p w:rsidR="00720B60" w:rsidRDefault="00720B60">
      <w:pPr>
        <w:pStyle w:val="FootnoteText"/>
      </w:pPr>
      <w:r>
        <w:rPr>
          <w:rStyle w:val="None"/>
          <w:rFonts w:ascii="Verdana" w:eastAsia="Verdana" w:hAnsi="Verdana" w:cs="Verdana"/>
          <w:sz w:val="24"/>
          <w:szCs w:val="24"/>
          <w:vertAlign w:val="superscript"/>
        </w:rPr>
        <w:footnoteRef/>
      </w:r>
      <w:r>
        <w:t xml:space="preserve"> Ibid., Para 5(b) </w:t>
      </w:r>
    </w:p>
  </w:footnote>
  <w:footnote w:id="20">
    <w:p w:rsidR="00720B60" w:rsidRDefault="00720B60">
      <w:pPr>
        <w:pStyle w:val="FootnoteText"/>
      </w:pPr>
      <w:r>
        <w:rPr>
          <w:rStyle w:val="None"/>
          <w:rFonts w:ascii="Verdana" w:eastAsia="Verdana" w:hAnsi="Verdana" w:cs="Verdana"/>
          <w:sz w:val="24"/>
          <w:szCs w:val="24"/>
          <w:vertAlign w:val="superscript"/>
        </w:rPr>
        <w:footnoteRef/>
      </w:r>
      <w:r>
        <w:t xml:space="preserve"> NIHRC ‘Alternative Care and Children’s Rights in Northern Ireland’ 2014 </w:t>
      </w:r>
    </w:p>
  </w:footnote>
  <w:footnote w:id="21">
    <w:p w:rsidR="00720B60" w:rsidRDefault="00720B60">
      <w:pPr>
        <w:pStyle w:val="FootnoteText"/>
      </w:pPr>
      <w:r>
        <w:rPr>
          <w:rStyle w:val="None"/>
          <w:rFonts w:ascii="Verdana" w:eastAsia="Verdana" w:hAnsi="Verdana" w:cs="Verdana"/>
          <w:sz w:val="24"/>
          <w:szCs w:val="24"/>
          <w:vertAlign w:val="superscript"/>
        </w:rPr>
        <w:footnoteRef/>
      </w:r>
      <w:r>
        <w:t xml:space="preserve"> Children Order, Schedule 2(3): Every authority shall open and maintain a register of</w:t>
      </w:r>
    </w:p>
    <w:p w:rsidR="00720B60" w:rsidRDefault="00720B60">
      <w:pPr>
        <w:pStyle w:val="FootnoteText"/>
      </w:pPr>
      <w:proofErr w:type="gramStart"/>
      <w:r>
        <w:t>disabled</w:t>
      </w:r>
      <w:proofErr w:type="gramEnd"/>
      <w:r>
        <w:t xml:space="preserve"> children within the authority’s area.</w:t>
      </w:r>
    </w:p>
  </w:footnote>
  <w:footnote w:id="22">
    <w:p w:rsidR="00720B60" w:rsidRDefault="00720B60">
      <w:pPr>
        <w:pStyle w:val="FootnoteText"/>
      </w:pPr>
      <w:r>
        <w:rPr>
          <w:rStyle w:val="None"/>
          <w:rFonts w:ascii="Verdana" w:eastAsia="Verdana" w:hAnsi="Verdana" w:cs="Verdana"/>
          <w:sz w:val="24"/>
          <w:szCs w:val="24"/>
          <w:vertAlign w:val="superscript"/>
        </w:rPr>
        <w:footnoteRef/>
      </w:r>
      <w:r>
        <w:t xml:space="preserve"> Article 181 In its report ‘Alternative Care and Children’s Rights in Northern Ireland’  the Commission recommended that The Children Order requirement to establish a register of disabled children should be addressed; either the legislation should be complied with, or if following consultation it is determined that a different approach is preferable, the legislation should be amended.</w:t>
      </w:r>
    </w:p>
  </w:footnote>
  <w:footnote w:id="23">
    <w:p w:rsidR="00720B60" w:rsidRDefault="00720B60">
      <w:pPr>
        <w:pStyle w:val="FootnoteText"/>
      </w:pPr>
      <w:r>
        <w:rPr>
          <w:rStyle w:val="None"/>
          <w:rFonts w:ascii="Verdana" w:eastAsia="Verdana" w:hAnsi="Verdana" w:cs="Verdana"/>
          <w:sz w:val="24"/>
          <w:szCs w:val="24"/>
          <w:vertAlign w:val="superscript"/>
        </w:rPr>
        <w:footnoteRef/>
      </w:r>
      <w:r>
        <w:rPr>
          <w:rStyle w:val="None"/>
          <w:rFonts w:ascii="Helvetica" w:hAnsi="Helvetica"/>
        </w:rPr>
        <w:t xml:space="preserve"> See clauses 1 – 3 </w:t>
      </w:r>
    </w:p>
  </w:footnote>
  <w:footnote w:id="24">
    <w:p w:rsidR="00720B60" w:rsidRDefault="00720B60">
      <w:pPr>
        <w:pStyle w:val="FootnoteText"/>
      </w:pPr>
      <w:r>
        <w:rPr>
          <w:rStyle w:val="None"/>
          <w:rFonts w:ascii="Verdana" w:eastAsia="Verdana" w:hAnsi="Verdana" w:cs="Verdana"/>
          <w:sz w:val="24"/>
          <w:szCs w:val="24"/>
          <w:vertAlign w:val="superscript"/>
        </w:rPr>
        <w:footnoteRef/>
      </w:r>
      <w:r>
        <w:rPr>
          <w:rStyle w:val="None"/>
          <w:rFonts w:ascii="Helvetica" w:hAnsi="Helvetica"/>
        </w:rPr>
        <w:t xml:space="preserve"> NI Assembly Official Report: Tuesday 16 June 2015. Second Stage Mental Capacity (NI) Bill</w:t>
      </w:r>
      <w:r>
        <w:t xml:space="preserve"> </w:t>
      </w:r>
    </w:p>
  </w:footnote>
  <w:footnote w:id="25">
    <w:p w:rsidR="00720B60" w:rsidRDefault="00720B60">
      <w:pPr>
        <w:pStyle w:val="FootnoteText"/>
      </w:pPr>
      <w:r>
        <w:rPr>
          <w:rStyle w:val="None"/>
          <w:rFonts w:ascii="Verdana" w:eastAsia="Verdana" w:hAnsi="Verdana" w:cs="Verdana"/>
          <w:sz w:val="24"/>
          <w:szCs w:val="24"/>
          <w:vertAlign w:val="superscript"/>
        </w:rPr>
        <w:footnoteRef/>
      </w:r>
      <w:r>
        <w:t xml:space="preserve"> Committee for the Office of the First Minister and deputy First Minister, OFFICIAL REPORT (Hansard) Delivering Social Change for Children and Young People: OFMDFM Officials 10 September 2014 </w:t>
      </w:r>
    </w:p>
  </w:footnote>
  <w:footnote w:id="26">
    <w:p w:rsidR="00720B60" w:rsidRDefault="00720B60">
      <w:pPr>
        <w:pStyle w:val="FootnoteText"/>
      </w:pPr>
      <w:r>
        <w:rPr>
          <w:rStyle w:val="None"/>
          <w:rFonts w:ascii="Verdana" w:eastAsia="Verdana" w:hAnsi="Verdana" w:cs="Verdana"/>
          <w:sz w:val="24"/>
          <w:szCs w:val="24"/>
          <w:vertAlign w:val="superscript"/>
        </w:rPr>
        <w:footnoteRef/>
      </w:r>
      <w:r>
        <w:t xml:space="preserve"> See CJINI ‘Monitoring of Progress on Implementation of the Youth Justice Review Recommendations’ December 2015 see </w:t>
      </w:r>
      <w:proofErr w:type="spellStart"/>
      <w:r>
        <w:t>pg</w:t>
      </w:r>
      <w:proofErr w:type="spellEnd"/>
      <w:r>
        <w:t xml:space="preserve"> 12 discussion of outstanding recommendation. </w:t>
      </w:r>
    </w:p>
  </w:footnote>
  <w:footnote w:id="27">
    <w:p w:rsidR="00720B60" w:rsidRDefault="00720B60">
      <w:pPr>
        <w:pStyle w:val="FootnoteText"/>
      </w:pPr>
      <w:r>
        <w:rPr>
          <w:rStyle w:val="None"/>
          <w:rFonts w:ascii="Verdana" w:eastAsia="Verdana" w:hAnsi="Verdana" w:cs="Verdana"/>
          <w:sz w:val="24"/>
          <w:szCs w:val="24"/>
          <w:vertAlign w:val="superscript"/>
        </w:rPr>
        <w:footnoteRef/>
      </w:r>
      <w:r>
        <w:rPr>
          <w:rStyle w:val="news-date"/>
        </w:rPr>
        <w:t xml:space="preserve"> </w:t>
      </w:r>
      <w:r>
        <w:rPr>
          <w:rStyle w:val="None"/>
        </w:rPr>
        <w:t xml:space="preserve">Reported on OFMDFM Website </w:t>
      </w:r>
      <w:hyperlink r:id="rId6" w:history="1">
        <w:r>
          <w:rPr>
            <w:rStyle w:val="Hyperlink2"/>
          </w:rPr>
          <w:t>https://www.ofmdfmni.gov.uk/articles/children-and-young-people</w:t>
        </w:r>
      </w:hyperlink>
      <w:r>
        <w:rPr>
          <w:rStyle w:val="None"/>
        </w:rPr>
        <w:t xml:space="preserve"> </w:t>
      </w:r>
    </w:p>
  </w:footnote>
  <w:footnote w:id="28">
    <w:p w:rsidR="00720B60" w:rsidRDefault="00720B60">
      <w:pPr>
        <w:pStyle w:val="FootnoteText"/>
      </w:pPr>
      <w:r>
        <w:rPr>
          <w:rStyle w:val="None"/>
          <w:rFonts w:ascii="Verdana" w:eastAsia="Verdana" w:hAnsi="Verdana" w:cs="Verdana"/>
          <w:sz w:val="24"/>
          <w:szCs w:val="24"/>
          <w:vertAlign w:val="superscript"/>
        </w:rPr>
        <w:footnoteRef/>
      </w:r>
      <w:r>
        <w:t xml:space="preserve"> </w:t>
      </w:r>
      <w:hyperlink r:id="rId7" w:history="1">
        <w:r>
          <w:rPr>
            <w:rStyle w:val="Hyperlink0"/>
          </w:rPr>
          <w:t>https://www.ofmdfmni.gov.uk/articles/poverty-and-social-inclusion#toc-1</w:t>
        </w:r>
      </w:hyperlink>
      <w:r>
        <w:t xml:space="preserve"> </w:t>
      </w:r>
    </w:p>
  </w:footnote>
  <w:footnote w:id="29">
    <w:p w:rsidR="00720B60" w:rsidRDefault="00720B60">
      <w:pPr>
        <w:pStyle w:val="FootnoteText"/>
      </w:pPr>
      <w:r>
        <w:rPr>
          <w:rStyle w:val="None"/>
          <w:rFonts w:ascii="Verdana" w:eastAsia="Verdana" w:hAnsi="Verdana" w:cs="Verdana"/>
          <w:sz w:val="24"/>
          <w:szCs w:val="24"/>
          <w:vertAlign w:val="superscript"/>
        </w:rPr>
        <w:footnoteRef/>
      </w:r>
      <w:r>
        <w:rPr>
          <w:rStyle w:val="news-date"/>
        </w:rPr>
        <w:t xml:space="preserve"> </w:t>
      </w:r>
      <w:r>
        <w:rPr>
          <w:rStyle w:val="None"/>
        </w:rPr>
        <w:t>Departments Act 2016</w:t>
      </w:r>
    </w:p>
  </w:footnote>
  <w:footnote w:id="30">
    <w:p w:rsidR="00720B60" w:rsidRDefault="00720B60">
      <w:pPr>
        <w:pStyle w:val="FootnoteText"/>
      </w:pPr>
      <w:r>
        <w:rPr>
          <w:rStyle w:val="None"/>
          <w:rFonts w:ascii="Verdana" w:eastAsia="Verdana" w:hAnsi="Verdana" w:cs="Verdana"/>
          <w:sz w:val="24"/>
          <w:szCs w:val="24"/>
          <w:vertAlign w:val="superscript"/>
        </w:rPr>
        <w:footnoteRef/>
      </w:r>
      <w:r>
        <w:t xml:space="preserve"> Northern Ireland Policing Board, Human Rights Annual Report 2013, page 11</w:t>
      </w:r>
    </w:p>
  </w:footnote>
  <w:footnote w:id="31">
    <w:p w:rsidR="00720B60" w:rsidRDefault="00720B60">
      <w:pPr>
        <w:pStyle w:val="FootnoteText"/>
      </w:pPr>
      <w:r>
        <w:rPr>
          <w:rStyle w:val="None"/>
          <w:rFonts w:ascii="Verdana" w:eastAsia="Verdana" w:hAnsi="Verdana" w:cs="Verdana"/>
          <w:sz w:val="24"/>
          <w:szCs w:val="24"/>
          <w:vertAlign w:val="superscript"/>
        </w:rPr>
        <w:footnoteRef/>
      </w:r>
      <w:r>
        <w:t xml:space="preserve"> See: </w:t>
      </w:r>
      <w:hyperlink r:id="rId8" w:history="1">
        <w:r>
          <w:rPr>
            <w:rStyle w:val="Hyperlink1"/>
          </w:rPr>
          <w:t>http://safeguardingni.org/thematic-review-child-sexual-exploitation</w:t>
        </w:r>
      </w:hyperlink>
      <w:r>
        <w:t xml:space="preserve"> </w:t>
      </w:r>
    </w:p>
  </w:footnote>
  <w:footnote w:id="32">
    <w:p w:rsidR="00720B60" w:rsidRDefault="00720B60">
      <w:pPr>
        <w:pStyle w:val="FootnoteText"/>
      </w:pPr>
      <w:r>
        <w:rPr>
          <w:rStyle w:val="None"/>
          <w:rFonts w:ascii="Verdana" w:eastAsia="Verdana" w:hAnsi="Verdana" w:cs="Verdana"/>
          <w:sz w:val="24"/>
          <w:szCs w:val="24"/>
          <w:vertAlign w:val="superscript"/>
        </w:rPr>
        <w:footnoteRef/>
      </w:r>
      <w:r>
        <w:t xml:space="preserve"> Kathleen Marshall ‘Child Sexual Exploitation in Northern Ireland Report of the Independent Inquiry’ (November, 2014)</w:t>
      </w:r>
    </w:p>
  </w:footnote>
  <w:footnote w:id="33">
    <w:p w:rsidR="00720B60" w:rsidRDefault="00720B60">
      <w:pPr>
        <w:pStyle w:val="FootnoteText"/>
      </w:pPr>
      <w:r>
        <w:rPr>
          <w:rStyle w:val="None"/>
          <w:rFonts w:ascii="Verdana" w:eastAsia="Verdana" w:hAnsi="Verdana" w:cs="Verdana"/>
          <w:sz w:val="24"/>
          <w:szCs w:val="24"/>
          <w:vertAlign w:val="superscript"/>
        </w:rPr>
        <w:footnoteRef/>
      </w:r>
      <w:r>
        <w:t xml:space="preserve"> Kathleen Marshall ‘Child Sexual Exploitation in Northern Ireland Report of the Independent Inquiry’ (November, 2014) pp. 48-49</w:t>
      </w:r>
    </w:p>
  </w:footnote>
  <w:footnote w:id="34">
    <w:p w:rsidR="00720B60" w:rsidRDefault="00720B60">
      <w:pPr>
        <w:pStyle w:val="FootnoteText"/>
      </w:pPr>
      <w:r>
        <w:rPr>
          <w:rStyle w:val="None"/>
          <w:rFonts w:ascii="Verdana" w:eastAsia="Verdana" w:hAnsi="Verdana" w:cs="Verdana"/>
          <w:sz w:val="24"/>
          <w:szCs w:val="24"/>
          <w:vertAlign w:val="superscript"/>
        </w:rPr>
        <w:footnoteRef/>
      </w:r>
      <w:r>
        <w:t xml:space="preserve">  See </w:t>
      </w:r>
      <w:hyperlink r:id="rId9" w:history="1">
        <w:r>
          <w:rPr>
            <w:rStyle w:val="Hyperlink1"/>
          </w:rPr>
          <w:t>http://www.bbc.co.uk/news/uk-northern-ireland-29631344</w:t>
        </w:r>
      </w:hyperlink>
      <w:r>
        <w:t xml:space="preserve">; See also ‘At least 60 people were abused by </w:t>
      </w:r>
      <w:proofErr w:type="spellStart"/>
      <w:r>
        <w:t>Provos</w:t>
      </w:r>
      <w:proofErr w:type="spellEnd"/>
      <w:r>
        <w:t xml:space="preserve">, claims </w:t>
      </w:r>
      <w:proofErr w:type="spellStart"/>
      <w:r>
        <w:t>Mairia</w:t>
      </w:r>
      <w:proofErr w:type="spellEnd"/>
      <w:r>
        <w:t xml:space="preserve"> Cahill’ Belfast Telegraph, 12 March 2015</w:t>
      </w:r>
    </w:p>
  </w:footnote>
  <w:footnote w:id="35">
    <w:p w:rsidR="00720B60" w:rsidRDefault="00720B60">
      <w:pPr>
        <w:pStyle w:val="NoSpacing"/>
      </w:pPr>
      <w:r>
        <w:rPr>
          <w:rStyle w:val="None"/>
          <w:rFonts w:ascii="Verdana" w:eastAsia="Verdana" w:hAnsi="Verdana" w:cs="Verdana"/>
          <w:color w:val="111111"/>
          <w:sz w:val="24"/>
          <w:szCs w:val="24"/>
          <w:u w:color="111111"/>
          <w:shd w:val="clear" w:color="auto" w:fill="FFFFFF"/>
          <w:vertAlign w:val="superscript"/>
        </w:rPr>
        <w:footnoteRef/>
      </w:r>
      <w:r>
        <w:rPr>
          <w:rStyle w:val="None"/>
          <w:sz w:val="20"/>
          <w:szCs w:val="20"/>
        </w:rPr>
        <w:t xml:space="preserve"> See ‘</w:t>
      </w:r>
      <w:proofErr w:type="spellStart"/>
      <w:r>
        <w:rPr>
          <w:rStyle w:val="None"/>
          <w:sz w:val="20"/>
          <w:szCs w:val="20"/>
        </w:rPr>
        <w:t>Starmer</w:t>
      </w:r>
      <w:proofErr w:type="spellEnd"/>
      <w:r>
        <w:rPr>
          <w:rStyle w:val="None"/>
          <w:sz w:val="20"/>
          <w:szCs w:val="20"/>
        </w:rPr>
        <w:t xml:space="preserve"> report: </w:t>
      </w:r>
      <w:proofErr w:type="spellStart"/>
      <w:r>
        <w:rPr>
          <w:rStyle w:val="None"/>
          <w:sz w:val="20"/>
          <w:szCs w:val="20"/>
        </w:rPr>
        <w:t>Mairia</w:t>
      </w:r>
      <w:proofErr w:type="spellEnd"/>
      <w:r>
        <w:rPr>
          <w:rStyle w:val="None"/>
          <w:sz w:val="20"/>
          <w:szCs w:val="20"/>
        </w:rPr>
        <w:t xml:space="preserve"> Cahill and other alleged IRA rape victims 'let down' by PPS’ Belfast Telegraph, 22 May 2015</w:t>
      </w:r>
    </w:p>
  </w:footnote>
  <w:footnote w:id="36">
    <w:p w:rsidR="00720B60" w:rsidRDefault="00720B60">
      <w:pPr>
        <w:pStyle w:val="FootnoteText"/>
      </w:pPr>
      <w:r>
        <w:rPr>
          <w:rStyle w:val="None"/>
          <w:rFonts w:ascii="Verdana" w:eastAsia="Verdana" w:hAnsi="Verdana" w:cs="Verdana"/>
          <w:sz w:val="24"/>
          <w:szCs w:val="24"/>
          <w:vertAlign w:val="superscript"/>
        </w:rPr>
        <w:footnoteRef/>
      </w:r>
      <w:r>
        <w:t xml:space="preserve"> Kathleen Marshall ‘Child Sexual Exploitation in Northern Ireland Report of the Independent Inquiry’ (November, 2014) p. 149 </w:t>
      </w:r>
    </w:p>
  </w:footnote>
  <w:footnote w:id="37">
    <w:p w:rsidR="00720B60" w:rsidRDefault="00720B60">
      <w:pPr>
        <w:pStyle w:val="FootnoteText"/>
      </w:pPr>
      <w:r>
        <w:rPr>
          <w:rStyle w:val="None"/>
          <w:rFonts w:ascii="Verdana" w:eastAsia="Verdana" w:hAnsi="Verdana" w:cs="Verdana"/>
          <w:sz w:val="24"/>
          <w:szCs w:val="24"/>
          <w:vertAlign w:val="superscript"/>
        </w:rPr>
        <w:footnoteRef/>
      </w:r>
      <w:r>
        <w:t xml:space="preserve"> </w:t>
      </w:r>
      <w:proofErr w:type="gramStart"/>
      <w:r>
        <w:t>Ibid.,</w:t>
      </w:r>
      <w:proofErr w:type="gramEnd"/>
      <w:r>
        <w:t xml:space="preserve"> Recommendation 14. </w:t>
      </w:r>
    </w:p>
  </w:footnote>
  <w:footnote w:id="38">
    <w:p w:rsidR="00720B60" w:rsidRDefault="00720B60">
      <w:pPr>
        <w:pStyle w:val="FootnoteText"/>
      </w:pPr>
      <w:r>
        <w:rPr>
          <w:rStyle w:val="None"/>
          <w:rFonts w:ascii="Verdana" w:eastAsia="Verdana" w:hAnsi="Verdana" w:cs="Verdana"/>
          <w:sz w:val="24"/>
          <w:szCs w:val="24"/>
          <w:vertAlign w:val="superscript"/>
        </w:rPr>
        <w:footnoteRef/>
      </w:r>
      <w:r>
        <w:t xml:space="preserve"> Concluding observations on the report submitted by the United Kingdom of Great Britain and NI under article 12, paragraph 1, of the Optional Protocol to the Convention on the Rights of the Child on the sale of children, child prostitution and child pornography CRC/C/OPSC/GBR/CO/1 8 July 2014</w:t>
      </w:r>
    </w:p>
  </w:footnote>
  <w:footnote w:id="39">
    <w:p w:rsidR="00720B60" w:rsidRDefault="00720B60">
      <w:pPr>
        <w:pStyle w:val="FootnoteText"/>
      </w:pPr>
      <w:r>
        <w:rPr>
          <w:rStyle w:val="None"/>
          <w:rFonts w:ascii="Verdana" w:eastAsia="Verdana" w:hAnsi="Verdana" w:cs="Verdana"/>
          <w:sz w:val="24"/>
          <w:szCs w:val="24"/>
          <w:vertAlign w:val="superscript"/>
        </w:rPr>
        <w:footnoteRef/>
      </w:r>
      <w:r>
        <w:t xml:space="preserve"> </w:t>
      </w:r>
      <w:proofErr w:type="spellStart"/>
      <w:r>
        <w:t>DoJ</w:t>
      </w:r>
      <w:proofErr w:type="spellEnd"/>
      <w:r>
        <w:t xml:space="preserve"> Tackling Child Sexual Exploitation in Northern Ireland Action Plan – March 2015 see </w:t>
      </w:r>
      <w:hyperlink r:id="rId10" w:history="1">
        <w:r>
          <w:rPr>
            <w:rStyle w:val="Hyperlink1"/>
          </w:rPr>
          <w:t>https://www.dojni.gov.uk/sites/default/files/publications/doj/doj-action-plan-tackling-child-sexual-exploitation-august-2015.pdf</w:t>
        </w:r>
      </w:hyperlink>
      <w:r>
        <w:t xml:space="preserve"> </w:t>
      </w:r>
    </w:p>
  </w:footnote>
  <w:footnote w:id="40">
    <w:p w:rsidR="00720B60" w:rsidRDefault="00720B60">
      <w:pPr>
        <w:pStyle w:val="FootnoteText"/>
      </w:pPr>
      <w:r>
        <w:rPr>
          <w:rStyle w:val="None"/>
          <w:rFonts w:ascii="Verdana" w:eastAsia="Verdana" w:hAnsi="Verdana" w:cs="Verdana"/>
          <w:sz w:val="24"/>
          <w:szCs w:val="24"/>
          <w:vertAlign w:val="superscript"/>
        </w:rPr>
        <w:footnoteRef/>
      </w:r>
      <w:r>
        <w:rPr>
          <w:rStyle w:val="news-date"/>
        </w:rPr>
        <w:t xml:space="preserve"> </w:t>
      </w:r>
      <w:r>
        <w:rPr>
          <w:rStyle w:val="None"/>
        </w:rPr>
        <w:t xml:space="preserve">Ibid Key Point 9 </w:t>
      </w:r>
      <w:proofErr w:type="spellStart"/>
      <w:r>
        <w:rPr>
          <w:rStyle w:val="None"/>
        </w:rPr>
        <w:t>pg</w:t>
      </w:r>
      <w:proofErr w:type="spellEnd"/>
      <w:r>
        <w:rPr>
          <w:rStyle w:val="None"/>
        </w:rPr>
        <w:t xml:space="preserve"> 5 </w:t>
      </w:r>
    </w:p>
  </w:footnote>
  <w:footnote w:id="41">
    <w:p w:rsidR="00720B60" w:rsidRDefault="00720B60">
      <w:pPr>
        <w:pStyle w:val="FootnoteText"/>
      </w:pPr>
      <w:r>
        <w:rPr>
          <w:rStyle w:val="None"/>
          <w:rFonts w:ascii="Verdana" w:eastAsia="Verdana" w:hAnsi="Verdana" w:cs="Verdana"/>
          <w:sz w:val="24"/>
          <w:szCs w:val="24"/>
          <w:vertAlign w:val="superscript"/>
        </w:rPr>
        <w:footnoteRef/>
      </w:r>
      <w:r>
        <w:t xml:space="preserve"> UNCRC Committee, Concluding Observations: United Kingdom of Great Britain and Northern Ireland, CRC/C/GBR/CO/4, 2008, para 42</w:t>
      </w:r>
    </w:p>
  </w:footnote>
  <w:footnote w:id="42">
    <w:p w:rsidR="00720B60" w:rsidRDefault="00720B60">
      <w:pPr>
        <w:pStyle w:val="FootnoteText"/>
      </w:pPr>
      <w:r>
        <w:rPr>
          <w:rStyle w:val="None"/>
          <w:rFonts w:ascii="Verdana" w:eastAsia="Verdana" w:hAnsi="Verdana" w:cs="Verdana"/>
          <w:sz w:val="24"/>
          <w:szCs w:val="24"/>
          <w:vertAlign w:val="superscript"/>
        </w:rPr>
        <w:footnoteRef/>
      </w:r>
      <w:r>
        <w:t xml:space="preserve"> The Fifth Periodic Report of the United Kingdom to the UN Committee on the Rights of the Child United Kingdom, CRC/C/GBR/5, 2015</w:t>
      </w:r>
      <w:r>
        <w:rPr>
          <w:rStyle w:val="None"/>
          <w:color w:val="676767"/>
          <w:u w:color="676767"/>
        </w:rPr>
        <w:t xml:space="preserve"> </w:t>
      </w:r>
      <w:r>
        <w:t>p. 21</w:t>
      </w:r>
    </w:p>
  </w:footnote>
  <w:footnote w:id="43">
    <w:p w:rsidR="00720B60" w:rsidRDefault="00720B60">
      <w:pPr>
        <w:pStyle w:val="FootnoteText"/>
      </w:pPr>
      <w:r>
        <w:rPr>
          <w:rStyle w:val="None"/>
          <w:rFonts w:ascii="Verdana" w:eastAsia="Verdana" w:hAnsi="Verdana" w:cs="Verdana"/>
          <w:sz w:val="24"/>
          <w:szCs w:val="24"/>
          <w:vertAlign w:val="superscript"/>
        </w:rPr>
        <w:footnoteRef/>
      </w:r>
      <w:r>
        <w:t xml:space="preserve"> CRC/GC/2003/4 Committee on the Rights of the child  Adopted at 33rd session 19 May – 6 June 2003</w:t>
      </w:r>
    </w:p>
  </w:footnote>
  <w:footnote w:id="44">
    <w:p w:rsidR="00720B60" w:rsidRDefault="00720B60">
      <w:pPr>
        <w:pStyle w:val="FootnoteText"/>
      </w:pPr>
      <w:r>
        <w:rPr>
          <w:rStyle w:val="None"/>
          <w:rFonts w:ascii="Verdana" w:eastAsia="Verdana" w:hAnsi="Verdana" w:cs="Verdana"/>
          <w:sz w:val="24"/>
          <w:szCs w:val="24"/>
          <w:vertAlign w:val="superscript"/>
        </w:rPr>
        <w:footnoteRef/>
      </w:r>
      <w:r>
        <w:t xml:space="preserve"> Committee for the Elimination and Discrimination against Women General Recommendation No. 21 (13th session, 1994) Equality in marriage and family relations</w:t>
      </w:r>
    </w:p>
  </w:footnote>
  <w:footnote w:id="45">
    <w:p w:rsidR="00720B60" w:rsidRDefault="00720B60">
      <w:pPr>
        <w:pStyle w:val="FootnoteText"/>
      </w:pPr>
      <w:r>
        <w:rPr>
          <w:rStyle w:val="None"/>
          <w:rFonts w:ascii="Verdana" w:eastAsia="Verdana" w:hAnsi="Verdana" w:cs="Verdana"/>
          <w:sz w:val="24"/>
          <w:szCs w:val="24"/>
          <w:vertAlign w:val="superscript"/>
        </w:rPr>
        <w:footnoteRef/>
      </w:r>
      <w:r>
        <w:t xml:space="preserve"> These figures were provided by NISRA upon request from the Commission. 35 were aged 16 and 33 were aged 17</w:t>
      </w:r>
    </w:p>
  </w:footnote>
  <w:footnote w:id="46">
    <w:p w:rsidR="00720B60" w:rsidRDefault="00720B60">
      <w:pPr>
        <w:pStyle w:val="FootnoteText"/>
      </w:pPr>
      <w:r>
        <w:rPr>
          <w:rStyle w:val="None"/>
          <w:rFonts w:ascii="Verdana" w:eastAsia="Verdana" w:hAnsi="Verdana" w:cs="Verdana"/>
          <w:sz w:val="24"/>
          <w:szCs w:val="24"/>
          <w:vertAlign w:val="superscript"/>
        </w:rPr>
        <w:footnoteRef/>
      </w:r>
      <w:r>
        <w:t xml:space="preserve"> The Commonwealth ‘</w:t>
      </w:r>
      <w:r>
        <w:rPr>
          <w:rStyle w:val="None"/>
          <w:rFonts w:ascii="Helvetica" w:hAnsi="Helvetica"/>
          <w:color w:val="2E2F30"/>
          <w:sz w:val="21"/>
          <w:szCs w:val="21"/>
          <w:u w:color="2E2F30"/>
        </w:rPr>
        <w:t xml:space="preserve">Survivors lead charge to end child marriage in the Commonwealth’ 24 November 2015 </w:t>
      </w:r>
    </w:p>
  </w:footnote>
  <w:footnote w:id="47">
    <w:p w:rsidR="00720B60" w:rsidRDefault="00720B60">
      <w:pPr>
        <w:pStyle w:val="FootnoteText"/>
      </w:pPr>
      <w:r>
        <w:rPr>
          <w:rStyle w:val="None"/>
          <w:rFonts w:ascii="Verdana" w:eastAsia="Verdana" w:hAnsi="Verdana" w:cs="Verdana"/>
          <w:sz w:val="24"/>
          <w:szCs w:val="24"/>
          <w:vertAlign w:val="superscript"/>
        </w:rPr>
        <w:footnoteRef/>
      </w:r>
      <w:r>
        <w:t xml:space="preserve"> FMU Statistics 2014 </w:t>
      </w:r>
      <w:hyperlink r:id="rId11" w:history="1">
        <w:r>
          <w:rPr>
            <w:rStyle w:val="Hyperlink1"/>
          </w:rPr>
          <w:t>https://www.gov.uk/government/uploads/system/uploads/attachment_data/file/412667/FMU_Stats_2014.pdf</w:t>
        </w:r>
      </w:hyperlink>
      <w:r>
        <w:t xml:space="preserve"> Where the age was known, 11.1% of cases involved victims below 16 years, 11% involved victims aged 16-17, 17% involved victims aged 18-21, 14% involved victims aged 22-25, 8% involved victims aged 26-30, 5.% involved victims aged 31-40, and 2% involved victims aged 41 or over. 32% involved an adult whose age was not known. </w:t>
      </w:r>
    </w:p>
  </w:footnote>
  <w:footnote w:id="48">
    <w:p w:rsidR="00720B60" w:rsidRDefault="00720B60">
      <w:pPr>
        <w:pStyle w:val="FootnoteText"/>
      </w:pPr>
      <w:r>
        <w:rPr>
          <w:rStyle w:val="None"/>
          <w:rFonts w:ascii="Verdana" w:eastAsia="Verdana" w:hAnsi="Verdana" w:cs="Verdana"/>
          <w:sz w:val="24"/>
          <w:szCs w:val="24"/>
          <w:vertAlign w:val="superscript"/>
        </w:rPr>
        <w:footnoteRef/>
      </w:r>
      <w:r>
        <w:t xml:space="preserve"> 2007 c. 20</w:t>
      </w:r>
    </w:p>
  </w:footnote>
  <w:footnote w:id="49">
    <w:p w:rsidR="00720B60" w:rsidRDefault="00720B60">
      <w:pPr>
        <w:pStyle w:val="FootnoteText"/>
      </w:pPr>
      <w:r>
        <w:rPr>
          <w:rStyle w:val="None"/>
          <w:rFonts w:ascii="Verdana" w:eastAsia="Verdana" w:hAnsi="Verdana" w:cs="Verdana"/>
          <w:sz w:val="24"/>
          <w:szCs w:val="24"/>
          <w:vertAlign w:val="superscript"/>
        </w:rPr>
        <w:footnoteRef/>
      </w:r>
      <w:r>
        <w:t xml:space="preserve"> Home Office ‘The report of the working group on forced marriage’ 2000 </w:t>
      </w:r>
      <w:proofErr w:type="spellStart"/>
      <w:r>
        <w:t>pg</w:t>
      </w:r>
      <w:proofErr w:type="spellEnd"/>
      <w:r>
        <w:t xml:space="preserve"> 11 </w:t>
      </w:r>
      <w:hyperlink r:id="rId12" w:history="1">
        <w:r>
          <w:rPr>
            <w:rStyle w:val="Hyperlink1"/>
          </w:rPr>
          <w:t>http://cdn.basw.co.uk/upload/basw_22604-2.pdf</w:t>
        </w:r>
      </w:hyperlink>
      <w:r>
        <w:t xml:space="preserve"> </w:t>
      </w:r>
    </w:p>
  </w:footnote>
  <w:footnote w:id="50">
    <w:p w:rsidR="00720B60" w:rsidRDefault="00720B60">
      <w:pPr>
        <w:pStyle w:val="FootnoteText"/>
      </w:pPr>
      <w:r>
        <w:rPr>
          <w:rStyle w:val="None"/>
          <w:rFonts w:ascii="Verdana" w:eastAsia="Verdana" w:hAnsi="Verdana" w:cs="Verdana"/>
          <w:vertAlign w:val="superscript"/>
        </w:rPr>
        <w:footnoteRef/>
      </w:r>
      <w:r>
        <w:t xml:space="preserve"> </w:t>
      </w:r>
      <w:r>
        <w:rPr>
          <w:rStyle w:val="None"/>
          <w:rFonts w:ascii="Arial" w:hAnsi="Arial"/>
          <w:sz w:val="16"/>
          <w:szCs w:val="16"/>
        </w:rPr>
        <w:t xml:space="preserve">DFP “Multi Agency Practice Guidelines on Female Genital Mutilation”, </w:t>
      </w:r>
      <w:hyperlink r:id="rId13" w:history="1">
        <w:r>
          <w:rPr>
            <w:rStyle w:val="Hyperlink3"/>
          </w:rPr>
          <w:t>https://www.dfpni.gov.uk/sites/default/files/publications/dfp/multi-agency-practice-guidelines-on-female-genital-mutilation.pdf</w:t>
        </w:r>
      </w:hyperlink>
      <w:r>
        <w:rPr>
          <w:rStyle w:val="None"/>
          <w:rFonts w:ascii="Arial" w:hAnsi="Arial"/>
          <w:sz w:val="16"/>
          <w:szCs w:val="16"/>
        </w:rPr>
        <w:t xml:space="preserve"> </w:t>
      </w:r>
    </w:p>
  </w:footnote>
  <w:footnote w:id="51">
    <w:p w:rsidR="00720B60" w:rsidRDefault="00720B60">
      <w:pPr>
        <w:pStyle w:val="FootnoteText"/>
      </w:pPr>
      <w:r>
        <w:rPr>
          <w:rStyle w:val="None"/>
          <w:rFonts w:ascii="Verdana" w:eastAsia="Verdana" w:hAnsi="Verdana" w:cs="Verdana"/>
          <w:vertAlign w:val="superscript"/>
        </w:rPr>
        <w:footnoteRef/>
      </w:r>
      <w:r>
        <w:t xml:space="preserve"> DFP “Analysis of the Responses to the Consultation on Multi Agency Practice Guidelines on Female Genital Mutilation” </w:t>
      </w:r>
      <w:hyperlink r:id="rId14" w:history="1">
        <w:r>
          <w:rPr>
            <w:rStyle w:val="Hyperlink0"/>
          </w:rPr>
          <w:t>https://www.dfpni.gov.uk/sites/default/files/publications/dfp/analysis-of-responses-female-genital-mutilation-consultation.pdf</w:t>
        </w:r>
      </w:hyperlink>
      <w:r>
        <w:rPr>
          <w:rStyle w:val="None"/>
          <w:rFonts w:ascii="Arial" w:hAnsi="Arial"/>
          <w:sz w:val="16"/>
          <w:szCs w:val="16"/>
        </w:rPr>
        <w:t xml:space="preserve"> </w:t>
      </w:r>
    </w:p>
  </w:footnote>
  <w:footnote w:id="52">
    <w:p w:rsidR="00720B60" w:rsidRDefault="00720B60">
      <w:pPr>
        <w:pStyle w:val="FootnoteText"/>
      </w:pPr>
      <w:r>
        <w:rPr>
          <w:rStyle w:val="None"/>
          <w:rFonts w:ascii="Verdana" w:eastAsia="Verdana" w:hAnsi="Verdana" w:cs="Verdana"/>
          <w:vertAlign w:val="superscript"/>
        </w:rPr>
        <w:footnoteRef/>
      </w:r>
      <w:r>
        <w:t xml:space="preserve"> </w:t>
      </w:r>
      <w:r>
        <w:rPr>
          <w:rStyle w:val="None"/>
          <w:rFonts w:ascii="Arial" w:hAnsi="Arial"/>
          <w:sz w:val="16"/>
          <w:szCs w:val="16"/>
        </w:rPr>
        <w:t>NIHRC ‘The 2015 Annual Statement: Human Rights in Northern Ireland’ p 40</w:t>
      </w:r>
    </w:p>
  </w:footnote>
  <w:footnote w:id="53">
    <w:p w:rsidR="00720B60" w:rsidRDefault="00720B60">
      <w:pPr>
        <w:pStyle w:val="FootnoteText"/>
      </w:pPr>
      <w:r>
        <w:rPr>
          <w:rStyle w:val="None"/>
          <w:rFonts w:ascii="Verdana" w:eastAsia="Verdana" w:hAnsi="Verdana" w:cs="Verdana"/>
          <w:vertAlign w:val="superscript"/>
        </w:rPr>
        <w:footnoteRef/>
      </w:r>
      <w:r>
        <w:t xml:space="preserve"> Correspondence provided  to the NIHRC</w:t>
      </w:r>
    </w:p>
  </w:footnote>
  <w:footnote w:id="54">
    <w:p w:rsidR="00720B60" w:rsidRDefault="00720B60">
      <w:pPr>
        <w:pStyle w:val="FootnoteText"/>
      </w:pPr>
      <w:r>
        <w:rPr>
          <w:rStyle w:val="None"/>
          <w:rFonts w:ascii="Verdana" w:eastAsia="Verdana" w:hAnsi="Verdana" w:cs="Verdana"/>
          <w:sz w:val="24"/>
          <w:szCs w:val="24"/>
          <w:vertAlign w:val="superscript"/>
        </w:rPr>
        <w:footnoteRef/>
      </w:r>
      <w:r>
        <w:t xml:space="preserve"> Northern Ireland NGO Alternative Report Submission to the United Nations Committee on the Rights of the Child for Consideration During the Committee’s Examination of the United Kingdom of Great Britain and Northern Ireland Government Report (May 2015) Children’s Law Centre and Save the Children Northern Ireland, June 2015, page 61 para. 12</w:t>
      </w:r>
    </w:p>
  </w:footnote>
  <w:footnote w:id="55">
    <w:p w:rsidR="00720B60" w:rsidRDefault="00720B60">
      <w:pPr>
        <w:pStyle w:val="FootnoteText"/>
      </w:pPr>
      <w:r>
        <w:rPr>
          <w:rStyle w:val="None"/>
          <w:rFonts w:ascii="Verdana" w:eastAsia="Verdana" w:hAnsi="Verdana" w:cs="Verdana"/>
          <w:sz w:val="24"/>
          <w:szCs w:val="24"/>
          <w:vertAlign w:val="superscript"/>
        </w:rPr>
        <w:footnoteRef/>
      </w:r>
      <w:r>
        <w:t xml:space="preserve"> Statistics provided on request by the Northern Ireland Housing Executive on request. Number accepted as statutorily homeless (Full Duty Applicant) - 312 persons and 75 families</w:t>
      </w:r>
    </w:p>
  </w:footnote>
  <w:footnote w:id="56">
    <w:p w:rsidR="00720B60" w:rsidRDefault="00720B60">
      <w:pPr>
        <w:pStyle w:val="FootnoteText"/>
      </w:pPr>
      <w:r>
        <w:rPr>
          <w:rStyle w:val="None"/>
          <w:rFonts w:ascii="Verdana" w:eastAsia="Verdana" w:hAnsi="Verdana" w:cs="Verdana"/>
          <w:sz w:val="24"/>
          <w:szCs w:val="24"/>
          <w:vertAlign w:val="superscript"/>
        </w:rPr>
        <w:footnoteRef/>
      </w:r>
      <w:r>
        <w:t xml:space="preserve"> Belfast Telegraph ‘Terrorist groups are still recruiting children in Northern Ireland’ 16</w:t>
      </w:r>
      <w:r>
        <w:rPr>
          <w:rStyle w:val="None"/>
          <w:vertAlign w:val="superscript"/>
        </w:rPr>
        <w:t>th</w:t>
      </w:r>
      <w:r>
        <w:t xml:space="preserve"> November 2015</w:t>
      </w:r>
    </w:p>
  </w:footnote>
  <w:footnote w:id="57">
    <w:p w:rsidR="00720B60" w:rsidRDefault="00720B60">
      <w:pPr>
        <w:pStyle w:val="FootnoteText"/>
      </w:pPr>
      <w:r>
        <w:rPr>
          <w:rStyle w:val="None"/>
          <w:rFonts w:ascii="Verdana" w:eastAsia="Verdana" w:hAnsi="Verdana" w:cs="Verdana"/>
          <w:sz w:val="24"/>
          <w:szCs w:val="24"/>
          <w:vertAlign w:val="superscript"/>
        </w:rPr>
        <w:footnoteRef/>
      </w:r>
      <w:r>
        <w:t xml:space="preserve"> Paramilitary groups in Northern Ireland 20 October 2015: An assessment commissioned by the Secretary of State for Northern Ireland on the structure, role and purpose of paramilitary groups focusing on those which declared ceasefires in order to support and facilitate the political process. </w:t>
      </w:r>
      <w:hyperlink r:id="rId15" w:history="1">
        <w:r>
          <w:rPr>
            <w:rStyle w:val="Hyperlink1"/>
          </w:rPr>
          <w:t>https://www.gov.uk/government/uploads/system/uploads/attachment_data/file/469548/Paramilitary_Groups_in_Northern_Ireland_-_20_Oct_2015.pdf</w:t>
        </w:r>
      </w:hyperlink>
      <w:r>
        <w:t xml:space="preserve"> </w:t>
      </w:r>
    </w:p>
  </w:footnote>
  <w:footnote w:id="58">
    <w:p w:rsidR="00720B60" w:rsidRDefault="00720B60">
      <w:pPr>
        <w:pStyle w:val="FootnoteText"/>
      </w:pPr>
      <w:r>
        <w:rPr>
          <w:rStyle w:val="None"/>
          <w:rFonts w:ascii="Verdana" w:eastAsia="Verdana" w:hAnsi="Verdana" w:cs="Verdana"/>
          <w:sz w:val="24"/>
          <w:szCs w:val="24"/>
          <w:vertAlign w:val="superscript"/>
        </w:rPr>
        <w:footnoteRef/>
      </w:r>
      <w:r>
        <w:t xml:space="preserve"> </w:t>
      </w:r>
      <w:proofErr w:type="gramStart"/>
      <w:r>
        <w:t>Ibid.,</w:t>
      </w:r>
      <w:proofErr w:type="gramEnd"/>
      <w:r>
        <w:t xml:space="preserve"> para 2 </w:t>
      </w:r>
      <w:proofErr w:type="spellStart"/>
      <w:r>
        <w:t>i</w:t>
      </w:r>
      <w:proofErr w:type="spellEnd"/>
      <w:r>
        <w:t xml:space="preserve">. </w:t>
      </w:r>
    </w:p>
  </w:footnote>
  <w:footnote w:id="59">
    <w:p w:rsidR="00720B60" w:rsidRDefault="00720B60">
      <w:pPr>
        <w:pStyle w:val="FootnoteText"/>
      </w:pPr>
      <w:r>
        <w:rPr>
          <w:rStyle w:val="None"/>
          <w:rFonts w:ascii="Verdana" w:eastAsia="Verdana" w:hAnsi="Verdana" w:cs="Verdana"/>
          <w:sz w:val="24"/>
          <w:szCs w:val="24"/>
          <w:vertAlign w:val="superscript"/>
        </w:rPr>
        <w:footnoteRef/>
      </w:r>
      <w:r>
        <w:t xml:space="preserve"> </w:t>
      </w:r>
      <w:proofErr w:type="gramStart"/>
      <w:r>
        <w:t>Ibid.,</w:t>
      </w:r>
      <w:proofErr w:type="gramEnd"/>
      <w:r>
        <w:t xml:space="preserve"> para2 xi.</w:t>
      </w:r>
    </w:p>
  </w:footnote>
  <w:footnote w:id="60">
    <w:p w:rsidR="00720B60" w:rsidRDefault="00720B60">
      <w:pPr>
        <w:pStyle w:val="FootnoteText"/>
      </w:pPr>
      <w:r>
        <w:rPr>
          <w:rStyle w:val="None"/>
          <w:rFonts w:ascii="Verdana" w:eastAsia="Verdana" w:hAnsi="Verdana" w:cs="Verdana"/>
          <w:sz w:val="24"/>
          <w:szCs w:val="24"/>
          <w:vertAlign w:val="superscript"/>
        </w:rPr>
        <w:footnoteRef/>
      </w:r>
      <w:r>
        <w:t xml:space="preserve"> UTV Live Panel established to tackle NI paramilitaries  17 Dec 2015 </w:t>
      </w:r>
    </w:p>
  </w:footnote>
  <w:footnote w:id="61">
    <w:p w:rsidR="00720B60" w:rsidRDefault="00720B60">
      <w:pPr>
        <w:pStyle w:val="FootnoteText"/>
      </w:pPr>
      <w:r>
        <w:rPr>
          <w:rStyle w:val="None"/>
          <w:rFonts w:ascii="Verdana" w:eastAsia="Verdana" w:hAnsi="Verdana" w:cs="Verdana"/>
          <w:sz w:val="24"/>
          <w:szCs w:val="24"/>
          <w:vertAlign w:val="superscript"/>
        </w:rPr>
        <w:footnoteRef/>
      </w:r>
      <w:r>
        <w:t xml:space="preserve"> NIO ‘A Fresh Start: The Stormont House Agreement and Implementation Plan’ 17</w:t>
      </w:r>
      <w:r>
        <w:rPr>
          <w:rStyle w:val="None"/>
          <w:vertAlign w:val="superscript"/>
        </w:rPr>
        <w:t>th</w:t>
      </w:r>
      <w:r>
        <w:t xml:space="preserve"> November 2015 para 5.1</w:t>
      </w:r>
    </w:p>
  </w:footnote>
  <w:footnote w:id="62">
    <w:p w:rsidR="00720B60" w:rsidRDefault="00720B60">
      <w:pPr>
        <w:pStyle w:val="FootnoteText"/>
      </w:pPr>
      <w:r>
        <w:rPr>
          <w:rStyle w:val="None"/>
          <w:rFonts w:ascii="Verdana" w:eastAsia="Verdana" w:hAnsi="Verdana" w:cs="Verdana"/>
          <w:sz w:val="24"/>
          <w:szCs w:val="24"/>
          <w:vertAlign w:val="superscript"/>
        </w:rPr>
        <w:footnoteRef/>
      </w:r>
      <w:r>
        <w:t xml:space="preserve"> NIHRC ‘Alternative Care and Children’s Rights in Northern Ireland’ 2014</w:t>
      </w:r>
    </w:p>
  </w:footnote>
  <w:footnote w:id="63">
    <w:p w:rsidR="00720B60" w:rsidRDefault="00720B60">
      <w:pPr>
        <w:pStyle w:val="FootnoteText"/>
      </w:pPr>
      <w:r>
        <w:rPr>
          <w:rStyle w:val="None"/>
          <w:rFonts w:ascii="Verdana" w:eastAsia="Verdana" w:hAnsi="Verdana" w:cs="Verdana"/>
          <w:sz w:val="24"/>
          <w:szCs w:val="24"/>
          <w:vertAlign w:val="superscript"/>
        </w:rPr>
        <w:footnoteRef/>
      </w:r>
      <w:r>
        <w:t xml:space="preserve"> Ibid </w:t>
      </w:r>
    </w:p>
  </w:footnote>
  <w:footnote w:id="64">
    <w:p w:rsidR="00720B60" w:rsidRDefault="00720B60">
      <w:pPr>
        <w:pStyle w:val="FootnoteText"/>
      </w:pPr>
      <w:r>
        <w:rPr>
          <w:rStyle w:val="None"/>
          <w:rFonts w:ascii="Verdana" w:eastAsia="Verdana" w:hAnsi="Verdana" w:cs="Verdana"/>
          <w:sz w:val="24"/>
          <w:szCs w:val="24"/>
          <w:vertAlign w:val="superscript"/>
        </w:rPr>
        <w:footnoteRef/>
      </w:r>
      <w:r>
        <w:t xml:space="preserve"> Ibid p. 133</w:t>
      </w:r>
    </w:p>
  </w:footnote>
  <w:footnote w:id="65">
    <w:p w:rsidR="00720B60" w:rsidRDefault="00720B60">
      <w:pPr>
        <w:pStyle w:val="FootnoteText"/>
      </w:pPr>
      <w:r>
        <w:rPr>
          <w:rStyle w:val="None"/>
          <w:rFonts w:ascii="Verdana" w:eastAsia="Verdana" w:hAnsi="Verdana" w:cs="Verdana"/>
          <w:sz w:val="24"/>
          <w:szCs w:val="24"/>
          <w:vertAlign w:val="superscript"/>
        </w:rPr>
        <w:footnoteRef/>
      </w:r>
      <w:r>
        <w:t xml:space="preserve"> AQW 31734/11-15</w:t>
      </w:r>
    </w:p>
  </w:footnote>
  <w:footnote w:id="66">
    <w:p w:rsidR="00720B60" w:rsidRDefault="00720B60">
      <w:pPr>
        <w:pStyle w:val="FootnoteText"/>
      </w:pPr>
      <w:r>
        <w:rPr>
          <w:rStyle w:val="None"/>
          <w:rFonts w:ascii="Verdana" w:eastAsia="Verdana" w:hAnsi="Verdana" w:cs="Verdana"/>
          <w:sz w:val="24"/>
          <w:szCs w:val="24"/>
          <w:vertAlign w:val="superscript"/>
        </w:rPr>
        <w:footnoteRef/>
      </w:r>
      <w:r>
        <w:t xml:space="preserve"> </w:t>
      </w:r>
      <w:proofErr w:type="spellStart"/>
      <w:r>
        <w:t>DoJ</w:t>
      </w:r>
      <w:proofErr w:type="spellEnd"/>
      <w:r>
        <w:t xml:space="preserve"> ‘Access to Justice Review Part 2 final report’ November 2014 </w:t>
      </w:r>
    </w:p>
  </w:footnote>
  <w:footnote w:id="67">
    <w:p w:rsidR="00720B60" w:rsidRDefault="00720B60">
      <w:pPr>
        <w:pStyle w:val="FootnoteText"/>
      </w:pPr>
      <w:r>
        <w:rPr>
          <w:rStyle w:val="None"/>
          <w:rFonts w:ascii="Verdana" w:eastAsia="Verdana" w:hAnsi="Verdana" w:cs="Verdana"/>
          <w:color w:val="333333"/>
          <w:sz w:val="24"/>
          <w:szCs w:val="24"/>
          <w:u w:color="333333"/>
          <w:vertAlign w:val="superscript"/>
        </w:rPr>
        <w:footnoteRef/>
      </w:r>
      <w:r>
        <w:t xml:space="preserve"> Lord Chief Justice Opening of the Legal Year – September 2015</w:t>
      </w:r>
    </w:p>
  </w:footnote>
  <w:footnote w:id="68">
    <w:p w:rsidR="00720B60" w:rsidRDefault="00720B60">
      <w:pPr>
        <w:pStyle w:val="FootnoteText"/>
      </w:pPr>
      <w:r>
        <w:rPr>
          <w:rStyle w:val="None"/>
          <w:rFonts w:ascii="Verdana" w:eastAsia="Verdana" w:hAnsi="Verdana" w:cs="Verdana"/>
          <w:sz w:val="24"/>
          <w:szCs w:val="24"/>
          <w:vertAlign w:val="superscript"/>
        </w:rPr>
        <w:footnoteRef/>
      </w:r>
      <w:r>
        <w:t xml:space="preserve"> DHSSPS, Adopting the Future, June 2006, available at:</w:t>
      </w:r>
    </w:p>
    <w:p w:rsidR="00720B60" w:rsidRDefault="00720B60">
      <w:pPr>
        <w:pStyle w:val="FootnoteText"/>
      </w:pPr>
      <w:r>
        <w:t>http://www.dhsspsni.gov.uk/adopting_the_future.pdf, p. 9.</w:t>
      </w:r>
    </w:p>
  </w:footnote>
  <w:footnote w:id="69">
    <w:p w:rsidR="00720B60" w:rsidRDefault="00720B60">
      <w:pPr>
        <w:pStyle w:val="FootnoteText"/>
      </w:pPr>
      <w:r>
        <w:rPr>
          <w:rStyle w:val="None"/>
          <w:rFonts w:ascii="Verdana" w:eastAsia="Verdana" w:hAnsi="Verdana" w:cs="Verdana"/>
          <w:sz w:val="24"/>
          <w:szCs w:val="24"/>
          <w:vertAlign w:val="superscript"/>
        </w:rPr>
        <w:footnoteRef/>
      </w:r>
      <w:r>
        <w:t xml:space="preserve"> See DHSSPS ‘Adoption Review’ </w:t>
      </w:r>
      <w:hyperlink r:id="rId16" w:history="1">
        <w:r>
          <w:rPr>
            <w:rStyle w:val="Hyperlink1"/>
          </w:rPr>
          <w:t>https://www.dhsspsni.gov.uk/articles/adoption-review</w:t>
        </w:r>
      </w:hyperlink>
      <w:r>
        <w:t xml:space="preserve"> </w:t>
      </w:r>
    </w:p>
  </w:footnote>
  <w:footnote w:id="70">
    <w:p w:rsidR="00720B60" w:rsidRDefault="00720B60">
      <w:pPr>
        <w:pStyle w:val="FootnoteText"/>
      </w:pPr>
      <w:r>
        <w:rPr>
          <w:rStyle w:val="None"/>
          <w:rFonts w:ascii="Verdana" w:eastAsia="Verdana" w:hAnsi="Verdana" w:cs="Verdana"/>
          <w:sz w:val="24"/>
          <w:szCs w:val="24"/>
          <w:vertAlign w:val="superscript"/>
        </w:rPr>
        <w:footnoteRef/>
      </w:r>
      <w:r>
        <w:rPr>
          <w:rStyle w:val="news-date"/>
        </w:rPr>
        <w:t xml:space="preserve"> </w:t>
      </w:r>
      <w:r>
        <w:rPr>
          <w:rStyle w:val="None"/>
        </w:rPr>
        <w:t>DHSSPS ‘Children Adopted from Care in Northern Ireland 2014/15’ 19 November 2015</w:t>
      </w:r>
    </w:p>
  </w:footnote>
  <w:footnote w:id="71">
    <w:p w:rsidR="00720B60" w:rsidRDefault="00720B60">
      <w:pPr>
        <w:pStyle w:val="FootnoteText"/>
      </w:pPr>
      <w:r>
        <w:rPr>
          <w:rStyle w:val="None"/>
          <w:rFonts w:ascii="Verdana" w:eastAsia="Verdana" w:hAnsi="Verdana" w:cs="Verdana"/>
          <w:sz w:val="24"/>
          <w:szCs w:val="24"/>
          <w:vertAlign w:val="superscript"/>
        </w:rPr>
        <w:footnoteRef/>
      </w:r>
      <w:r>
        <w:t xml:space="preserve"> NI Executive </w:t>
      </w:r>
      <w:hyperlink r:id="rId17" w:history="1">
        <w:proofErr w:type="gramStart"/>
        <w:r>
          <w:rPr>
            <w:rStyle w:val="Hyperlink0"/>
          </w:rPr>
          <w:t>The</w:t>
        </w:r>
        <w:proofErr w:type="gramEnd"/>
        <w:r>
          <w:rPr>
            <w:rStyle w:val="Hyperlink0"/>
          </w:rPr>
          <w:t xml:space="preserve"> Executive’s Child Poverty Strategy</w:t>
        </w:r>
      </w:hyperlink>
      <w:r>
        <w:t xml:space="preserve"> (25 March 2016); NI Executive </w:t>
      </w:r>
      <w:hyperlink r:id="rId18" w:history="1">
        <w:r>
          <w:rPr>
            <w:rStyle w:val="Hyperlink0"/>
          </w:rPr>
          <w:t>Annual Report on Child Poverty 2014-15</w:t>
        </w:r>
      </w:hyperlink>
      <w:r>
        <w:t xml:space="preserve">  (24 March 2016).</w:t>
      </w:r>
    </w:p>
  </w:footnote>
  <w:footnote w:id="72">
    <w:p w:rsidR="00720B60" w:rsidRDefault="00720B60">
      <w:pPr>
        <w:pStyle w:val="FootnoteText"/>
      </w:pPr>
      <w:r>
        <w:rPr>
          <w:rStyle w:val="None"/>
          <w:rFonts w:ascii="Verdana" w:eastAsia="Verdana" w:hAnsi="Verdana" w:cs="Verdana"/>
          <w:sz w:val="24"/>
          <w:szCs w:val="24"/>
          <w:vertAlign w:val="superscript"/>
        </w:rPr>
        <w:footnoteRef/>
      </w:r>
      <w:r>
        <w:t xml:space="preserve"> NI Executive </w:t>
      </w:r>
      <w:hyperlink r:id="rId19" w:history="1">
        <w:proofErr w:type="gramStart"/>
        <w:r>
          <w:rPr>
            <w:rStyle w:val="Hyperlink0"/>
          </w:rPr>
          <w:t>The</w:t>
        </w:r>
        <w:proofErr w:type="gramEnd"/>
        <w:r>
          <w:rPr>
            <w:rStyle w:val="Hyperlink0"/>
          </w:rPr>
          <w:t xml:space="preserve"> Executive’s Child Poverty Strategy</w:t>
        </w:r>
      </w:hyperlink>
      <w:r>
        <w:t xml:space="preserve">  (25 March 2016), pp 3, 65-66.</w:t>
      </w:r>
    </w:p>
  </w:footnote>
  <w:footnote w:id="73">
    <w:p w:rsidR="00720B60" w:rsidRDefault="00720B60">
      <w:pPr>
        <w:pStyle w:val="FootnoteText"/>
      </w:pPr>
      <w:r>
        <w:rPr>
          <w:rStyle w:val="None"/>
          <w:rFonts w:ascii="Verdana" w:eastAsia="Verdana" w:hAnsi="Verdana" w:cs="Verdana"/>
          <w:sz w:val="24"/>
          <w:szCs w:val="24"/>
          <w:vertAlign w:val="superscript"/>
        </w:rPr>
        <w:footnoteRef/>
      </w:r>
      <w:r>
        <w:t xml:space="preserve"> NI Executive </w:t>
      </w:r>
      <w:hyperlink r:id="rId20" w:history="1">
        <w:proofErr w:type="gramStart"/>
        <w:r>
          <w:rPr>
            <w:rStyle w:val="Hyperlink0"/>
          </w:rPr>
          <w:t>The</w:t>
        </w:r>
        <w:proofErr w:type="gramEnd"/>
        <w:r>
          <w:rPr>
            <w:rStyle w:val="Hyperlink0"/>
          </w:rPr>
          <w:t xml:space="preserve"> Executive’s Child Poverty Strategy</w:t>
        </w:r>
      </w:hyperlink>
      <w:r>
        <w:t xml:space="preserve">  (25 March 2016), pp 3, 65-66.</w:t>
      </w:r>
    </w:p>
  </w:footnote>
  <w:footnote w:id="74">
    <w:p w:rsidR="00720B60" w:rsidRDefault="00720B60">
      <w:pPr>
        <w:pStyle w:val="FootnoteText"/>
      </w:pPr>
      <w:r>
        <w:rPr>
          <w:rStyle w:val="None"/>
          <w:rFonts w:ascii="Verdana" w:eastAsia="Verdana" w:hAnsi="Verdana" w:cs="Verdana"/>
          <w:sz w:val="24"/>
          <w:szCs w:val="24"/>
          <w:vertAlign w:val="superscript"/>
        </w:rPr>
        <w:footnoteRef/>
      </w:r>
      <w:r>
        <w:t xml:space="preserve"> See Children and Young Persons Strategic Partnership ‘Draft Action Plan for Looked After Children/Youth Homelessness 16+ 2011-2014’ 2014 </w:t>
      </w:r>
    </w:p>
  </w:footnote>
  <w:footnote w:id="75">
    <w:p w:rsidR="00720B60" w:rsidRDefault="00720B60">
      <w:pPr>
        <w:pStyle w:val="NormalWeb"/>
        <w:spacing w:after="0"/>
      </w:pPr>
      <w:r>
        <w:rPr>
          <w:rStyle w:val="None"/>
          <w:rFonts w:ascii="Verdana" w:eastAsia="Verdana" w:hAnsi="Verdana" w:cs="Verdana"/>
          <w:vertAlign w:val="superscript"/>
        </w:rPr>
        <w:footnoteRef/>
      </w:r>
      <w:r>
        <w:t xml:space="preserve"> </w:t>
      </w:r>
      <w:r>
        <w:rPr>
          <w:rStyle w:val="None"/>
          <w:rFonts w:ascii="Calibri" w:eastAsia="Calibri" w:hAnsi="Calibri" w:cs="Calibri"/>
          <w:sz w:val="20"/>
          <w:szCs w:val="20"/>
        </w:rPr>
        <w:t xml:space="preserve">The Welfare Reform and Work Bill proposed to amend the Child Poverty Act to become the Life Chances Act. New legislation to amend the Child Poverty Act 2010 will use: the proportion of children living in workless household as well as long-term workless household; and the educational attainment of all pupils and the most disadvantaged pupils at age 16, see HM Government Press Release </w:t>
      </w:r>
      <w:hyperlink r:id="rId21" w:history="1">
        <w:r>
          <w:rPr>
            <w:rStyle w:val="Hyperlink4"/>
          </w:rPr>
          <w:t>‘Government to strengthen child poverty measure’</w:t>
        </w:r>
      </w:hyperlink>
      <w:r>
        <w:rPr>
          <w:rStyle w:val="None"/>
          <w:rFonts w:ascii="Calibri" w:eastAsia="Calibri" w:hAnsi="Calibri" w:cs="Calibri"/>
          <w:sz w:val="20"/>
          <w:szCs w:val="20"/>
        </w:rPr>
        <w:t xml:space="preserve"> (1 July 2015).</w:t>
      </w:r>
    </w:p>
  </w:footnote>
  <w:footnote w:id="76">
    <w:p w:rsidR="00720B60" w:rsidRDefault="00720B60">
      <w:pPr>
        <w:pStyle w:val="FootnoteText"/>
      </w:pPr>
      <w:r>
        <w:rPr>
          <w:rStyle w:val="None"/>
          <w:rFonts w:ascii="Verdana" w:eastAsia="Verdana" w:hAnsi="Verdana" w:cs="Verdana"/>
          <w:sz w:val="24"/>
          <w:szCs w:val="24"/>
          <w:vertAlign w:val="superscript"/>
        </w:rPr>
        <w:footnoteRef/>
      </w:r>
      <w:r>
        <w:t xml:space="preserve"> CPAG ‘Welfare Reform and Work Bill- Commons Second Reading“ 21 July 2015 </w:t>
      </w:r>
      <w:hyperlink r:id="rId22" w:history="1">
        <w:r>
          <w:rPr>
            <w:rStyle w:val="Hyperlink1"/>
          </w:rPr>
          <w:t>http://www.cpag.org.uk/sites/default/files/CPAG%20Briefing%20-%20Welfare%20Reform%20and%20Work%20Bill%20Commons%202nd%20Reading%2020-07-15.pdf</w:t>
        </w:r>
      </w:hyperlink>
      <w:r>
        <w:t xml:space="preserve"> </w:t>
      </w:r>
    </w:p>
  </w:footnote>
  <w:footnote w:id="77">
    <w:p w:rsidR="00720B60" w:rsidRDefault="00720B60">
      <w:pPr>
        <w:pStyle w:val="FootnoteText"/>
      </w:pPr>
      <w:r>
        <w:rPr>
          <w:rStyle w:val="None"/>
          <w:rFonts w:ascii="Verdana" w:eastAsia="Verdana" w:hAnsi="Verdana" w:cs="Verdana"/>
          <w:sz w:val="24"/>
          <w:szCs w:val="24"/>
          <w:vertAlign w:val="superscript"/>
        </w:rPr>
        <w:footnoteRef/>
      </w:r>
      <w:r>
        <w:rPr>
          <w:rStyle w:val="news-date"/>
        </w:rPr>
        <w:t xml:space="preserve"> Joseph Rowntree Foundation </w:t>
      </w:r>
      <w:hyperlink r:id="rId23" w:history="1">
        <w:r>
          <w:rPr>
            <w:rStyle w:val="Hyperlink5"/>
          </w:rPr>
          <w:t>Monitoring Poverty and Social Exclusion in NI 2016</w:t>
        </w:r>
      </w:hyperlink>
      <w:r>
        <w:rPr>
          <w:rStyle w:val="news-date"/>
        </w:rPr>
        <w:t xml:space="preserve"> (March 2016)</w:t>
      </w:r>
      <w:proofErr w:type="gramStart"/>
      <w:r>
        <w:rPr>
          <w:rStyle w:val="news-date"/>
        </w:rPr>
        <w:t>;</w:t>
      </w:r>
      <w:r>
        <w:rPr>
          <w:rStyle w:val="None"/>
        </w:rPr>
        <w:t>IFS</w:t>
      </w:r>
      <w:proofErr w:type="gramEnd"/>
      <w:r>
        <w:rPr>
          <w:rStyle w:val="None"/>
        </w:rPr>
        <w:t xml:space="preserve"> </w:t>
      </w:r>
      <w:hyperlink r:id="rId24" w:history="1">
        <w:r>
          <w:rPr>
            <w:rStyle w:val="Hyperlink2"/>
          </w:rPr>
          <w:t>Living Standards, Poverty and Inequality  in the UK 2015-16 to 2020-2021</w:t>
        </w:r>
      </w:hyperlink>
      <w:r>
        <w:rPr>
          <w:rStyle w:val="None"/>
        </w:rPr>
        <w:t xml:space="preserve"> IFS Report R114, (March 2016) p 2. </w:t>
      </w:r>
    </w:p>
  </w:footnote>
  <w:footnote w:id="78">
    <w:p w:rsidR="00720B60" w:rsidRDefault="00720B60">
      <w:pPr>
        <w:pStyle w:val="FootnoteText"/>
      </w:pPr>
      <w:r>
        <w:rPr>
          <w:rStyle w:val="None"/>
          <w:rFonts w:ascii="Verdana" w:eastAsia="Verdana" w:hAnsi="Verdana" w:cs="Verdana"/>
          <w:sz w:val="24"/>
          <w:szCs w:val="24"/>
          <w:vertAlign w:val="superscript"/>
        </w:rPr>
        <w:footnoteRef/>
      </w:r>
      <w:r>
        <w:t xml:space="preserve"> NI Executive Press Release: </w:t>
      </w:r>
      <w:proofErr w:type="spellStart"/>
      <w:r>
        <w:t>Traveller</w:t>
      </w:r>
      <w:proofErr w:type="spellEnd"/>
      <w:r>
        <w:t xml:space="preserve"> children and young people should be encouraged to value education and supported to reach their full potential. Wednesday, 13 November 2013</w:t>
      </w:r>
    </w:p>
  </w:footnote>
  <w:footnote w:id="79">
    <w:p w:rsidR="00720B60" w:rsidRDefault="00720B60">
      <w:pPr>
        <w:pStyle w:val="FootnoteText"/>
      </w:pPr>
      <w:r>
        <w:rPr>
          <w:rStyle w:val="None"/>
          <w:rFonts w:ascii="Verdana" w:eastAsia="Verdana" w:hAnsi="Verdana" w:cs="Verdana"/>
          <w:sz w:val="24"/>
          <w:szCs w:val="24"/>
          <w:vertAlign w:val="superscript"/>
        </w:rPr>
        <w:footnoteRef/>
      </w:r>
      <w:r>
        <w:t xml:space="preserve"> Ibid </w:t>
      </w:r>
    </w:p>
  </w:footnote>
  <w:footnote w:id="80">
    <w:p w:rsidR="00720B60" w:rsidRDefault="00720B60">
      <w:pPr>
        <w:pStyle w:val="FootnoteText"/>
      </w:pPr>
      <w:r>
        <w:rPr>
          <w:rStyle w:val="None"/>
          <w:rFonts w:ascii="Verdana" w:eastAsia="Verdana" w:hAnsi="Verdana" w:cs="Verdana"/>
          <w:sz w:val="24"/>
          <w:szCs w:val="24"/>
          <w:vertAlign w:val="superscript"/>
        </w:rPr>
        <w:footnoteRef/>
      </w:r>
      <w:r>
        <w:t xml:space="preserve"> AQW 53269/11-16</w:t>
      </w:r>
    </w:p>
  </w:footnote>
  <w:footnote w:id="81">
    <w:p w:rsidR="00720B60" w:rsidRDefault="00720B60">
      <w:pPr>
        <w:pStyle w:val="FootnoteText"/>
      </w:pPr>
      <w:r>
        <w:rPr>
          <w:rStyle w:val="None"/>
          <w:rFonts w:ascii="Verdana" w:eastAsia="Verdana" w:hAnsi="Verdana" w:cs="Verdana"/>
          <w:sz w:val="24"/>
          <w:szCs w:val="24"/>
          <w:vertAlign w:val="superscript"/>
        </w:rPr>
        <w:footnoteRef/>
      </w:r>
      <w:r>
        <w:t xml:space="preserve"> As of 29 February 2016 the final stage of the Bill is to be scheduled. </w:t>
      </w:r>
      <w:hyperlink r:id="rId25" w:history="1">
        <w:r>
          <w:rPr>
            <w:rStyle w:val="Hyperlink1"/>
          </w:rPr>
          <w:t>http://www.niassembly.gov.uk/assembly-business/legislation/primary-legislation-current-bills/shared-education-bill2/</w:t>
        </w:r>
      </w:hyperlink>
      <w:r>
        <w:t xml:space="preserve"> </w:t>
      </w:r>
    </w:p>
  </w:footnote>
  <w:footnote w:id="82">
    <w:p w:rsidR="00720B60" w:rsidRDefault="00720B60">
      <w:pPr>
        <w:pStyle w:val="FootnoteText"/>
      </w:pPr>
      <w:r>
        <w:rPr>
          <w:rStyle w:val="None"/>
          <w:rFonts w:ascii="Verdana" w:eastAsia="Verdana" w:hAnsi="Verdana" w:cs="Verdana"/>
          <w:sz w:val="24"/>
          <w:szCs w:val="24"/>
          <w:vertAlign w:val="superscript"/>
        </w:rPr>
        <w:footnoteRef/>
      </w:r>
      <w:r>
        <w:t xml:space="preserve"> Ibid Clause 7</w:t>
      </w:r>
    </w:p>
  </w:footnote>
  <w:footnote w:id="83">
    <w:p w:rsidR="00720B60" w:rsidRDefault="00720B60">
      <w:pPr>
        <w:pStyle w:val="FootnoteText"/>
      </w:pPr>
      <w:r>
        <w:rPr>
          <w:rStyle w:val="None"/>
          <w:rFonts w:ascii="Verdana" w:eastAsia="Verdana" w:hAnsi="Verdana" w:cs="Verdana"/>
          <w:sz w:val="24"/>
          <w:szCs w:val="24"/>
          <w:vertAlign w:val="superscript"/>
        </w:rPr>
        <w:footnoteRef/>
      </w:r>
      <w:r>
        <w:t xml:space="preserve"> NIHRC </w:t>
      </w:r>
      <w:proofErr w:type="gramStart"/>
      <w:r>
        <w:t>‘ Submission</w:t>
      </w:r>
      <w:proofErr w:type="gramEnd"/>
      <w:r>
        <w:t xml:space="preserve"> to the UN CRC Committee Pre-session Working Group’ 2015 The last successful transformation to integrated status was in 2010. The Minister also approved development proposals for transformation of </w:t>
      </w:r>
      <w:proofErr w:type="spellStart"/>
      <w:r>
        <w:t>Mallusk</w:t>
      </w:r>
      <w:proofErr w:type="spellEnd"/>
      <w:r>
        <w:t xml:space="preserve"> and </w:t>
      </w:r>
      <w:proofErr w:type="spellStart"/>
      <w:r>
        <w:t>Loughries</w:t>
      </w:r>
      <w:proofErr w:type="spellEnd"/>
      <w:r>
        <w:t xml:space="preserve"> Primary schools to controlled integrated status from September 2015 and September 2016, respectively.</w:t>
      </w:r>
    </w:p>
  </w:footnote>
  <w:footnote w:id="84">
    <w:p w:rsidR="00720B60" w:rsidRDefault="00720B60">
      <w:pPr>
        <w:pStyle w:val="FootnoteText"/>
      </w:pPr>
      <w:r>
        <w:rPr>
          <w:rStyle w:val="None"/>
          <w:rFonts w:ascii="Verdana" w:eastAsia="Verdana" w:hAnsi="Verdana" w:cs="Verdana"/>
          <w:sz w:val="24"/>
          <w:szCs w:val="24"/>
          <w:vertAlign w:val="superscript"/>
        </w:rPr>
        <w:footnoteRef/>
      </w:r>
      <w:r>
        <w:t xml:space="preserve"> Department of Education ‘A review of integrated education setting out how the sector can be developed for the future will be completed by June 2016’. Wednesday, 27 January 2016 </w:t>
      </w:r>
      <w:hyperlink r:id="rId26" w:history="1">
        <w:r>
          <w:rPr>
            <w:rStyle w:val="Hyperlink1"/>
          </w:rPr>
          <w:t>http://www.northernireland.gov.uk/news-de-270116-review-of-integrated?WT.mc_id=rss-news</w:t>
        </w:r>
      </w:hyperlink>
      <w:r>
        <w:t xml:space="preserve"> </w:t>
      </w:r>
    </w:p>
  </w:footnote>
  <w:footnote w:id="85">
    <w:p w:rsidR="00720B60" w:rsidRDefault="00720B60">
      <w:pPr>
        <w:pStyle w:val="FootnoteText"/>
      </w:pPr>
      <w:r>
        <w:rPr>
          <w:rStyle w:val="None"/>
          <w:rFonts w:ascii="Verdana" w:eastAsia="Verdana" w:hAnsi="Verdana" w:cs="Verdana"/>
          <w:sz w:val="24"/>
          <w:szCs w:val="24"/>
          <w:vertAlign w:val="superscript"/>
        </w:rPr>
        <w:footnoteRef/>
      </w:r>
      <w:r>
        <w:t xml:space="preserve"> Ibid paras 12 - 13</w:t>
      </w:r>
    </w:p>
  </w:footnote>
  <w:footnote w:id="86">
    <w:p w:rsidR="00720B60" w:rsidRDefault="00720B60">
      <w:pPr>
        <w:pStyle w:val="FootnoteText"/>
      </w:pPr>
      <w:r>
        <w:rPr>
          <w:rStyle w:val="None"/>
          <w:rFonts w:ascii="Verdana" w:eastAsia="Verdana" w:hAnsi="Verdana" w:cs="Verdana"/>
          <w:sz w:val="24"/>
          <w:szCs w:val="24"/>
          <w:vertAlign w:val="superscript"/>
        </w:rPr>
        <w:footnoteRef/>
      </w:r>
      <w:r>
        <w:t xml:space="preserve"> Ibid para 22 </w:t>
      </w:r>
    </w:p>
  </w:footnote>
  <w:footnote w:id="87">
    <w:p w:rsidR="00720B60" w:rsidRDefault="00720B60">
      <w:pPr>
        <w:pStyle w:val="FootnoteText"/>
      </w:pPr>
      <w:r>
        <w:rPr>
          <w:rStyle w:val="None"/>
          <w:rFonts w:ascii="Verdana" w:eastAsia="Verdana" w:hAnsi="Verdana" w:cs="Verdana"/>
          <w:b/>
          <w:bCs/>
          <w:sz w:val="24"/>
          <w:szCs w:val="24"/>
          <w:vertAlign w:val="superscript"/>
        </w:rPr>
        <w:footnoteRef/>
      </w:r>
      <w:r>
        <w:t xml:space="preserve"> UNCRC Committee, Concluding Observations: United Kingdom of Great Britain and Northern Ireland, CRC/C/15/Add.188, 2002, para 48.  </w:t>
      </w:r>
    </w:p>
  </w:footnote>
  <w:footnote w:id="88">
    <w:p w:rsidR="00720B60" w:rsidRDefault="00720B60">
      <w:pPr>
        <w:pStyle w:val="Body"/>
        <w:rPr>
          <w:rStyle w:val="None"/>
          <w:rFonts w:ascii="Calibri" w:eastAsia="Calibri" w:hAnsi="Calibri" w:cs="Calibri"/>
          <w:sz w:val="20"/>
          <w:szCs w:val="20"/>
        </w:rPr>
      </w:pPr>
      <w:r>
        <w:rPr>
          <w:rStyle w:val="None"/>
          <w:rFonts w:ascii="Verdana" w:eastAsia="Verdana" w:hAnsi="Verdana" w:cs="Verdana"/>
          <w:vertAlign w:val="superscript"/>
          <w:lang w:val="en-US"/>
        </w:rPr>
        <w:footnoteRef/>
      </w:r>
      <w:r>
        <w:rPr>
          <w:rFonts w:eastAsia="Arial Unicode MS" w:cs="Arial Unicode MS"/>
        </w:rPr>
        <w:t xml:space="preserve"> </w:t>
      </w:r>
      <w:r>
        <w:rPr>
          <w:rStyle w:val="None"/>
          <w:rFonts w:ascii="Calibri" w:eastAsia="Calibri" w:hAnsi="Calibri" w:cs="Calibri"/>
          <w:sz w:val="20"/>
          <w:szCs w:val="20"/>
          <w:lang w:val="en-US"/>
        </w:rPr>
        <w:t xml:space="preserve">BBC News NI Academic selection 'reinforces privilege and disadvantage' says report 10 December 2015 </w:t>
      </w:r>
    </w:p>
  </w:footnote>
  <w:footnote w:id="89">
    <w:p w:rsidR="00720B60" w:rsidRDefault="00720B60">
      <w:pPr>
        <w:pStyle w:val="FootnoteText"/>
      </w:pPr>
      <w:r>
        <w:rPr>
          <w:rStyle w:val="None"/>
          <w:rFonts w:ascii="Verdana" w:eastAsia="Verdana" w:hAnsi="Verdana" w:cs="Verdana"/>
          <w:b/>
          <w:bCs/>
          <w:sz w:val="24"/>
          <w:szCs w:val="24"/>
          <w:vertAlign w:val="superscript"/>
        </w:rPr>
        <w:footnoteRef/>
      </w:r>
      <w:r>
        <w:t xml:space="preserve"> UNCRC Committee, Concluding Observations: United Kingdom of Great Britain and Northern Ireland, CRC/C/GBR/CO/4, 2008, para 67  </w:t>
      </w:r>
    </w:p>
  </w:footnote>
  <w:footnote w:id="90">
    <w:p w:rsidR="00720B60" w:rsidRDefault="00720B60">
      <w:pPr>
        <w:pStyle w:val="FootnoteText"/>
      </w:pPr>
      <w:r>
        <w:rPr>
          <w:rStyle w:val="None"/>
          <w:rFonts w:ascii="Verdana" w:eastAsia="Verdana" w:hAnsi="Verdana" w:cs="Verdana"/>
          <w:sz w:val="24"/>
          <w:szCs w:val="24"/>
          <w:vertAlign w:val="superscript"/>
        </w:rPr>
        <w:footnoteRef/>
      </w:r>
      <w:r>
        <w:t xml:space="preserve"> Northern Ireland Human Rights Commission “The 2012 Annual Statement Human Rights in Northern Ireland” December 2012 see discussion on right to education </w:t>
      </w:r>
    </w:p>
  </w:footnote>
  <w:footnote w:id="91">
    <w:p w:rsidR="00720B60" w:rsidRDefault="00720B60">
      <w:pPr>
        <w:pStyle w:val="FootnoteText"/>
      </w:pPr>
      <w:r>
        <w:rPr>
          <w:rStyle w:val="None"/>
          <w:rFonts w:ascii="Verdana" w:eastAsia="Verdana" w:hAnsi="Verdana" w:cs="Verdana"/>
          <w:sz w:val="24"/>
          <w:szCs w:val="24"/>
          <w:vertAlign w:val="superscript"/>
        </w:rPr>
        <w:footnoteRef/>
      </w:r>
      <w:r>
        <w:t xml:space="preserve"> BBC News NI ‘Special needs nursery cuts: O'Dowd says decision by Education Authority is 'flawed'’ 8 March 2016</w:t>
      </w:r>
    </w:p>
  </w:footnote>
  <w:footnote w:id="92">
    <w:p w:rsidR="00720B60" w:rsidRDefault="00720B60">
      <w:pPr>
        <w:pStyle w:val="FootnoteText"/>
      </w:pPr>
      <w:r>
        <w:rPr>
          <w:rStyle w:val="None"/>
          <w:rFonts w:ascii="Verdana" w:eastAsia="Verdana" w:hAnsi="Verdana" w:cs="Verdana"/>
          <w:sz w:val="24"/>
          <w:szCs w:val="24"/>
          <w:vertAlign w:val="superscript"/>
        </w:rPr>
        <w:footnoteRef/>
      </w:r>
      <w:r>
        <w:t xml:space="preserve"> DHSSPS ‘Hamilton announces £2m investment in autism services’ 14 February 2016</w:t>
      </w:r>
    </w:p>
  </w:footnote>
  <w:footnote w:id="93">
    <w:p w:rsidR="00720B60" w:rsidRDefault="00720B60">
      <w:pPr>
        <w:pStyle w:val="FootnoteText"/>
      </w:pPr>
      <w:r>
        <w:rPr>
          <w:rStyle w:val="None"/>
          <w:rFonts w:ascii="Verdana" w:eastAsia="Verdana" w:hAnsi="Verdana" w:cs="Verdana"/>
          <w:sz w:val="24"/>
          <w:szCs w:val="24"/>
          <w:vertAlign w:val="superscript"/>
        </w:rPr>
        <w:footnoteRef/>
      </w:r>
      <w:r>
        <w:t xml:space="preserve"> Sections 11 and 12 </w:t>
      </w:r>
    </w:p>
  </w:footnote>
  <w:footnote w:id="94">
    <w:p w:rsidR="00720B60" w:rsidRDefault="00720B60">
      <w:pPr>
        <w:pStyle w:val="FootnoteText"/>
      </w:pPr>
      <w:r>
        <w:rPr>
          <w:rStyle w:val="None"/>
          <w:rFonts w:ascii="Verdana" w:eastAsia="Verdana" w:hAnsi="Verdana" w:cs="Verdana"/>
          <w:sz w:val="24"/>
          <w:szCs w:val="24"/>
          <w:vertAlign w:val="superscript"/>
        </w:rPr>
        <w:footnoteRef/>
      </w:r>
      <w:r>
        <w:t xml:space="preserve"> Section 13 </w:t>
      </w:r>
    </w:p>
  </w:footnote>
  <w:footnote w:id="95">
    <w:p w:rsidR="00720B60" w:rsidRDefault="00720B60">
      <w:pPr>
        <w:pStyle w:val="FootnoteText"/>
      </w:pPr>
      <w:r>
        <w:rPr>
          <w:rStyle w:val="None"/>
          <w:rFonts w:ascii="Verdana" w:eastAsia="Verdana" w:hAnsi="Verdana" w:cs="Verdana"/>
          <w:sz w:val="24"/>
          <w:szCs w:val="24"/>
          <w:vertAlign w:val="superscript"/>
        </w:rPr>
        <w:footnoteRef/>
      </w:r>
      <w:r>
        <w:t xml:space="preserve"> CRC/C/GC/10 para 4 </w:t>
      </w:r>
    </w:p>
  </w:footnote>
  <w:footnote w:id="96">
    <w:p w:rsidR="00720B60" w:rsidRDefault="00720B60">
      <w:pPr>
        <w:pStyle w:val="FootnoteText"/>
      </w:pPr>
      <w:r>
        <w:rPr>
          <w:rStyle w:val="None"/>
          <w:rFonts w:ascii="Verdana" w:eastAsia="Verdana" w:hAnsi="Verdana" w:cs="Verdana"/>
          <w:sz w:val="24"/>
          <w:szCs w:val="24"/>
          <w:vertAlign w:val="superscript"/>
        </w:rPr>
        <w:footnoteRef/>
      </w:r>
      <w:r>
        <w:t xml:space="preserve"> A Review of the Youth Justice System in Northern Ireland, 2011</w:t>
      </w:r>
    </w:p>
  </w:footnote>
  <w:footnote w:id="97">
    <w:p w:rsidR="00720B60" w:rsidRDefault="00720B60">
      <w:pPr>
        <w:pStyle w:val="FootnoteText"/>
      </w:pPr>
      <w:r>
        <w:rPr>
          <w:rStyle w:val="None"/>
          <w:rFonts w:ascii="Verdana" w:eastAsia="Verdana" w:hAnsi="Verdana" w:cs="Verdana"/>
          <w:sz w:val="24"/>
          <w:szCs w:val="24"/>
          <w:vertAlign w:val="superscript"/>
        </w:rPr>
        <w:footnoteRef/>
      </w:r>
      <w:r>
        <w:t xml:space="preserve"> CJINI ‘Review of Implementation of the Youth Justice Review’ December 2015 p. 38</w:t>
      </w:r>
    </w:p>
  </w:footnote>
  <w:footnote w:id="98">
    <w:p w:rsidR="00720B60" w:rsidRDefault="00720B60">
      <w:pPr>
        <w:pStyle w:val="FootnoteText"/>
      </w:pPr>
      <w:r>
        <w:rPr>
          <w:rStyle w:val="None"/>
          <w:rFonts w:ascii="Verdana" w:eastAsia="Verdana" w:hAnsi="Verdana" w:cs="Verdana"/>
          <w:sz w:val="24"/>
          <w:szCs w:val="24"/>
          <w:vertAlign w:val="superscript"/>
        </w:rPr>
        <w:footnoteRef/>
      </w:r>
      <w:r>
        <w:t xml:space="preserve"> See recommendations 25 and 26 </w:t>
      </w:r>
      <w:proofErr w:type="spellStart"/>
      <w:r>
        <w:t>pg</w:t>
      </w:r>
      <w:proofErr w:type="spellEnd"/>
      <w:r>
        <w:t xml:space="preserve"> 56 and 57. </w:t>
      </w:r>
    </w:p>
  </w:footnote>
  <w:footnote w:id="99">
    <w:p w:rsidR="00720B60" w:rsidRDefault="00720B60">
      <w:pPr>
        <w:pStyle w:val="FootnoteText"/>
      </w:pPr>
      <w:r>
        <w:rPr>
          <w:rStyle w:val="None"/>
          <w:rFonts w:ascii="Verdana" w:eastAsia="Verdana" w:hAnsi="Verdana" w:cs="Verdana"/>
          <w:sz w:val="24"/>
          <w:szCs w:val="24"/>
          <w:vertAlign w:val="superscript"/>
        </w:rPr>
        <w:footnoteRef/>
      </w:r>
      <w:r>
        <w:t xml:space="preserve"> AQW 50768/11-16</w:t>
      </w:r>
    </w:p>
  </w:footnote>
  <w:footnote w:id="100">
    <w:p w:rsidR="00720B60" w:rsidRDefault="00720B60">
      <w:pPr>
        <w:pStyle w:val="FootnoteText"/>
      </w:pPr>
      <w:r>
        <w:rPr>
          <w:rStyle w:val="None"/>
          <w:rFonts w:ascii="Verdana" w:eastAsia="Verdana" w:hAnsi="Verdana" w:cs="Verdana"/>
          <w:sz w:val="24"/>
          <w:szCs w:val="24"/>
          <w:vertAlign w:val="superscript"/>
        </w:rPr>
        <w:footnoteRef/>
      </w:r>
      <w:r>
        <w:t xml:space="preserve"> AQW 51784/11-16 </w:t>
      </w:r>
      <w:proofErr w:type="gramStart"/>
      <w:r>
        <w:t>The</w:t>
      </w:r>
      <w:proofErr w:type="gramEnd"/>
      <w:r>
        <w:t xml:space="preserve"> Minister has stated that he is: ‘confident that we can achieve significant progress in delivering on the remaining youth justice review recommendations, either directly or indirectly, through that work’. AQO 9439/11-16</w:t>
      </w:r>
    </w:p>
  </w:footnote>
  <w:footnote w:id="101">
    <w:p w:rsidR="00720B60" w:rsidRDefault="00720B60">
      <w:pPr>
        <w:pStyle w:val="FootnoteText"/>
      </w:pPr>
      <w:r>
        <w:rPr>
          <w:rStyle w:val="None"/>
          <w:rFonts w:ascii="Verdana" w:eastAsia="Verdana" w:hAnsi="Verdana" w:cs="Verdana"/>
          <w:sz w:val="24"/>
          <w:szCs w:val="24"/>
          <w:vertAlign w:val="superscript"/>
        </w:rPr>
        <w:footnoteRef/>
      </w:r>
      <w:r>
        <w:t xml:space="preserve"> NI Assembly Official Report: Monday 14 March 2016</w:t>
      </w:r>
    </w:p>
  </w:footnote>
  <w:footnote w:id="102">
    <w:p w:rsidR="00720B60" w:rsidRDefault="00720B60">
      <w:pPr>
        <w:pStyle w:val="FootnoteText"/>
      </w:pPr>
      <w:r>
        <w:rPr>
          <w:rStyle w:val="None"/>
          <w:rFonts w:ascii="Verdana" w:eastAsia="Verdana" w:hAnsi="Verdana" w:cs="Verdana"/>
          <w:sz w:val="24"/>
          <w:szCs w:val="24"/>
          <w:vertAlign w:val="superscript"/>
        </w:rPr>
        <w:footnoteRef/>
      </w:r>
      <w:r>
        <w:t xml:space="preserve"> A Review of the Youth Justice System in Northern Ireland, 2011 Recommendation 29. See </w:t>
      </w:r>
      <w:hyperlink r:id="rId27" w:history="1">
        <w:r>
          <w:rPr>
            <w:rStyle w:val="Hyperlink1"/>
          </w:rPr>
          <w:t>http://www.dojni.gov.uk/index/publications/publication-categories/pubs-criminal-justice/report-of-the-review-of-the-youth-justice-system-in-ni.pdf</w:t>
        </w:r>
      </w:hyperlink>
      <w:r>
        <w:t xml:space="preserve"> </w:t>
      </w:r>
    </w:p>
  </w:footnote>
  <w:footnote w:id="103">
    <w:p w:rsidR="00720B60" w:rsidRDefault="00720B60">
      <w:pPr>
        <w:pStyle w:val="FootnoteText"/>
      </w:pPr>
      <w:r>
        <w:rPr>
          <w:rStyle w:val="None"/>
          <w:rFonts w:ascii="Verdana" w:eastAsia="Verdana" w:hAnsi="Verdana" w:cs="Verdana"/>
          <w:sz w:val="24"/>
          <w:szCs w:val="24"/>
          <w:vertAlign w:val="superscript"/>
        </w:rPr>
        <w:footnoteRef/>
      </w:r>
      <w:r>
        <w:t xml:space="preserve"> AQW 51784/11-16</w:t>
      </w:r>
    </w:p>
  </w:footnote>
  <w:footnote w:id="104">
    <w:p w:rsidR="00720B60" w:rsidRDefault="00720B60">
      <w:pPr>
        <w:pStyle w:val="FootnoteText"/>
      </w:pPr>
      <w:r>
        <w:rPr>
          <w:rStyle w:val="None"/>
          <w:rFonts w:ascii="Verdana" w:eastAsia="Verdana" w:hAnsi="Verdana" w:cs="Verdana"/>
          <w:sz w:val="24"/>
          <w:szCs w:val="24"/>
          <w:vertAlign w:val="superscript"/>
        </w:rPr>
        <w:footnoteRef/>
      </w:r>
      <w:r>
        <w:t xml:space="preserve"> Belfast Telegraph ‘Call to raise criminal age limit’ 12 February 2015</w:t>
      </w:r>
    </w:p>
  </w:footnote>
  <w:footnote w:id="105">
    <w:p w:rsidR="00720B60" w:rsidRDefault="00720B60">
      <w:pPr>
        <w:pStyle w:val="FootnoteText"/>
      </w:pPr>
      <w:r>
        <w:rPr>
          <w:rStyle w:val="None"/>
          <w:rFonts w:ascii="Verdana" w:eastAsia="Verdana" w:hAnsi="Verdana" w:cs="Verdana"/>
          <w:sz w:val="24"/>
          <w:szCs w:val="24"/>
          <w:vertAlign w:val="superscript"/>
        </w:rPr>
        <w:footnoteRef/>
      </w:r>
      <w:r>
        <w:t xml:space="preserve"> </w:t>
      </w:r>
      <w:proofErr w:type="spellStart"/>
      <w:r>
        <w:t>DoJNI</w:t>
      </w:r>
      <w:proofErr w:type="spellEnd"/>
      <w:r>
        <w:t xml:space="preserve"> ‘A Review of the Youth Justice System in Northern Ireland’ 2011 Recommendation 9</w:t>
      </w:r>
    </w:p>
  </w:footnote>
  <w:footnote w:id="106">
    <w:p w:rsidR="00720B60" w:rsidRDefault="00720B60">
      <w:pPr>
        <w:pStyle w:val="Default"/>
      </w:pPr>
      <w:r>
        <w:rPr>
          <w:rStyle w:val="None"/>
          <w:vertAlign w:val="superscript"/>
        </w:rPr>
        <w:footnoteRef/>
      </w:r>
      <w:r>
        <w:rPr>
          <w:rStyle w:val="None"/>
          <w:rFonts w:ascii="Calibri" w:eastAsia="Calibri" w:hAnsi="Calibri" w:cs="Calibri"/>
          <w:sz w:val="20"/>
          <w:szCs w:val="20"/>
        </w:rPr>
        <w:t xml:space="preserve"> CJINI ‘Monitoring of Progress on Implementation of the Youth Justice Review Recommendations’ (December, 2015) p. 29 The CJINI further noted that the Department of Justice ‘were no longer able to offer personnel support for the Bail Action Plan’. </w:t>
      </w:r>
    </w:p>
  </w:footnote>
  <w:footnote w:id="107">
    <w:p w:rsidR="00720B60" w:rsidRDefault="00720B60">
      <w:pPr>
        <w:pStyle w:val="FootnoteText"/>
      </w:pPr>
      <w:r>
        <w:rPr>
          <w:rStyle w:val="None"/>
          <w:rFonts w:ascii="Verdana" w:eastAsia="Verdana" w:hAnsi="Verdana" w:cs="Verdana"/>
          <w:sz w:val="24"/>
          <w:szCs w:val="24"/>
          <w:vertAlign w:val="superscript"/>
        </w:rPr>
        <w:footnoteRef/>
      </w:r>
      <w:r>
        <w:t xml:space="preserve"> NIHRC ‘The 2013 Annual Statement: Human Rights in Northern Ireland’ (December, 2013) p. 22</w:t>
      </w:r>
    </w:p>
  </w:footnote>
  <w:footnote w:id="108">
    <w:p w:rsidR="00720B60" w:rsidRDefault="00720B60">
      <w:pPr>
        <w:pStyle w:val="FootnoteText"/>
      </w:pPr>
      <w:r>
        <w:rPr>
          <w:rStyle w:val="None"/>
          <w:rFonts w:ascii="Verdana" w:eastAsia="Verdana" w:hAnsi="Verdana" w:cs="Verdana"/>
          <w:sz w:val="24"/>
          <w:szCs w:val="24"/>
          <w:vertAlign w:val="superscript"/>
        </w:rPr>
        <w:footnoteRef/>
      </w:r>
      <w:r>
        <w:t xml:space="preserve"> National Preventative Mechanism ‘An announced inspection of Woodlands Juvenile Justice Centre’ May </w:t>
      </w:r>
      <w:proofErr w:type="gramStart"/>
      <w:r>
        <w:t>2015 .</w:t>
      </w:r>
      <w:proofErr w:type="gramEnd"/>
      <w:r>
        <w:t xml:space="preserve"> 20 statutory bodies make up the UK National Preventive Mechanism</w:t>
      </w:r>
    </w:p>
  </w:footnote>
  <w:footnote w:id="109">
    <w:p w:rsidR="00720B60" w:rsidRDefault="00720B60">
      <w:pPr>
        <w:pStyle w:val="FootnoteText"/>
      </w:pPr>
      <w:r>
        <w:rPr>
          <w:rStyle w:val="None"/>
          <w:rFonts w:ascii="Verdana" w:eastAsia="Verdana" w:hAnsi="Verdana" w:cs="Verdana"/>
          <w:sz w:val="24"/>
          <w:szCs w:val="24"/>
          <w:vertAlign w:val="superscript"/>
        </w:rPr>
        <w:footnoteRef/>
      </w:r>
      <w:r>
        <w:t xml:space="preserve"> Ibid., para 2.5</w:t>
      </w:r>
    </w:p>
  </w:footnote>
  <w:footnote w:id="110">
    <w:p w:rsidR="00720B60" w:rsidRDefault="00720B60">
      <w:pPr>
        <w:pStyle w:val="FootnoteText"/>
      </w:pPr>
      <w:r>
        <w:rPr>
          <w:rStyle w:val="None"/>
          <w:rFonts w:ascii="Verdana" w:eastAsia="Verdana" w:hAnsi="Verdana" w:cs="Verdana"/>
          <w:sz w:val="24"/>
          <w:szCs w:val="24"/>
          <w:vertAlign w:val="superscript"/>
        </w:rPr>
        <w:footnoteRef/>
      </w:r>
      <w:r>
        <w:t xml:space="preserve"> AQW 50671/11-16</w:t>
      </w:r>
    </w:p>
  </w:footnote>
  <w:footnote w:id="111">
    <w:p w:rsidR="00720B60" w:rsidRDefault="00720B60">
      <w:pPr>
        <w:pStyle w:val="FootnoteText"/>
      </w:pPr>
      <w:r>
        <w:rPr>
          <w:rStyle w:val="None"/>
          <w:rFonts w:ascii="Verdana" w:eastAsia="Verdana" w:hAnsi="Verdana" w:cs="Verdana"/>
          <w:sz w:val="24"/>
          <w:szCs w:val="24"/>
          <w:vertAlign w:val="superscript"/>
        </w:rPr>
        <w:footnoteRef/>
      </w:r>
      <w:r>
        <w:t xml:space="preserve"> National Preventative Mechanism ‘An announced inspection of Woodlands Juvenile Justice Centre’ May </w:t>
      </w:r>
      <w:proofErr w:type="gramStart"/>
      <w:r>
        <w:t>2015 .</w:t>
      </w:r>
      <w:proofErr w:type="gramEnd"/>
      <w:r>
        <w:t xml:space="preserve"> 20 statutory bodies make up the UK National Preventive Mechanism Ibid., para 2.18 </w:t>
      </w:r>
    </w:p>
  </w:footnote>
  <w:footnote w:id="112">
    <w:p w:rsidR="00720B60" w:rsidRDefault="00720B60">
      <w:pPr>
        <w:pStyle w:val="FootnoteText"/>
      </w:pPr>
      <w:r>
        <w:rPr>
          <w:rStyle w:val="None"/>
          <w:rFonts w:ascii="Verdana" w:eastAsia="Verdana" w:hAnsi="Verdana" w:cs="Verdana"/>
          <w:sz w:val="24"/>
          <w:szCs w:val="24"/>
          <w:vertAlign w:val="superscript"/>
        </w:rPr>
        <w:footnoteRef/>
      </w:r>
      <w:r>
        <w:t xml:space="preserve"> Criminal justice Inspectorate ‘Monitoring of Progress on Implementation of the Youth Justice Review Recommendations’ December 2015 </w:t>
      </w:r>
      <w:proofErr w:type="spellStart"/>
      <w:r>
        <w:t>pg</w:t>
      </w:r>
      <w:proofErr w:type="spellEnd"/>
      <w:r>
        <w:t xml:space="preserve"> 48 - The Criminal Justice Inspectorate has reported that between 2011 and 2013 the numbers of Looked-After Children being admitted to the </w:t>
      </w:r>
      <w:proofErr w:type="spellStart"/>
      <w:r>
        <w:t>Juvenille</w:t>
      </w:r>
      <w:proofErr w:type="spellEnd"/>
      <w:r>
        <w:t xml:space="preserve"> Justice Centre increased from 146 (2011) and 170 (2012), to 313 (2013).</w:t>
      </w:r>
    </w:p>
  </w:footnote>
  <w:footnote w:id="113">
    <w:p w:rsidR="00720B60" w:rsidRDefault="00720B60">
      <w:pPr>
        <w:pStyle w:val="FootnoteText"/>
      </w:pPr>
      <w:r>
        <w:rPr>
          <w:rStyle w:val="None"/>
          <w:rFonts w:ascii="Verdana" w:eastAsia="Verdana" w:hAnsi="Verdana" w:cs="Verdana"/>
          <w:sz w:val="24"/>
          <w:szCs w:val="24"/>
          <w:vertAlign w:val="superscript"/>
        </w:rPr>
        <w:footnoteRef/>
      </w:r>
      <w:r>
        <w:rPr>
          <w:rStyle w:val="None"/>
          <w:lang w:val="fr-FR"/>
        </w:rPr>
        <w:t xml:space="preserve"> CM, </w:t>
      </w:r>
      <w:proofErr w:type="spellStart"/>
      <w:r>
        <w:rPr>
          <w:rStyle w:val="None"/>
          <w:lang w:val="fr-FR"/>
        </w:rPr>
        <w:t>Re</w:t>
      </w:r>
      <w:proofErr w:type="spellEnd"/>
      <w:r>
        <w:rPr>
          <w:rStyle w:val="None"/>
          <w:lang w:val="fr-FR"/>
        </w:rPr>
        <w:t xml:space="preserve"> </w:t>
      </w:r>
      <w:proofErr w:type="spellStart"/>
      <w:r>
        <w:rPr>
          <w:rStyle w:val="None"/>
          <w:lang w:val="fr-FR"/>
        </w:rPr>
        <w:t>Judicial</w:t>
      </w:r>
      <w:proofErr w:type="spellEnd"/>
      <w:r>
        <w:rPr>
          <w:rStyle w:val="None"/>
          <w:lang w:val="fr-FR"/>
        </w:rPr>
        <w:t xml:space="preserve"> </w:t>
      </w:r>
      <w:proofErr w:type="spellStart"/>
      <w:r>
        <w:rPr>
          <w:rStyle w:val="None"/>
          <w:lang w:val="fr-FR"/>
        </w:rPr>
        <w:t>Review</w:t>
      </w:r>
      <w:proofErr w:type="spellEnd"/>
      <w:r>
        <w:rPr>
          <w:rStyle w:val="None"/>
          <w:lang w:val="fr-FR"/>
        </w:rPr>
        <w:t xml:space="preserve"> [2013] NIQB 84, paras 3-5.</w:t>
      </w:r>
    </w:p>
  </w:footnote>
  <w:footnote w:id="114">
    <w:p w:rsidR="00720B60" w:rsidRDefault="00720B60">
      <w:pPr>
        <w:pStyle w:val="FootnoteText"/>
      </w:pPr>
      <w:r>
        <w:rPr>
          <w:rStyle w:val="None"/>
          <w:rFonts w:ascii="Verdana" w:eastAsia="Verdana" w:hAnsi="Verdana" w:cs="Verdana"/>
          <w:sz w:val="24"/>
          <w:szCs w:val="24"/>
          <w:vertAlign w:val="superscript"/>
        </w:rPr>
        <w:footnoteRef/>
      </w:r>
      <w:r>
        <w:t xml:space="preserve"> Kathleen Marshall, CJINI/RQIA/ETI, Child Sexual Exploitation in Northern Ireland; Report of the Independent Inquiry, 2014, pp.87</w:t>
      </w:r>
    </w:p>
  </w:footnote>
  <w:footnote w:id="115">
    <w:p w:rsidR="00720B60" w:rsidRDefault="00720B60">
      <w:pPr>
        <w:pStyle w:val="FootnoteText"/>
      </w:pPr>
      <w:r>
        <w:rPr>
          <w:rStyle w:val="None"/>
          <w:rFonts w:ascii="Verdana" w:eastAsia="Verdana" w:hAnsi="Verdana" w:cs="Verdana"/>
          <w:sz w:val="24"/>
          <w:szCs w:val="24"/>
          <w:vertAlign w:val="superscript"/>
        </w:rPr>
        <w:footnoteRef/>
      </w:r>
      <w:r>
        <w:t xml:space="preserve"> AQW 53324/11-16</w:t>
      </w:r>
    </w:p>
  </w:footnote>
  <w:footnote w:id="116">
    <w:p w:rsidR="00720B60" w:rsidRDefault="00720B60">
      <w:pPr>
        <w:pStyle w:val="FootnoteText"/>
      </w:pPr>
      <w:r>
        <w:rPr>
          <w:rStyle w:val="None"/>
          <w:rFonts w:ascii="Verdana" w:eastAsia="Verdana" w:hAnsi="Verdana" w:cs="Verdana"/>
          <w:sz w:val="24"/>
          <w:szCs w:val="24"/>
          <w:vertAlign w:val="superscript"/>
        </w:rPr>
        <w:footnoteRef/>
      </w:r>
      <w:r>
        <w:t xml:space="preserve"> ibid</w:t>
      </w:r>
    </w:p>
  </w:footnote>
  <w:footnote w:id="117">
    <w:p w:rsidR="00720B60" w:rsidRDefault="00720B60">
      <w:pPr>
        <w:pStyle w:val="FootnoteText"/>
      </w:pPr>
      <w:r>
        <w:rPr>
          <w:rStyle w:val="None"/>
          <w:rFonts w:ascii="Verdana" w:eastAsia="Verdana" w:hAnsi="Verdana" w:cs="Verdana"/>
          <w:sz w:val="24"/>
          <w:szCs w:val="24"/>
          <w:vertAlign w:val="superscript"/>
        </w:rPr>
        <w:footnoteRef/>
      </w:r>
      <w:r>
        <w:t xml:space="preserve"> UN CRC General Comment No. 10 (2007) Children’s rights in juvenile justice CRC/C/GC/10 25 April 2007 para </w:t>
      </w:r>
    </w:p>
  </w:footnote>
  <w:footnote w:id="118">
    <w:p w:rsidR="00720B60" w:rsidRDefault="00720B60">
      <w:pPr>
        <w:pStyle w:val="FootnoteText"/>
      </w:pPr>
      <w:r>
        <w:rPr>
          <w:rStyle w:val="None"/>
          <w:rFonts w:ascii="Verdana" w:eastAsia="Verdana" w:hAnsi="Verdana" w:cs="Verdana"/>
          <w:sz w:val="24"/>
          <w:szCs w:val="24"/>
          <w:vertAlign w:val="superscript"/>
        </w:rPr>
        <w:footnoteRef/>
      </w:r>
      <w:r>
        <w:t xml:space="preserve"> NI Assembly Official Report: Monday 14 March 2016</w:t>
      </w:r>
    </w:p>
  </w:footnote>
  <w:footnote w:id="119">
    <w:p w:rsidR="00720B60" w:rsidRDefault="00720B60">
      <w:pPr>
        <w:pStyle w:val="FootnoteText"/>
      </w:pPr>
      <w:r>
        <w:rPr>
          <w:rStyle w:val="None"/>
          <w:rFonts w:ascii="Verdana" w:eastAsia="Verdana" w:hAnsi="Verdana" w:cs="Verdana"/>
          <w:sz w:val="24"/>
          <w:szCs w:val="24"/>
          <w:vertAlign w:val="superscript"/>
        </w:rPr>
        <w:footnoteRef/>
      </w:r>
      <w:r>
        <w:t xml:space="preserve"> NIHRC ‘The 2013 Annual Statement: Human Rights in NI ‘ (December, 2013) p.46</w:t>
      </w:r>
    </w:p>
  </w:footnote>
  <w:footnote w:id="120">
    <w:p w:rsidR="00720B60" w:rsidRDefault="00720B60">
      <w:pPr>
        <w:pStyle w:val="FootnoteText"/>
      </w:pPr>
      <w:r>
        <w:rPr>
          <w:rStyle w:val="None"/>
          <w:rFonts w:ascii="Verdana" w:eastAsia="Verdana" w:hAnsi="Verdana" w:cs="Verdana"/>
          <w:sz w:val="24"/>
          <w:szCs w:val="24"/>
          <w:vertAlign w:val="superscript"/>
        </w:rPr>
        <w:footnoteRef/>
      </w:r>
      <w:r>
        <w:t xml:space="preserve"> Ibid. </w:t>
      </w:r>
    </w:p>
  </w:footnote>
  <w:footnote w:id="121">
    <w:p w:rsidR="00720B60" w:rsidRDefault="00720B60">
      <w:pPr>
        <w:pStyle w:val="FootnoteText"/>
      </w:pPr>
      <w:r>
        <w:rPr>
          <w:rStyle w:val="None"/>
          <w:rFonts w:ascii="Verdana" w:eastAsia="Verdana" w:hAnsi="Verdana" w:cs="Verdana"/>
          <w:sz w:val="24"/>
          <w:szCs w:val="24"/>
          <w:vertAlign w:val="superscript"/>
        </w:rPr>
        <w:footnoteRef/>
      </w:r>
      <w:r>
        <w:t xml:space="preserve"> Correspondence form the </w:t>
      </w:r>
      <w:proofErr w:type="spellStart"/>
      <w:r>
        <w:t>DoJ</w:t>
      </w:r>
      <w:proofErr w:type="spellEnd"/>
      <w:r>
        <w:t xml:space="preserve"> and DoE to the NIHRC Chief Commissioner Les </w:t>
      </w:r>
      <w:proofErr w:type="spellStart"/>
      <w:r>
        <w:t>Allamby</w:t>
      </w:r>
      <w:proofErr w:type="spellEnd"/>
      <w:r>
        <w:t xml:space="preserve"> 6 October 2015 </w:t>
      </w:r>
    </w:p>
  </w:footnote>
  <w:footnote w:id="122">
    <w:p w:rsidR="00720B60" w:rsidRDefault="00720B60">
      <w:pPr>
        <w:pStyle w:val="FootnoteText"/>
      </w:pPr>
      <w:r>
        <w:rPr>
          <w:rStyle w:val="None"/>
          <w:rFonts w:ascii="Verdana" w:eastAsia="Verdana" w:hAnsi="Verdana" w:cs="Verdana"/>
          <w:sz w:val="24"/>
          <w:szCs w:val="24"/>
          <w:vertAlign w:val="superscript"/>
        </w:rPr>
        <w:footnoteRef/>
      </w:r>
      <w:r>
        <w:t xml:space="preserve"> AQW 53324/11-16</w:t>
      </w:r>
    </w:p>
  </w:footnote>
  <w:footnote w:id="123">
    <w:p w:rsidR="00720B60" w:rsidRDefault="00720B60">
      <w:pPr>
        <w:pStyle w:val="FootnoteText"/>
      </w:pPr>
      <w:r>
        <w:rPr>
          <w:rStyle w:val="None"/>
          <w:rFonts w:ascii="Verdana" w:eastAsia="Verdana" w:hAnsi="Verdana" w:cs="Verdana"/>
          <w:sz w:val="24"/>
          <w:szCs w:val="24"/>
          <w:vertAlign w:val="superscript"/>
        </w:rPr>
        <w:footnoteRef/>
      </w:r>
      <w:r>
        <w:t xml:space="preserve"> General Comment No. 15 )2013= on the right of the child to the enjoyment of the highest attainable standard of health (art. 24) Para 56 </w:t>
      </w:r>
    </w:p>
  </w:footnote>
  <w:footnote w:id="124">
    <w:p w:rsidR="00720B60" w:rsidRDefault="00720B60">
      <w:pPr>
        <w:pStyle w:val="FootnoteText"/>
      </w:pPr>
      <w:r>
        <w:rPr>
          <w:rStyle w:val="None"/>
          <w:rFonts w:ascii="Verdana" w:eastAsia="Verdana" w:hAnsi="Verdana" w:cs="Verdana"/>
          <w:sz w:val="24"/>
          <w:szCs w:val="24"/>
          <w:vertAlign w:val="superscript"/>
        </w:rPr>
        <w:footnoteRef/>
      </w:r>
      <w:r>
        <w:t xml:space="preserve"> UN CRC Committee, Concluding Observations Ireland CRC/C/IRL/CO/3-4 PARA 58</w:t>
      </w:r>
    </w:p>
  </w:footnote>
  <w:footnote w:id="125">
    <w:p w:rsidR="00720B60" w:rsidRDefault="00720B60">
      <w:pPr>
        <w:pStyle w:val="FootnoteText"/>
      </w:pPr>
      <w:r>
        <w:rPr>
          <w:rStyle w:val="None"/>
          <w:rFonts w:ascii="Verdana" w:eastAsia="Verdana" w:hAnsi="Verdana" w:cs="Verdana"/>
          <w:sz w:val="24"/>
          <w:szCs w:val="24"/>
          <w:vertAlign w:val="superscript"/>
        </w:rPr>
        <w:footnoteRef/>
      </w:r>
      <w:r>
        <w:t xml:space="preserve"> The relevant law on termination of pregnancy includes sections 58 and 59 of The Offences Against the Person Act 1861, Section 25 of the Criminal Justice Act (NI) 1945, Section 5 of the Criminal Law Act (NI) 1967 and </w:t>
      </w:r>
      <w:r>
        <w:rPr>
          <w:rStyle w:val="None"/>
          <w:i/>
          <w:iCs/>
        </w:rPr>
        <w:t xml:space="preserve">R v Bourne </w:t>
      </w:r>
      <w:r>
        <w:t>[1939]</w:t>
      </w:r>
    </w:p>
  </w:footnote>
  <w:footnote w:id="126">
    <w:p w:rsidR="00720B60" w:rsidRDefault="00720B60">
      <w:pPr>
        <w:pStyle w:val="FootnoteText"/>
      </w:pPr>
      <w:r>
        <w:rPr>
          <w:rStyle w:val="None"/>
          <w:rFonts w:ascii="Verdana" w:eastAsia="Verdana" w:hAnsi="Verdana" w:cs="Verdana"/>
          <w:sz w:val="24"/>
          <w:szCs w:val="24"/>
          <w:vertAlign w:val="superscript"/>
        </w:rPr>
        <w:footnoteRef/>
      </w:r>
      <w:r>
        <w:t xml:space="preserve">  The Northern Ireland Human Rights Commission’s Application [2015] NIQB 96 </w:t>
      </w:r>
      <w:hyperlink r:id="rId28" w:history="1">
        <w:r>
          <w:rPr>
            <w:rStyle w:val="Hyperlink1"/>
          </w:rPr>
          <w:t>http://www.courtsni.gov.uk/en-GB/Judicial%20Decisions/PublishedByYear/Documents/2015/[2015]%20NIQB%2096/j_j_HOR9740Final.htm</w:t>
        </w:r>
      </w:hyperlink>
      <w:r>
        <w:t xml:space="preserve"> </w:t>
      </w:r>
    </w:p>
  </w:footnote>
  <w:footnote w:id="127">
    <w:p w:rsidR="00720B60" w:rsidRDefault="00720B60">
      <w:pPr>
        <w:pStyle w:val="FootnoteText"/>
      </w:pPr>
      <w:r>
        <w:rPr>
          <w:rStyle w:val="None"/>
          <w:rFonts w:ascii="Verdana" w:eastAsia="Verdana" w:hAnsi="Verdana" w:cs="Verdana"/>
          <w:b/>
          <w:bCs/>
          <w:sz w:val="24"/>
          <w:szCs w:val="24"/>
          <w:vertAlign w:val="superscript"/>
        </w:rPr>
        <w:footnoteRef/>
      </w:r>
      <w:r>
        <w:t xml:space="preserve"> UN CRC Committee, Concluding Observations Ireland CRC/C/IRL/CO/3-4 PARA 58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0B60" w:rsidRDefault="00720B60">
    <w:pPr>
      <w:pStyle w:val="HeaderFoo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50A76"/>
    <w:multiLevelType w:val="hybridMultilevel"/>
    <w:tmpl w:val="F078CBDC"/>
    <w:styleLink w:val="ImportedStyle1"/>
    <w:lvl w:ilvl="0" w:tplc="3662D812">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CD4541C">
      <w:start w:val="1"/>
      <w:numFmt w:val="lowerLetter"/>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1D8F3FC">
      <w:start w:val="1"/>
      <w:numFmt w:val="lowerRoman"/>
      <w:lvlText w:val="%3."/>
      <w:lvlJc w:val="left"/>
      <w:pPr>
        <w:ind w:left="1440" w:hanging="298"/>
      </w:pPr>
      <w:rPr>
        <w:rFonts w:hAnsi="Arial Unicode MS"/>
        <w:caps w:val="0"/>
        <w:smallCaps w:val="0"/>
        <w:strike w:val="0"/>
        <w:dstrike w:val="0"/>
        <w:outline w:val="0"/>
        <w:emboss w:val="0"/>
        <w:imprint w:val="0"/>
        <w:spacing w:val="0"/>
        <w:w w:val="100"/>
        <w:kern w:val="0"/>
        <w:position w:val="0"/>
        <w:highlight w:val="none"/>
        <w:vertAlign w:val="baseline"/>
      </w:rPr>
    </w:lvl>
    <w:lvl w:ilvl="3" w:tplc="D3BAFC74">
      <w:start w:val="1"/>
      <w:numFmt w:val="decimal"/>
      <w:lvlText w:val="%4."/>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7E61EC0">
      <w:start w:val="1"/>
      <w:numFmt w:val="lowerLetter"/>
      <w:lvlText w:val="%5."/>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374447E">
      <w:start w:val="1"/>
      <w:numFmt w:val="lowerRoman"/>
      <w:lvlText w:val="%6."/>
      <w:lvlJc w:val="left"/>
      <w:pPr>
        <w:ind w:left="3600" w:hanging="298"/>
      </w:pPr>
      <w:rPr>
        <w:rFonts w:hAnsi="Arial Unicode MS"/>
        <w:caps w:val="0"/>
        <w:smallCaps w:val="0"/>
        <w:strike w:val="0"/>
        <w:dstrike w:val="0"/>
        <w:outline w:val="0"/>
        <w:emboss w:val="0"/>
        <w:imprint w:val="0"/>
        <w:spacing w:val="0"/>
        <w:w w:val="100"/>
        <w:kern w:val="0"/>
        <w:position w:val="0"/>
        <w:highlight w:val="none"/>
        <w:vertAlign w:val="baseline"/>
      </w:rPr>
    </w:lvl>
    <w:lvl w:ilvl="6" w:tplc="0F4AFD66">
      <w:start w:val="1"/>
      <w:numFmt w:val="decimal"/>
      <w:lvlText w:val="%7."/>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AAA2DA2">
      <w:start w:val="1"/>
      <w:numFmt w:val="lowerLetter"/>
      <w:lvlText w:val="%8."/>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58E7DC4">
      <w:start w:val="1"/>
      <w:numFmt w:val="lowerRoman"/>
      <w:lvlText w:val="%9."/>
      <w:lvlJc w:val="left"/>
      <w:pPr>
        <w:ind w:left="5760" w:hanging="29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33FF02A9"/>
    <w:multiLevelType w:val="hybridMultilevel"/>
    <w:tmpl w:val="F078CBDC"/>
    <w:numStyleLink w:val="ImportedStyle1"/>
  </w:abstractNum>
  <w:num w:numId="1">
    <w:abstractNumId w:val="0"/>
  </w:num>
  <w:num w:numId="2">
    <w:abstractNumId w:val="1"/>
  </w:num>
  <w:num w:numId="3">
    <w:abstractNumId w:val="1"/>
    <w:lvlOverride w:ilvl="0">
      <w:lvl w:ilvl="0" w:tplc="A98E4788">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8F16BEEC">
        <w:start w:val="1"/>
        <w:numFmt w:val="lowerLetter"/>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10921044">
        <w:start w:val="1"/>
        <w:numFmt w:val="lowerRoman"/>
        <w:lvlText w:val="%3."/>
        <w:lvlJc w:val="left"/>
        <w:pPr>
          <w:ind w:left="1440" w:hanging="29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7AC2096C">
        <w:start w:val="1"/>
        <w:numFmt w:val="decimal"/>
        <w:lvlText w:val="%4."/>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AD2E371C">
        <w:start w:val="1"/>
        <w:numFmt w:val="lowerLetter"/>
        <w:lvlText w:val="%5."/>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C038BE0A">
        <w:start w:val="1"/>
        <w:numFmt w:val="lowerRoman"/>
        <w:lvlText w:val="%6."/>
        <w:lvlJc w:val="left"/>
        <w:pPr>
          <w:ind w:left="3600" w:hanging="29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21DA0A96">
        <w:start w:val="1"/>
        <w:numFmt w:val="decimal"/>
        <w:lvlText w:val="%7."/>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9FD2CE10">
        <w:start w:val="1"/>
        <w:numFmt w:val="lowerLetter"/>
        <w:lvlText w:val="%8."/>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F3827A0E">
        <w:start w:val="1"/>
        <w:numFmt w:val="lowerRoman"/>
        <w:lvlText w:val="%9."/>
        <w:lvlJc w:val="left"/>
        <w:pPr>
          <w:ind w:left="5760" w:hanging="29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
    <w:abstractNumId w:val="1"/>
    <w:lvlOverride w:ilvl="0">
      <w:lvl w:ilvl="0" w:tplc="A98E4788">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8F16BEEC">
        <w:start w:val="1"/>
        <w:numFmt w:val="lowerLetter"/>
        <w:lvlText w:val="%2."/>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10921044">
        <w:start w:val="1"/>
        <w:numFmt w:val="lowerRoman"/>
        <w:lvlText w:val="%3."/>
        <w:lvlJc w:val="left"/>
        <w:pPr>
          <w:ind w:left="1440" w:hanging="31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7AC2096C">
        <w:start w:val="1"/>
        <w:numFmt w:val="decimal"/>
        <w:lvlText w:val="%4."/>
        <w:lvlJc w:val="left"/>
        <w:pPr>
          <w:ind w:left="21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AD2E371C">
        <w:start w:val="1"/>
        <w:numFmt w:val="lowerLetter"/>
        <w:lvlText w:val="%5."/>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C038BE0A">
        <w:start w:val="1"/>
        <w:numFmt w:val="lowerRoman"/>
        <w:lvlText w:val="%6."/>
        <w:lvlJc w:val="left"/>
        <w:pPr>
          <w:ind w:left="3600" w:hanging="31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21DA0A96">
        <w:start w:val="1"/>
        <w:numFmt w:val="decimal"/>
        <w:lvlText w:val="%7."/>
        <w:lvlJc w:val="left"/>
        <w:pPr>
          <w:ind w:left="43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9FD2CE10">
        <w:start w:val="1"/>
        <w:numFmt w:val="lowerLetter"/>
        <w:lvlText w:val="%8."/>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F3827A0E">
        <w:start w:val="1"/>
        <w:numFmt w:val="lowerRoman"/>
        <w:lvlText w:val="%9."/>
        <w:lvlJc w:val="left"/>
        <w:pPr>
          <w:ind w:left="5760" w:hanging="317"/>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5">
    <w:abstractNumId w:val="1"/>
    <w:lvlOverride w:ilvl="0">
      <w:lvl w:ilvl="0" w:tplc="A98E4788">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8F16BEEC">
        <w:start w:val="1"/>
        <w:numFmt w:val="lowerLetter"/>
        <w:lvlText w:val="%2."/>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10921044">
        <w:start w:val="1"/>
        <w:numFmt w:val="lowerRoman"/>
        <w:lvlText w:val="%3."/>
        <w:lvlJc w:val="left"/>
        <w:pPr>
          <w:ind w:left="1440" w:hanging="31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7AC2096C">
        <w:start w:val="1"/>
        <w:numFmt w:val="decimal"/>
        <w:lvlText w:val="%4."/>
        <w:lvlJc w:val="left"/>
        <w:pPr>
          <w:ind w:left="21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AD2E371C">
        <w:start w:val="1"/>
        <w:numFmt w:val="lowerLetter"/>
        <w:lvlText w:val="%5."/>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C038BE0A">
        <w:start w:val="1"/>
        <w:numFmt w:val="lowerRoman"/>
        <w:lvlText w:val="%6."/>
        <w:lvlJc w:val="left"/>
        <w:pPr>
          <w:ind w:left="3600" w:hanging="31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21DA0A96">
        <w:start w:val="1"/>
        <w:numFmt w:val="decimal"/>
        <w:lvlText w:val="%7."/>
        <w:lvlJc w:val="left"/>
        <w:pPr>
          <w:ind w:left="43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9FD2CE10">
        <w:start w:val="1"/>
        <w:numFmt w:val="lowerLetter"/>
        <w:lvlText w:val="%8."/>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F3827A0E">
        <w:start w:val="1"/>
        <w:numFmt w:val="lowerRoman"/>
        <w:lvlText w:val="%9."/>
        <w:lvlJc w:val="left"/>
        <w:pPr>
          <w:ind w:left="5760" w:hanging="317"/>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6">
    <w:abstractNumId w:val="1"/>
    <w:lvlOverride w:ilvl="0">
      <w:lvl w:ilvl="0" w:tplc="A98E4788">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8F16BEEC">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10921044">
        <w:start w:val="1"/>
        <w:numFmt w:val="lowerRoman"/>
        <w:lvlText w:val="%3."/>
        <w:lvlJc w:val="left"/>
        <w:pPr>
          <w:ind w:left="1800" w:hanging="31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7AC2096C">
        <w:start w:val="1"/>
        <w:numFmt w:val="decimal"/>
        <w:lvlText w:val="%4."/>
        <w:lvlJc w:val="left"/>
        <w:pPr>
          <w:ind w:left="25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AD2E371C">
        <w:start w:val="1"/>
        <w:numFmt w:val="lowerLetter"/>
        <w:lvlText w:val="%5."/>
        <w:lvlJc w:val="left"/>
        <w:pPr>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C038BE0A">
        <w:start w:val="1"/>
        <w:numFmt w:val="lowerRoman"/>
        <w:lvlText w:val="%6."/>
        <w:lvlJc w:val="left"/>
        <w:pPr>
          <w:ind w:left="3960" w:hanging="31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21DA0A96">
        <w:start w:val="1"/>
        <w:numFmt w:val="decimal"/>
        <w:lvlText w:val="%7."/>
        <w:lvlJc w:val="left"/>
        <w:pPr>
          <w:ind w:left="46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9FD2CE10">
        <w:start w:val="1"/>
        <w:numFmt w:val="lowerLetter"/>
        <w:lvlText w:val="%8."/>
        <w:lvlJc w:val="left"/>
        <w:pPr>
          <w:ind w:left="540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F3827A0E">
        <w:start w:val="1"/>
        <w:numFmt w:val="lowerRoman"/>
        <w:lvlText w:val="%9."/>
        <w:lvlJc w:val="left"/>
        <w:pPr>
          <w:ind w:left="6120" w:hanging="317"/>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5218"/>
    <w:rsid w:val="006A56D8"/>
    <w:rsid w:val="00720B60"/>
    <w:rsid w:val="00B37F4C"/>
    <w:rsid w:val="00C65145"/>
    <w:rsid w:val="00E218D4"/>
    <w:rsid w:val="00FA52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FD9464F-43CD-45AD-9728-2A37F854F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styleId="Footer">
    <w:name w:val="footer"/>
    <w:pPr>
      <w:tabs>
        <w:tab w:val="center" w:pos="4513"/>
        <w:tab w:val="right" w:pos="9026"/>
      </w:tabs>
    </w:pPr>
    <w:rPr>
      <w:rFonts w:cs="Arial Unicode MS"/>
      <w:color w:val="000000"/>
      <w:sz w:val="24"/>
      <w:szCs w:val="24"/>
      <w:u w:color="000000"/>
      <w:lang w:val="en-US"/>
    </w:rPr>
  </w:style>
  <w:style w:type="paragraph" w:customStyle="1" w:styleId="BodyA">
    <w:name w:val="Body A"/>
    <w:pPr>
      <w:spacing w:after="200" w:line="276" w:lineRule="auto"/>
    </w:pPr>
    <w:rPr>
      <w:rFonts w:ascii="Calibri" w:eastAsia="Calibri" w:hAnsi="Calibri" w:cs="Calibri"/>
      <w:color w:val="000000"/>
      <w:sz w:val="22"/>
      <w:szCs w:val="22"/>
      <w:u w:color="000000"/>
      <w:lang w:val="fr-FR"/>
    </w:rPr>
  </w:style>
  <w:style w:type="paragraph" w:styleId="NoSpacing">
    <w:name w:val="No Spacing"/>
    <w:rPr>
      <w:rFonts w:ascii="Calibri" w:eastAsia="Calibri" w:hAnsi="Calibri" w:cs="Calibri"/>
      <w:color w:val="000000"/>
      <w:sz w:val="22"/>
      <w:szCs w:val="22"/>
      <w:u w:color="000000"/>
      <w:lang w:val="en-US"/>
    </w:rPr>
  </w:style>
  <w:style w:type="character" w:customStyle="1" w:styleId="news-date">
    <w:name w:val="news-date"/>
    <w:rPr>
      <w:lang w:val="en-US"/>
    </w:rPr>
  </w:style>
  <w:style w:type="character" w:customStyle="1" w:styleId="A3">
    <w:name w:val="A3"/>
    <w:rPr>
      <w:color w:val="000000"/>
      <w:u w:color="000000"/>
      <w:lang w:val="en-US"/>
    </w:rPr>
  </w:style>
  <w:style w:type="paragraph" w:styleId="FootnoteText">
    <w:name w:val="footnote text"/>
    <w:rPr>
      <w:rFonts w:ascii="Calibri" w:eastAsia="Calibri" w:hAnsi="Calibri" w:cs="Calibri"/>
      <w:color w:val="000000"/>
      <w:u w:color="000000"/>
      <w:lang w:val="en-US"/>
    </w:rPr>
  </w:style>
  <w:style w:type="paragraph" w:customStyle="1" w:styleId="Default">
    <w:name w:val="Default"/>
    <w:rPr>
      <w:rFonts w:ascii="Verdana" w:hAnsi="Verdana" w:cs="Arial Unicode MS"/>
      <w:color w:val="000000"/>
      <w:sz w:val="24"/>
      <w:szCs w:val="24"/>
      <w:u w:color="000000"/>
      <w:lang w:val="en-US"/>
    </w:rPr>
  </w:style>
  <w:style w:type="numbering" w:customStyle="1" w:styleId="ImportedStyle1">
    <w:name w:val="Imported Style 1"/>
    <w:pPr>
      <w:numPr>
        <w:numId w:val="1"/>
      </w:numPr>
    </w:pPr>
  </w:style>
  <w:style w:type="paragraph" w:styleId="ListParagraph">
    <w:name w:val="List Paragraph"/>
    <w:pPr>
      <w:ind w:left="720"/>
    </w:pPr>
    <w:rPr>
      <w:rFonts w:eastAsia="Times New Roman"/>
      <w:color w:val="000000"/>
      <w:sz w:val="24"/>
      <w:szCs w:val="24"/>
      <w:u w:color="000000"/>
      <w:lang w:val="en-US"/>
    </w:rPr>
  </w:style>
  <w:style w:type="character" w:styleId="FootnoteReference">
    <w:name w:val="footnote reference"/>
    <w:rPr>
      <w:vertAlign w:val="superscript"/>
      <w:lang w:val="en-US"/>
    </w:rPr>
  </w:style>
  <w:style w:type="paragraph" w:customStyle="1" w:styleId="Body">
    <w:name w:val="Body"/>
    <w:rPr>
      <w:rFonts w:eastAsia="Times New Roman"/>
      <w:color w:val="000000"/>
      <w:sz w:val="24"/>
      <w:szCs w:val="24"/>
      <w:u w:color="000000"/>
    </w:rPr>
  </w:style>
  <w:style w:type="character" w:customStyle="1" w:styleId="Hyperlink0">
    <w:name w:val="Hyperlink.0"/>
    <w:basedOn w:val="Hyperlink"/>
    <w:rPr>
      <w:color w:val="0000FF"/>
      <w:u w:val="single" w:color="0000FF"/>
    </w:rPr>
  </w:style>
  <w:style w:type="character" w:customStyle="1" w:styleId="None">
    <w:name w:val="None"/>
  </w:style>
  <w:style w:type="character" w:customStyle="1" w:styleId="Hyperlink1">
    <w:name w:val="Hyperlink.1"/>
    <w:basedOn w:val="None"/>
    <w:rPr>
      <w:color w:val="0000FF"/>
      <w:u w:val="single" w:color="0000FF"/>
    </w:rPr>
  </w:style>
  <w:style w:type="character" w:customStyle="1" w:styleId="Hyperlink2">
    <w:name w:val="Hyperlink.2"/>
    <w:basedOn w:val="Hyperlink0"/>
    <w:rPr>
      <w:color w:val="0000FF"/>
      <w:u w:val="single" w:color="0000FF"/>
      <w:lang w:val="en-US"/>
    </w:rPr>
  </w:style>
  <w:style w:type="character" w:customStyle="1" w:styleId="Hyperlink3">
    <w:name w:val="Hyperlink.3"/>
    <w:basedOn w:val="Hyperlink0"/>
    <w:rPr>
      <w:rFonts w:ascii="Arial" w:eastAsia="Arial" w:hAnsi="Arial" w:cs="Arial"/>
      <w:color w:val="0000FF"/>
      <w:sz w:val="16"/>
      <w:szCs w:val="16"/>
      <w:u w:val="single" w:color="0000FF"/>
    </w:rPr>
  </w:style>
  <w:style w:type="paragraph" w:styleId="NormalWeb">
    <w:name w:val="Normal (Web)"/>
    <w:pPr>
      <w:spacing w:after="200" w:line="276" w:lineRule="auto"/>
    </w:pPr>
    <w:rPr>
      <w:rFonts w:eastAsia="Times New Roman"/>
      <w:color w:val="000000"/>
      <w:sz w:val="24"/>
      <w:szCs w:val="24"/>
      <w:u w:color="000000"/>
      <w:lang w:val="en-US"/>
    </w:rPr>
  </w:style>
  <w:style w:type="character" w:customStyle="1" w:styleId="Hyperlink4">
    <w:name w:val="Hyperlink.4"/>
    <w:basedOn w:val="None"/>
    <w:rPr>
      <w:rFonts w:ascii="Calibri" w:eastAsia="Calibri" w:hAnsi="Calibri" w:cs="Calibri"/>
      <w:color w:val="0000FF"/>
      <w:sz w:val="20"/>
      <w:szCs w:val="20"/>
      <w:u w:val="single" w:color="0000FF"/>
    </w:rPr>
  </w:style>
  <w:style w:type="character" w:customStyle="1" w:styleId="Hyperlink5">
    <w:name w:val="Hyperlink.5"/>
    <w:basedOn w:val="Hyperlink0"/>
    <w:rPr>
      <w:color w:val="0000FF"/>
      <w:u w:val="single" w:color="0000FF"/>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afeguardingni.org/thematic-review-child-sexual-exploitation" TargetMode="External"/><Relationship Id="rId13" Type="http://schemas.openxmlformats.org/officeDocument/2006/relationships/hyperlink" Target="https://www.dfpni.gov.uk/sites/default/files/publications/dfp/multi-agency-practice-guidelines-on-female-genital-mutilation.pdf" TargetMode="External"/><Relationship Id="rId18" Type="http://schemas.openxmlformats.org/officeDocument/2006/relationships/hyperlink" Target="https://www.ofmdfmni.gov.uk/sites/default/files/publications/ofmdfm/child-poverty-annual-report-2014-15.pdf" TargetMode="External"/><Relationship Id="rId26" Type="http://schemas.openxmlformats.org/officeDocument/2006/relationships/hyperlink" Target="http://www.northernireland.gov.uk/news-de-270116-review-of-integrated?WT.mc_id=rss-news" TargetMode="External"/><Relationship Id="rId3" Type="http://schemas.openxmlformats.org/officeDocument/2006/relationships/hyperlink" Target="https://www.gov.uk/government/uploads/system/uploads/attachment_data/file/136651/st_andrews_agreement-2.pdf" TargetMode="External"/><Relationship Id="rId21" Type="http://schemas.openxmlformats.org/officeDocument/2006/relationships/hyperlink" Target="https://www.gov.uk/government/news/government-to-strengthen-child-poverty-measure" TargetMode="External"/><Relationship Id="rId7" Type="http://schemas.openxmlformats.org/officeDocument/2006/relationships/hyperlink" Target="https://www.ofmdfmni.gov.uk/articles/poverty-and-social-inclusion%23toc-1" TargetMode="External"/><Relationship Id="rId12" Type="http://schemas.openxmlformats.org/officeDocument/2006/relationships/hyperlink" Target="http://cdn.basw.co.uk/upload/basw_22604-2.pdf" TargetMode="External"/><Relationship Id="rId17" Type="http://schemas.openxmlformats.org/officeDocument/2006/relationships/hyperlink" Target="https://www.ofmdfmni.gov.uk/sites/default/files/publications/ofmdfm/child-poverty-strategy.pdf" TargetMode="External"/><Relationship Id="rId25" Type="http://schemas.openxmlformats.org/officeDocument/2006/relationships/hyperlink" Target="http://www.niassembly.gov.uk/assembly-business/legislation/primary-legislation-current-bills/shared-education-bill2/" TargetMode="External"/><Relationship Id="rId2" Type="http://schemas.openxmlformats.org/officeDocument/2006/relationships/hyperlink" Target="http://data.parliament.uk/writtenevidence/committeeevidence.svc/evidencedocument/eu-justice-subcommittee/potential-impact-of-repealing-the-human-rights-act-on-eu-law/oral/28347.pdf" TargetMode="External"/><Relationship Id="rId16" Type="http://schemas.openxmlformats.org/officeDocument/2006/relationships/hyperlink" Target="https://www.dhsspsni.gov.uk/articles/adoption-review" TargetMode="External"/><Relationship Id="rId20" Type="http://schemas.openxmlformats.org/officeDocument/2006/relationships/hyperlink" Target="https://www.ofmdfmni.gov.uk/sites/default/files/publications/ofmdfm/child-poverty-strategy.pdf" TargetMode="External"/><Relationship Id="rId1" Type="http://schemas.openxmlformats.org/officeDocument/2006/relationships/hyperlink" Target="http://www.parliament.uk/business/committees/committees-a-z/lords-select/eu-justice-subcommittee/inquiries/parliament-2015/potential-impact-of-repealing-the-human-rights-act-on-eu-law/" TargetMode="External"/><Relationship Id="rId6" Type="http://schemas.openxmlformats.org/officeDocument/2006/relationships/hyperlink" Target="https://www.ofmdfmni.gov.uk/articles/children-and-young-people" TargetMode="External"/><Relationship Id="rId11" Type="http://schemas.openxmlformats.org/officeDocument/2006/relationships/hyperlink" Target="https://www.gov.uk/government/uploads/system/uploads/attachment_data/file/412667/FMU_Stats_2014.pdf" TargetMode="External"/><Relationship Id="rId24" Type="http://schemas.openxmlformats.org/officeDocument/2006/relationships/hyperlink" Target="http://www.ifs.org.uk/uploads/publications/comms/R114.pdf" TargetMode="External"/><Relationship Id="rId5" Type="http://schemas.openxmlformats.org/officeDocument/2006/relationships/hyperlink" Target="http://www.nihrc.org/news/detail/joint-statement-of-irish-human-rights-and-equality-commission-and-northern" TargetMode="External"/><Relationship Id="rId15" Type="http://schemas.openxmlformats.org/officeDocument/2006/relationships/hyperlink" Target="https://www.gov.uk/government/uploads/system/uploads/attachment_data/file/469548/Paramilitary_Groups_in_Northern_Ireland_-_20_Oct_2015.pdf" TargetMode="External"/><Relationship Id="rId23" Type="http://schemas.openxmlformats.org/officeDocument/2006/relationships/hyperlink" Target="https://www.jrf.org.uk/report/monitoring-poverty-and-social-exclusion-northern-ireland-2016?utm_content=buffer5e7d6&amp;utm_medium=social&amp;utm_source=twitter.com&amp;utm_campaign=buffer" TargetMode="External"/><Relationship Id="rId28" Type="http://schemas.openxmlformats.org/officeDocument/2006/relationships/hyperlink" Target="http://www.courtsni.gov.uk/en-GB/Judicial%252520Decisions/PublishedByYear/Documents/2015/%25255b2015%25255d%252520NIQB%25252096/j_j_HOR9740Final.htm" TargetMode="External"/><Relationship Id="rId10" Type="http://schemas.openxmlformats.org/officeDocument/2006/relationships/hyperlink" Target="https://www.dojni.gov.uk/sites/default/files/publications/doj/doj-action-plan-tackling-child-sexual-exploitation-august-2015.pdf" TargetMode="External"/><Relationship Id="rId19" Type="http://schemas.openxmlformats.org/officeDocument/2006/relationships/hyperlink" Target="https://www.ofmdfmni.gov.uk/sites/default/files/publications/ofmdfm/child-poverty-strategy.pdf" TargetMode="External"/><Relationship Id="rId4" Type="http://schemas.openxmlformats.org/officeDocument/2006/relationships/hyperlink" Target="https://www.gov.uk/government/uploads/system/uploads/attachment_data/file/390672/Stormont_House_Agreement.pdf" TargetMode="External"/><Relationship Id="rId9" Type="http://schemas.openxmlformats.org/officeDocument/2006/relationships/hyperlink" Target="http://www.bbc.co.uk/news/uk-northern-ireland-29631344" TargetMode="External"/><Relationship Id="rId14" Type="http://schemas.openxmlformats.org/officeDocument/2006/relationships/hyperlink" Target="https://www.dfpni.gov.uk/sites/default/files/publications/dfp/analysis-of-responses-female-genital-mutilation-consultation.pdf" TargetMode="External"/><Relationship Id="rId22" Type="http://schemas.openxmlformats.org/officeDocument/2006/relationships/hyperlink" Target="http://www.cpag.org.uk/sites/default/files/CPAG%252520Briefing%252520-%252520Welfare%252520Reform%252520and%252520Work%252520Bill%252520Commons%2525202nd%252520Reading%25252020-07-15.pdf" TargetMode="External"/><Relationship Id="rId27" Type="http://schemas.openxmlformats.org/officeDocument/2006/relationships/hyperlink" Target="http://www.dojni.gov.uk/index/publications/publication-categories/pubs-criminal-justice/report-of-the-review-of-the-youth-justice-system-in-ni.pdf"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676430D-77C6-4267-9B60-946C414A3F84}"/>
</file>

<file path=customXml/itemProps2.xml><?xml version="1.0" encoding="utf-8"?>
<ds:datastoreItem xmlns:ds="http://schemas.openxmlformats.org/officeDocument/2006/customXml" ds:itemID="{304D9566-3813-4D49-A3D4-FD67EE8476F4}"/>
</file>

<file path=customXml/itemProps3.xml><?xml version="1.0" encoding="utf-8"?>
<ds:datastoreItem xmlns:ds="http://schemas.openxmlformats.org/officeDocument/2006/customXml" ds:itemID="{B7FC5706-AFE2-47F2-9679-3D237DA27CA2}"/>
</file>

<file path=docProps/app.xml><?xml version="1.0" encoding="utf-8"?>
<Properties xmlns="http://schemas.openxmlformats.org/officeDocument/2006/extended-properties" xmlns:vt="http://schemas.openxmlformats.org/officeDocument/2006/docPropsVTypes">
  <Template>Normal</Template>
  <TotalTime>11</TotalTime>
  <Pages>35</Pages>
  <Words>9691</Words>
  <Characters>55243</Characters>
  <Application>Microsoft Office Word</Application>
  <DocSecurity>0</DocSecurity>
  <Lines>460</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Colin Caughey</cp:lastModifiedBy>
  <cp:revision>4</cp:revision>
  <dcterms:created xsi:type="dcterms:W3CDTF">2016-04-15T09:28:00Z</dcterms:created>
  <dcterms:modified xsi:type="dcterms:W3CDTF">2016-04-15T09:42:00Z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