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E931B" w14:textId="58E446E1" w:rsidR="00283340" w:rsidRPr="00283340" w:rsidRDefault="00D03945" w:rsidP="00283340">
      <w:pPr>
        <w:pStyle w:val="RTSubheadinglightCAPS"/>
        <w:rPr>
          <w:rStyle w:val="RTHighlightedtext"/>
          <w:b/>
          <w:bCs w:val="0"/>
          <w:sz w:val="72"/>
          <w:szCs w:val="72"/>
        </w:rPr>
      </w:pPr>
      <w:r>
        <w:rPr>
          <w:rStyle w:val="RTHighlightedtext"/>
          <w:b/>
          <w:sz w:val="72"/>
          <w:szCs w:val="72"/>
        </w:rPr>
        <w:t>LIbya</w:t>
      </w:r>
      <w:r w:rsidR="00CB724D" w:rsidRPr="00283340">
        <w:rPr>
          <w:rStyle w:val="RTHighlightedtext"/>
          <w:b/>
          <w:bCs w:val="0"/>
          <w:sz w:val="72"/>
          <w:szCs w:val="72"/>
        </w:rPr>
        <w:t xml:space="preserve"> </w:t>
      </w:r>
    </w:p>
    <w:p w14:paraId="58F93CEC" w14:textId="7D2581E4" w:rsidR="00D03945" w:rsidRDefault="00D03945" w:rsidP="00D03945">
      <w:pPr>
        <w:pStyle w:val="RTSubheadinglightCAPS"/>
      </w:pPr>
      <w:r>
        <w:t>SUBMISSION TO THE UN COMMITTEE ON THE ELIMINATION OF DISCRIMINATION AGAINST WOMEN</w:t>
      </w:r>
    </w:p>
    <w:p w14:paraId="5BEA80D7" w14:textId="123B6CD7" w:rsidR="00E03D0F" w:rsidRPr="00BC7373" w:rsidRDefault="00D03945" w:rsidP="00D03945">
      <w:pPr>
        <w:pStyle w:val="RTSubheadinglightCAPS"/>
        <w:rPr>
          <w:sz w:val="36"/>
          <w:szCs w:val="36"/>
          <w:shd w:val="clear" w:color="auto" w:fill="FFFF00"/>
        </w:rPr>
      </w:pPr>
      <w:r w:rsidRPr="00BC7373">
        <w:rPr>
          <w:sz w:val="36"/>
          <w:szCs w:val="36"/>
        </w:rPr>
        <w:t>90</w:t>
      </w:r>
      <w:r w:rsidRPr="00BC7373">
        <w:rPr>
          <w:sz w:val="36"/>
          <w:szCs w:val="36"/>
          <w:vertAlign w:val="superscript"/>
        </w:rPr>
        <w:t>TH</w:t>
      </w:r>
      <w:r w:rsidR="00BC7373">
        <w:rPr>
          <w:sz w:val="36"/>
          <w:szCs w:val="36"/>
        </w:rPr>
        <w:t xml:space="preserve"> </w:t>
      </w:r>
      <w:r w:rsidRPr="00BC7373">
        <w:rPr>
          <w:sz w:val="36"/>
          <w:szCs w:val="36"/>
        </w:rPr>
        <w:t>PRE-SESSIONAL WORKING GROUP, 3 - 7 JUNE 2024, LIST OF ISSUES PRIOR TO REPORTING</w:t>
      </w:r>
    </w:p>
    <w:p w14:paraId="4C2F171B" w14:textId="4E5D92C5" w:rsidR="00065FFC" w:rsidRDefault="00065FFC" w:rsidP="00AB63AF">
      <w:pPr>
        <w:pStyle w:val="BSubtitle"/>
      </w:pPr>
    </w:p>
    <w:p w14:paraId="459641EC" w14:textId="77777777" w:rsidR="00065FFC" w:rsidRDefault="00065FFC" w:rsidP="00B0223B"/>
    <w:p w14:paraId="306BCFC7" w14:textId="7117B749" w:rsidR="00065FFC" w:rsidRDefault="00E03D0F" w:rsidP="00B0223B">
      <w:r w:rsidRPr="0009139D">
        <w:rPr>
          <w:rStyle w:val="TOC2Char"/>
          <w:sz w:val="36"/>
          <w:szCs w:val="36"/>
        </w:rPr>
        <w:drawing>
          <wp:anchor distT="0" distB="144145" distL="114300" distR="114300" simplePos="0" relativeHeight="251658248" behindDoc="1" locked="1" layoutInCell="1" allowOverlap="1" wp14:anchorId="35DF711E" wp14:editId="701C569A">
            <wp:simplePos x="0" y="0"/>
            <wp:positionH relativeFrom="margin">
              <wp:align>center</wp:align>
            </wp:positionH>
            <wp:positionV relativeFrom="page">
              <wp:posOffset>3803015</wp:posOffset>
            </wp:positionV>
            <wp:extent cx="2685415" cy="4525010"/>
            <wp:effectExtent l="0" t="0" r="635" b="8890"/>
            <wp:wrapNone/>
            <wp:docPr id="14" name="Picture 14"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85415" cy="452501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arto="http://schemas.microsoft.com/office/word/2006/arto" xmlns:asvg="http://schemas.microsoft.com/office/drawing/2016/SVG/main" val="1"/>
                      </a:ext>
                    </a:extLst>
                  </pic:spPr>
                </pic:pic>
              </a:graphicData>
            </a:graphic>
            <wp14:sizeRelH relativeFrom="page">
              <wp14:pctWidth>0</wp14:pctWidth>
            </wp14:sizeRelH>
            <wp14:sizeRelV relativeFrom="page">
              <wp14:pctHeight>0</wp14:pctHeight>
            </wp14:sizeRelV>
          </wp:anchor>
        </w:drawing>
      </w:r>
    </w:p>
    <w:p w14:paraId="330EE55A" w14:textId="77777777" w:rsidR="00162896" w:rsidRDefault="00065FFC" w:rsidP="00065FFC">
      <w:pPr>
        <w:pStyle w:val="BContentsheading"/>
      </w:pPr>
      <w:r w:rsidRPr="00065FFC">
        <w:lastRenderedPageBreak/>
        <w:t>Contents</w:t>
      </w:r>
    </w:p>
    <w:p w14:paraId="3A2755A4" w14:textId="6CFC4463" w:rsidR="00BC7373" w:rsidRDefault="00346173">
      <w:pPr>
        <w:pStyle w:val="TOC1"/>
        <w:rPr>
          <w:rFonts w:asciiTheme="minorHAnsi" w:eastAsiaTheme="minorEastAsia" w:hAnsiTheme="minorHAnsi" w:cstheme="minorBidi"/>
          <w:b w:val="0"/>
          <w:bCs w:val="0"/>
          <w:caps w:val="0"/>
          <w:color w:val="auto"/>
          <w:kern w:val="2"/>
          <w:sz w:val="22"/>
          <w:u w:val="none"/>
          <w14:ligatures w14:val="standardContextual"/>
        </w:rPr>
      </w:pPr>
      <w:r w:rsidRPr="00B61AFE">
        <w:rPr>
          <w:color w:val="2B579A"/>
          <w:shd w:val="clear" w:color="auto" w:fill="E6E6E6"/>
        </w:rPr>
        <w:fldChar w:fldCharType="begin"/>
      </w:r>
      <w:r w:rsidRPr="00B61AFE">
        <w:instrText xml:space="preserve"> TOC \h \z \t "B Heading (no numbers),1,B Numbered Heading,1,B Subheading (no numbers),2,B Numbered Subheading,2" </w:instrText>
      </w:r>
      <w:r w:rsidRPr="00B61AFE">
        <w:rPr>
          <w:color w:val="2B579A"/>
          <w:shd w:val="clear" w:color="auto" w:fill="E6E6E6"/>
        </w:rPr>
        <w:fldChar w:fldCharType="separate"/>
      </w:r>
      <w:hyperlink w:anchor="_Toc164071174" w:history="1">
        <w:r w:rsidR="00BC7373" w:rsidRPr="008F37E9">
          <w:rPr>
            <w:rStyle w:val="Hyperlink"/>
          </w:rPr>
          <w:t>INTRODUCTION</w:t>
        </w:r>
        <w:r w:rsidR="00BC7373">
          <w:rPr>
            <w:webHidden/>
          </w:rPr>
          <w:tab/>
        </w:r>
        <w:r w:rsidR="00BC7373">
          <w:rPr>
            <w:webHidden/>
          </w:rPr>
          <w:fldChar w:fldCharType="begin"/>
        </w:r>
        <w:r w:rsidR="00BC7373">
          <w:rPr>
            <w:webHidden/>
          </w:rPr>
          <w:instrText xml:space="preserve"> PAGEREF _Toc164071174 \h </w:instrText>
        </w:r>
        <w:r w:rsidR="00BC7373">
          <w:rPr>
            <w:webHidden/>
          </w:rPr>
        </w:r>
        <w:r w:rsidR="00BC7373">
          <w:rPr>
            <w:webHidden/>
          </w:rPr>
          <w:fldChar w:fldCharType="separate"/>
        </w:r>
        <w:r w:rsidR="00242B2F">
          <w:rPr>
            <w:webHidden/>
          </w:rPr>
          <w:t>3</w:t>
        </w:r>
        <w:r w:rsidR="00BC7373">
          <w:rPr>
            <w:webHidden/>
          </w:rPr>
          <w:fldChar w:fldCharType="end"/>
        </w:r>
      </w:hyperlink>
    </w:p>
    <w:p w14:paraId="120D40A2" w14:textId="5D387532" w:rsidR="00BC7373" w:rsidRDefault="00BC7373">
      <w:pPr>
        <w:pStyle w:val="TOC1"/>
        <w:rPr>
          <w:rFonts w:asciiTheme="minorHAnsi" w:eastAsiaTheme="minorEastAsia" w:hAnsiTheme="minorHAnsi" w:cstheme="minorBidi"/>
          <w:b w:val="0"/>
          <w:bCs w:val="0"/>
          <w:caps w:val="0"/>
          <w:color w:val="auto"/>
          <w:kern w:val="2"/>
          <w:sz w:val="22"/>
          <w:u w:val="none"/>
          <w14:ligatures w14:val="standardContextual"/>
        </w:rPr>
      </w:pPr>
      <w:hyperlink w:anchor="_Toc164071175" w:history="1">
        <w:r w:rsidRPr="008F37E9">
          <w:rPr>
            <w:rStyle w:val="Hyperlink"/>
          </w:rPr>
          <w:t>DISCRIMINATION AGAINST WOMEN AND GIRLS AND GENDER BASED VIOLENCE (ARTICLES 2, 16)</w:t>
        </w:r>
        <w:r>
          <w:rPr>
            <w:webHidden/>
          </w:rPr>
          <w:tab/>
        </w:r>
        <w:r>
          <w:rPr>
            <w:webHidden/>
          </w:rPr>
          <w:fldChar w:fldCharType="begin"/>
        </w:r>
        <w:r>
          <w:rPr>
            <w:webHidden/>
          </w:rPr>
          <w:instrText xml:space="preserve"> PAGEREF _Toc164071175 \h </w:instrText>
        </w:r>
        <w:r>
          <w:rPr>
            <w:webHidden/>
          </w:rPr>
        </w:r>
        <w:r>
          <w:rPr>
            <w:webHidden/>
          </w:rPr>
          <w:fldChar w:fldCharType="separate"/>
        </w:r>
        <w:r w:rsidR="00242B2F">
          <w:rPr>
            <w:webHidden/>
          </w:rPr>
          <w:t>3</w:t>
        </w:r>
        <w:r>
          <w:rPr>
            <w:webHidden/>
          </w:rPr>
          <w:fldChar w:fldCharType="end"/>
        </w:r>
      </w:hyperlink>
    </w:p>
    <w:p w14:paraId="21754857" w14:textId="23BC8FF0" w:rsidR="00BC7373" w:rsidRDefault="00BC7373">
      <w:pPr>
        <w:pStyle w:val="TOC1"/>
        <w:rPr>
          <w:rFonts w:asciiTheme="minorHAnsi" w:eastAsiaTheme="minorEastAsia" w:hAnsiTheme="minorHAnsi" w:cstheme="minorBidi"/>
          <w:b w:val="0"/>
          <w:bCs w:val="0"/>
          <w:caps w:val="0"/>
          <w:color w:val="auto"/>
          <w:kern w:val="2"/>
          <w:sz w:val="22"/>
          <w:u w:val="none"/>
          <w14:ligatures w14:val="standardContextual"/>
        </w:rPr>
      </w:pPr>
      <w:hyperlink w:anchor="_Toc164071176" w:history="1">
        <w:r w:rsidRPr="008F37E9">
          <w:rPr>
            <w:rStyle w:val="Hyperlink"/>
          </w:rPr>
          <w:t>Attacks on Women Human Rights Defenders, politicians and activists (Article 2 and 7)</w:t>
        </w:r>
        <w:r>
          <w:rPr>
            <w:webHidden/>
          </w:rPr>
          <w:tab/>
        </w:r>
        <w:r>
          <w:rPr>
            <w:webHidden/>
          </w:rPr>
          <w:fldChar w:fldCharType="begin"/>
        </w:r>
        <w:r>
          <w:rPr>
            <w:webHidden/>
          </w:rPr>
          <w:instrText xml:space="preserve"> PAGEREF _Toc164071176 \h </w:instrText>
        </w:r>
        <w:r>
          <w:rPr>
            <w:webHidden/>
          </w:rPr>
        </w:r>
        <w:r>
          <w:rPr>
            <w:webHidden/>
          </w:rPr>
          <w:fldChar w:fldCharType="separate"/>
        </w:r>
        <w:r w:rsidR="00242B2F">
          <w:rPr>
            <w:webHidden/>
          </w:rPr>
          <w:t>5</w:t>
        </w:r>
        <w:r>
          <w:rPr>
            <w:webHidden/>
          </w:rPr>
          <w:fldChar w:fldCharType="end"/>
        </w:r>
      </w:hyperlink>
    </w:p>
    <w:p w14:paraId="2B650201" w14:textId="2F63BE3E" w:rsidR="00BC7373" w:rsidRDefault="00BC7373">
      <w:pPr>
        <w:pStyle w:val="TOC1"/>
        <w:rPr>
          <w:rFonts w:asciiTheme="minorHAnsi" w:eastAsiaTheme="minorEastAsia" w:hAnsiTheme="minorHAnsi" w:cstheme="minorBidi"/>
          <w:b w:val="0"/>
          <w:bCs w:val="0"/>
          <w:caps w:val="0"/>
          <w:color w:val="auto"/>
          <w:kern w:val="2"/>
          <w:sz w:val="22"/>
          <w:u w:val="none"/>
          <w14:ligatures w14:val="standardContextual"/>
        </w:rPr>
      </w:pPr>
      <w:hyperlink w:anchor="_Toc164071177" w:history="1">
        <w:r w:rsidRPr="008F37E9">
          <w:rPr>
            <w:rStyle w:val="Hyperlink"/>
          </w:rPr>
          <w:t>Right to impart  Nationality (Articles 2 and 9)</w:t>
        </w:r>
        <w:r>
          <w:rPr>
            <w:webHidden/>
          </w:rPr>
          <w:tab/>
        </w:r>
        <w:r>
          <w:rPr>
            <w:webHidden/>
          </w:rPr>
          <w:fldChar w:fldCharType="begin"/>
        </w:r>
        <w:r>
          <w:rPr>
            <w:webHidden/>
          </w:rPr>
          <w:instrText xml:space="preserve"> PAGEREF _Toc164071177 \h </w:instrText>
        </w:r>
        <w:r>
          <w:rPr>
            <w:webHidden/>
          </w:rPr>
        </w:r>
        <w:r>
          <w:rPr>
            <w:webHidden/>
          </w:rPr>
          <w:fldChar w:fldCharType="separate"/>
        </w:r>
        <w:r w:rsidR="00242B2F">
          <w:rPr>
            <w:webHidden/>
          </w:rPr>
          <w:t>6</w:t>
        </w:r>
        <w:r>
          <w:rPr>
            <w:webHidden/>
          </w:rPr>
          <w:fldChar w:fldCharType="end"/>
        </w:r>
      </w:hyperlink>
    </w:p>
    <w:p w14:paraId="5D0AB661" w14:textId="55F464E1" w:rsidR="00BC7373" w:rsidRDefault="00BC7373">
      <w:pPr>
        <w:pStyle w:val="TOC1"/>
        <w:rPr>
          <w:rFonts w:asciiTheme="minorHAnsi" w:eastAsiaTheme="minorEastAsia" w:hAnsiTheme="minorHAnsi" w:cstheme="minorBidi"/>
          <w:b w:val="0"/>
          <w:bCs w:val="0"/>
          <w:caps w:val="0"/>
          <w:color w:val="auto"/>
          <w:kern w:val="2"/>
          <w:sz w:val="22"/>
          <w:u w:val="none"/>
          <w14:ligatures w14:val="standardContextual"/>
        </w:rPr>
      </w:pPr>
      <w:hyperlink w:anchor="_Toc164071178" w:history="1">
        <w:r w:rsidRPr="008F37E9">
          <w:rPr>
            <w:rStyle w:val="Hyperlink"/>
          </w:rPr>
          <w:t>Freedom of Movement (Articles 2 and 15)</w:t>
        </w:r>
        <w:r>
          <w:rPr>
            <w:webHidden/>
          </w:rPr>
          <w:tab/>
        </w:r>
        <w:r>
          <w:rPr>
            <w:webHidden/>
          </w:rPr>
          <w:fldChar w:fldCharType="begin"/>
        </w:r>
        <w:r>
          <w:rPr>
            <w:webHidden/>
          </w:rPr>
          <w:instrText xml:space="preserve"> PAGEREF _Toc164071178 \h </w:instrText>
        </w:r>
        <w:r>
          <w:rPr>
            <w:webHidden/>
          </w:rPr>
        </w:r>
        <w:r>
          <w:rPr>
            <w:webHidden/>
          </w:rPr>
          <w:fldChar w:fldCharType="separate"/>
        </w:r>
        <w:r w:rsidR="00242B2F">
          <w:rPr>
            <w:webHidden/>
          </w:rPr>
          <w:t>6</w:t>
        </w:r>
        <w:r>
          <w:rPr>
            <w:webHidden/>
          </w:rPr>
          <w:fldChar w:fldCharType="end"/>
        </w:r>
      </w:hyperlink>
    </w:p>
    <w:p w14:paraId="7F039528" w14:textId="6C44452F" w:rsidR="00BC7373" w:rsidRDefault="00BC7373">
      <w:pPr>
        <w:pStyle w:val="TOC1"/>
        <w:rPr>
          <w:rFonts w:asciiTheme="minorHAnsi" w:eastAsiaTheme="minorEastAsia" w:hAnsiTheme="minorHAnsi" w:cstheme="minorBidi"/>
          <w:b w:val="0"/>
          <w:bCs w:val="0"/>
          <w:caps w:val="0"/>
          <w:color w:val="auto"/>
          <w:kern w:val="2"/>
          <w:sz w:val="22"/>
          <w:u w:val="none"/>
          <w14:ligatures w14:val="standardContextual"/>
        </w:rPr>
      </w:pPr>
      <w:hyperlink w:anchor="_Toc164071179" w:history="1">
        <w:r w:rsidRPr="008F37E9">
          <w:rPr>
            <w:rStyle w:val="Hyperlink"/>
          </w:rPr>
          <w:t>women relatives of missing persons (Article 2, and 16)</w:t>
        </w:r>
        <w:r>
          <w:rPr>
            <w:webHidden/>
          </w:rPr>
          <w:tab/>
        </w:r>
        <w:r>
          <w:rPr>
            <w:webHidden/>
          </w:rPr>
          <w:fldChar w:fldCharType="begin"/>
        </w:r>
        <w:r>
          <w:rPr>
            <w:webHidden/>
          </w:rPr>
          <w:instrText xml:space="preserve"> PAGEREF _Toc164071179 \h </w:instrText>
        </w:r>
        <w:r>
          <w:rPr>
            <w:webHidden/>
          </w:rPr>
        </w:r>
        <w:r>
          <w:rPr>
            <w:webHidden/>
          </w:rPr>
          <w:fldChar w:fldCharType="separate"/>
        </w:r>
        <w:r w:rsidR="00242B2F">
          <w:rPr>
            <w:webHidden/>
          </w:rPr>
          <w:t>6</w:t>
        </w:r>
        <w:r>
          <w:rPr>
            <w:webHidden/>
          </w:rPr>
          <w:fldChar w:fldCharType="end"/>
        </w:r>
      </w:hyperlink>
    </w:p>
    <w:p w14:paraId="5C3FDCF1" w14:textId="477E0B47" w:rsidR="00E02A58" w:rsidRPr="00E02A58" w:rsidRDefault="00346173" w:rsidP="00767889">
      <w:pPr>
        <w:pStyle w:val="BBodyText"/>
        <w:tabs>
          <w:tab w:val="left" w:leader="underscore" w:pos="426"/>
        </w:tabs>
        <w:rPr>
          <w:lang w:eastAsia="en-GB"/>
        </w:rPr>
      </w:pPr>
      <w:r w:rsidRPr="00B61AFE">
        <w:rPr>
          <w:rFonts w:asciiTheme="majorHAnsi" w:hAnsiTheme="majorHAnsi"/>
          <w:b/>
          <w:caps/>
          <w:color w:val="000000" w:themeColor="text1"/>
          <w:sz w:val="17"/>
          <w:szCs w:val="22"/>
          <w:u w:val="single"/>
          <w:shd w:val="clear" w:color="auto" w:fill="E6E6E6"/>
          <w:lang w:eastAsia="en-GB"/>
        </w:rPr>
        <w:fldChar w:fldCharType="end"/>
      </w:r>
    </w:p>
    <w:p w14:paraId="7BF658C4" w14:textId="77777777" w:rsidR="00E02A58" w:rsidRPr="00E02A58" w:rsidRDefault="00E02A58" w:rsidP="00E02A58">
      <w:pPr>
        <w:rPr>
          <w:lang w:eastAsia="en-GB"/>
        </w:rPr>
      </w:pPr>
    </w:p>
    <w:p w14:paraId="206DF1FA" w14:textId="77777777" w:rsidR="00E02A58" w:rsidRPr="00E02A58" w:rsidRDefault="00E02A58" w:rsidP="00E02A58">
      <w:pPr>
        <w:rPr>
          <w:lang w:eastAsia="en-GB"/>
        </w:rPr>
      </w:pPr>
    </w:p>
    <w:p w14:paraId="6136B479" w14:textId="77777777" w:rsidR="00E02A58" w:rsidRPr="00E02A58" w:rsidRDefault="00E02A58" w:rsidP="00E02A58">
      <w:pPr>
        <w:rPr>
          <w:lang w:eastAsia="en-GB"/>
        </w:rPr>
      </w:pPr>
    </w:p>
    <w:p w14:paraId="16A78BAF" w14:textId="77777777" w:rsidR="00E02A58" w:rsidRPr="00E02A58" w:rsidRDefault="00E02A58" w:rsidP="00E02A58">
      <w:pPr>
        <w:rPr>
          <w:lang w:eastAsia="en-GB"/>
        </w:rPr>
      </w:pPr>
    </w:p>
    <w:p w14:paraId="6EF3A73F" w14:textId="77777777" w:rsidR="00E02A58" w:rsidRPr="00E02A58" w:rsidRDefault="00E02A58" w:rsidP="00E02A58">
      <w:pPr>
        <w:rPr>
          <w:lang w:eastAsia="en-GB"/>
        </w:rPr>
      </w:pPr>
    </w:p>
    <w:p w14:paraId="5DC1E51B" w14:textId="77777777" w:rsidR="00E02A58" w:rsidRPr="00E02A58" w:rsidRDefault="00E02A58" w:rsidP="00E02A58">
      <w:pPr>
        <w:rPr>
          <w:lang w:eastAsia="en-GB"/>
        </w:rPr>
      </w:pPr>
    </w:p>
    <w:p w14:paraId="1371AF00" w14:textId="77777777" w:rsidR="00E02A58" w:rsidRPr="00E02A58" w:rsidRDefault="00E02A58" w:rsidP="00E02A58">
      <w:pPr>
        <w:rPr>
          <w:lang w:eastAsia="en-GB"/>
        </w:rPr>
      </w:pPr>
    </w:p>
    <w:p w14:paraId="1833206C" w14:textId="77777777" w:rsidR="00E02A58" w:rsidRPr="00E02A58" w:rsidRDefault="00E02A58" w:rsidP="00E02A58">
      <w:pPr>
        <w:rPr>
          <w:lang w:eastAsia="en-GB"/>
        </w:rPr>
      </w:pPr>
    </w:p>
    <w:p w14:paraId="5DA2CA07" w14:textId="77777777" w:rsidR="00E02A58" w:rsidRPr="00E02A58" w:rsidRDefault="00E02A58" w:rsidP="00E02A58">
      <w:pPr>
        <w:rPr>
          <w:lang w:eastAsia="en-GB"/>
        </w:rPr>
      </w:pPr>
    </w:p>
    <w:p w14:paraId="6C63850F" w14:textId="77777777" w:rsidR="00E02A58" w:rsidRPr="00E02A58" w:rsidRDefault="00E02A58" w:rsidP="00E02A58">
      <w:pPr>
        <w:rPr>
          <w:lang w:eastAsia="en-GB"/>
        </w:rPr>
      </w:pPr>
    </w:p>
    <w:p w14:paraId="00D9EE5E" w14:textId="77777777" w:rsidR="00E02A58" w:rsidRPr="00E02A58" w:rsidRDefault="00E02A58" w:rsidP="00E02A58">
      <w:pPr>
        <w:rPr>
          <w:lang w:eastAsia="en-GB"/>
        </w:rPr>
      </w:pPr>
    </w:p>
    <w:p w14:paraId="102B876E" w14:textId="77777777" w:rsidR="00E02A58" w:rsidRPr="00E02A58" w:rsidRDefault="00E02A58" w:rsidP="00E02A58">
      <w:pPr>
        <w:rPr>
          <w:lang w:eastAsia="en-GB"/>
        </w:rPr>
      </w:pPr>
    </w:p>
    <w:p w14:paraId="587B217F" w14:textId="77777777" w:rsidR="00E02A58" w:rsidRPr="00E02A58" w:rsidRDefault="00E02A58" w:rsidP="00E02A58">
      <w:pPr>
        <w:rPr>
          <w:lang w:eastAsia="en-GB"/>
        </w:rPr>
      </w:pPr>
    </w:p>
    <w:p w14:paraId="3008F090" w14:textId="77777777" w:rsidR="00E02A58" w:rsidRPr="00E02A58" w:rsidRDefault="00E02A58" w:rsidP="00E02A58">
      <w:pPr>
        <w:rPr>
          <w:lang w:eastAsia="en-GB"/>
        </w:rPr>
      </w:pPr>
    </w:p>
    <w:p w14:paraId="716DE33C" w14:textId="77777777" w:rsidR="00E02A58" w:rsidRPr="00E02A58" w:rsidRDefault="00E02A58" w:rsidP="00E02A58">
      <w:pPr>
        <w:rPr>
          <w:lang w:eastAsia="en-GB"/>
        </w:rPr>
      </w:pPr>
    </w:p>
    <w:p w14:paraId="4331CC06" w14:textId="77777777" w:rsidR="00E02A58" w:rsidRPr="00E02A58" w:rsidRDefault="00E02A58" w:rsidP="00E02A58">
      <w:pPr>
        <w:rPr>
          <w:lang w:eastAsia="en-GB"/>
        </w:rPr>
      </w:pPr>
    </w:p>
    <w:p w14:paraId="30DD3909" w14:textId="77777777" w:rsidR="00E02A58" w:rsidRPr="00E02A58" w:rsidRDefault="00E02A58" w:rsidP="00E02A58">
      <w:pPr>
        <w:rPr>
          <w:lang w:eastAsia="en-GB"/>
        </w:rPr>
      </w:pPr>
    </w:p>
    <w:p w14:paraId="41D1B482" w14:textId="77777777" w:rsidR="00E02A58" w:rsidRPr="00E02A58" w:rsidRDefault="00E02A58" w:rsidP="00E02A58">
      <w:pPr>
        <w:rPr>
          <w:lang w:eastAsia="en-GB"/>
        </w:rPr>
      </w:pPr>
    </w:p>
    <w:p w14:paraId="0F07A691" w14:textId="77777777" w:rsidR="00E02A58" w:rsidRPr="00E02A58" w:rsidRDefault="00E02A58" w:rsidP="00E02A58">
      <w:pPr>
        <w:rPr>
          <w:lang w:eastAsia="en-GB"/>
        </w:rPr>
      </w:pPr>
    </w:p>
    <w:p w14:paraId="5E38E432" w14:textId="77777777" w:rsidR="00E02A58" w:rsidRPr="00E02A58" w:rsidRDefault="00E02A58" w:rsidP="00E02A58">
      <w:pPr>
        <w:rPr>
          <w:lang w:eastAsia="en-GB"/>
        </w:rPr>
      </w:pPr>
    </w:p>
    <w:p w14:paraId="0CFE99DC" w14:textId="77777777" w:rsidR="00E02A58" w:rsidRPr="00E02A58" w:rsidRDefault="00E02A58" w:rsidP="00E02A58">
      <w:pPr>
        <w:rPr>
          <w:lang w:eastAsia="en-GB"/>
        </w:rPr>
      </w:pPr>
    </w:p>
    <w:p w14:paraId="12EAC680" w14:textId="77777777" w:rsidR="00E02A58" w:rsidRPr="00E02A58" w:rsidRDefault="00E02A58" w:rsidP="00E02A58">
      <w:pPr>
        <w:rPr>
          <w:lang w:eastAsia="en-GB"/>
        </w:rPr>
      </w:pPr>
    </w:p>
    <w:p w14:paraId="1854AB25" w14:textId="77777777" w:rsidR="00E02A58" w:rsidRPr="00E02A58" w:rsidRDefault="00E02A58" w:rsidP="00E02A58">
      <w:pPr>
        <w:rPr>
          <w:lang w:eastAsia="en-GB"/>
        </w:rPr>
      </w:pPr>
    </w:p>
    <w:p w14:paraId="57A9B2F2" w14:textId="77777777" w:rsidR="00E02A58" w:rsidRPr="00E02A58" w:rsidRDefault="00E02A58" w:rsidP="00E02A58">
      <w:pPr>
        <w:rPr>
          <w:lang w:eastAsia="en-GB"/>
        </w:rPr>
      </w:pPr>
    </w:p>
    <w:p w14:paraId="35378EC6" w14:textId="77777777" w:rsidR="00E02A58" w:rsidRPr="00E02A58" w:rsidRDefault="00E02A58" w:rsidP="00E02A58">
      <w:pPr>
        <w:rPr>
          <w:lang w:eastAsia="en-GB"/>
        </w:rPr>
      </w:pPr>
    </w:p>
    <w:p w14:paraId="0808A3A8" w14:textId="77777777" w:rsidR="00E02A58" w:rsidRPr="00E02A58" w:rsidRDefault="00E02A58" w:rsidP="00E02A58">
      <w:pPr>
        <w:rPr>
          <w:lang w:eastAsia="en-GB"/>
        </w:rPr>
      </w:pPr>
    </w:p>
    <w:p w14:paraId="6255F280" w14:textId="77777777" w:rsidR="00E02A58" w:rsidRPr="00E02A58" w:rsidRDefault="00E02A58" w:rsidP="00E02A58">
      <w:pPr>
        <w:rPr>
          <w:lang w:eastAsia="en-GB"/>
        </w:rPr>
      </w:pPr>
    </w:p>
    <w:p w14:paraId="72A69082" w14:textId="77777777" w:rsidR="00E02A58" w:rsidRPr="00E02A58" w:rsidRDefault="00E02A58" w:rsidP="00E02A58">
      <w:pPr>
        <w:rPr>
          <w:lang w:eastAsia="en-GB"/>
        </w:rPr>
      </w:pPr>
    </w:p>
    <w:p w14:paraId="362EC21B" w14:textId="77777777" w:rsidR="00E02A58" w:rsidRPr="00E02A58" w:rsidRDefault="00E02A58" w:rsidP="00E02A58">
      <w:pPr>
        <w:rPr>
          <w:lang w:eastAsia="en-GB"/>
        </w:rPr>
      </w:pPr>
    </w:p>
    <w:p w14:paraId="3C8E1F23" w14:textId="77777777" w:rsidR="00E02A58" w:rsidRPr="00E02A58" w:rsidRDefault="00E02A58" w:rsidP="00E02A58">
      <w:pPr>
        <w:rPr>
          <w:lang w:eastAsia="en-GB"/>
        </w:rPr>
      </w:pPr>
    </w:p>
    <w:p w14:paraId="39C9A7BE" w14:textId="31EB9DC6" w:rsidR="00E02A58" w:rsidRPr="00E02A58" w:rsidRDefault="0031768B" w:rsidP="00FF4F11">
      <w:pPr>
        <w:ind w:left="4395"/>
        <w:rPr>
          <w:lang w:eastAsia="en-GB"/>
        </w:rPr>
      </w:pPr>
      <w:r w:rsidRPr="0031768B">
        <w:rPr>
          <w:bCs/>
          <w:color w:val="auto"/>
          <w:lang w:eastAsia="en-GB"/>
        </w:rPr>
        <w:t>Amnesty International submits this information to the UN Committee on the Elimination of Discrimination against Women (the Committee) ahead of the adoption of the List of Issues Prior to Reporting on Libya in June 2024. This briefing focuses on discrimination against women and girls and gender-based violence, the right to impart nationality and attacks on women human rights defenders. It is not an exhaustive account of the organization's concerns regarding the situation of women and girls in Libya</w:t>
      </w:r>
      <w:r>
        <w:rPr>
          <w:lang w:eastAsia="en-GB"/>
        </w:rPr>
        <w:t xml:space="preserve">. </w:t>
      </w:r>
    </w:p>
    <w:p w14:paraId="7172362F" w14:textId="77777777" w:rsidR="00E02A58" w:rsidRPr="00E02A58" w:rsidRDefault="00E02A58" w:rsidP="00E02A58">
      <w:pPr>
        <w:rPr>
          <w:lang w:eastAsia="en-GB"/>
        </w:rPr>
      </w:pPr>
    </w:p>
    <w:p w14:paraId="268D05F5" w14:textId="77777777" w:rsidR="006135AE" w:rsidRDefault="006135AE" w:rsidP="00FF4F11">
      <w:pPr>
        <w:pStyle w:val="BNumberedHeading"/>
        <w:sectPr w:rsidR="006135AE" w:rsidSect="00DA7998">
          <w:footerReference w:type="default" r:id="rId9"/>
          <w:footerReference w:type="first" r:id="rId10"/>
          <w:pgSz w:w="11906" w:h="16838" w:code="9"/>
          <w:pgMar w:top="1474" w:right="1418" w:bottom="1418" w:left="1418" w:header="709" w:footer="709" w:gutter="0"/>
          <w:cols w:space="708"/>
          <w:titlePg/>
          <w:docGrid w:linePitch="360"/>
        </w:sectPr>
      </w:pPr>
    </w:p>
    <w:p w14:paraId="6BAD53D5" w14:textId="3AE05EFB" w:rsidR="006B44F3" w:rsidRDefault="00E03D0F" w:rsidP="00FF4F11">
      <w:pPr>
        <w:pStyle w:val="BNumberedHeading"/>
      </w:pPr>
      <w:bookmarkStart w:id="0" w:name="_Toc164071174"/>
      <w:r>
        <w:lastRenderedPageBreak/>
        <w:t>INTRODUCTION</w:t>
      </w:r>
      <w:bookmarkEnd w:id="0"/>
    </w:p>
    <w:p w14:paraId="0792ACA3" w14:textId="77777777" w:rsidR="00EF5487" w:rsidRDefault="00EF5487" w:rsidP="0031768B">
      <w:pPr>
        <w:pStyle w:val="RTBodyText"/>
        <w:rPr>
          <w:sz w:val="20"/>
          <w:szCs w:val="20"/>
          <w:lang w:eastAsia="en-GB"/>
        </w:rPr>
      </w:pPr>
      <w:bookmarkStart w:id="1" w:name="_Toc156565323"/>
      <w:bookmarkEnd w:id="1"/>
    </w:p>
    <w:p w14:paraId="1F7F27D2" w14:textId="527FB013" w:rsidR="0031768B" w:rsidRPr="0031768B" w:rsidRDefault="0031768B" w:rsidP="0031768B">
      <w:pPr>
        <w:pStyle w:val="RTBodyText"/>
        <w:rPr>
          <w:sz w:val="20"/>
          <w:szCs w:val="20"/>
          <w:lang w:eastAsia="en-GB"/>
        </w:rPr>
      </w:pPr>
      <w:r w:rsidRPr="0031768B">
        <w:rPr>
          <w:sz w:val="20"/>
          <w:szCs w:val="20"/>
          <w:lang w:eastAsia="en-GB"/>
        </w:rPr>
        <w:t xml:space="preserve">Amnesty International submits this information to the </w:t>
      </w:r>
      <w:r w:rsidRPr="0031768B">
        <w:rPr>
          <w:sz w:val="20"/>
          <w:szCs w:val="20"/>
        </w:rPr>
        <w:t>UN</w:t>
      </w:r>
      <w:r w:rsidRPr="0031768B">
        <w:rPr>
          <w:sz w:val="20"/>
          <w:szCs w:val="20"/>
          <w:lang w:eastAsia="en-GB"/>
        </w:rPr>
        <w:t xml:space="preserve"> Committee on the Elimination of Discrimination against Women (the Committee) ahead of the adoption of the List of Issues Prior to Reporting on Libya in June 2024. This briefing focuses on discrimination against women and girls and gender-based violence, the right to impart nationality and attacks on women human rights defenders. It is not an exhaustive account of the organization's concerns regarding the situation of women and girls in Libya. </w:t>
      </w:r>
    </w:p>
    <w:p w14:paraId="31C6DFB0" w14:textId="58DF29A2" w:rsidR="00975E81" w:rsidRPr="006B44F3" w:rsidRDefault="00975E81" w:rsidP="00975E81">
      <w:pPr>
        <w:pStyle w:val="BNumberedHeading"/>
      </w:pPr>
      <w:bookmarkStart w:id="2" w:name="_Toc164071175"/>
      <w:r w:rsidRPr="00975E81">
        <w:t>DISCRIMINATION AGAINST WOMEN AND GIRLS AND GENDER BASED VIOLENCE (ARTICLES 2, 16)</w:t>
      </w:r>
      <w:bookmarkEnd w:id="2"/>
    </w:p>
    <w:p w14:paraId="3766EC85" w14:textId="77777777" w:rsidR="008A60A3" w:rsidRDefault="008A60A3" w:rsidP="00975E81">
      <w:pPr>
        <w:pStyle w:val="RTBodyText"/>
        <w:rPr>
          <w:sz w:val="20"/>
          <w:szCs w:val="20"/>
          <w:lang w:eastAsia="en-GB"/>
        </w:rPr>
      </w:pPr>
    </w:p>
    <w:p w14:paraId="09AF533D" w14:textId="77777777" w:rsidR="0031768B" w:rsidRDefault="0031768B" w:rsidP="0031768B">
      <w:pPr>
        <w:pStyle w:val="RTBodyText"/>
        <w:rPr>
          <w:lang w:eastAsia="en-GB"/>
        </w:rPr>
      </w:pPr>
      <w:r>
        <w:rPr>
          <w:lang w:eastAsia="en-GB"/>
        </w:rPr>
        <w:t>Libya’s political fragmentation</w:t>
      </w:r>
      <w:r w:rsidRPr="000F472E">
        <w:rPr>
          <w:lang w:eastAsia="en-GB"/>
        </w:rPr>
        <w:t xml:space="preserve"> </w:t>
      </w:r>
      <w:r>
        <w:rPr>
          <w:lang w:eastAsia="en-GB"/>
        </w:rPr>
        <w:t xml:space="preserve">since 2014, with competing authorities seeking governance, </w:t>
      </w:r>
      <w:proofErr w:type="gramStart"/>
      <w:r>
        <w:rPr>
          <w:lang w:eastAsia="en-GB"/>
        </w:rPr>
        <w:t>legitimacy</w:t>
      </w:r>
      <w:proofErr w:type="gramEnd"/>
      <w:r>
        <w:rPr>
          <w:lang w:eastAsia="en-GB"/>
        </w:rPr>
        <w:t xml:space="preserve"> and territorial control, as well as the proliferation of militias and armed groups including those espousing </w:t>
      </w:r>
      <w:proofErr w:type="spellStart"/>
      <w:r w:rsidRPr="002F25B4">
        <w:rPr>
          <w:lang w:eastAsia="en-GB"/>
        </w:rPr>
        <w:t>Madkhali</w:t>
      </w:r>
      <w:proofErr w:type="spellEnd"/>
      <w:r w:rsidRPr="002F25B4">
        <w:rPr>
          <w:lang w:eastAsia="en-GB"/>
        </w:rPr>
        <w:t>-Salafist</w:t>
      </w:r>
      <w:r>
        <w:rPr>
          <w:lang w:eastAsia="en-GB"/>
        </w:rPr>
        <w:t xml:space="preserve"> ideologies which restrict the rights of women and girls, have had an adverse impact on women’s and girls’ enjoyment of their human rights. </w:t>
      </w:r>
    </w:p>
    <w:p w14:paraId="2618F0C7" w14:textId="77777777" w:rsidR="0031768B" w:rsidRDefault="0031768B" w:rsidP="0031768B">
      <w:pPr>
        <w:pStyle w:val="RTBodyText"/>
        <w:rPr>
          <w:lang w:eastAsia="en-GB"/>
        </w:rPr>
      </w:pPr>
      <w:r w:rsidRPr="005651F3">
        <w:rPr>
          <w:lang w:eastAsia="en-GB"/>
        </w:rPr>
        <w:t>Discrimination and violence against women and girls remain pervasive</w:t>
      </w:r>
      <w:r>
        <w:rPr>
          <w:lang w:eastAsia="en-GB"/>
        </w:rPr>
        <w:t>.</w:t>
      </w:r>
      <w:r w:rsidRPr="005651F3">
        <w:rPr>
          <w:lang w:eastAsia="en-GB"/>
        </w:rPr>
        <w:t xml:space="preserve"> </w:t>
      </w:r>
      <w:r>
        <w:rPr>
          <w:lang w:eastAsia="en-GB"/>
        </w:rPr>
        <w:t>Women face discrimination in law and practice, including in matters related to marriage, child custody, access to political office and employment.</w:t>
      </w:r>
    </w:p>
    <w:p w14:paraId="25D9BCD0" w14:textId="77777777" w:rsidR="0031768B" w:rsidRDefault="0031768B" w:rsidP="0031768B">
      <w:pPr>
        <w:pStyle w:val="RTBodyText"/>
        <w:rPr>
          <w:lang w:eastAsia="en-GB"/>
        </w:rPr>
      </w:pPr>
      <w:r w:rsidRPr="00926D6C">
        <w:rPr>
          <w:lang w:eastAsia="en-GB"/>
        </w:rPr>
        <w:t xml:space="preserve">Libya lacks legislation specifically addressing violence </w:t>
      </w:r>
      <w:r>
        <w:rPr>
          <w:lang w:eastAsia="en-GB"/>
        </w:rPr>
        <w:t>against women and girls, including domestic violence</w:t>
      </w:r>
      <w:r w:rsidRPr="00976830">
        <w:rPr>
          <w:lang w:eastAsia="en-GB"/>
        </w:rPr>
        <w:t>.</w:t>
      </w:r>
      <w:r>
        <w:rPr>
          <w:lang w:eastAsia="en-GB"/>
        </w:rPr>
        <w:t xml:space="preserve"> </w:t>
      </w:r>
      <w:r w:rsidRPr="00976830">
        <w:rPr>
          <w:lang w:eastAsia="en-GB"/>
        </w:rPr>
        <w:t xml:space="preserve"> </w:t>
      </w:r>
      <w:r>
        <w:rPr>
          <w:lang w:eastAsia="en-GB"/>
        </w:rPr>
        <w:t>A</w:t>
      </w:r>
      <w:r w:rsidRPr="00976830">
        <w:rPr>
          <w:lang w:eastAsia="en-GB"/>
        </w:rPr>
        <w:t xml:space="preserve"> draft law on combating violence against women </w:t>
      </w:r>
      <w:r>
        <w:rPr>
          <w:lang w:eastAsia="en-GB"/>
        </w:rPr>
        <w:t>proposed in 2017 by the Tripoli-based Government of National Unity (GNU), with the s</w:t>
      </w:r>
      <w:r w:rsidRPr="00634C64">
        <w:rPr>
          <w:lang w:eastAsia="en-GB"/>
        </w:rPr>
        <w:t>upport</w:t>
      </w:r>
      <w:r>
        <w:rPr>
          <w:lang w:eastAsia="en-GB"/>
        </w:rPr>
        <w:t xml:space="preserve"> of</w:t>
      </w:r>
      <w:r w:rsidRPr="00634C64">
        <w:rPr>
          <w:lang w:eastAsia="en-GB"/>
        </w:rPr>
        <w:t xml:space="preserve"> </w:t>
      </w:r>
      <w:r w:rsidRPr="002D6B9A">
        <w:rPr>
          <w:lang w:eastAsia="en-GB"/>
        </w:rPr>
        <w:t>the United Nations Support Mission in Libya (UNSMIL)</w:t>
      </w:r>
      <w:r w:rsidRPr="00634C64">
        <w:rPr>
          <w:lang w:eastAsia="en-GB"/>
        </w:rPr>
        <w:t xml:space="preserve">, </w:t>
      </w:r>
      <w:r>
        <w:rPr>
          <w:lang w:eastAsia="en-GB"/>
        </w:rPr>
        <w:t>t</w:t>
      </w:r>
      <w:r w:rsidRPr="002D6B9A">
        <w:rPr>
          <w:lang w:eastAsia="en-GB"/>
        </w:rPr>
        <w:t xml:space="preserve">he Office of the High Commissioner for Human Rights </w:t>
      </w:r>
      <w:r>
        <w:rPr>
          <w:lang w:eastAsia="en-GB"/>
        </w:rPr>
        <w:t>(OHCHR),</w:t>
      </w:r>
      <w:r w:rsidRPr="00634C64">
        <w:rPr>
          <w:lang w:eastAsia="en-GB"/>
        </w:rPr>
        <w:t xml:space="preserve"> UN Women</w:t>
      </w:r>
      <w:r>
        <w:rPr>
          <w:lang w:eastAsia="en-GB"/>
        </w:rPr>
        <w:t>,</w:t>
      </w:r>
      <w:r w:rsidRPr="00634C64">
        <w:rPr>
          <w:lang w:eastAsia="en-GB"/>
        </w:rPr>
        <w:t xml:space="preserve"> and</w:t>
      </w:r>
      <w:r>
        <w:rPr>
          <w:lang w:eastAsia="en-GB"/>
        </w:rPr>
        <w:t xml:space="preserve"> </w:t>
      </w:r>
      <w:r w:rsidRPr="00700802">
        <w:rPr>
          <w:lang w:eastAsia="en-GB"/>
        </w:rPr>
        <w:t>United Nations Population Fund</w:t>
      </w:r>
      <w:r w:rsidRPr="00634C64">
        <w:rPr>
          <w:lang w:eastAsia="en-GB"/>
        </w:rPr>
        <w:t xml:space="preserve"> </w:t>
      </w:r>
      <w:r>
        <w:rPr>
          <w:lang w:eastAsia="en-GB"/>
        </w:rPr>
        <w:t>(</w:t>
      </w:r>
      <w:r w:rsidRPr="00634C64">
        <w:rPr>
          <w:lang w:eastAsia="en-GB"/>
        </w:rPr>
        <w:t>UNFPA</w:t>
      </w:r>
      <w:r>
        <w:rPr>
          <w:lang w:eastAsia="en-GB"/>
        </w:rPr>
        <w:t>)</w:t>
      </w:r>
      <w:r w:rsidRPr="00634C64">
        <w:rPr>
          <w:lang w:eastAsia="en-GB"/>
        </w:rPr>
        <w:t>,</w:t>
      </w:r>
      <w:r w:rsidRPr="00774DB6">
        <w:rPr>
          <w:lang w:eastAsia="en-GB"/>
        </w:rPr>
        <w:t xml:space="preserve"> </w:t>
      </w:r>
      <w:r>
        <w:rPr>
          <w:lang w:eastAsia="en-GB"/>
        </w:rPr>
        <w:t xml:space="preserve">has yet to be tabled for discussion by the </w:t>
      </w:r>
      <w:r w:rsidRPr="00774DB6">
        <w:rPr>
          <w:lang w:eastAsia="en-GB"/>
        </w:rPr>
        <w:t>Tobruk-based House of Representatives</w:t>
      </w:r>
      <w:r>
        <w:rPr>
          <w:lang w:eastAsia="en-GB"/>
        </w:rPr>
        <w:t xml:space="preserve">, Libya’s parliament. </w:t>
      </w:r>
    </w:p>
    <w:p w14:paraId="2D2D4C15" w14:textId="77777777" w:rsidR="0031768B" w:rsidRDefault="0031768B" w:rsidP="0031768B">
      <w:pPr>
        <w:pStyle w:val="RTBodyText"/>
        <w:rPr>
          <w:lang w:val="en-US" w:eastAsia="en-GB"/>
        </w:rPr>
      </w:pPr>
      <w:r w:rsidRPr="00FB5235">
        <w:rPr>
          <w:lang w:val="en-US" w:eastAsia="en-GB"/>
        </w:rPr>
        <w:t xml:space="preserve">Article 407 of the Penal Code </w:t>
      </w:r>
      <w:r>
        <w:rPr>
          <w:lang w:val="en-US" w:eastAsia="en-GB"/>
        </w:rPr>
        <w:t>defines rape</w:t>
      </w:r>
      <w:r w:rsidRPr="00FB5235">
        <w:rPr>
          <w:lang w:val="en-US" w:eastAsia="en-GB"/>
        </w:rPr>
        <w:t xml:space="preserve"> an </w:t>
      </w:r>
      <w:r>
        <w:rPr>
          <w:lang w:val="en-US" w:eastAsia="en-GB"/>
        </w:rPr>
        <w:t>“</w:t>
      </w:r>
      <w:r w:rsidRPr="00FB5235">
        <w:rPr>
          <w:lang w:val="en-US" w:eastAsia="en-GB"/>
        </w:rPr>
        <w:t>infringement upon freedom, hono</w:t>
      </w:r>
      <w:r>
        <w:rPr>
          <w:lang w:val="en-US" w:eastAsia="en-GB"/>
        </w:rPr>
        <w:t>u</w:t>
      </w:r>
      <w:r w:rsidRPr="00FB5235">
        <w:rPr>
          <w:lang w:val="en-US" w:eastAsia="en-GB"/>
        </w:rPr>
        <w:t>r, and societal</w:t>
      </w:r>
      <w:r>
        <w:rPr>
          <w:lang w:val="en-US" w:eastAsia="en-GB"/>
        </w:rPr>
        <w:t xml:space="preserve"> morals”</w:t>
      </w:r>
      <w:r>
        <w:rPr>
          <w:lang w:val="bg-BG" w:eastAsia="en-GB"/>
        </w:rPr>
        <w:t xml:space="preserve"> </w:t>
      </w:r>
      <w:r>
        <w:rPr>
          <w:lang w:eastAsia="en-GB"/>
        </w:rPr>
        <w:t>in contravention to international law and standards which promote a definition of sexual violence as a violation of a person’s sexual autonomy</w:t>
      </w:r>
      <w:r w:rsidRPr="00FB5235">
        <w:rPr>
          <w:lang w:val="en-US" w:eastAsia="en-GB"/>
        </w:rPr>
        <w:t xml:space="preserve">. Furthermore, Article 424 </w:t>
      </w:r>
      <w:r>
        <w:rPr>
          <w:lang w:val="en-US" w:eastAsia="en-GB"/>
        </w:rPr>
        <w:t xml:space="preserve">of the Penal Code </w:t>
      </w:r>
      <w:r w:rsidRPr="00FB5235">
        <w:rPr>
          <w:lang w:val="en-US" w:eastAsia="en-GB"/>
        </w:rPr>
        <w:t xml:space="preserve">permits marriage between the perpetrator and </w:t>
      </w:r>
      <w:r>
        <w:rPr>
          <w:lang w:val="en-US" w:eastAsia="en-GB"/>
        </w:rPr>
        <w:t>survivor of</w:t>
      </w:r>
      <w:r w:rsidRPr="00FB5235">
        <w:rPr>
          <w:lang w:val="en-US" w:eastAsia="en-GB"/>
        </w:rPr>
        <w:t xml:space="preserve"> rape</w:t>
      </w:r>
      <w:r>
        <w:rPr>
          <w:lang w:val="en-US" w:eastAsia="en-GB"/>
        </w:rPr>
        <w:t>, entrenching impunity for violence against women</w:t>
      </w:r>
      <w:r w:rsidRPr="00FB5235">
        <w:rPr>
          <w:lang w:val="en-US" w:eastAsia="en-GB"/>
        </w:rPr>
        <w:t xml:space="preserve">. </w:t>
      </w:r>
      <w:r>
        <w:rPr>
          <w:lang w:val="en-US" w:eastAsia="en-GB"/>
        </w:rPr>
        <w:t>The</w:t>
      </w:r>
      <w:r w:rsidRPr="00FB5235">
        <w:rPr>
          <w:lang w:val="en-US" w:eastAsia="en-GB"/>
        </w:rPr>
        <w:t xml:space="preserve"> Penal Code </w:t>
      </w:r>
      <w:r>
        <w:rPr>
          <w:lang w:val="en-US" w:eastAsia="en-GB"/>
        </w:rPr>
        <w:t xml:space="preserve">also does not criminalize </w:t>
      </w:r>
      <w:r w:rsidRPr="00FB5235">
        <w:rPr>
          <w:lang w:val="en-US" w:eastAsia="en-GB"/>
        </w:rPr>
        <w:t xml:space="preserve">marital rape. </w:t>
      </w:r>
    </w:p>
    <w:p w14:paraId="3DCC9746" w14:textId="77777777" w:rsidR="0031768B" w:rsidRDefault="0031768B" w:rsidP="0031768B">
      <w:pPr>
        <w:pStyle w:val="RTBodyText"/>
        <w:rPr>
          <w:lang w:val="en-US" w:eastAsia="en-GB"/>
        </w:rPr>
      </w:pPr>
      <w:r>
        <w:rPr>
          <w:lang w:val="en-US" w:eastAsia="en-GB"/>
        </w:rPr>
        <w:t xml:space="preserve">Libyan laws continue to criminalize consensual sexual relations outside marriage, including several provisions of the Penal Code and </w:t>
      </w:r>
      <w:r>
        <w:t xml:space="preserve">Law No. 70 of 1973 on the Establishment of the </w:t>
      </w:r>
      <w:proofErr w:type="spellStart"/>
      <w:r w:rsidRPr="00700802">
        <w:rPr>
          <w:i/>
          <w:iCs/>
        </w:rPr>
        <w:t>Had</w:t>
      </w:r>
      <w:proofErr w:type="spellEnd"/>
      <w:r>
        <w:rPr>
          <w:rStyle w:val="FootnoteReference"/>
          <w:i/>
          <w:iCs/>
        </w:rPr>
        <w:footnoteReference w:id="2"/>
      </w:r>
      <w:r>
        <w:t xml:space="preserve"> of </w:t>
      </w:r>
      <w:r w:rsidRPr="00700802">
        <w:rPr>
          <w:i/>
          <w:iCs/>
        </w:rPr>
        <w:t>Zina</w:t>
      </w:r>
      <w:r>
        <w:rPr>
          <w:rStyle w:val="FootnoteReference"/>
          <w:i/>
          <w:iCs/>
        </w:rPr>
        <w:footnoteReference w:id="3"/>
      </w:r>
      <w:r>
        <w:t xml:space="preserve">, punishable by imprisonment and/or flogging. These laws have a disproportionate impact on women, </w:t>
      </w:r>
      <w:proofErr w:type="gramStart"/>
      <w:r>
        <w:t>in particular as</w:t>
      </w:r>
      <w:proofErr w:type="gramEnd"/>
      <w:r>
        <w:t xml:space="preserve"> being pregnant and unwed is deemed sufficient proof of “adultery”. Further, </w:t>
      </w:r>
      <w:r>
        <w:rPr>
          <w:lang w:val="en-US" w:eastAsia="en-GB"/>
        </w:rPr>
        <w:t>these laws deter</w:t>
      </w:r>
      <w:r w:rsidRPr="00FB5235">
        <w:rPr>
          <w:lang w:val="en-US" w:eastAsia="en-GB"/>
        </w:rPr>
        <w:t xml:space="preserve"> survivors of rape </w:t>
      </w:r>
      <w:r>
        <w:rPr>
          <w:lang w:val="en-US" w:eastAsia="en-GB"/>
        </w:rPr>
        <w:t>from reporting the crime due to well-founded fears of being prosecuted.</w:t>
      </w:r>
      <w:r>
        <w:rPr>
          <w:rStyle w:val="FootnoteReference"/>
          <w:lang w:val="en-US" w:eastAsia="en-GB"/>
        </w:rPr>
        <w:footnoteReference w:id="4"/>
      </w:r>
      <w:r>
        <w:rPr>
          <w:lang w:val="en-US" w:eastAsia="en-GB"/>
        </w:rPr>
        <w:t xml:space="preserve"> </w:t>
      </w:r>
    </w:p>
    <w:p w14:paraId="6CD42381" w14:textId="77777777" w:rsidR="0031768B" w:rsidRDefault="0031768B" w:rsidP="0031768B">
      <w:pPr>
        <w:pStyle w:val="RTBodyText"/>
        <w:rPr>
          <w:lang w:eastAsia="en-GB"/>
        </w:rPr>
      </w:pPr>
      <w:r w:rsidRPr="00FB5235">
        <w:rPr>
          <w:lang w:val="en-US" w:eastAsia="en-GB"/>
        </w:rPr>
        <w:t xml:space="preserve">Articles 390–395 of the Penal Code prohibit abortion, even in cases </w:t>
      </w:r>
      <w:r>
        <w:rPr>
          <w:lang w:val="en-US" w:eastAsia="en-GB"/>
        </w:rPr>
        <w:t>of</w:t>
      </w:r>
      <w:r w:rsidRPr="00FB5235">
        <w:rPr>
          <w:lang w:val="en-US" w:eastAsia="en-GB"/>
        </w:rPr>
        <w:t xml:space="preserve"> rape</w:t>
      </w:r>
      <w:r>
        <w:rPr>
          <w:lang w:val="en-US" w:eastAsia="en-GB"/>
        </w:rPr>
        <w:t xml:space="preserve"> or when pregnancy poses a risk to the health or life of the pregnant woman and</w:t>
      </w:r>
      <w:r>
        <w:rPr>
          <w:lang w:eastAsia="en-GB"/>
        </w:rPr>
        <w:t xml:space="preserve"> punish both women and providers with imprisonment</w:t>
      </w:r>
      <w:r w:rsidRPr="00FB5235">
        <w:rPr>
          <w:lang w:val="en-US" w:eastAsia="en-GB"/>
        </w:rPr>
        <w:t>.</w:t>
      </w:r>
    </w:p>
    <w:p w14:paraId="21630C38" w14:textId="39CC5F24" w:rsidR="0031768B" w:rsidRDefault="0031768B" w:rsidP="0031768B">
      <w:pPr>
        <w:pStyle w:val="RTBodyText"/>
      </w:pPr>
      <w:r>
        <w:rPr>
          <w:lang w:val="en-US" w:eastAsia="en-GB"/>
        </w:rPr>
        <w:t xml:space="preserve">Amnesty International has documented rape and other forms of sexual violence against refugee and migrant women and girls, including those arbitrarily detained in facilities under the nominal oversight of state institutions, such the Department for </w:t>
      </w:r>
      <w:proofErr w:type="spellStart"/>
      <w:r>
        <w:rPr>
          <w:lang w:val="en-US" w:eastAsia="en-GB"/>
        </w:rPr>
        <w:t>Combatting</w:t>
      </w:r>
      <w:proofErr w:type="spellEnd"/>
      <w:r>
        <w:rPr>
          <w:lang w:val="en-US" w:eastAsia="en-GB"/>
        </w:rPr>
        <w:t xml:space="preserve"> Illegal Migration of the Ministry of Interior.</w:t>
      </w:r>
      <w:r>
        <w:rPr>
          <w:rStyle w:val="FootnoteReference"/>
          <w:lang w:val="en-US" w:eastAsia="en-GB"/>
        </w:rPr>
        <w:footnoteReference w:id="5"/>
      </w:r>
      <w:r>
        <w:rPr>
          <w:lang w:val="en-US" w:eastAsia="en-GB"/>
        </w:rPr>
        <w:t xml:space="preserve"> Rape and other forms of sexual violence committed by state agents constitute torture or other ill-treatment under international law. </w:t>
      </w:r>
      <w:r w:rsidRPr="00BC642A">
        <w:rPr>
          <w:lang w:eastAsia="en-GB"/>
        </w:rPr>
        <w:t>The</w:t>
      </w:r>
      <w:r>
        <w:rPr>
          <w:lang w:eastAsia="en-GB"/>
        </w:rPr>
        <w:t xml:space="preserve"> organization has consistently raised concerns about the</w:t>
      </w:r>
      <w:r w:rsidRPr="00BC642A">
        <w:rPr>
          <w:lang w:eastAsia="en-GB"/>
        </w:rPr>
        <w:t xml:space="preserve"> prevailing impunity </w:t>
      </w:r>
      <w:r>
        <w:rPr>
          <w:lang w:eastAsia="en-GB"/>
        </w:rPr>
        <w:t>for</w:t>
      </w:r>
      <w:r w:rsidRPr="00BC642A">
        <w:rPr>
          <w:lang w:eastAsia="en-GB"/>
        </w:rPr>
        <w:t xml:space="preserve"> rape and other forms of sexual violence against migrant and refugee women and girls</w:t>
      </w:r>
      <w:r>
        <w:rPr>
          <w:lang w:eastAsia="en-GB"/>
        </w:rPr>
        <w:t>.</w:t>
      </w:r>
      <w:r w:rsidRPr="00BC642A">
        <w:rPr>
          <w:lang w:eastAsia="en-GB"/>
        </w:rPr>
        <w:t xml:space="preserve"> </w:t>
      </w:r>
      <w:r>
        <w:rPr>
          <w:lang w:eastAsia="en-GB"/>
        </w:rPr>
        <w:t xml:space="preserve">These concerns, </w:t>
      </w:r>
      <w:proofErr w:type="gramStart"/>
      <w:r>
        <w:rPr>
          <w:lang w:eastAsia="en-GB"/>
        </w:rPr>
        <w:t>In</w:t>
      </w:r>
      <w:proofErr w:type="gramEnd"/>
      <w:r>
        <w:rPr>
          <w:lang w:eastAsia="en-GB"/>
        </w:rPr>
        <w:t xml:space="preserve"> combination </w:t>
      </w:r>
      <w:r w:rsidRPr="00BC642A">
        <w:rPr>
          <w:lang w:eastAsia="en-GB"/>
        </w:rPr>
        <w:t>with the absence of female guards</w:t>
      </w:r>
      <w:r>
        <w:rPr>
          <w:lang w:eastAsia="en-GB"/>
        </w:rPr>
        <w:t xml:space="preserve"> in the vast majority of detention centres, </w:t>
      </w:r>
      <w:r w:rsidRPr="00BC642A">
        <w:rPr>
          <w:lang w:eastAsia="en-GB"/>
        </w:rPr>
        <w:t xml:space="preserve">or </w:t>
      </w:r>
      <w:r>
        <w:rPr>
          <w:lang w:eastAsia="en-GB"/>
        </w:rPr>
        <w:t xml:space="preserve">any prevention </w:t>
      </w:r>
      <w:r w:rsidRPr="00BC642A">
        <w:rPr>
          <w:lang w:eastAsia="en-GB"/>
        </w:rPr>
        <w:lastRenderedPageBreak/>
        <w:t xml:space="preserve">measures, such as consistent independent surprise inspections or oversight mechanisms, foster a </w:t>
      </w:r>
      <w:r>
        <w:rPr>
          <w:lang w:eastAsia="en-GB"/>
        </w:rPr>
        <w:t>high risk environment for detained women and girls in violation of Libya’s international law obligations to prevent gender-based violence and torture and other ill-treatment.</w:t>
      </w:r>
      <w:r w:rsidRPr="006A74C9">
        <w:t xml:space="preserve"> </w:t>
      </w:r>
      <w:r>
        <w:t>Additionally, well-founded fears of being arrested due to their migration status deter refugee and migrant women from reporting crimes of rape and other sexual violence to the police and prosecution authorities, including when committed by members of their own communities, criminal gangs, or other non-state actors. Furthermore, survivors told Amnesty International that they refrained from approaching officials, fearing their possible affiliation with perpetrators.</w:t>
      </w:r>
      <w:r>
        <w:rPr>
          <w:rStyle w:val="FootnoteReference"/>
          <w:lang w:eastAsia="en-GB"/>
        </w:rPr>
        <w:footnoteReference w:id="6"/>
      </w:r>
    </w:p>
    <w:p w14:paraId="6FD879A9" w14:textId="77777777" w:rsidR="0031768B" w:rsidRDefault="0031768B" w:rsidP="0031768B">
      <w:pPr>
        <w:pStyle w:val="RTBodyText"/>
        <w:rPr>
          <w:lang w:eastAsia="en-GB"/>
        </w:rPr>
      </w:pPr>
      <w:r>
        <w:rPr>
          <w:lang w:eastAsia="en-GB"/>
        </w:rPr>
        <w:t>Successive Libyan authorities, including the GNU, and its Tripoli-based predecessor the Government of National Accord (GNA), as well as the self-proclaimed Libyan Arab Armed Forces (LAAF), an armed group in de facto control of large parts of eastern and southern Libya,</w:t>
      </w:r>
      <w:r w:rsidRPr="00976830">
        <w:rPr>
          <w:lang w:eastAsia="en-GB"/>
        </w:rPr>
        <w:t xml:space="preserve"> </w:t>
      </w:r>
      <w:r>
        <w:rPr>
          <w:lang w:eastAsia="en-GB"/>
        </w:rPr>
        <w:t xml:space="preserve">not only failed to address harmful gender stereotypes but endorsed </w:t>
      </w:r>
      <w:r w:rsidRPr="00B728A5">
        <w:rPr>
          <w:lang w:eastAsia="en-GB"/>
        </w:rPr>
        <w:t>smear campaign</w:t>
      </w:r>
      <w:r>
        <w:rPr>
          <w:lang w:eastAsia="en-GB"/>
        </w:rPr>
        <w:t xml:space="preserve">s online and </w:t>
      </w:r>
      <w:r w:rsidRPr="00700802">
        <w:rPr>
          <w:lang w:eastAsia="en-GB"/>
        </w:rPr>
        <w:t>on Libyan TV channels</w:t>
      </w:r>
      <w:r>
        <w:rPr>
          <w:lang w:eastAsia="en-GB"/>
        </w:rPr>
        <w:t xml:space="preserve"> against</w:t>
      </w:r>
      <w:r w:rsidRPr="00700802">
        <w:rPr>
          <w:lang w:eastAsia="en-GB"/>
        </w:rPr>
        <w:t xml:space="preserve"> </w:t>
      </w:r>
      <w:r>
        <w:rPr>
          <w:lang w:eastAsia="en-GB"/>
        </w:rPr>
        <w:t>a proposed draft law to combat violence against women</w:t>
      </w:r>
      <w:r w:rsidRPr="00700802">
        <w:rPr>
          <w:lang w:eastAsia="en-GB"/>
        </w:rPr>
        <w:t xml:space="preserve"> </w:t>
      </w:r>
      <w:r>
        <w:rPr>
          <w:lang w:eastAsia="en-GB"/>
        </w:rPr>
        <w:t>and promote women’s rights in general</w:t>
      </w:r>
      <w:r w:rsidRPr="00700802">
        <w:rPr>
          <w:lang w:eastAsia="en-GB"/>
        </w:rPr>
        <w:t xml:space="preserve">, </w:t>
      </w:r>
      <w:r>
        <w:rPr>
          <w:lang w:eastAsia="en-GB"/>
        </w:rPr>
        <w:t xml:space="preserve">which was </w:t>
      </w:r>
      <w:r w:rsidRPr="00700802">
        <w:rPr>
          <w:lang w:eastAsia="en-GB"/>
        </w:rPr>
        <w:t>dubb</w:t>
      </w:r>
      <w:r>
        <w:rPr>
          <w:lang w:eastAsia="en-GB"/>
        </w:rPr>
        <w:t>ed</w:t>
      </w:r>
      <w:r w:rsidRPr="00700802">
        <w:rPr>
          <w:lang w:eastAsia="en-GB"/>
        </w:rPr>
        <w:t xml:space="preserve"> contrary to Libyan and Islamic value</w:t>
      </w:r>
      <w:r>
        <w:rPr>
          <w:lang w:eastAsia="en-GB"/>
        </w:rPr>
        <w:t>s</w:t>
      </w:r>
      <w:r w:rsidRPr="00B728A5">
        <w:rPr>
          <w:lang w:eastAsia="en-GB"/>
        </w:rPr>
        <w:t xml:space="preserve"> </w:t>
      </w:r>
      <w:r>
        <w:rPr>
          <w:lang w:eastAsia="en-GB"/>
        </w:rPr>
        <w:t>including by official religious institutions such as</w:t>
      </w:r>
      <w:r w:rsidRPr="000A0035">
        <w:rPr>
          <w:lang w:eastAsia="en-GB"/>
        </w:rPr>
        <w:t xml:space="preserve"> the </w:t>
      </w:r>
      <w:r>
        <w:rPr>
          <w:lang w:eastAsia="en-GB"/>
        </w:rPr>
        <w:t>Dar al-</w:t>
      </w:r>
      <w:proofErr w:type="spellStart"/>
      <w:r>
        <w:rPr>
          <w:lang w:eastAsia="en-GB"/>
        </w:rPr>
        <w:t>Ifta</w:t>
      </w:r>
      <w:proofErr w:type="spellEnd"/>
      <w:r>
        <w:rPr>
          <w:lang w:eastAsia="en-GB"/>
        </w:rPr>
        <w:t xml:space="preserve"> </w:t>
      </w:r>
      <w:r w:rsidRPr="000A0035">
        <w:rPr>
          <w:lang w:eastAsia="en-GB"/>
        </w:rPr>
        <w:t xml:space="preserve">and the General Authority for Endowments and Islamic Affairs (known as </w:t>
      </w:r>
      <w:proofErr w:type="spellStart"/>
      <w:r w:rsidRPr="000A0035">
        <w:rPr>
          <w:lang w:eastAsia="en-GB"/>
        </w:rPr>
        <w:t>Awqaf</w:t>
      </w:r>
      <w:proofErr w:type="spellEnd"/>
      <w:r w:rsidRPr="000A0035">
        <w:rPr>
          <w:lang w:eastAsia="en-GB"/>
        </w:rPr>
        <w:t>)</w:t>
      </w:r>
      <w:r>
        <w:rPr>
          <w:lang w:eastAsia="en-GB"/>
        </w:rPr>
        <w:t>.</w:t>
      </w:r>
      <w:r w:rsidRPr="000A0035">
        <w:rPr>
          <w:lang w:eastAsia="en-GB"/>
        </w:rPr>
        <w:t xml:space="preserve"> </w:t>
      </w:r>
    </w:p>
    <w:p w14:paraId="5EC046DF" w14:textId="1E7C84C7" w:rsidR="0031768B" w:rsidRDefault="0031768B" w:rsidP="0031768B">
      <w:pPr>
        <w:pStyle w:val="RTBodyText"/>
      </w:pPr>
      <w:r>
        <w:rPr>
          <w:lang w:eastAsia="en-GB"/>
        </w:rPr>
        <w:t>In October 2023, the Dar al-</w:t>
      </w:r>
      <w:proofErr w:type="spellStart"/>
      <w:r>
        <w:rPr>
          <w:lang w:eastAsia="en-GB"/>
        </w:rPr>
        <w:t>Ifta</w:t>
      </w:r>
      <w:proofErr w:type="spellEnd"/>
      <w:r>
        <w:rPr>
          <w:lang w:eastAsia="en-GB"/>
        </w:rPr>
        <w:t xml:space="preserve"> issued a fatwa, or decision made by scholars interpreting </w:t>
      </w:r>
      <w:proofErr w:type="spellStart"/>
      <w:r>
        <w:rPr>
          <w:lang w:eastAsia="en-GB"/>
        </w:rPr>
        <w:t>Shari’ah</w:t>
      </w:r>
      <w:proofErr w:type="spellEnd"/>
      <w:r>
        <w:rPr>
          <w:lang w:eastAsia="en-GB"/>
        </w:rPr>
        <w:t>,</w:t>
      </w:r>
      <w:r w:rsidR="00266D7B">
        <w:rPr>
          <w:lang w:eastAsia="en-GB"/>
        </w:rPr>
        <w:t xml:space="preserve"> </w:t>
      </w:r>
      <w:r w:rsidRPr="009567C1">
        <w:rPr>
          <w:lang w:eastAsia="en-GB"/>
        </w:rPr>
        <w:t xml:space="preserve">prohibiting the use of the term </w:t>
      </w:r>
      <w:r>
        <w:rPr>
          <w:lang w:eastAsia="en-GB"/>
        </w:rPr>
        <w:t>“</w:t>
      </w:r>
      <w:r w:rsidRPr="009567C1">
        <w:rPr>
          <w:lang w:eastAsia="en-GB"/>
        </w:rPr>
        <w:t>gender</w:t>
      </w:r>
      <w:r>
        <w:rPr>
          <w:lang w:eastAsia="en-GB"/>
        </w:rPr>
        <w:t xml:space="preserve">” </w:t>
      </w:r>
      <w:r w:rsidRPr="0058098D">
        <w:rPr>
          <w:lang w:eastAsia="en-GB"/>
        </w:rPr>
        <w:t>in government departments and official documents</w:t>
      </w:r>
      <w:r>
        <w:rPr>
          <w:lang w:eastAsia="en-GB"/>
        </w:rPr>
        <w:t>.</w:t>
      </w:r>
      <w:r>
        <w:rPr>
          <w:rStyle w:val="FootnoteReference"/>
          <w:lang w:eastAsia="en-GB"/>
        </w:rPr>
        <w:footnoteReference w:id="7"/>
      </w:r>
      <w:r>
        <w:rPr>
          <w:lang w:eastAsia="en-GB"/>
        </w:rPr>
        <w:t xml:space="preserve"> </w:t>
      </w:r>
      <w:r w:rsidRPr="00275DF4">
        <w:rPr>
          <w:lang w:eastAsia="en-GB"/>
        </w:rPr>
        <w:t xml:space="preserve"> </w:t>
      </w:r>
      <w:r w:rsidRPr="00B74084">
        <w:rPr>
          <w:lang w:eastAsia="en-GB"/>
        </w:rPr>
        <w:t xml:space="preserve">The </w:t>
      </w:r>
      <w:r>
        <w:rPr>
          <w:lang w:eastAsia="en-GB"/>
        </w:rPr>
        <w:t>decision</w:t>
      </w:r>
      <w:r w:rsidRPr="00B74084">
        <w:rPr>
          <w:lang w:eastAsia="en-GB"/>
        </w:rPr>
        <w:t xml:space="preserve"> </w:t>
      </w:r>
      <w:r>
        <w:rPr>
          <w:lang w:eastAsia="en-GB"/>
        </w:rPr>
        <w:t xml:space="preserve">stated that the </w:t>
      </w:r>
      <w:r w:rsidRPr="00B74084">
        <w:rPr>
          <w:lang w:eastAsia="en-GB"/>
        </w:rPr>
        <w:t xml:space="preserve">term gender includes meanings that contradict common human nature and the definitive provisions of Islamic law, </w:t>
      </w:r>
      <w:r>
        <w:rPr>
          <w:lang w:eastAsia="en-GB"/>
        </w:rPr>
        <w:t>because it implicitly promotes</w:t>
      </w:r>
      <w:r w:rsidRPr="00B74084">
        <w:rPr>
          <w:lang w:eastAsia="en-GB"/>
        </w:rPr>
        <w:t xml:space="preserve"> </w:t>
      </w:r>
      <w:r>
        <w:rPr>
          <w:lang w:eastAsia="en-GB"/>
        </w:rPr>
        <w:t>“</w:t>
      </w:r>
      <w:r w:rsidRPr="00B74084">
        <w:rPr>
          <w:lang w:eastAsia="en-GB"/>
        </w:rPr>
        <w:t>homosexuality</w:t>
      </w:r>
      <w:r>
        <w:rPr>
          <w:lang w:eastAsia="en-GB"/>
        </w:rPr>
        <w:t>”</w:t>
      </w:r>
      <w:r w:rsidRPr="00B74084">
        <w:rPr>
          <w:lang w:eastAsia="en-GB"/>
        </w:rPr>
        <w:t xml:space="preserve">, </w:t>
      </w:r>
      <w:r>
        <w:rPr>
          <w:lang w:eastAsia="en-GB"/>
        </w:rPr>
        <w:t>“</w:t>
      </w:r>
      <w:r w:rsidRPr="00B74084">
        <w:rPr>
          <w:lang w:eastAsia="en-GB"/>
        </w:rPr>
        <w:t>adultery</w:t>
      </w:r>
      <w:r>
        <w:rPr>
          <w:lang w:eastAsia="en-GB"/>
        </w:rPr>
        <w:t>”</w:t>
      </w:r>
      <w:r w:rsidRPr="00B74084">
        <w:rPr>
          <w:lang w:eastAsia="en-GB"/>
        </w:rPr>
        <w:t xml:space="preserve">, abortion, invalidation of marriage, divorce, </w:t>
      </w:r>
      <w:r>
        <w:rPr>
          <w:lang w:eastAsia="en-GB"/>
        </w:rPr>
        <w:t xml:space="preserve">women’s </w:t>
      </w:r>
      <w:r w:rsidRPr="00B74084">
        <w:rPr>
          <w:lang w:eastAsia="en-GB"/>
        </w:rPr>
        <w:t>inheritance, and the destruction of the family.</w:t>
      </w:r>
      <w:r>
        <w:t xml:space="preserve"> </w:t>
      </w:r>
    </w:p>
    <w:p w14:paraId="116BCA3B" w14:textId="77777777" w:rsidR="0031768B" w:rsidRDefault="0031768B" w:rsidP="0031768B">
      <w:pPr>
        <w:pStyle w:val="RTBodyText"/>
        <w:rPr>
          <w:lang w:eastAsia="en-GB"/>
        </w:rPr>
      </w:pPr>
      <w:r>
        <w:t>Since 2011, Dar al-</w:t>
      </w:r>
      <w:proofErr w:type="spellStart"/>
      <w:r>
        <w:t>Ifta</w:t>
      </w:r>
      <w:proofErr w:type="spellEnd"/>
      <w:r>
        <w:t xml:space="preserve"> has issued a series of fatwas affecting women’s rights. In 2013, a fatwa called on female students to dress according to Islamic traditions, while another required women </w:t>
      </w:r>
      <w:proofErr w:type="gramStart"/>
      <w:r>
        <w:t>teachers</w:t>
      </w:r>
      <w:proofErr w:type="gramEnd"/>
      <w:r>
        <w:t xml:space="preserve"> to veil their faces when instructing male students who have reached puberty.</w:t>
      </w:r>
      <w:r>
        <w:rPr>
          <w:rStyle w:val="FootnoteReference"/>
        </w:rPr>
        <w:footnoteReference w:id="8"/>
      </w:r>
      <w:r>
        <w:t xml:space="preserve"> </w:t>
      </w:r>
      <w:r w:rsidRPr="00275DF4">
        <w:rPr>
          <w:lang w:eastAsia="en-GB"/>
        </w:rPr>
        <w:t xml:space="preserve">In </w:t>
      </w:r>
      <w:r>
        <w:rPr>
          <w:lang w:eastAsia="en-GB"/>
        </w:rPr>
        <w:t>February 2022, the GNU revoked a</w:t>
      </w:r>
      <w:r w:rsidRPr="00275DF4">
        <w:rPr>
          <w:lang w:eastAsia="en-GB"/>
        </w:rPr>
        <w:t xml:space="preserve"> memorandum of understanding</w:t>
      </w:r>
      <w:r>
        <w:rPr>
          <w:lang w:eastAsia="en-GB"/>
        </w:rPr>
        <w:t xml:space="preserve"> (MoU)</w:t>
      </w:r>
      <w:r w:rsidRPr="00275DF4">
        <w:rPr>
          <w:lang w:eastAsia="en-GB"/>
        </w:rPr>
        <w:t xml:space="preserve"> </w:t>
      </w:r>
      <w:r>
        <w:rPr>
          <w:lang w:eastAsia="en-GB"/>
        </w:rPr>
        <w:t>between</w:t>
      </w:r>
      <w:r w:rsidRPr="00275DF4">
        <w:rPr>
          <w:lang w:eastAsia="en-GB"/>
        </w:rPr>
        <w:t xml:space="preserve"> the Minister of State for Women’s Affairs </w:t>
      </w:r>
      <w:proofErr w:type="spellStart"/>
      <w:r w:rsidRPr="003C2DA4">
        <w:rPr>
          <w:lang w:eastAsia="en-GB"/>
        </w:rPr>
        <w:t>Houria</w:t>
      </w:r>
      <w:proofErr w:type="spellEnd"/>
      <w:r w:rsidRPr="003C2DA4">
        <w:rPr>
          <w:lang w:eastAsia="en-GB"/>
        </w:rPr>
        <w:t xml:space="preserve"> al-Turman </w:t>
      </w:r>
      <w:r>
        <w:rPr>
          <w:lang w:eastAsia="en-GB"/>
        </w:rPr>
        <w:t>and</w:t>
      </w:r>
      <w:r w:rsidRPr="00275DF4">
        <w:rPr>
          <w:lang w:eastAsia="en-GB"/>
        </w:rPr>
        <w:t xml:space="preserve"> UN Women</w:t>
      </w:r>
      <w:r>
        <w:rPr>
          <w:lang w:eastAsia="en-GB"/>
        </w:rPr>
        <w:t>, after the minister’s visit to the Dar al-</w:t>
      </w:r>
      <w:proofErr w:type="spellStart"/>
      <w:r>
        <w:rPr>
          <w:lang w:eastAsia="en-GB"/>
        </w:rPr>
        <w:t>Ifta</w:t>
      </w:r>
      <w:proofErr w:type="spellEnd"/>
      <w:r>
        <w:rPr>
          <w:lang w:eastAsia="en-GB"/>
        </w:rPr>
        <w:t xml:space="preserve">. </w:t>
      </w:r>
      <w:r w:rsidRPr="005E27CA">
        <w:rPr>
          <w:lang w:eastAsia="en-GB"/>
        </w:rPr>
        <w:t xml:space="preserve">The </w:t>
      </w:r>
      <w:r>
        <w:rPr>
          <w:lang w:eastAsia="en-GB"/>
        </w:rPr>
        <w:t>MoU</w:t>
      </w:r>
      <w:r w:rsidRPr="005E27CA">
        <w:rPr>
          <w:lang w:eastAsia="en-GB"/>
        </w:rPr>
        <w:t xml:space="preserve"> signed in October 2021 aim</w:t>
      </w:r>
      <w:r>
        <w:rPr>
          <w:lang w:eastAsia="en-GB"/>
        </w:rPr>
        <w:t>ed</w:t>
      </w:r>
      <w:r w:rsidRPr="005E27CA">
        <w:rPr>
          <w:lang w:eastAsia="en-GB"/>
        </w:rPr>
        <w:t xml:space="preserve"> to prepare and adopt a national plan </w:t>
      </w:r>
      <w:r>
        <w:rPr>
          <w:lang w:eastAsia="en-GB"/>
        </w:rPr>
        <w:t>for</w:t>
      </w:r>
      <w:r w:rsidRPr="005E27CA">
        <w:rPr>
          <w:lang w:eastAsia="en-GB"/>
        </w:rPr>
        <w:t xml:space="preserve"> implement</w:t>
      </w:r>
      <w:r>
        <w:rPr>
          <w:lang w:eastAsia="en-GB"/>
        </w:rPr>
        <w:t>ation of the</w:t>
      </w:r>
      <w:r w:rsidRPr="005E27CA">
        <w:rPr>
          <w:lang w:eastAsia="en-GB"/>
        </w:rPr>
        <w:t xml:space="preserve"> UN Security Council Resolution </w:t>
      </w:r>
      <w:r>
        <w:rPr>
          <w:lang w:eastAsia="en-GB"/>
        </w:rPr>
        <w:t xml:space="preserve">1325 </w:t>
      </w:r>
      <w:r w:rsidRPr="005E27CA">
        <w:rPr>
          <w:lang w:eastAsia="en-GB"/>
        </w:rPr>
        <w:t>(</w:t>
      </w:r>
      <w:r>
        <w:rPr>
          <w:lang w:eastAsia="en-GB"/>
        </w:rPr>
        <w:t>2000</w:t>
      </w:r>
      <w:r w:rsidRPr="005E27CA">
        <w:rPr>
          <w:lang w:eastAsia="en-GB"/>
        </w:rPr>
        <w:t xml:space="preserve">) on </w:t>
      </w:r>
      <w:r>
        <w:rPr>
          <w:lang w:eastAsia="en-GB"/>
        </w:rPr>
        <w:t>W</w:t>
      </w:r>
      <w:r w:rsidRPr="005E27CA">
        <w:rPr>
          <w:lang w:eastAsia="en-GB"/>
        </w:rPr>
        <w:t xml:space="preserve">omen, </w:t>
      </w:r>
      <w:proofErr w:type="gramStart"/>
      <w:r>
        <w:rPr>
          <w:lang w:eastAsia="en-GB"/>
        </w:rPr>
        <w:t>P</w:t>
      </w:r>
      <w:r w:rsidRPr="005E27CA">
        <w:rPr>
          <w:lang w:eastAsia="en-GB"/>
        </w:rPr>
        <w:t>eace</w:t>
      </w:r>
      <w:proofErr w:type="gramEnd"/>
      <w:r w:rsidRPr="005E27CA">
        <w:rPr>
          <w:lang w:eastAsia="en-GB"/>
        </w:rPr>
        <w:t xml:space="preserve"> and </w:t>
      </w:r>
      <w:r>
        <w:rPr>
          <w:lang w:eastAsia="en-GB"/>
        </w:rPr>
        <w:t>S</w:t>
      </w:r>
      <w:r w:rsidRPr="005E27CA">
        <w:rPr>
          <w:lang w:eastAsia="en-GB"/>
        </w:rPr>
        <w:t>ecurity.</w:t>
      </w:r>
      <w:r>
        <w:rPr>
          <w:rStyle w:val="FootnoteReference"/>
          <w:lang w:eastAsia="en-GB"/>
        </w:rPr>
        <w:footnoteReference w:id="9"/>
      </w:r>
      <w:r w:rsidRPr="005E27CA">
        <w:rPr>
          <w:lang w:eastAsia="en-GB"/>
        </w:rPr>
        <w:t xml:space="preserve"> The signing of the </w:t>
      </w:r>
      <w:r>
        <w:rPr>
          <w:lang w:eastAsia="en-GB"/>
        </w:rPr>
        <w:t>MoU</w:t>
      </w:r>
      <w:r w:rsidRPr="005E27CA">
        <w:rPr>
          <w:lang w:eastAsia="en-GB"/>
        </w:rPr>
        <w:t xml:space="preserve"> sparked controversy and a smear campaign against the minister. Religious clerks, conservative politicians, militia leaders, and patriarchal figures considered that this step would be inconsistent with Libyan legislation and religious values</w:t>
      </w:r>
      <w:r w:rsidRPr="002F25B4">
        <w:rPr>
          <w:lang w:eastAsia="en-GB"/>
        </w:rPr>
        <w:t xml:space="preserve">. The GNU, which approved the signing of the MoU, pushed </w:t>
      </w:r>
      <w:proofErr w:type="gramStart"/>
      <w:r w:rsidRPr="002F25B4">
        <w:rPr>
          <w:lang w:eastAsia="en-GB"/>
        </w:rPr>
        <w:t>back</w:t>
      </w:r>
      <w:proofErr w:type="gramEnd"/>
      <w:r w:rsidRPr="002F25B4">
        <w:rPr>
          <w:lang w:eastAsia="en-GB"/>
        </w:rPr>
        <w:t xml:space="preserve"> and issued a decision to form an administrative</w:t>
      </w:r>
      <w:r>
        <w:rPr>
          <w:lang w:eastAsia="en-GB"/>
        </w:rPr>
        <w:t xml:space="preserve"> committee to</w:t>
      </w:r>
      <w:r w:rsidRPr="002F25B4">
        <w:rPr>
          <w:lang w:eastAsia="en-GB"/>
        </w:rPr>
        <w:t xml:space="preserve"> investigat</w:t>
      </w:r>
      <w:r>
        <w:rPr>
          <w:lang w:eastAsia="en-GB"/>
        </w:rPr>
        <w:t>e it.</w:t>
      </w:r>
      <w:r w:rsidRPr="002F25B4">
        <w:rPr>
          <w:lang w:eastAsia="en-GB"/>
        </w:rPr>
        <w:t xml:space="preserve"> </w:t>
      </w:r>
    </w:p>
    <w:p w14:paraId="6F39FE84" w14:textId="77777777" w:rsidR="0031768B" w:rsidRDefault="0031768B" w:rsidP="0031768B">
      <w:pPr>
        <w:pStyle w:val="RTBodyText"/>
        <w:rPr>
          <w:lang w:val="en-US" w:eastAsia="en-GB"/>
        </w:rPr>
      </w:pPr>
      <w:r>
        <w:rPr>
          <w:lang w:val="en-US" w:eastAsia="en-GB"/>
        </w:rPr>
        <w:t>Successive</w:t>
      </w:r>
      <w:r>
        <w:rPr>
          <w:lang w:eastAsia="en-GB"/>
        </w:rPr>
        <w:t xml:space="preserve"> authorities have also consistently failed to prevent, </w:t>
      </w:r>
      <w:proofErr w:type="gramStart"/>
      <w:r>
        <w:rPr>
          <w:lang w:eastAsia="en-GB"/>
        </w:rPr>
        <w:t>investigate</w:t>
      </w:r>
      <w:proofErr w:type="gramEnd"/>
      <w:r>
        <w:rPr>
          <w:lang w:eastAsia="en-GB"/>
        </w:rPr>
        <w:t xml:space="preserve"> or prosecute violence against women and girls by members of militias, armed groups, their family members and other non-sate actors</w:t>
      </w:r>
      <w:r w:rsidRPr="2292E194">
        <w:rPr>
          <w:lang w:val="en-US" w:eastAsia="en-GB"/>
        </w:rPr>
        <w:t>.</w:t>
      </w:r>
      <w:r w:rsidRPr="00DF4D77">
        <w:rPr>
          <w:rStyle w:val="FootnoteReference"/>
          <w:lang w:val="en-US" w:eastAsia="en-GB"/>
        </w:rPr>
        <w:footnoteReference w:id="10"/>
      </w:r>
      <w:r w:rsidRPr="006F23CC">
        <w:rPr>
          <w:lang w:val="en-US" w:eastAsia="en-GB"/>
        </w:rPr>
        <w:t xml:space="preserve"> </w:t>
      </w:r>
      <w:r>
        <w:rPr>
          <w:lang w:val="en-US" w:eastAsia="en-GB"/>
        </w:rPr>
        <w:t>Amnesty International documented cases of</w:t>
      </w:r>
      <w:r w:rsidRPr="00BB1C9F">
        <w:rPr>
          <w:lang w:val="en-US" w:eastAsia="en-GB"/>
        </w:rPr>
        <w:t xml:space="preserve"> militias </w:t>
      </w:r>
      <w:r>
        <w:rPr>
          <w:lang w:val="en-US" w:eastAsia="en-GB"/>
        </w:rPr>
        <w:t>threatening</w:t>
      </w:r>
      <w:r w:rsidRPr="00BB1C9F">
        <w:rPr>
          <w:lang w:val="en-US" w:eastAsia="en-GB"/>
        </w:rPr>
        <w:t xml:space="preserve"> survivors </w:t>
      </w:r>
      <w:r>
        <w:rPr>
          <w:lang w:val="en-US" w:eastAsia="en-GB"/>
        </w:rPr>
        <w:t>not to</w:t>
      </w:r>
      <w:r w:rsidRPr="00BB1C9F">
        <w:rPr>
          <w:lang w:val="en-US" w:eastAsia="en-GB"/>
        </w:rPr>
        <w:t xml:space="preserve"> lodg</w:t>
      </w:r>
      <w:r>
        <w:rPr>
          <w:lang w:val="en-US" w:eastAsia="en-GB"/>
        </w:rPr>
        <w:t>e</w:t>
      </w:r>
      <w:r w:rsidRPr="00BB1C9F">
        <w:rPr>
          <w:lang w:val="en-US" w:eastAsia="en-GB"/>
        </w:rPr>
        <w:t xml:space="preserve"> judicial complaints. </w:t>
      </w:r>
    </w:p>
    <w:p w14:paraId="1EE5F9ED" w14:textId="6EA690C6" w:rsidR="0031768B" w:rsidRDefault="0031768B" w:rsidP="0031768B">
      <w:pPr>
        <w:pStyle w:val="RTBodyText"/>
        <w:rPr>
          <w:lang w:eastAsia="en-GB"/>
        </w:rPr>
      </w:pPr>
      <w:r>
        <w:rPr>
          <w:lang w:eastAsia="en-GB"/>
        </w:rPr>
        <w:t xml:space="preserve">In 2022, 32-year-old </w:t>
      </w:r>
      <w:r w:rsidR="00717F0C">
        <w:rPr>
          <w:lang w:eastAsia="en-GB"/>
        </w:rPr>
        <w:t>women K.R</w:t>
      </w:r>
      <w:r>
        <w:rPr>
          <w:lang w:eastAsia="en-GB"/>
        </w:rPr>
        <w:t xml:space="preserve"> was killed after asking for a divorce. The authorities failed to investigate her murder or ensure accountability.</w:t>
      </w:r>
      <w:r>
        <w:rPr>
          <w:rStyle w:val="FootnoteReference"/>
          <w:lang w:eastAsia="en-GB"/>
        </w:rPr>
        <w:footnoteReference w:id="11"/>
      </w:r>
      <w:r w:rsidRPr="005760F9">
        <w:rPr>
          <w:lang w:eastAsia="en-GB"/>
        </w:rPr>
        <w:t xml:space="preserve"> </w:t>
      </w:r>
      <w:r>
        <w:rPr>
          <w:lang w:eastAsia="en-GB"/>
        </w:rPr>
        <w:t xml:space="preserve">Authorities also failed to investigate the abduction, </w:t>
      </w:r>
      <w:proofErr w:type="gramStart"/>
      <w:r>
        <w:rPr>
          <w:lang w:eastAsia="en-GB"/>
        </w:rPr>
        <w:t>torture</w:t>
      </w:r>
      <w:proofErr w:type="gramEnd"/>
      <w:r>
        <w:rPr>
          <w:lang w:eastAsia="en-GB"/>
        </w:rPr>
        <w:t xml:space="preserve"> and captivity in a private location in al-Zawiya,</w:t>
      </w:r>
      <w:r w:rsidRPr="0031768B">
        <w:rPr>
          <w:lang w:eastAsia="en-GB"/>
        </w:rPr>
        <w:t xml:space="preserve"> a city in </w:t>
      </w:r>
      <w:proofErr w:type="spellStart"/>
      <w:r w:rsidRPr="0031768B">
        <w:rPr>
          <w:lang w:eastAsia="en-GB"/>
        </w:rPr>
        <w:t>northwestern</w:t>
      </w:r>
      <w:proofErr w:type="spellEnd"/>
      <w:r w:rsidRPr="0031768B">
        <w:rPr>
          <w:lang w:eastAsia="en-GB"/>
        </w:rPr>
        <w:t xml:space="preserve"> Libya</w:t>
      </w:r>
      <w:r>
        <w:rPr>
          <w:lang w:eastAsia="en-GB"/>
        </w:rPr>
        <w:t>, of a young woman in 2021 by armed men following a family dispute.</w:t>
      </w:r>
      <w:r>
        <w:rPr>
          <w:rStyle w:val="FootnoteReference"/>
          <w:lang w:eastAsia="en-GB"/>
        </w:rPr>
        <w:footnoteReference w:id="12"/>
      </w:r>
    </w:p>
    <w:p w14:paraId="77B1C931" w14:textId="77777777" w:rsidR="0031768B" w:rsidRDefault="0031768B" w:rsidP="0031768B">
      <w:pPr>
        <w:pStyle w:val="RTBodyText"/>
        <w:rPr>
          <w:lang w:val="en-US" w:eastAsia="en-GB"/>
        </w:rPr>
      </w:pPr>
      <w:r>
        <w:rPr>
          <w:lang w:eastAsia="en-GB"/>
        </w:rPr>
        <w:t xml:space="preserve">Amnesty International has also documented how militias, armed groups and security forces across the country target women and girls, allegedly for “immoral behaviour”. In December 2018, police forces affiliated with the Ministry of Interior in Benghazi raided a café in the city where a group of nearly 20 young girls, most with their mothers, were attending a gathering they had organized on Twitter. The police arrested the manager and staff on grounds of “immoral behaviour”. </w:t>
      </w:r>
      <w:r>
        <w:rPr>
          <w:rStyle w:val="FootnoteReference"/>
          <w:lang w:eastAsia="en-GB"/>
        </w:rPr>
        <w:footnoteReference w:id="13"/>
      </w:r>
      <w:r>
        <w:rPr>
          <w:lang w:eastAsia="en-GB"/>
        </w:rPr>
        <w:t xml:space="preserve"> In October 2019, gunmen raided two cafés in Tripoli to intimidate women unaccompanied by a male family member. The armed men asked to see customers’ marriage certificates, took male customers who were with female friends out of the café for questioning and told women they should be accompanied by their husbands or other male relatives.</w:t>
      </w:r>
      <w:r>
        <w:rPr>
          <w:rStyle w:val="FootnoteReference"/>
          <w:lang w:eastAsia="en-GB"/>
        </w:rPr>
        <w:footnoteReference w:id="14"/>
      </w:r>
    </w:p>
    <w:p w14:paraId="7A8063AB" w14:textId="77777777" w:rsidR="0031768B" w:rsidRPr="00BC7373" w:rsidRDefault="0031768B" w:rsidP="0031768B">
      <w:pPr>
        <w:pStyle w:val="RTBodyText"/>
        <w:rPr>
          <w:szCs w:val="18"/>
          <w:lang w:val="en-US" w:eastAsia="en-GB"/>
        </w:rPr>
      </w:pPr>
      <w:r>
        <w:rPr>
          <w:lang w:val="en-US" w:eastAsia="en-GB"/>
        </w:rPr>
        <w:lastRenderedPageBreak/>
        <w:t xml:space="preserve">In 2023, the Tripoli-based Internal Security Agency (ISA), </w:t>
      </w:r>
      <w:r w:rsidRPr="007C3435">
        <w:rPr>
          <w:lang w:eastAsia="en-GB"/>
        </w:rPr>
        <w:t xml:space="preserve">nominally under the Presidential Council of the </w:t>
      </w:r>
      <w:r>
        <w:rPr>
          <w:lang w:eastAsia="en-GB"/>
        </w:rPr>
        <w:t>GNU</w:t>
      </w:r>
      <w:r>
        <w:rPr>
          <w:lang w:val="en-US" w:eastAsia="en-GB"/>
        </w:rPr>
        <w:t xml:space="preserve">, intensified its crackdown on freedom of thought, </w:t>
      </w:r>
      <w:proofErr w:type="gramStart"/>
      <w:r>
        <w:rPr>
          <w:lang w:val="en-US" w:eastAsia="en-GB"/>
        </w:rPr>
        <w:t>expression</w:t>
      </w:r>
      <w:proofErr w:type="gramEnd"/>
      <w:r>
        <w:rPr>
          <w:lang w:val="en-US" w:eastAsia="en-GB"/>
        </w:rPr>
        <w:t xml:space="preserve"> and belief, targeting Libyan youth, including women and girls, under the pretext of “guarding virtue”. </w:t>
      </w:r>
      <w:r w:rsidRPr="00700802">
        <w:rPr>
          <w:color w:val="000000"/>
          <w:szCs w:val="18"/>
        </w:rPr>
        <w:t>On 28 December 2023,</w:t>
      </w:r>
      <w:r>
        <w:rPr>
          <w:color w:val="000000"/>
          <w:szCs w:val="18"/>
        </w:rPr>
        <w:t xml:space="preserve"> the</w:t>
      </w:r>
      <w:r w:rsidRPr="00700802">
        <w:rPr>
          <w:color w:val="000000"/>
          <w:szCs w:val="18"/>
        </w:rPr>
        <w:t xml:space="preserve"> ISA published two videos on its social media channels showing four women and a 17-year-old girl, under apparent duress “confessing” to offences such as “spreading atheism,” “apostasy,” “embracing non-religion,” “adopting liberal ideas,” “wife swapping,” and “homosexuality”.</w:t>
      </w:r>
      <w:r>
        <w:rPr>
          <w:color w:val="000000"/>
          <w:szCs w:val="18"/>
        </w:rPr>
        <w:t xml:space="preserve"> </w:t>
      </w:r>
      <w:r w:rsidRPr="00717F0C">
        <w:rPr>
          <w:color w:val="000000"/>
          <w:szCs w:val="18"/>
        </w:rPr>
        <w:t>As of 28 March 2024, at least three remained in detention.</w:t>
      </w:r>
      <w:r w:rsidRPr="00BC7373">
        <w:rPr>
          <w:rFonts w:ascii="Amnesty Trade Gothic" w:hAnsi="Amnesty Trade Gothic"/>
          <w:color w:val="000000"/>
          <w:szCs w:val="18"/>
        </w:rPr>
        <w:t xml:space="preserve"> </w:t>
      </w:r>
      <w:r w:rsidRPr="00BC7373">
        <w:rPr>
          <w:color w:val="000000"/>
          <w:szCs w:val="18"/>
        </w:rPr>
        <w:t xml:space="preserve">ISA’s intensified crackdown has targeted individuals perceived as rejecting the dominant </w:t>
      </w:r>
      <w:proofErr w:type="spellStart"/>
      <w:r w:rsidRPr="00BC7373">
        <w:rPr>
          <w:color w:val="000000"/>
          <w:szCs w:val="18"/>
        </w:rPr>
        <w:t>Madkhali</w:t>
      </w:r>
      <w:proofErr w:type="spellEnd"/>
      <w:r w:rsidRPr="00BC7373">
        <w:rPr>
          <w:color w:val="000000"/>
          <w:szCs w:val="18"/>
        </w:rPr>
        <w:t xml:space="preserve">-Salafist ideology in </w:t>
      </w:r>
      <w:proofErr w:type="spellStart"/>
      <w:r w:rsidRPr="00BC7373">
        <w:rPr>
          <w:color w:val="000000"/>
          <w:szCs w:val="18"/>
        </w:rPr>
        <w:t>Awqaf</w:t>
      </w:r>
      <w:proofErr w:type="spellEnd"/>
      <w:r w:rsidRPr="00BC7373">
        <w:rPr>
          <w:color w:val="000000"/>
          <w:szCs w:val="18"/>
        </w:rPr>
        <w:t>, which significantly restricts the rights of women and girls, religious minorities and LGBTI people.</w:t>
      </w:r>
      <w:r w:rsidRPr="00BC7373">
        <w:rPr>
          <w:rStyle w:val="FootnoteReference"/>
          <w:color w:val="000000"/>
          <w:szCs w:val="18"/>
        </w:rPr>
        <w:footnoteReference w:id="15"/>
      </w:r>
    </w:p>
    <w:p w14:paraId="2C017468" w14:textId="49223413" w:rsidR="00975E81" w:rsidRDefault="0031768B" w:rsidP="00975E81">
      <w:pPr>
        <w:pStyle w:val="RTBodyText"/>
        <w:rPr>
          <w:lang w:val="en-US" w:eastAsia="en-GB"/>
        </w:rPr>
      </w:pPr>
      <w:r>
        <w:rPr>
          <w:lang w:val="en-US" w:eastAsia="en-GB"/>
        </w:rPr>
        <w:t xml:space="preserve">Impunity also prevails for enforced disappearance, torture and other ill-treatment of women who have been held in </w:t>
      </w:r>
      <w:r w:rsidRPr="002A0E8F">
        <w:rPr>
          <w:lang w:val="en-US" w:eastAsia="en-GB"/>
        </w:rPr>
        <w:t xml:space="preserve">official and unofficial places of detention </w:t>
      </w:r>
      <w:r>
        <w:rPr>
          <w:lang w:val="en-US" w:eastAsia="en-GB"/>
        </w:rPr>
        <w:t>since the outbreak of armed conflict in 2011</w:t>
      </w:r>
      <w:r w:rsidRPr="002A0E8F">
        <w:rPr>
          <w:lang w:val="en-US" w:eastAsia="en-GB"/>
        </w:rPr>
        <w:t>.</w:t>
      </w:r>
      <w:r>
        <w:rPr>
          <w:rStyle w:val="FootnoteReference"/>
          <w:lang w:val="en-US" w:eastAsia="en-GB"/>
        </w:rPr>
        <w:footnoteReference w:id="16"/>
      </w:r>
      <w:r w:rsidRPr="002A0E8F">
        <w:rPr>
          <w:lang w:val="en-US" w:eastAsia="en-GB"/>
        </w:rPr>
        <w:t xml:space="preserve"> </w:t>
      </w:r>
    </w:p>
    <w:p w14:paraId="49E4D299" w14:textId="2D9E80F8" w:rsidR="0095292E" w:rsidRPr="006B44F3" w:rsidRDefault="0095292E" w:rsidP="0095292E">
      <w:pPr>
        <w:pStyle w:val="BNumberedHeading"/>
      </w:pPr>
      <w:bookmarkStart w:id="3" w:name="_Toc162866116"/>
      <w:bookmarkStart w:id="4" w:name="_Toc164071176"/>
      <w:r w:rsidRPr="0095292E">
        <w:t>Attacks on Women Human Rights Defenders, politicians and activists (Article 2</w:t>
      </w:r>
      <w:r w:rsidR="0031768B">
        <w:t xml:space="preserve"> and</w:t>
      </w:r>
      <w:r w:rsidRPr="0095292E">
        <w:t xml:space="preserve"> 7)</w:t>
      </w:r>
      <w:bookmarkEnd w:id="4"/>
    </w:p>
    <w:bookmarkEnd w:id="3"/>
    <w:p w14:paraId="5426365C" w14:textId="77777777" w:rsidR="008A60A3" w:rsidRDefault="008A60A3" w:rsidP="00975E81">
      <w:pPr>
        <w:pStyle w:val="RTBodyText"/>
        <w:rPr>
          <w:sz w:val="20"/>
          <w:szCs w:val="20"/>
          <w:lang w:val="en-US" w:eastAsia="en-GB"/>
        </w:rPr>
      </w:pPr>
    </w:p>
    <w:p w14:paraId="4358CA12" w14:textId="13940B2E" w:rsidR="0031768B" w:rsidRDefault="0031768B" w:rsidP="0031768B">
      <w:pPr>
        <w:pStyle w:val="RTBodyText"/>
        <w:rPr>
          <w:lang w:eastAsia="en-GB"/>
        </w:rPr>
      </w:pPr>
      <w:r>
        <w:rPr>
          <w:lang w:val="en-US" w:eastAsia="en-GB"/>
        </w:rPr>
        <w:t>Since 2014</w:t>
      </w:r>
      <w:r>
        <w:t xml:space="preserve">, Libyan women activists, bloggers and journalists have been increasingly silenced as they face gender-based violence in the form of physical assault, </w:t>
      </w:r>
      <w:proofErr w:type="gramStart"/>
      <w:r>
        <w:t>abductions</w:t>
      </w:r>
      <w:proofErr w:type="gramEnd"/>
      <w:r>
        <w:t xml:space="preserve"> and sexual violence, as well as smear campaigns including on Facebook and Twitter, gender-related slurs and attempts at intimidation.</w:t>
      </w:r>
      <w:r>
        <w:rPr>
          <w:lang w:eastAsia="en-GB"/>
        </w:rPr>
        <w:t xml:space="preserve"> Some of that violence documented by Amnesty International includes gendered insults by militias and private individuals, including allegations of engaging in sex work and sex outside marriage (“adultery”). Amnesty International also documented threats online and misogynistic abuse targeted at women politicians</w:t>
      </w:r>
      <w:r w:rsidRPr="006545DC">
        <w:rPr>
          <w:lang w:eastAsia="en-GB"/>
        </w:rPr>
        <w:t xml:space="preserve"> </w:t>
      </w:r>
      <w:r>
        <w:rPr>
          <w:lang w:eastAsia="en-GB"/>
        </w:rPr>
        <w:t xml:space="preserve">in 2021, including </w:t>
      </w:r>
      <w:proofErr w:type="spellStart"/>
      <w:r>
        <w:rPr>
          <w:lang w:eastAsia="en-GB"/>
        </w:rPr>
        <w:t>Najla</w:t>
      </w:r>
      <w:proofErr w:type="spellEnd"/>
      <w:r>
        <w:rPr>
          <w:lang w:eastAsia="en-GB"/>
        </w:rPr>
        <w:t xml:space="preserve"> al-</w:t>
      </w:r>
      <w:proofErr w:type="spellStart"/>
      <w:r>
        <w:rPr>
          <w:lang w:eastAsia="en-GB"/>
        </w:rPr>
        <w:t>Mangoush</w:t>
      </w:r>
      <w:proofErr w:type="spellEnd"/>
      <w:r>
        <w:rPr>
          <w:lang w:eastAsia="en-GB"/>
        </w:rPr>
        <w:t xml:space="preserve">, GNU’s then minister of foreign affairs, and </w:t>
      </w:r>
      <w:r w:rsidR="00FC39F8">
        <w:rPr>
          <w:lang w:eastAsia="en-GB"/>
        </w:rPr>
        <w:t xml:space="preserve">two </w:t>
      </w:r>
      <w:r>
        <w:rPr>
          <w:lang w:eastAsia="en-GB"/>
        </w:rPr>
        <w:t xml:space="preserve">presidential candidates </w:t>
      </w:r>
      <w:r w:rsidR="00FC39F8">
        <w:rPr>
          <w:lang w:eastAsia="en-GB"/>
        </w:rPr>
        <w:t>L.</w:t>
      </w:r>
      <w:r w:rsidR="00E843CB">
        <w:rPr>
          <w:lang w:eastAsia="en-GB"/>
        </w:rPr>
        <w:t xml:space="preserve">K </w:t>
      </w:r>
      <w:r>
        <w:rPr>
          <w:lang w:eastAsia="en-GB"/>
        </w:rPr>
        <w:t xml:space="preserve">and </w:t>
      </w:r>
      <w:r w:rsidR="00E843CB">
        <w:rPr>
          <w:lang w:eastAsia="en-GB"/>
        </w:rPr>
        <w:t>H.M</w:t>
      </w:r>
      <w:r>
        <w:rPr>
          <w:rStyle w:val="FootnoteReference"/>
          <w:lang w:eastAsia="en-GB"/>
        </w:rPr>
        <w:footnoteReference w:id="17"/>
      </w:r>
      <w:r>
        <w:rPr>
          <w:lang w:eastAsia="en-GB"/>
        </w:rPr>
        <w:t xml:space="preserve">. </w:t>
      </w:r>
      <w:r>
        <w:t xml:space="preserve">Women human rights defenders who do not adhere to social norms or challenge gender stereotypes are </w:t>
      </w:r>
      <w:proofErr w:type="gramStart"/>
      <w:r>
        <w:t>particular targets</w:t>
      </w:r>
      <w:proofErr w:type="gramEnd"/>
      <w:r>
        <w:t xml:space="preserve"> of abuse, questioning, harassment and detention by militias, armed groups and security forces.</w:t>
      </w:r>
    </w:p>
    <w:p w14:paraId="404CDDAB" w14:textId="644CC815" w:rsidR="0031768B" w:rsidRPr="00E414D2" w:rsidRDefault="0031768B" w:rsidP="0031768B">
      <w:pPr>
        <w:pStyle w:val="RTBodyText"/>
        <w:rPr>
          <w:lang w:val="en-US" w:eastAsia="en-GB"/>
        </w:rPr>
      </w:pPr>
      <w:r>
        <w:rPr>
          <w:lang w:eastAsia="en-GB"/>
        </w:rPr>
        <w:t xml:space="preserve">The failure to investigate and prosecute the assassinations of prominent women human rights defenders and politicians, including </w:t>
      </w:r>
      <w:r>
        <w:t xml:space="preserve">of parliamentarian </w:t>
      </w:r>
      <w:r w:rsidR="00E843CB">
        <w:t>F.B</w:t>
      </w:r>
      <w:r>
        <w:t xml:space="preserve"> and human rights defender </w:t>
      </w:r>
      <w:r w:rsidR="00E843CB">
        <w:t xml:space="preserve">S.B </w:t>
      </w:r>
      <w:r>
        <w:t>in June 2014</w:t>
      </w:r>
      <w:r>
        <w:rPr>
          <w:lang w:eastAsia="en-GB"/>
        </w:rPr>
        <w:t>, has had a chilling effect on Libyan women activists, many of whom discontinued their activism or fled Libya</w:t>
      </w:r>
      <w:r w:rsidRPr="005C5579">
        <w:rPr>
          <w:lang w:eastAsia="en-GB"/>
        </w:rPr>
        <w:t>.</w:t>
      </w:r>
      <w:r>
        <w:rPr>
          <w:lang w:eastAsia="en-GB"/>
        </w:rPr>
        <w:t xml:space="preserve"> No one has been held accountable for the assassination of</w:t>
      </w:r>
      <w:r w:rsidRPr="00BB1C9F">
        <w:rPr>
          <w:lang w:val="en-US" w:eastAsia="en-GB"/>
        </w:rPr>
        <w:t xml:space="preserve"> </w:t>
      </w:r>
      <w:r>
        <w:rPr>
          <w:lang w:eastAsia="en-GB"/>
        </w:rPr>
        <w:t xml:space="preserve">lawyer </w:t>
      </w:r>
      <w:r w:rsidR="00CD206B">
        <w:rPr>
          <w:lang w:eastAsia="en-GB"/>
        </w:rPr>
        <w:t>H.B</w:t>
      </w:r>
      <w:r>
        <w:rPr>
          <w:lang w:eastAsia="en-GB"/>
        </w:rPr>
        <w:t xml:space="preserve"> in Benghazi, who was shot and killed by unknown gunmen in broad daylight on 10 November 2020, a day after she posted on social media that she was going to release a video exposing the corruption of the LAAF leader’s son, Saddam Haftar. </w:t>
      </w:r>
      <w:r w:rsidR="00CD206B">
        <w:rPr>
          <w:lang w:eastAsia="en-GB"/>
        </w:rPr>
        <w:t xml:space="preserve">H.B </w:t>
      </w:r>
      <w:r>
        <w:rPr>
          <w:lang w:eastAsia="en-GB"/>
        </w:rPr>
        <w:t xml:space="preserve">and her daughter had both been receiving death threats due to </w:t>
      </w:r>
      <w:r w:rsidR="00CD206B">
        <w:rPr>
          <w:lang w:eastAsia="en-GB"/>
        </w:rPr>
        <w:t>H.B</w:t>
      </w:r>
      <w:r>
        <w:rPr>
          <w:lang w:eastAsia="en-GB"/>
        </w:rPr>
        <w:t>’s vocal criticism of the corruption of several individuals affiliated with the armed groups in eastern Libya.</w:t>
      </w:r>
      <w:r>
        <w:rPr>
          <w:rStyle w:val="FootnoteReference"/>
          <w:lang w:eastAsia="en-GB"/>
        </w:rPr>
        <w:footnoteReference w:id="18"/>
      </w:r>
      <w:r>
        <w:rPr>
          <w:lang w:eastAsia="en-GB"/>
        </w:rPr>
        <w:t xml:space="preserve"> The family members of parliamentarian S</w:t>
      </w:r>
      <w:r w:rsidR="00CD206B">
        <w:rPr>
          <w:lang w:eastAsia="en-GB"/>
        </w:rPr>
        <w:t>.S</w:t>
      </w:r>
      <w:r>
        <w:rPr>
          <w:lang w:eastAsia="en-GB"/>
        </w:rPr>
        <w:t xml:space="preserve">, who was abducted by gunmen in a night-time raid on her home in Benghazi in 2019 after she criticized the LAAF’s offensive to capture Tripoli in a TV interview earlier that day still have no information on her fate and whereabouts. </w:t>
      </w:r>
      <w:r>
        <w:rPr>
          <w:rStyle w:val="FootnoteReference"/>
          <w:lang w:val="en-US" w:eastAsia="en-GB"/>
        </w:rPr>
        <w:footnoteReference w:id="19"/>
      </w:r>
    </w:p>
    <w:p w14:paraId="217F6292" w14:textId="270B1556" w:rsidR="00975E81" w:rsidRPr="0031768B" w:rsidRDefault="0031768B" w:rsidP="00EF5487">
      <w:pPr>
        <w:pStyle w:val="RTBodyText"/>
        <w:rPr>
          <w:lang w:val="en-US" w:eastAsia="en-GB"/>
        </w:rPr>
      </w:pPr>
      <w:r w:rsidRPr="00AF0B3A">
        <w:rPr>
          <w:lang w:eastAsia="en-GB"/>
        </w:rPr>
        <w:t>The Special Rapporteur on violence against women and girls</w:t>
      </w:r>
      <w:r>
        <w:rPr>
          <w:lang w:eastAsia="en-GB"/>
        </w:rPr>
        <w:t xml:space="preserve"> noted during her visit to Libya </w:t>
      </w:r>
      <w:r w:rsidRPr="00B02969">
        <w:rPr>
          <w:lang w:eastAsia="en-GB"/>
        </w:rPr>
        <w:t>from 14 to 21 December 2022</w:t>
      </w:r>
      <w:r>
        <w:rPr>
          <w:rStyle w:val="FootnoteReference"/>
          <w:lang w:eastAsia="en-GB"/>
        </w:rPr>
        <w:footnoteReference w:id="20"/>
      </w:r>
      <w:r>
        <w:rPr>
          <w:lang w:eastAsia="en-GB"/>
        </w:rPr>
        <w:t xml:space="preserve"> concerns over the arrests of women human rights defenders accused of “offending the traditions of Libya” following the activation of </w:t>
      </w:r>
      <w:r w:rsidRPr="001173EE">
        <w:rPr>
          <w:lang w:val="en-US" w:eastAsia="en-GB"/>
        </w:rPr>
        <w:t>Law No. 5 of 2022 on Cybercrimes</w:t>
      </w:r>
      <w:r>
        <w:rPr>
          <w:lang w:eastAsia="en-GB"/>
        </w:rPr>
        <w:t>.</w:t>
      </w:r>
      <w:r>
        <w:rPr>
          <w:rStyle w:val="FootnoteReference"/>
          <w:lang w:eastAsia="en-GB"/>
        </w:rPr>
        <w:footnoteReference w:id="21"/>
      </w:r>
      <w:r>
        <w:rPr>
          <w:lang w:val="en-US" w:eastAsia="en-GB"/>
        </w:rPr>
        <w:t xml:space="preserve"> In </w:t>
      </w:r>
      <w:r>
        <w:rPr>
          <w:lang w:eastAsia="en-GB"/>
        </w:rPr>
        <w:t xml:space="preserve">February 2023, </w:t>
      </w:r>
      <w:r>
        <w:rPr>
          <w:lang w:val="en-US" w:eastAsia="en-GB"/>
        </w:rPr>
        <w:t>t</w:t>
      </w:r>
      <w:r w:rsidRPr="001173EE">
        <w:rPr>
          <w:lang w:val="en-US" w:eastAsia="en-GB"/>
        </w:rPr>
        <w:t xml:space="preserve">he </w:t>
      </w:r>
      <w:r w:rsidRPr="001173EE">
        <w:rPr>
          <w:lang w:val="en-US" w:eastAsia="en-GB"/>
        </w:rPr>
        <w:lastRenderedPageBreak/>
        <w:t>ISA in Benghazi arrested singer</w:t>
      </w:r>
      <w:r w:rsidR="00557520">
        <w:rPr>
          <w:lang w:val="en-US" w:eastAsia="en-GB"/>
        </w:rPr>
        <w:t xml:space="preserve"> </w:t>
      </w:r>
      <w:r w:rsidR="00417AFA">
        <w:rPr>
          <w:lang w:val="en-US" w:eastAsia="en-GB"/>
        </w:rPr>
        <w:t xml:space="preserve">A.Y </w:t>
      </w:r>
      <w:r w:rsidRPr="001173EE">
        <w:rPr>
          <w:lang w:val="en-US" w:eastAsia="en-GB"/>
        </w:rPr>
        <w:t xml:space="preserve"> and content creator</w:t>
      </w:r>
      <w:r w:rsidR="00417AFA">
        <w:rPr>
          <w:lang w:val="en-US" w:eastAsia="en-GB"/>
        </w:rPr>
        <w:t xml:space="preserve"> H.A</w:t>
      </w:r>
      <w:r w:rsidRPr="001173EE">
        <w:rPr>
          <w:lang w:val="en-US" w:eastAsia="en-GB"/>
        </w:rPr>
        <w:t xml:space="preserve"> for “offending the traditions of Libya ”, accusing them of violating </w:t>
      </w:r>
      <w:r>
        <w:rPr>
          <w:lang w:val="en-US" w:eastAsia="en-GB"/>
        </w:rPr>
        <w:t>the anti-cybercrime law</w:t>
      </w:r>
      <w:r w:rsidRPr="001173EE">
        <w:rPr>
          <w:lang w:val="en-US" w:eastAsia="en-GB"/>
        </w:rPr>
        <w:t xml:space="preserve">. They were released in April </w:t>
      </w:r>
      <w:r>
        <w:rPr>
          <w:lang w:val="en-US" w:eastAsia="en-GB"/>
        </w:rPr>
        <w:t xml:space="preserve">2023 </w:t>
      </w:r>
      <w:r w:rsidRPr="001173EE">
        <w:rPr>
          <w:lang w:val="en-US" w:eastAsia="en-GB"/>
        </w:rPr>
        <w:t>without charge.</w:t>
      </w:r>
    </w:p>
    <w:p w14:paraId="614264A0" w14:textId="34C670FA" w:rsidR="00F00D9C" w:rsidRPr="006B44F3" w:rsidRDefault="00F00D9C" w:rsidP="00F00D9C">
      <w:pPr>
        <w:pStyle w:val="BNumberedHeading"/>
      </w:pPr>
      <w:bookmarkStart w:id="5" w:name="_Toc162866117"/>
      <w:bookmarkStart w:id="6" w:name="_Toc164071177"/>
      <w:r w:rsidRPr="00F00D9C">
        <w:t>Right to impart  Nationality (Articles 2 and 9)</w:t>
      </w:r>
      <w:bookmarkEnd w:id="6"/>
    </w:p>
    <w:bookmarkEnd w:id="5"/>
    <w:p w14:paraId="1BB6C759" w14:textId="77777777" w:rsidR="008A60A3" w:rsidRDefault="008A60A3" w:rsidP="00975E81">
      <w:pPr>
        <w:pStyle w:val="RTBodyText"/>
        <w:rPr>
          <w:sz w:val="20"/>
          <w:szCs w:val="20"/>
          <w:lang w:eastAsia="en-GB"/>
        </w:rPr>
      </w:pPr>
    </w:p>
    <w:p w14:paraId="3B8207A6" w14:textId="77777777" w:rsidR="0031768B" w:rsidRDefault="0031768B" w:rsidP="0031768B">
      <w:pPr>
        <w:pStyle w:val="RTBodyText"/>
        <w:rPr>
          <w:lang w:eastAsia="en-GB"/>
        </w:rPr>
      </w:pPr>
      <w:bookmarkStart w:id="7" w:name="_Toc162866118"/>
      <w:r>
        <w:rPr>
          <w:lang w:eastAsia="en-GB"/>
        </w:rPr>
        <w:t xml:space="preserve">Women do not have equal rights to men with respect to passing on their nationality to their children. According to </w:t>
      </w:r>
      <w:r w:rsidRPr="00BC6FA0">
        <w:rPr>
          <w:lang w:eastAsia="en-GB"/>
        </w:rPr>
        <w:t>Law No. 24 of 2010 on provisions of Libyan nationality</w:t>
      </w:r>
      <w:r>
        <w:rPr>
          <w:lang w:eastAsia="en-GB"/>
        </w:rPr>
        <w:t>, children of all Libyan fathers automatically obtain Libyan nationality.</w:t>
      </w:r>
      <w:r>
        <w:rPr>
          <w:rStyle w:val="FootnoteReference"/>
          <w:lang w:eastAsia="en-GB"/>
        </w:rPr>
        <w:footnoteReference w:id="22"/>
      </w:r>
      <w:r>
        <w:rPr>
          <w:lang w:eastAsia="en-GB"/>
        </w:rPr>
        <w:t xml:space="preserve"> On the other hand, Article 3 specifies that Libyan mothers can only confer Libyan nationality to their children if their children are born in Libya and if the father is stateless or if his nationality and origin are unknown</w:t>
      </w:r>
      <w:r w:rsidRPr="00BC6FA0">
        <w:rPr>
          <w:lang w:eastAsia="en-GB"/>
        </w:rPr>
        <w:t>.</w:t>
      </w:r>
      <w:r>
        <w:rPr>
          <w:lang w:eastAsia="en-GB"/>
        </w:rPr>
        <w:t xml:space="preserve"> </w:t>
      </w:r>
      <w:r w:rsidRPr="00BC6FA0">
        <w:rPr>
          <w:lang w:eastAsia="en-GB"/>
        </w:rPr>
        <w:t xml:space="preserve">Article 11 of </w:t>
      </w:r>
      <w:r>
        <w:rPr>
          <w:lang w:eastAsia="en-GB"/>
        </w:rPr>
        <w:t>l</w:t>
      </w:r>
      <w:r w:rsidRPr="00BC6FA0">
        <w:rPr>
          <w:lang w:eastAsia="en-GB"/>
        </w:rPr>
        <w:t xml:space="preserve">aw </w:t>
      </w:r>
      <w:r>
        <w:rPr>
          <w:lang w:eastAsia="en-GB"/>
        </w:rPr>
        <w:t xml:space="preserve">further states </w:t>
      </w:r>
      <w:r w:rsidRPr="00BC6FA0">
        <w:rPr>
          <w:lang w:eastAsia="en-GB"/>
        </w:rPr>
        <w:t xml:space="preserve">that: “The children of Libyan women married to non-Libyans may be granted Libyan nationality. </w:t>
      </w:r>
      <w:r>
        <w:rPr>
          <w:lang w:eastAsia="en-GB"/>
        </w:rPr>
        <w:t xml:space="preserve">The executive regulation shall determine the guidelines for implementation of this article”. In October 2022, </w:t>
      </w:r>
      <w:r w:rsidRPr="008C5547">
        <w:rPr>
          <w:lang w:eastAsia="en-GB"/>
        </w:rPr>
        <w:t xml:space="preserve">the GNU </w:t>
      </w:r>
      <w:r>
        <w:rPr>
          <w:lang w:eastAsia="en-GB"/>
        </w:rPr>
        <w:t>issued Decree No.902/2022, granting to children born to Libyan mothers and non-Libyan fathers access to public education and healthcare without guaranteeing their right to nationality on par with children born to Libyan fathers and non-Libyan mothers.</w:t>
      </w:r>
      <w:r>
        <w:rPr>
          <w:rStyle w:val="FootnoteReference"/>
          <w:lang w:eastAsia="en-GB"/>
        </w:rPr>
        <w:footnoteReference w:id="23"/>
      </w:r>
      <w:r>
        <w:rPr>
          <w:lang w:eastAsia="en-GB"/>
        </w:rPr>
        <w:t xml:space="preserve">  This discriminatory legislation results in the denial of equal access to civil, political, social and economic rights to children of Libyan mothers and non-Libyan fathers, and discriminates against Libyan women. </w:t>
      </w:r>
    </w:p>
    <w:p w14:paraId="5D9152ED" w14:textId="7E0ACD5A" w:rsidR="008A60A3" w:rsidRPr="006B44F3" w:rsidRDefault="008A60A3" w:rsidP="008A60A3">
      <w:pPr>
        <w:pStyle w:val="BNumberedHeading"/>
      </w:pPr>
      <w:bookmarkStart w:id="8" w:name="_Toc164071178"/>
      <w:r w:rsidRPr="008A60A3">
        <w:t>Freedom of Movement (Articles 2 and 15)</w:t>
      </w:r>
      <w:bookmarkEnd w:id="8"/>
      <w:r w:rsidRPr="008A60A3">
        <w:t xml:space="preserve">  </w:t>
      </w:r>
    </w:p>
    <w:bookmarkEnd w:id="7"/>
    <w:p w14:paraId="727330CE" w14:textId="77777777" w:rsidR="008A60A3" w:rsidRDefault="008A60A3" w:rsidP="00975E81">
      <w:pPr>
        <w:pStyle w:val="RTBodyText"/>
        <w:jc w:val="both"/>
        <w:rPr>
          <w:lang w:eastAsia="en-GB"/>
        </w:rPr>
      </w:pPr>
    </w:p>
    <w:p w14:paraId="20E5D5F0" w14:textId="77777777" w:rsidR="0031768B" w:rsidRDefault="0031768B" w:rsidP="0031768B">
      <w:pPr>
        <w:pStyle w:val="RTBodyText"/>
        <w:jc w:val="both"/>
        <w:rPr>
          <w:lang w:eastAsia="en-GB"/>
        </w:rPr>
      </w:pPr>
      <w:r>
        <w:rPr>
          <w:lang w:eastAsia="en-GB"/>
        </w:rPr>
        <w:t xml:space="preserve">Women across Libya continue to face restrictions on their freedom of movement. While there is no Libyan law criminalizing solo women travellers or requiring women to seek permission from their spouses or male guardians to travel alone, including abroad, militias and armed groups across the country have sought to restrict women’s movement. </w:t>
      </w:r>
      <w:r w:rsidRPr="001C1303">
        <w:rPr>
          <w:lang w:eastAsia="en-GB"/>
        </w:rPr>
        <w:t xml:space="preserve">In </w:t>
      </w:r>
      <w:r>
        <w:rPr>
          <w:lang w:eastAsia="en-GB"/>
        </w:rPr>
        <w:t xml:space="preserve">April 2023, </w:t>
      </w:r>
      <w:r w:rsidRPr="001C1303">
        <w:rPr>
          <w:lang w:eastAsia="en-GB"/>
        </w:rPr>
        <w:t xml:space="preserve">the </w:t>
      </w:r>
      <w:r w:rsidRPr="00D339E2">
        <w:rPr>
          <w:lang w:eastAsia="en-GB"/>
        </w:rPr>
        <w:t>ISA-</w:t>
      </w:r>
      <w:r>
        <w:rPr>
          <w:lang w:eastAsia="en-GB"/>
        </w:rPr>
        <w:t xml:space="preserve">Tripoli based, </w:t>
      </w:r>
      <w:r w:rsidRPr="00A24817">
        <w:rPr>
          <w:lang w:eastAsia="en-GB"/>
        </w:rPr>
        <w:t>required women travelling</w:t>
      </w:r>
      <w:r>
        <w:rPr>
          <w:lang w:eastAsia="en-GB"/>
        </w:rPr>
        <w:t xml:space="preserve"> abroad</w:t>
      </w:r>
      <w:r w:rsidRPr="00A24817">
        <w:rPr>
          <w:lang w:eastAsia="en-GB"/>
        </w:rPr>
        <w:t xml:space="preserve"> alone to complete a form on their reasons for travelling abroad without a male “guardian” (mahram)</w:t>
      </w:r>
      <w:r>
        <w:rPr>
          <w:lang w:eastAsia="en-GB"/>
        </w:rPr>
        <w:t xml:space="preserve">. In eastern Libya, under the de facto control of LAAF, LAAF’s </w:t>
      </w:r>
      <w:r w:rsidRPr="00FB5363">
        <w:rPr>
          <w:lang w:eastAsia="en-GB"/>
        </w:rPr>
        <w:t>Decree No. 6 of 2017</w:t>
      </w:r>
      <w:r>
        <w:rPr>
          <w:lang w:eastAsia="en-GB"/>
        </w:rPr>
        <w:t xml:space="preserve"> issued in February 2017</w:t>
      </w:r>
      <w:r w:rsidRPr="00FB5363">
        <w:rPr>
          <w:lang w:eastAsia="en-GB"/>
        </w:rPr>
        <w:t xml:space="preserve"> restricted</w:t>
      </w:r>
      <w:r>
        <w:rPr>
          <w:lang w:eastAsia="en-GB"/>
        </w:rPr>
        <w:t xml:space="preserve"> the right of</w:t>
      </w:r>
      <w:r w:rsidRPr="00FB5363">
        <w:rPr>
          <w:lang w:eastAsia="en-GB"/>
        </w:rPr>
        <w:t xml:space="preserve"> Libyan women under the age of 60 from travelling abroad without a legal male guardian. Following a public outcry and calls from civil society for its removal, Decree No. 6 was replaced </w:t>
      </w:r>
      <w:r>
        <w:rPr>
          <w:lang w:eastAsia="en-GB"/>
        </w:rPr>
        <w:t xml:space="preserve">by </w:t>
      </w:r>
      <w:r w:rsidRPr="00FB5363">
        <w:rPr>
          <w:lang w:eastAsia="en-GB"/>
        </w:rPr>
        <w:t>Decree No. 7</w:t>
      </w:r>
      <w:r>
        <w:rPr>
          <w:lang w:eastAsia="en-GB"/>
        </w:rPr>
        <w:t xml:space="preserve"> of 2017</w:t>
      </w:r>
      <w:r w:rsidRPr="00FB5363">
        <w:rPr>
          <w:lang w:eastAsia="en-GB"/>
        </w:rPr>
        <w:t xml:space="preserve">, which stipulated that no Libyan </w:t>
      </w:r>
      <w:r>
        <w:rPr>
          <w:lang w:eastAsia="en-GB"/>
        </w:rPr>
        <w:t>man</w:t>
      </w:r>
      <w:r w:rsidRPr="00FB5363">
        <w:rPr>
          <w:lang w:eastAsia="en-GB"/>
        </w:rPr>
        <w:t xml:space="preserve"> or </w:t>
      </w:r>
      <w:r>
        <w:rPr>
          <w:lang w:eastAsia="en-GB"/>
        </w:rPr>
        <w:t>woman</w:t>
      </w:r>
      <w:r w:rsidRPr="00FB5363">
        <w:rPr>
          <w:lang w:eastAsia="en-GB"/>
        </w:rPr>
        <w:t xml:space="preserve"> between the ages of 18 and 45 could travel abroad without prior “security approval”</w:t>
      </w:r>
      <w:r>
        <w:rPr>
          <w:lang w:eastAsia="en-GB"/>
        </w:rPr>
        <w:t xml:space="preserve">. </w:t>
      </w:r>
      <w:r w:rsidRPr="00FB5363">
        <w:rPr>
          <w:lang w:eastAsia="en-GB"/>
        </w:rPr>
        <w:t>The Decree failed to specify the procedure required to obtain such approval or the criteria that would be used to grant or deny it.</w:t>
      </w:r>
      <w:r w:rsidRPr="00FB5363">
        <w:rPr>
          <w:rStyle w:val="FootnoteReference"/>
          <w:lang w:eastAsia="en-GB"/>
        </w:rPr>
        <w:t xml:space="preserve"> </w:t>
      </w:r>
      <w:r>
        <w:rPr>
          <w:rStyle w:val="FootnoteReference"/>
          <w:lang w:eastAsia="en-GB"/>
        </w:rPr>
        <w:footnoteReference w:id="24"/>
      </w:r>
      <w:r>
        <w:rPr>
          <w:lang w:eastAsia="en-GB"/>
        </w:rPr>
        <w:t xml:space="preserve"> </w:t>
      </w:r>
      <w:r w:rsidRPr="00400EF5">
        <w:rPr>
          <w:lang w:eastAsia="en-GB"/>
        </w:rPr>
        <w:t xml:space="preserve">Some women told Amnesty International that the security approval for women required filling out a form. This form asked for reasons for </w:t>
      </w:r>
      <w:proofErr w:type="spellStart"/>
      <w:r w:rsidRPr="00400EF5">
        <w:rPr>
          <w:lang w:eastAsia="en-GB"/>
        </w:rPr>
        <w:t>traveling</w:t>
      </w:r>
      <w:proofErr w:type="spellEnd"/>
      <w:r w:rsidRPr="00400EF5">
        <w:rPr>
          <w:lang w:eastAsia="en-GB"/>
        </w:rPr>
        <w:t xml:space="preserve"> abroad alone, the purpose of the trip, the reasons for the absence of a male 'guardian' (mahram), and whether the </w:t>
      </w:r>
      <w:r>
        <w:rPr>
          <w:lang w:eastAsia="en-GB"/>
        </w:rPr>
        <w:t>woman</w:t>
      </w:r>
      <w:r w:rsidRPr="00400EF5">
        <w:rPr>
          <w:lang w:eastAsia="en-GB"/>
        </w:rPr>
        <w:t xml:space="preserve"> had ever travel</w:t>
      </w:r>
      <w:r>
        <w:rPr>
          <w:lang w:eastAsia="en-GB"/>
        </w:rPr>
        <w:t>l</w:t>
      </w:r>
      <w:r w:rsidRPr="00400EF5">
        <w:rPr>
          <w:lang w:eastAsia="en-GB"/>
        </w:rPr>
        <w:t>ed before without a male 'guardian' (mahram).</w:t>
      </w:r>
    </w:p>
    <w:p w14:paraId="0F2033D2" w14:textId="3BE8FA37" w:rsidR="008E0DA1" w:rsidRDefault="008E0DA1" w:rsidP="008E0DA1">
      <w:pPr>
        <w:pStyle w:val="BNumberedHeading"/>
      </w:pPr>
      <w:bookmarkStart w:id="9" w:name="_Toc164071179"/>
      <w:r w:rsidRPr="008E0DA1">
        <w:t>women relatives of missing persons (Article 2, and 16)</w:t>
      </w:r>
      <w:bookmarkEnd w:id="9"/>
    </w:p>
    <w:p w14:paraId="78D9ED27" w14:textId="77777777" w:rsidR="00975E81" w:rsidRDefault="00975E81" w:rsidP="00975E81">
      <w:pPr>
        <w:pStyle w:val="RTBodyText"/>
        <w:jc w:val="both"/>
        <w:rPr>
          <w:lang w:eastAsia="en-GB"/>
        </w:rPr>
      </w:pPr>
    </w:p>
    <w:p w14:paraId="0C095185" w14:textId="77777777" w:rsidR="0031768B" w:rsidRDefault="0031768B" w:rsidP="0031768B">
      <w:pPr>
        <w:pStyle w:val="RTBodyText"/>
        <w:rPr>
          <w:lang w:eastAsia="en-GB"/>
        </w:rPr>
      </w:pPr>
      <w:r>
        <w:rPr>
          <w:lang w:eastAsia="en-GB"/>
        </w:rPr>
        <w:t xml:space="preserve">Since the </w:t>
      </w:r>
      <w:proofErr w:type="gramStart"/>
      <w:r>
        <w:rPr>
          <w:lang w:eastAsia="en-GB"/>
        </w:rPr>
        <w:t>2011 armed</w:t>
      </w:r>
      <w:proofErr w:type="gramEnd"/>
      <w:r>
        <w:rPr>
          <w:lang w:eastAsia="en-GB"/>
        </w:rPr>
        <w:t xml:space="preserve"> conflict, thousands of people, mainly men, have been subjected to enforced disappearances, or have gone missing in the context of the protracted armed conflict, instability and more recently the catastrophic flooding in Derna in September 2023. Women are disproportionately impacted, as they are left to address the financial and psychological consequences of the disappearance on the family, including losing the main breadwinner. Given the precarious legal status of their disappeared relatives, </w:t>
      </w:r>
      <w:r>
        <w:rPr>
          <w:lang w:eastAsia="en-GB"/>
        </w:rPr>
        <w:lastRenderedPageBreak/>
        <w:t>women are confronted with barriers in accessing their social and economic rights, including</w:t>
      </w:r>
      <w:r w:rsidRPr="002F368D">
        <w:t xml:space="preserve"> bank accounts</w:t>
      </w:r>
      <w:r>
        <w:t xml:space="preserve"> and</w:t>
      </w:r>
      <w:r w:rsidRPr="002F368D">
        <w:t xml:space="preserve"> social services, </w:t>
      </w:r>
      <w:r>
        <w:t>and</w:t>
      </w:r>
      <w:r w:rsidRPr="002F368D">
        <w:t xml:space="preserve"> </w:t>
      </w:r>
      <w:r>
        <w:t xml:space="preserve">in claiming or retaining </w:t>
      </w:r>
      <w:r w:rsidRPr="002F368D">
        <w:t xml:space="preserve">ownership of assets. </w:t>
      </w:r>
      <w:r>
        <w:t xml:space="preserve"> </w:t>
      </w:r>
      <w:r>
        <w:rPr>
          <w:lang w:eastAsia="en-GB"/>
        </w:rPr>
        <w:t>Successive Libyan a</w:t>
      </w:r>
      <w:r w:rsidRPr="00E20249">
        <w:rPr>
          <w:lang w:eastAsia="en-GB"/>
        </w:rPr>
        <w:t>uthorities</w:t>
      </w:r>
      <w:r>
        <w:rPr>
          <w:lang w:eastAsia="en-GB"/>
        </w:rPr>
        <w:t xml:space="preserve"> and those in de facto control</w:t>
      </w:r>
      <w:r w:rsidRPr="00E20249">
        <w:rPr>
          <w:lang w:eastAsia="en-GB"/>
        </w:rPr>
        <w:t xml:space="preserve"> did not institute specific measures to facilitate the provision of death certificates for those</w:t>
      </w:r>
      <w:r>
        <w:rPr>
          <w:lang w:eastAsia="en-GB"/>
        </w:rPr>
        <w:t xml:space="preserve"> subjected to enforced disappearance or</w:t>
      </w:r>
      <w:r w:rsidRPr="00E20249">
        <w:rPr>
          <w:lang w:eastAsia="en-GB"/>
        </w:rPr>
        <w:t xml:space="preserve"> missing</w:t>
      </w:r>
      <w:r>
        <w:rPr>
          <w:lang w:eastAsia="en-GB"/>
        </w:rPr>
        <w:t>, including in the wake of Derna floods</w:t>
      </w:r>
      <w:r w:rsidRPr="00E20249">
        <w:rPr>
          <w:lang w:eastAsia="en-GB"/>
        </w:rPr>
        <w:t>, needed to access widows’ pensions and other state aid</w:t>
      </w:r>
      <w:r>
        <w:rPr>
          <w:lang w:eastAsia="en-GB"/>
        </w:rPr>
        <w:t>.</w:t>
      </w:r>
      <w:r w:rsidRPr="00E20249">
        <w:rPr>
          <w:lang w:eastAsia="en-GB"/>
        </w:rPr>
        <w:t xml:space="preserve"> </w:t>
      </w:r>
      <w:r>
        <w:rPr>
          <w:lang w:eastAsia="en-GB"/>
        </w:rPr>
        <w:t xml:space="preserve">This particularly affected </w:t>
      </w:r>
      <w:r w:rsidRPr="00E20249">
        <w:rPr>
          <w:lang w:eastAsia="en-GB"/>
        </w:rPr>
        <w:t xml:space="preserve">women who lost their husbands. </w:t>
      </w:r>
      <w:r>
        <w:rPr>
          <w:lang w:eastAsia="en-GB"/>
        </w:rPr>
        <w:t xml:space="preserve">Libyan personal status laws stipulate that the death of a missing husband is acknowledged four years after he is registered as missing. In relation to other missing persons, their death can only be registered following a court decision or proof of death. </w:t>
      </w:r>
      <w:r>
        <w:rPr>
          <w:rStyle w:val="FootnoteReference"/>
          <w:lang w:eastAsia="en-GB"/>
        </w:rPr>
        <w:footnoteReference w:id="25"/>
      </w:r>
      <w:r>
        <w:rPr>
          <w:lang w:eastAsia="en-GB"/>
        </w:rPr>
        <w:t xml:space="preserve">In November 2023, in the wake of the Derna floods, </w:t>
      </w:r>
      <w:r w:rsidRPr="00C667D9">
        <w:rPr>
          <w:lang w:eastAsia="en-GB"/>
        </w:rPr>
        <w:t xml:space="preserve">the eastern-based Government National Stability (GNS), which is allied to </w:t>
      </w:r>
      <w:r>
        <w:rPr>
          <w:lang w:eastAsia="en-GB"/>
        </w:rPr>
        <w:t xml:space="preserve">the </w:t>
      </w:r>
      <w:r w:rsidRPr="00C667D9">
        <w:rPr>
          <w:lang w:eastAsia="en-GB"/>
        </w:rPr>
        <w:t>LAAF,</w:t>
      </w:r>
      <w:r>
        <w:rPr>
          <w:lang w:eastAsia="en-GB"/>
        </w:rPr>
        <w:t xml:space="preserve"> </w:t>
      </w:r>
      <w:r w:rsidRPr="0038611C">
        <w:rPr>
          <w:lang w:eastAsia="en-GB"/>
        </w:rPr>
        <w:t>submitted a proposed law to consider a missing person as dead after six months, rather than four years, to address the rights of heirs as well as to enable married women with missing husbands to be recognized as widows</w:t>
      </w:r>
      <w:r>
        <w:rPr>
          <w:lang w:eastAsia="en-GB"/>
        </w:rPr>
        <w:t>. The law has yet to be tabled for discussion by the parliament.</w:t>
      </w:r>
      <w:r w:rsidRPr="00074115">
        <w:rPr>
          <w:lang w:eastAsia="en-GB"/>
        </w:rPr>
        <w:t xml:space="preserve"> </w:t>
      </w:r>
      <w:r>
        <w:rPr>
          <w:lang w:eastAsia="en-GB"/>
        </w:rPr>
        <w:t>Authorities did not put in place any measures to ensure that individuals impacted by the floods, including women and girls, have access to free legal advice and assistance to help them claim their rights</w:t>
      </w:r>
      <w:r w:rsidRPr="0038611C">
        <w:rPr>
          <w:lang w:eastAsia="en-GB"/>
        </w:rPr>
        <w:t>.</w:t>
      </w:r>
      <w:r>
        <w:rPr>
          <w:rStyle w:val="FootnoteReference"/>
          <w:lang w:eastAsia="en-GB"/>
        </w:rPr>
        <w:footnoteReference w:id="26"/>
      </w:r>
      <w:r w:rsidRPr="0038611C">
        <w:rPr>
          <w:lang w:eastAsia="en-GB"/>
        </w:rPr>
        <w:t xml:space="preserve"> </w:t>
      </w:r>
    </w:p>
    <w:p w14:paraId="5C8914EF" w14:textId="77777777" w:rsidR="0031768B" w:rsidRPr="008B2727" w:rsidRDefault="0031768B" w:rsidP="0031768B">
      <w:pPr>
        <w:pStyle w:val="RTBodyText"/>
        <w:rPr>
          <w:lang w:eastAsia="en-GB"/>
        </w:rPr>
        <w:sectPr w:rsidR="0031768B" w:rsidRPr="008B2727" w:rsidSect="00CF7348">
          <w:footerReference w:type="default" r:id="rId11"/>
          <w:pgSz w:w="11900" w:h="16840"/>
          <w:pgMar w:top="1474" w:right="1814" w:bottom="1985" w:left="1814" w:header="709" w:footer="851" w:gutter="0"/>
          <w:cols w:space="708"/>
          <w:docGrid w:linePitch="360"/>
        </w:sectPr>
      </w:pPr>
      <w:r>
        <w:rPr>
          <w:lang w:eastAsia="en-GB"/>
        </w:rPr>
        <w:t>Others impacted include the women relatives of hundreds of men who have gone missing after being abducted in and around Tarhuna by al-</w:t>
      </w:r>
      <w:proofErr w:type="spellStart"/>
      <w:r>
        <w:rPr>
          <w:lang w:eastAsia="en-GB"/>
        </w:rPr>
        <w:t>Kaniat</w:t>
      </w:r>
      <w:proofErr w:type="spellEnd"/>
      <w:r>
        <w:rPr>
          <w:lang w:eastAsia="en-GB"/>
        </w:rPr>
        <w:t xml:space="preserve"> armed group, which was in control of the area until June 2020 when GNA forces imposed their control over the city.</w:t>
      </w:r>
      <w:r>
        <w:rPr>
          <w:rStyle w:val="FootnoteReference"/>
          <w:lang w:eastAsia="en-GB"/>
        </w:rPr>
        <w:footnoteReference w:id="27"/>
      </w:r>
      <w:r>
        <w:rPr>
          <w:lang w:eastAsia="en-GB"/>
        </w:rPr>
        <w:t xml:space="preserve"> </w:t>
      </w:r>
      <w:r>
        <w:rPr>
          <w:color w:val="auto"/>
        </w:rPr>
        <w:t>The pain and suffering of having lost their loved ones are compounded by the continued failure of the Libyan authorities to provide them with adequate remedies including financial,  social and psychological support and compensation. As of 28 March 2024, no concrete mechanism had been put in place by the authorities to provide the necessary financial and psycho-social support to survivors and families of victims.</w:t>
      </w:r>
    </w:p>
    <w:p w14:paraId="1822B544" w14:textId="77777777" w:rsidR="00085AA0" w:rsidRPr="009C6598" w:rsidRDefault="008D2844" w:rsidP="00661C0B">
      <w:pPr>
        <w:pStyle w:val="BBodyText"/>
        <w:rPr>
          <w:lang w:eastAsia="en-GB"/>
        </w:rPr>
      </w:pPr>
      <w:r>
        <w:rPr>
          <w:noProof/>
          <w:color w:val="2B579A"/>
          <w:shd w:val="clear" w:color="auto" w:fill="E6E6E6"/>
        </w:rPr>
        <w:lastRenderedPageBreak/>
        <mc:AlternateContent>
          <mc:Choice Requires="wps">
            <w:drawing>
              <wp:anchor distT="0" distB="0" distL="114300" distR="114300" simplePos="0" relativeHeight="251658241" behindDoc="0" locked="0" layoutInCell="1" allowOverlap="1" wp14:anchorId="6E3CB8F7" wp14:editId="2A90DD6F">
                <wp:simplePos x="0" y="0"/>
                <wp:positionH relativeFrom="column">
                  <wp:posOffset>-253365</wp:posOffset>
                </wp:positionH>
                <wp:positionV relativeFrom="paragraph">
                  <wp:posOffset>238125</wp:posOffset>
                </wp:positionV>
                <wp:extent cx="6647180" cy="472821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647180" cy="4728210"/>
                        </a:xfrm>
                        <a:prstGeom prst="rect">
                          <a:avLst/>
                        </a:prstGeom>
                        <a:noFill/>
                        <a:ln w="6350">
                          <a:noFill/>
                        </a:ln>
                      </wps:spPr>
                      <wps:txbx>
                        <w:txbxContent>
                          <w:p w14:paraId="53F06D5C" w14:textId="77777777"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49A03A03" w14:textId="77777777" w:rsidR="008D2844" w:rsidRPr="001556CD" w:rsidRDefault="008D2844">
                            <w:pPr>
                              <w:pStyle w:val="BBodyText"/>
                              <w:tabs>
                                <w:tab w:val="left" w:pos="1200"/>
                              </w:tabs>
                              <w:rPr>
                                <w:rFonts w:ascii="Amnesty Trade Gothic" w:hAnsi="Amnesty Trade Gothic"/>
                                <w:noProof/>
                                <w:color w:val="0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3CB8F7" id="_x0000_t202" coordsize="21600,21600" o:spt="202" path="m,l,21600r21600,l21600,xe">
                <v:stroke joinstyle="miter"/>
                <v:path gradientshapeok="t" o:connecttype="rect"/>
              </v:shapetype>
              <v:shape id="Text Box 1" o:spid="_x0000_s1026" type="#_x0000_t202" style="position:absolute;margin-left:-19.95pt;margin-top:18.75pt;width:523.4pt;height:372.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wxGAIAAC0EAAAOAAAAZHJzL2Uyb0RvYy54bWysU02P2yAQvVfqf0DcG9tpNkmtOKt0V6kq&#10;RbsrZas9EwyxJcxQILHTX98BOx/a9lT1AgMzzMd7j8V91yhyFNbVoAuajVJKhOZQ1npf0B+v609z&#10;SpxnumQKtCjoSTh6v/z4YdGaXIyhAlUKSzCJdnlrClp5b/IkcbwSDXMjMEKjU4JtmMej3SelZS1m&#10;b1QyTtNp0oItjQUunMPbx95JlzG/lIL7Zymd8EQVFHvzcbVx3YU1WS5YvrfMVDUf2mD/0EXDao1F&#10;L6kemWfkYOs/UjU1t+BA+hGHJgEpay7iDDhNlr6bZlsxI+IsCI4zF5jc/0vLn45b82KJ775ChwQG&#10;QFrjcoeXYZ5O2ibs2ClBP0J4usAmOk84Xk6nk1k2RxdH32Q2no+zCGxyfW6s898ENCQYBbXIS4SL&#10;HTfOY0kMPYeEahrWtVKRG6VJiyU+36XxwcWDL5TGh9dmg+W7XTdMsIPyhINZ6Dl3hq9rLL5hzr8w&#10;iyRjwyhc/4yLVIBFYLAoqcD++tt9iEfs0UtJi6IpqPt5YFZQor5rZOVLNpkElcXD5G42xoO99exu&#10;PfrQPADqMsMvYng0Q7xXZ1NaaN5Q36tQFV1Mc6xdUH82H3wvZfwfXKxWMQh1ZZjf6K3hIXWAM0D7&#10;2r0xawb8PVL3BGd5sfwdDX1sT8Tq4EHWkaMAcI/qgDtqMlI3/J8g+ttzjLr+8uVvAAAA//8DAFBL&#10;AwQUAAYACAAAACEAidQAv+IAAAALAQAADwAAAGRycy9kb3ducmV2LnhtbEyPwU7CQBCG7ya+w2ZM&#10;vMGWEqTUTglpQkyMHkAu3rbdoW3sztbuAtWndznhcWa+/P832Xo0nTjT4FrLCLNpBIK4srrlGuHw&#10;sZ0kIJxXrFVnmRB+yME6v7/LVKrthXd03vtahBB2qUJovO9TKV3VkFFuanvicDvawSgfxqGWelCX&#10;EG46GUfRkzSq5dDQqJ6Khqqv/ckgvBbbd7UrY5P8dsXL23HTfx8+F4iPD+PmGYSn0d9guOoHdciD&#10;U2lPrJ3oECbz1SqgCPPlAsQVCHVhUyIsk3gGMs/k/x/yPwAAAP//AwBQSwECLQAUAAYACAAAACEA&#10;toM4kv4AAADhAQAAEwAAAAAAAAAAAAAAAAAAAAAAW0NvbnRlbnRfVHlwZXNdLnhtbFBLAQItABQA&#10;BgAIAAAAIQA4/SH/1gAAAJQBAAALAAAAAAAAAAAAAAAAAC8BAABfcmVscy8ucmVsc1BLAQItABQA&#10;BgAIAAAAIQD/ZSwxGAIAAC0EAAAOAAAAAAAAAAAAAAAAAC4CAABkcnMvZTJvRG9jLnhtbFBLAQIt&#10;ABQABgAIAAAAIQCJ1AC/4gAAAAsBAAAPAAAAAAAAAAAAAAAAAHIEAABkcnMvZG93bnJldi54bWxQ&#10;SwUGAAAAAAQABADzAAAAgQUAAAAA&#10;" filled="f" stroked="f" strokeweight=".5pt">
                <v:textbox>
                  <w:txbxContent>
                    <w:p w14:paraId="53F06D5C" w14:textId="77777777"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49A03A03" w14:textId="77777777" w:rsidR="008D2844" w:rsidRPr="001556CD" w:rsidRDefault="008D2844">
                      <w:pPr>
                        <w:pStyle w:val="BBodyText"/>
                        <w:tabs>
                          <w:tab w:val="left" w:pos="1200"/>
                        </w:tabs>
                        <w:rPr>
                          <w:rFonts w:ascii="Amnesty Trade Gothic" w:hAnsi="Amnesty Trade Gothic"/>
                          <w:noProof/>
                          <w:color w:val="000000"/>
                        </w:rPr>
                      </w:pPr>
                    </w:p>
                  </w:txbxContent>
                </v:textbox>
                <w10:wrap type="square"/>
              </v:shape>
            </w:pict>
          </mc:Fallback>
        </mc:AlternateContent>
      </w:r>
    </w:p>
    <w:p w14:paraId="0690BAE9" w14:textId="77777777" w:rsidR="00EE3C56" w:rsidRPr="00065FFC" w:rsidRDefault="002731B3" w:rsidP="00DB64F9">
      <w:pPr>
        <w:pStyle w:val="BBodyText"/>
        <w:tabs>
          <w:tab w:val="left" w:pos="1200"/>
        </w:tabs>
      </w:pPr>
      <w:r>
        <w:rPr>
          <w:rFonts w:ascii="Amnesty Trade Gothic" w:hAnsi="Amnesty Trade Gothic"/>
          <w:noProof/>
          <w:color w:val="000000"/>
          <w:shd w:val="clear" w:color="auto" w:fill="E6E6E6"/>
        </w:rPr>
        <mc:AlternateContent>
          <mc:Choice Requires="wps">
            <w:drawing>
              <wp:anchor distT="0" distB="0" distL="114300" distR="114300" simplePos="0" relativeHeight="251658245" behindDoc="0" locked="0" layoutInCell="1" allowOverlap="1" wp14:anchorId="128BAEFD" wp14:editId="13C4D437">
                <wp:simplePos x="0" y="0"/>
                <wp:positionH relativeFrom="column">
                  <wp:posOffset>-164546</wp:posOffset>
                </wp:positionH>
                <wp:positionV relativeFrom="paragraph">
                  <wp:posOffset>5713730</wp:posOffset>
                </wp:positionV>
                <wp:extent cx="1698625" cy="1807845"/>
                <wp:effectExtent l="0" t="0" r="0" b="1905"/>
                <wp:wrapNone/>
                <wp:docPr id="27" name="Text Box 27"/>
                <wp:cNvGraphicFramePr/>
                <a:graphic xmlns:a="http://schemas.openxmlformats.org/drawingml/2006/main">
                  <a:graphicData uri="http://schemas.microsoft.com/office/word/2010/wordprocessingShape">
                    <wps:wsp>
                      <wps:cNvSpPr txBox="1"/>
                      <wps:spPr>
                        <a:xfrm>
                          <a:off x="0" y="0"/>
                          <a:ext cx="1698625" cy="1807845"/>
                        </a:xfrm>
                        <a:prstGeom prst="rect">
                          <a:avLst/>
                        </a:prstGeom>
                        <a:noFill/>
                        <a:ln w="6350">
                          <a:noFill/>
                        </a:ln>
                      </wps:spPr>
                      <wps:txbx>
                        <w:txbxContent>
                          <w:p w14:paraId="49DDEBC2"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noProof/>
                                <w:color w:val="2B579A"/>
                                <w:sz w:val="30"/>
                                <w:szCs w:val="30"/>
                                <w:shd w:val="clear" w:color="auto" w:fill="E6E6E6"/>
                                <w:lang w:val="fr-FR"/>
                              </w:rPr>
                              <w:drawing>
                                <wp:inline distT="0" distB="0" distL="0" distR="0" wp14:anchorId="544FB35C" wp14:editId="10A0A9F7">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2"/>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13" w:history="1">
                              <w:r w:rsidRPr="00D4065A">
                                <w:rPr>
                                  <w:rStyle w:val="Hyperlink"/>
                                  <w:rFonts w:ascii="Amnesty Trade Gothic Cn" w:hAnsi="Amnesty Trade Gothic Cn"/>
                                  <w:b/>
                                  <w:bCs/>
                                  <w:color w:val="auto"/>
                                  <w:szCs w:val="21"/>
                                  <w:lang w:val="en-GB"/>
                                </w:rPr>
                                <w:t>info@amnesty.org</w:t>
                              </w:r>
                            </w:hyperlink>
                          </w:p>
                          <w:p w14:paraId="61AA5AD3" w14:textId="77777777" w:rsidR="004E5E19" w:rsidRPr="00D4065A" w:rsidRDefault="00000000" w:rsidP="004E5E19">
                            <w:pPr>
                              <w:pStyle w:val="BBodyText"/>
                              <w:jc w:val="center"/>
                              <w:rPr>
                                <w:rStyle w:val="Hyperlink"/>
                                <w:rFonts w:ascii="Amnesty Trade Gothic Cn" w:hAnsi="Amnesty Trade Gothic Cn"/>
                                <w:color w:val="auto"/>
                              </w:rPr>
                            </w:pPr>
                            <w:hyperlink r:id="rId14" w:history="1">
                              <w:r w:rsidR="004E5E19" w:rsidRPr="00D4065A">
                                <w:rPr>
                                  <w:rFonts w:ascii="Amnesty Trade Gothic Cn" w:hAnsi="Amnesty Trade Gothic Cn"/>
                                  <w:noProof/>
                                  <w:color w:val="2B579A"/>
                                  <w:shd w:val="clear" w:color="auto" w:fill="E6E6E6"/>
                                  <w:vertAlign w:val="subscript"/>
                                </w:rPr>
                                <w:drawing>
                                  <wp:inline distT="0" distB="0" distL="0" distR="0" wp14:anchorId="7EA51E87" wp14:editId="1F910AEB">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15"/>
                                            <a:stretch>
                                              <a:fillRect/>
                                            </a:stretch>
                                          </pic:blipFill>
                                          <pic:spPr>
                                            <a:xfrm>
                                              <a:off x="0" y="0"/>
                                              <a:ext cx="290598" cy="290598"/>
                                            </a:xfrm>
                                            <a:prstGeom prst="rect">
                                              <a:avLst/>
                                            </a:prstGeom>
                                          </pic:spPr>
                                        </pic:pic>
                                      </a:graphicData>
                                    </a:graphic>
                                  </wp:inline>
                                </w:drawing>
                              </w:r>
                              <w:r w:rsidR="004E5E19" w:rsidRPr="00D4065A">
                                <w:rPr>
                                  <w:rFonts w:ascii="Amnesty Trade Gothic Cn" w:hAnsi="Amnesty Trade Gothic Cn"/>
                                </w:rPr>
                                <w:br/>
                              </w:r>
                              <w:r w:rsidR="004E5E19" w:rsidRPr="00D4065A">
                                <w:rPr>
                                  <w:rStyle w:val="Hyperlink"/>
                                  <w:rFonts w:ascii="Amnesty Trade Gothic Cn" w:hAnsi="Amnesty Trade Gothic Cn"/>
                                  <w:color w:val="auto"/>
                                </w:rPr>
                                <w:t>facebook.com/</w:t>
                              </w:r>
                              <w:r w:rsidR="004E5E19" w:rsidRPr="00D4065A">
                                <w:rPr>
                                  <w:rStyle w:val="Hyperlink"/>
                                  <w:rFonts w:ascii="Amnesty Trade Gothic Cn" w:hAnsi="Amnesty Trade Gothic Cn"/>
                                  <w:color w:val="auto"/>
                                </w:rPr>
                                <w:br/>
                              </w:r>
                              <w:proofErr w:type="spellStart"/>
                              <w:r w:rsidR="004E5E19" w:rsidRPr="00D4065A">
                                <w:rPr>
                                  <w:rStyle w:val="Hyperlink"/>
                                  <w:rFonts w:ascii="Amnesty Trade Gothic Cn" w:hAnsi="Amnesty Trade Gothic Cn"/>
                                  <w:b/>
                                  <w:bCs w:val="0"/>
                                  <w:color w:val="auto"/>
                                </w:rPr>
                                <w:t>AmnestyGlobal</w:t>
                              </w:r>
                              <w:proofErr w:type="spellEnd"/>
                            </w:hyperlink>
                          </w:p>
                          <w:p w14:paraId="5F6B3953" w14:textId="77777777" w:rsidR="004E5E19" w:rsidRPr="00B772D5" w:rsidRDefault="004E5E19" w:rsidP="004E5E19">
                            <w:pPr>
                              <w:pStyle w:val="BBodyText"/>
                              <w:spacing w:after="0"/>
                              <w:jc w:val="center"/>
                              <w:rPr>
                                <w:rStyle w:val="Hyperlink"/>
                                <w:color w:val="auto"/>
                              </w:rPr>
                            </w:pPr>
                            <w:r w:rsidRPr="00B772D5">
                              <w:rPr>
                                <w:noProof/>
                                <w:color w:val="2B579A"/>
                                <w:shd w:val="clear" w:color="auto" w:fill="E6E6E6"/>
                              </w:rPr>
                              <w:drawing>
                                <wp:inline distT="0" distB="0" distL="0" distR="0" wp14:anchorId="1A5CA62D" wp14:editId="6F5FC6CA">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16"/>
                                          <a:stretch>
                                            <a:fillRect/>
                                          </a:stretch>
                                        </pic:blipFill>
                                        <pic:spPr>
                                          <a:xfrm>
                                            <a:off x="0" y="0"/>
                                            <a:ext cx="342194" cy="343682"/>
                                          </a:xfrm>
                                          <a:prstGeom prst="rect">
                                            <a:avLst/>
                                          </a:prstGeom>
                                        </pic:spPr>
                                      </pic:pic>
                                    </a:graphicData>
                                  </a:graphic>
                                </wp:inline>
                              </w:drawing>
                            </w:r>
                          </w:p>
                          <w:p w14:paraId="2F831BD7"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53CFD627" w14:textId="77777777" w:rsidR="004E5E19" w:rsidRDefault="004E5E19" w:rsidP="004E5E1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8BAEFD" id="Text Box 27" o:spid="_x0000_s1027" type="#_x0000_t202" style="position:absolute;margin-left:-12.95pt;margin-top:449.9pt;width:133.75pt;height:142.35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9iRGgIAADQEAAAOAAAAZHJzL2Uyb0RvYy54bWysU01vGyEQvVfqf0Dc6127tuOsvI7cRK4q&#10;RUkkJ8oZs+BFYhkK2Lvur+/A+ktpT1UvMDDDfLz3mN91jSZ74bwCU9LhIKdEGA6VMtuSvr2uvswo&#10;8YGZimkwoqQH4end4vOneWsLMYIadCUcwSTGF60taR2CLbLM81o0zA/ACoNOCa5hAY9um1WOtZi9&#10;0dkoz6dZC66yDrjwHm8feiddpPxSCh6epfQiEF1S7C2k1aV1E9dsMWfF1jFbK35sg/1DFw1TBoue&#10;Uz2wwMjOqT9SNYo78CDDgEOTgZSKizQDTjPMP0yzrpkVaRYEx9szTP7/peVP+7V9cSR036BDAiMg&#10;rfWFx8s4TyddE3fslKAfITycYRNdIDw+mt7OpqMJJRx9w1l+MxtPYp7s8tw6H74LaEg0SuqQlwQX&#10;2z/60IeeQmI1AyuldeJGG9KWdPp1kqcHZw8m1wZrXJqNVug2HVHV1SAbqA44n4Oeem/5SmEPj8yH&#10;F+aQaxwJ9RuecZEasBYcLUpqcL/+dh/jkQL0UtKidkrqf+6YE5ToHwbJuR2Ox1Fs6TCe3Izw4K49&#10;m2uP2TX3gPIc4k+xPJkxPuiTKR007yjzZayKLmY41i5pOJn3oVc0fhMulssUhPKyLDyateUxdUQ1&#10;IvzavTNnjzQEZPAJTipjxQc2+tiej+UugFSJqohzj+oRfpRmIvv4jaL2r88p6vLZF78BAAD//wMA&#10;UEsDBBQABgAIAAAAIQA98wMW4wAAAAwBAAAPAAAAZHJzL2Rvd25yZXYueG1sTI9NS8NAFEX3gv9h&#10;eIK7dpLQlCRmUkqgCKKL1m7cvWSmSXA+YmbaRn+9z5VdPt7h3nPLzWw0u6jJD84KiJcRMGVbJwfb&#10;CTi+7xYZMB/QStTOKgHfysOmur8rsZDuavfqcggdoxDrCxTQhzAWnPu2Vwb90o3K0u/kJoOBzqnj&#10;csIrhRvNkyhac4ODpYYeR1X3qv08nI2Al3r3hvsmMdmPrp9fT9vx6/iRCvH4MG+fgAU1h38Y/vRJ&#10;HSpyatzZSs+0gEWS5oQKyPKcNhCRrOI1sIbQOFulwKuS346ofgEAAP//AwBQSwECLQAUAAYACAAA&#10;ACEAtoM4kv4AAADhAQAAEwAAAAAAAAAAAAAAAAAAAAAAW0NvbnRlbnRfVHlwZXNdLnhtbFBLAQIt&#10;ABQABgAIAAAAIQA4/SH/1gAAAJQBAAALAAAAAAAAAAAAAAAAAC8BAABfcmVscy8ucmVsc1BLAQIt&#10;ABQABgAIAAAAIQCx39iRGgIAADQEAAAOAAAAAAAAAAAAAAAAAC4CAABkcnMvZTJvRG9jLnhtbFBL&#10;AQItABQABgAIAAAAIQA98wMW4wAAAAwBAAAPAAAAAAAAAAAAAAAAAHQEAABkcnMvZG93bnJldi54&#10;bWxQSwUGAAAAAAQABADzAAAAhAUAAAAA&#10;" filled="f" stroked="f" strokeweight=".5pt">
                <v:textbox>
                  <w:txbxContent>
                    <w:p w14:paraId="49DDEBC2"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noProof/>
                          <w:color w:val="2B579A"/>
                          <w:sz w:val="30"/>
                          <w:szCs w:val="30"/>
                          <w:shd w:val="clear" w:color="auto" w:fill="E6E6E6"/>
                          <w:lang w:val="fr-FR"/>
                        </w:rPr>
                        <w:drawing>
                          <wp:inline distT="0" distB="0" distL="0" distR="0" wp14:anchorId="544FB35C" wp14:editId="10A0A9F7">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2"/>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17" w:history="1">
                        <w:r w:rsidRPr="00D4065A">
                          <w:rPr>
                            <w:rStyle w:val="Hyperlink"/>
                            <w:rFonts w:ascii="Amnesty Trade Gothic Cn" w:hAnsi="Amnesty Trade Gothic Cn"/>
                            <w:b/>
                            <w:bCs/>
                            <w:color w:val="auto"/>
                            <w:szCs w:val="21"/>
                            <w:lang w:val="en-GB"/>
                          </w:rPr>
                          <w:t>info@amnesty.org</w:t>
                        </w:r>
                      </w:hyperlink>
                    </w:p>
                    <w:p w14:paraId="61AA5AD3" w14:textId="77777777" w:rsidR="004E5E19" w:rsidRPr="00D4065A" w:rsidRDefault="00000000" w:rsidP="004E5E19">
                      <w:pPr>
                        <w:pStyle w:val="BBodyText"/>
                        <w:jc w:val="center"/>
                        <w:rPr>
                          <w:rStyle w:val="Hyperlink"/>
                          <w:rFonts w:ascii="Amnesty Trade Gothic Cn" w:hAnsi="Amnesty Trade Gothic Cn"/>
                          <w:color w:val="auto"/>
                        </w:rPr>
                      </w:pPr>
                      <w:hyperlink r:id="rId18" w:history="1">
                        <w:r w:rsidR="004E5E19" w:rsidRPr="00D4065A">
                          <w:rPr>
                            <w:rFonts w:ascii="Amnesty Trade Gothic Cn" w:hAnsi="Amnesty Trade Gothic Cn"/>
                            <w:noProof/>
                            <w:color w:val="2B579A"/>
                            <w:shd w:val="clear" w:color="auto" w:fill="E6E6E6"/>
                            <w:vertAlign w:val="subscript"/>
                          </w:rPr>
                          <w:drawing>
                            <wp:inline distT="0" distB="0" distL="0" distR="0" wp14:anchorId="7EA51E87" wp14:editId="1F910AEB">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15"/>
                                      <a:stretch>
                                        <a:fillRect/>
                                      </a:stretch>
                                    </pic:blipFill>
                                    <pic:spPr>
                                      <a:xfrm>
                                        <a:off x="0" y="0"/>
                                        <a:ext cx="290598" cy="290598"/>
                                      </a:xfrm>
                                      <a:prstGeom prst="rect">
                                        <a:avLst/>
                                      </a:prstGeom>
                                    </pic:spPr>
                                  </pic:pic>
                                </a:graphicData>
                              </a:graphic>
                            </wp:inline>
                          </w:drawing>
                        </w:r>
                        <w:r w:rsidR="004E5E19" w:rsidRPr="00D4065A">
                          <w:rPr>
                            <w:rFonts w:ascii="Amnesty Trade Gothic Cn" w:hAnsi="Amnesty Trade Gothic Cn"/>
                          </w:rPr>
                          <w:br/>
                        </w:r>
                        <w:r w:rsidR="004E5E19" w:rsidRPr="00D4065A">
                          <w:rPr>
                            <w:rStyle w:val="Hyperlink"/>
                            <w:rFonts w:ascii="Amnesty Trade Gothic Cn" w:hAnsi="Amnesty Trade Gothic Cn"/>
                            <w:color w:val="auto"/>
                          </w:rPr>
                          <w:t>facebook.com/</w:t>
                        </w:r>
                        <w:r w:rsidR="004E5E19" w:rsidRPr="00D4065A">
                          <w:rPr>
                            <w:rStyle w:val="Hyperlink"/>
                            <w:rFonts w:ascii="Amnesty Trade Gothic Cn" w:hAnsi="Amnesty Trade Gothic Cn"/>
                            <w:color w:val="auto"/>
                          </w:rPr>
                          <w:br/>
                        </w:r>
                        <w:proofErr w:type="spellStart"/>
                        <w:r w:rsidR="004E5E19" w:rsidRPr="00D4065A">
                          <w:rPr>
                            <w:rStyle w:val="Hyperlink"/>
                            <w:rFonts w:ascii="Amnesty Trade Gothic Cn" w:hAnsi="Amnesty Trade Gothic Cn"/>
                            <w:b/>
                            <w:bCs w:val="0"/>
                            <w:color w:val="auto"/>
                          </w:rPr>
                          <w:t>AmnestyGlobal</w:t>
                        </w:r>
                        <w:proofErr w:type="spellEnd"/>
                      </w:hyperlink>
                    </w:p>
                    <w:p w14:paraId="5F6B3953" w14:textId="77777777" w:rsidR="004E5E19" w:rsidRPr="00B772D5" w:rsidRDefault="004E5E19" w:rsidP="004E5E19">
                      <w:pPr>
                        <w:pStyle w:val="BBodyText"/>
                        <w:spacing w:after="0"/>
                        <w:jc w:val="center"/>
                        <w:rPr>
                          <w:rStyle w:val="Hyperlink"/>
                          <w:color w:val="auto"/>
                        </w:rPr>
                      </w:pPr>
                      <w:r w:rsidRPr="00B772D5">
                        <w:rPr>
                          <w:noProof/>
                          <w:color w:val="2B579A"/>
                          <w:shd w:val="clear" w:color="auto" w:fill="E6E6E6"/>
                        </w:rPr>
                        <w:drawing>
                          <wp:inline distT="0" distB="0" distL="0" distR="0" wp14:anchorId="1A5CA62D" wp14:editId="6F5FC6CA">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16"/>
                                    <a:stretch>
                                      <a:fillRect/>
                                    </a:stretch>
                                  </pic:blipFill>
                                  <pic:spPr>
                                    <a:xfrm>
                                      <a:off x="0" y="0"/>
                                      <a:ext cx="342194" cy="343682"/>
                                    </a:xfrm>
                                    <a:prstGeom prst="rect">
                                      <a:avLst/>
                                    </a:prstGeom>
                                  </pic:spPr>
                                </pic:pic>
                              </a:graphicData>
                            </a:graphic>
                          </wp:inline>
                        </w:drawing>
                      </w:r>
                    </w:p>
                    <w:p w14:paraId="2F831BD7"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53CFD627" w14:textId="77777777" w:rsidR="004E5E19" w:rsidRDefault="004E5E19" w:rsidP="004E5E19">
                      <w:pPr>
                        <w:jc w:val="center"/>
                      </w:pPr>
                    </w:p>
                  </w:txbxContent>
                </v:textbox>
              </v:shape>
            </w:pict>
          </mc:Fallback>
        </mc:AlternateContent>
      </w:r>
      <w:r w:rsidR="004F2B82" w:rsidRPr="00EE3C56">
        <w:rPr>
          <w:rFonts w:ascii="Amnesty Trade Gothic" w:hAnsi="Amnesty Trade Gothic"/>
          <w:noProof/>
          <w:color w:val="000000"/>
          <w:shd w:val="clear" w:color="auto" w:fill="E6E6E6"/>
        </w:rPr>
        <mc:AlternateContent>
          <mc:Choice Requires="wps">
            <w:drawing>
              <wp:anchor distT="0" distB="0" distL="114300" distR="114300" simplePos="0" relativeHeight="251658242" behindDoc="0" locked="0" layoutInCell="1" allowOverlap="1" wp14:anchorId="010DED38" wp14:editId="0E522968">
                <wp:simplePos x="0" y="0"/>
                <wp:positionH relativeFrom="column">
                  <wp:posOffset>3924489</wp:posOffset>
                </wp:positionH>
                <wp:positionV relativeFrom="paragraph">
                  <wp:posOffset>5441964</wp:posOffset>
                </wp:positionV>
                <wp:extent cx="2247900" cy="2088515"/>
                <wp:effectExtent l="0" t="0" r="0" b="6985"/>
                <wp:wrapNone/>
                <wp:docPr id="45" name="Text Box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247900" cy="2088515"/>
                        </a:xfrm>
                        <a:prstGeom prst="rect">
                          <a:avLst/>
                        </a:prstGeom>
                        <a:solidFill>
                          <a:sysClr val="window" lastClr="FFFFFF">
                            <a:lumMod val="95000"/>
                          </a:sysClr>
                        </a:solidFill>
                        <a:ln w="6350">
                          <a:noFill/>
                        </a:ln>
                      </wps:spPr>
                      <wps:txbx>
                        <w:txbxContent>
                          <w:p w14:paraId="241144A1"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w:t>
                            </w:r>
                            <w:proofErr w:type="spellStart"/>
                            <w:r w:rsidRPr="000660E7">
                              <w:rPr>
                                <w:sz w:val="16"/>
                                <w:szCs w:val="16"/>
                              </w:rPr>
                              <w:t>nc</w:t>
                            </w:r>
                            <w:proofErr w:type="spellEnd"/>
                            <w:r w:rsidRPr="000660E7">
                              <w:rPr>
                                <w:sz w:val="16"/>
                                <w:szCs w:val="16"/>
                              </w:rPr>
                              <w:t>-</w:t>
                            </w:r>
                            <w:proofErr w:type="spellStart"/>
                            <w:r w:rsidRPr="000660E7">
                              <w:rPr>
                                <w:sz w:val="16"/>
                                <w:szCs w:val="16"/>
                              </w:rPr>
                              <w:t>nd</w:t>
                            </w:r>
                            <w:proofErr w:type="spellEnd"/>
                            <w:r w:rsidRPr="000660E7">
                              <w:rPr>
                                <w:sz w:val="16"/>
                                <w:szCs w:val="16"/>
                              </w:rPr>
                              <w:t>/4.0/</w:t>
                            </w:r>
                            <w:proofErr w:type="spellStart"/>
                            <w:r w:rsidRPr="000660E7">
                              <w:rPr>
                                <w:sz w:val="16"/>
                                <w:szCs w:val="16"/>
                              </w:rPr>
                              <w:t>legalcode</w:t>
                            </w:r>
                            <w:proofErr w:type="spellEnd"/>
                            <w:r w:rsidRPr="000660E7">
                              <w:rPr>
                                <w:sz w:val="16"/>
                                <w:szCs w:val="16"/>
                              </w:rPr>
                              <w:t>).</w:t>
                            </w:r>
                          </w:p>
                          <w:p w14:paraId="45829321"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3D532D22"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19" w:history="1">
                              <w:r w:rsidRPr="000660E7">
                                <w:rPr>
                                  <w:rStyle w:val="Hyperlink"/>
                                  <w:sz w:val="16"/>
                                  <w:szCs w:val="16"/>
                                </w:rPr>
                                <w:t>permissions page</w:t>
                              </w:r>
                            </w:hyperlink>
                            <w:r w:rsidRPr="000660E7">
                              <w:rPr>
                                <w:sz w:val="16"/>
                                <w:szCs w:val="16"/>
                              </w:rPr>
                              <w:t xml:space="preserve"> on Amnesty International’s website.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0DED38" id="Text Box 45" o:spid="_x0000_s1028" type="#_x0000_t202" style="position:absolute;margin-left:309pt;margin-top:428.5pt;width:177pt;height:164.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WHhZAIAALoEAAAOAAAAZHJzL2Uyb0RvYy54bWysVMFu2zAMvQ/YPwi6r3aypE2NOkWWIsOA&#10;rC3QDj0rshwbk0VNVGJnXz9Kdpqs22lYDookUo/k46NvbrtGs71yWIPJ+egi5UwZCUVttjn/9rz6&#10;MOMMvTCF0GBUzg8K+e38/bub1mZqDBXoQjlGIAaz1ua88t5mSYKyUo3AC7DKkLEE1whPR7dNCida&#10;Qm90Mk7Ty6QFV1gHUiHS7V1v5POIX5ZK+oeyROWZzjnl5uPq4roJazK/EdnWCVvVckhD/EMWjagN&#10;BX2FuhNesJ2r/4BqaukAofQXEpoEyrKWKtZA1YzSN9U8VcKqWAuRg/aVJvx/sPJ+/2QfHfPdJ+io&#10;gbEItGuQ35EZWFbCbNUCLREZrERX0lrMhmeBZsyQAELtXema8E9VMcIiug+vFKvOM0mX4/Hk6jol&#10;kyTbOJ3NpqNpRD09tw79ZwUNC5ucOwodsxL7NfqQgMiOLiEagq6LVa11PBxwqR3bC2o3qaSAljMt&#10;0NNlzlfxF7H0rvkKRe93PU0poR4Y4/sY4zdcbVib88uP0zQ+NxAC9k+0GTjpaQiE+G7TsbqgAgNs&#10;uNlAcSCWHfQCRCtXNVW3ptQehSPFESM0Rf6BllIDxYJhx1kF7uff7oM/CYGsnLWk4Jzjj51wiir+&#10;Ykgi16PJJEg+HibTqzEd3Lllc24xu2YJxNqI5tXKuA3+Xh+3pYPmhYZtEaKSSRhJsXPuj9ul7+eK&#10;hlWqxSI6kcit8GvzZOVRXKF3z92LcHZosCdt3MNR6yJ70+feNzTXwGLnoayjCE6sDvTTgMS+DcMc&#10;JvD8HL1On5z5LwAAAP//AwBQSwMEFAAGAAgAAAAhAPNepITeAAAADAEAAA8AAABkcnMvZG93bnJl&#10;di54bWxMj8FOwzAQRO9I/IO1SL1RJxVtnRCnQojeoY04u/HiBGI7it3G9OtZTnCb0T7NzlS7ZAd2&#10;wSn03knIlxkwdK3XvTMSmuP+XgALUTmtBu9QwjcG2NW3N5UqtZ/dG14O0TAKcaFUEroYx5Lz0HZo&#10;VVj6ER3dPvxkVSQ7Ga4nNVO4Hfgqyzbcqt7Rh06N+Nxh+3U4WwmvTTq+i8/00Fg0L9dwnXtfGCkX&#10;d+npEVjEFP9g+K1P1aGmTid/djqwQcImF7QlShDrLQkiiu2KxInQXKwL4HXF/4+ofwAAAP//AwBQ&#10;SwECLQAUAAYACAAAACEAtoM4kv4AAADhAQAAEwAAAAAAAAAAAAAAAAAAAAAAW0NvbnRlbnRfVHlw&#10;ZXNdLnhtbFBLAQItABQABgAIAAAAIQA4/SH/1gAAAJQBAAALAAAAAAAAAAAAAAAAAC8BAABfcmVs&#10;cy8ucmVsc1BLAQItABQABgAIAAAAIQBDzWHhZAIAALoEAAAOAAAAAAAAAAAAAAAAAC4CAABkcnMv&#10;ZTJvRG9jLnhtbFBLAQItABQABgAIAAAAIQDzXqSE3gAAAAwBAAAPAAAAAAAAAAAAAAAAAL4EAABk&#10;cnMvZG93bnJldi54bWxQSwUGAAAAAAQABADzAAAAyQUAAAAA&#10;" fillcolor="#f2f2f2" stroked="f" strokeweight=".5pt">
                <o:lock v:ext="edit" aspectratio="t"/>
                <v:textbox>
                  <w:txbxContent>
                    <w:p w14:paraId="241144A1"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w:t>
                      </w:r>
                      <w:proofErr w:type="spellStart"/>
                      <w:r w:rsidRPr="000660E7">
                        <w:rPr>
                          <w:sz w:val="16"/>
                          <w:szCs w:val="16"/>
                        </w:rPr>
                        <w:t>nc</w:t>
                      </w:r>
                      <w:proofErr w:type="spellEnd"/>
                      <w:r w:rsidRPr="000660E7">
                        <w:rPr>
                          <w:sz w:val="16"/>
                          <w:szCs w:val="16"/>
                        </w:rPr>
                        <w:t>-</w:t>
                      </w:r>
                      <w:proofErr w:type="spellStart"/>
                      <w:r w:rsidRPr="000660E7">
                        <w:rPr>
                          <w:sz w:val="16"/>
                          <w:szCs w:val="16"/>
                        </w:rPr>
                        <w:t>nd</w:t>
                      </w:r>
                      <w:proofErr w:type="spellEnd"/>
                      <w:r w:rsidRPr="000660E7">
                        <w:rPr>
                          <w:sz w:val="16"/>
                          <w:szCs w:val="16"/>
                        </w:rPr>
                        <w:t>/4.0/</w:t>
                      </w:r>
                      <w:proofErr w:type="spellStart"/>
                      <w:r w:rsidRPr="000660E7">
                        <w:rPr>
                          <w:sz w:val="16"/>
                          <w:szCs w:val="16"/>
                        </w:rPr>
                        <w:t>legalcode</w:t>
                      </w:r>
                      <w:proofErr w:type="spellEnd"/>
                      <w:r w:rsidRPr="000660E7">
                        <w:rPr>
                          <w:sz w:val="16"/>
                          <w:szCs w:val="16"/>
                        </w:rPr>
                        <w:t>).</w:t>
                      </w:r>
                    </w:p>
                    <w:p w14:paraId="45829321"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3D532D22"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20" w:history="1">
                        <w:r w:rsidRPr="000660E7">
                          <w:rPr>
                            <w:rStyle w:val="Hyperlink"/>
                            <w:sz w:val="16"/>
                            <w:szCs w:val="16"/>
                          </w:rPr>
                          <w:t>permissions page</w:t>
                        </w:r>
                      </w:hyperlink>
                      <w:r w:rsidRPr="000660E7">
                        <w:rPr>
                          <w:sz w:val="16"/>
                          <w:szCs w:val="16"/>
                        </w:rPr>
                        <w:t xml:space="preserve"> on Amnesty International’s website. </w:t>
                      </w:r>
                    </w:p>
                  </w:txbxContent>
                </v:textbox>
              </v:shape>
            </w:pict>
          </mc:Fallback>
        </mc:AlternateContent>
      </w:r>
      <w:r w:rsidR="00D90830">
        <w:rPr>
          <w:rFonts w:ascii="Amnesty Trade Gothic Cn" w:hAnsi="Amnesty Trade Gothic Cn"/>
          <w:b/>
          <w:noProof/>
          <w:color w:val="2B579A"/>
          <w:shd w:val="clear" w:color="auto" w:fill="E6E6E6"/>
        </w:rPr>
        <w:drawing>
          <wp:anchor distT="0" distB="0" distL="114300" distR="114300" simplePos="0" relativeHeight="251658247" behindDoc="0" locked="0" layoutInCell="1" allowOverlap="1" wp14:anchorId="010B26C5" wp14:editId="23DB0416">
            <wp:simplePos x="0" y="0"/>
            <wp:positionH relativeFrom="column">
              <wp:posOffset>1997156</wp:posOffset>
            </wp:positionH>
            <wp:positionV relativeFrom="paragraph">
              <wp:posOffset>5634990</wp:posOffset>
            </wp:positionV>
            <wp:extent cx="464820" cy="464820"/>
            <wp:effectExtent l="0" t="0" r="0" b="0"/>
            <wp:wrapNone/>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pic:cNvPicPr/>
                  </pic:nvPicPr>
                  <pic:blipFill>
                    <a:blip r:embed="rId21" cstate="print">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64820" cy="464820"/>
                    </a:xfrm>
                    <a:prstGeom prst="rect">
                      <a:avLst/>
                    </a:prstGeom>
                  </pic:spPr>
                </pic:pic>
              </a:graphicData>
            </a:graphic>
          </wp:anchor>
        </w:drawing>
      </w:r>
      <w:r w:rsidR="00D90830">
        <w:rPr>
          <w:rFonts w:ascii="Amnesty Trade Gothic" w:hAnsi="Amnesty Trade Gothic"/>
          <w:noProof/>
          <w:color w:val="000000"/>
          <w:shd w:val="clear" w:color="auto" w:fill="E6E6E6"/>
        </w:rPr>
        <mc:AlternateContent>
          <mc:Choice Requires="wps">
            <w:drawing>
              <wp:anchor distT="0" distB="0" distL="114300" distR="114300" simplePos="0" relativeHeight="251658244" behindDoc="0" locked="0" layoutInCell="1" allowOverlap="1" wp14:anchorId="243877C8" wp14:editId="2557E855">
                <wp:simplePos x="0" y="0"/>
                <wp:positionH relativeFrom="column">
                  <wp:posOffset>1605429</wp:posOffset>
                </wp:positionH>
                <wp:positionV relativeFrom="paragraph">
                  <wp:posOffset>5970905</wp:posOffset>
                </wp:positionV>
                <wp:extent cx="1271905" cy="1660106"/>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271905" cy="1660106"/>
                        </a:xfrm>
                        <a:prstGeom prst="rect">
                          <a:avLst/>
                        </a:prstGeom>
                        <a:noFill/>
                        <a:ln w="6350">
                          <a:noFill/>
                        </a:ln>
                      </wps:spPr>
                      <wps:txbx>
                        <w:txbxContent>
                          <w:p w14:paraId="3BF289A3"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62970A54"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shd w:val="clear" w:color="auto" w:fill="E6E6E6"/>
                              </w:rPr>
                              <w:drawing>
                                <wp:inline distT="0" distB="0" distL="0" distR="0" wp14:anchorId="485A274C" wp14:editId="45A26873">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556260" cy="556260"/>
                                          </a:xfrm>
                                          <a:prstGeom prst="rect">
                                            <a:avLst/>
                                          </a:prstGeom>
                                        </pic:spPr>
                                      </pic:pic>
                                    </a:graphicData>
                                  </a:graphic>
                                </wp:inline>
                              </w:drawing>
                            </w:r>
                          </w:p>
                          <w:p w14:paraId="577429BB"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 xml:space="preserve">Peter </w:t>
                            </w:r>
                            <w:proofErr w:type="spellStart"/>
                            <w:r w:rsidRPr="00BE3701">
                              <w:rPr>
                                <w:bCs/>
                                <w:color w:val="auto"/>
                                <w:sz w:val="16"/>
                                <w:szCs w:val="16"/>
                              </w:rPr>
                              <w:t>Benenson</w:t>
                            </w:r>
                            <w:proofErr w:type="spellEnd"/>
                            <w:r w:rsidRPr="00BE3701">
                              <w:rPr>
                                <w:bCs/>
                                <w:color w:val="auto"/>
                                <w:sz w:val="16"/>
                                <w:szCs w:val="16"/>
                              </w:rPr>
                              <w:t xml:space="preserve"> House</w:t>
                            </w:r>
                            <w:r w:rsidRPr="00BE3701">
                              <w:rPr>
                                <w:bCs/>
                                <w:color w:val="auto"/>
                                <w:sz w:val="16"/>
                                <w:szCs w:val="16"/>
                              </w:rPr>
                              <w:br/>
                              <w:t>1 Easton Street</w:t>
                            </w:r>
                            <w:r w:rsidRPr="00BE3701">
                              <w:rPr>
                                <w:bCs/>
                                <w:color w:val="auto"/>
                                <w:sz w:val="16"/>
                                <w:szCs w:val="16"/>
                              </w:rPr>
                              <w:br/>
                              <w:t>London WC1X 0DW, UK</w:t>
                            </w:r>
                          </w:p>
                          <w:p w14:paraId="1E71D662" w14:textId="77777777" w:rsidR="0081658E" w:rsidRPr="00C8441B" w:rsidRDefault="0081658E" w:rsidP="00C8441B">
                            <w:pPr>
                              <w:rPr>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877C8" id="Text Box 26" o:spid="_x0000_s1029" type="#_x0000_t202" style="position:absolute;margin-left:126.4pt;margin-top:470.15pt;width:100.15pt;height:130.7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IhIHAIAADQEAAAOAAAAZHJzL2Uyb0RvYy54bWysU11v2yAUfZ+0/4B4X2ynSdpacaqsVaZJ&#10;UVspnfpMMMSWMJcBiZ39+l2w86FuT9Ne4MK93I9zDvOHrlHkIKyrQRc0G6WUCM2hrPWuoD/eVl/u&#10;KHGe6ZIp0KKgR+How+Lzp3lrcjGGClQpLMEk2uWtKWjlvcmTxPFKNMyNwAiNTgm2YR6PdpeUlrWY&#10;vVHJOE1nSQu2NBa4cA5vn3onXcT8UgruX6R0whNVUOzNx9XGdRvWZDFn+c4yU9V8aIP9QxcNqzUW&#10;Pad6Yp6Rva3/SNXU3IID6UccmgSkrLmIM+A0Wfphmk3FjIizIDjOnGFy/y8tfz5szKslvvsKHRIY&#10;AGmNyx1ehnk6aZuwY6cE/Qjh8Qyb6Dzh4dH4NrtPp5Rw9GWzGQ4yC3mSy3Njnf8moCHBKKhFXiJc&#10;7LB2vg89hYRqGla1UpEbpUlb0NnNNI0Pzh5MrjTWuDQbLN9tO1KXBb05DbKF8ojzWeipd4avauxh&#10;zZx/ZRa5xpFQv/4FF6kAa8FgUVKB/fW3+xCPFKCXkha1U1D3c8+soER910jOfTaZBLHFw2R6O8aD&#10;vfZsrz163zwCyjPDn2J4NEO8VydTWmjeUebLUBVdTHOsXVB/Mh99r2j8JlwslzEI5WWYX+uN4SF1&#10;QDUg/Na9M2sGGjwy+AwnlbH8Axt9bM/Hcu9B1pGqgHOP6gA/SjOSPXyjoP3rc4y6fPbFbwAAAP//&#10;AwBQSwMEFAAGAAgAAAAhAD+yM+XjAAAADAEAAA8AAABkcnMvZG93bnJldi54bWxMj8FOwzAQRO9I&#10;/IO1SNyoHbeBEuJUVaQKCdFDSy/cnNhNIuJ1iN028PUsJziu5mnmbb6aXM/OdgydRwXJTACzWHvT&#10;YaPg8La5WwILUaPRvUer4MsGWBXXV7nOjL/gzp73sWFUgiHTCtoYh4zzULfW6TDzg0XKjn50OtI5&#10;NtyM+kLlrudSiHvudIe00OrBlq2tP/Ynp+Cl3Gz1rpJu+d2Xz6/H9fB5eE+Vur2Z1k/Aop3iHwy/&#10;+qQOBTlV/oQmsF6BTCWpRwWPCzEHRsQinSfAKkKlSB6AFzn//0TxAwAA//8DAFBLAQItABQABgAI&#10;AAAAIQC2gziS/gAAAOEBAAATAAAAAAAAAAAAAAAAAAAAAABbQ29udGVudF9UeXBlc10ueG1sUEsB&#10;Ai0AFAAGAAgAAAAhADj9If/WAAAAlAEAAAsAAAAAAAAAAAAAAAAALwEAAF9yZWxzLy5yZWxzUEsB&#10;Ai0AFAAGAAgAAAAhACvMiEgcAgAANAQAAA4AAAAAAAAAAAAAAAAALgIAAGRycy9lMm9Eb2MueG1s&#10;UEsBAi0AFAAGAAgAAAAhAD+yM+XjAAAADAEAAA8AAAAAAAAAAAAAAAAAdgQAAGRycy9kb3ducmV2&#10;LnhtbFBLBQYAAAAABAAEAPMAAACGBQAAAAA=&#10;" filled="f" stroked="f" strokeweight=".5pt">
                <v:textbox>
                  <w:txbxContent>
                    <w:p w14:paraId="3BF289A3"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62970A54"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shd w:val="clear" w:color="auto" w:fill="E6E6E6"/>
                        </w:rPr>
                        <w:drawing>
                          <wp:inline distT="0" distB="0" distL="0" distR="0" wp14:anchorId="485A274C" wp14:editId="45A26873">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556260" cy="556260"/>
                                    </a:xfrm>
                                    <a:prstGeom prst="rect">
                                      <a:avLst/>
                                    </a:prstGeom>
                                  </pic:spPr>
                                </pic:pic>
                              </a:graphicData>
                            </a:graphic>
                          </wp:inline>
                        </w:drawing>
                      </w:r>
                    </w:p>
                    <w:p w14:paraId="577429BB"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 xml:space="preserve">Peter </w:t>
                      </w:r>
                      <w:proofErr w:type="spellStart"/>
                      <w:r w:rsidRPr="00BE3701">
                        <w:rPr>
                          <w:bCs/>
                          <w:color w:val="auto"/>
                          <w:sz w:val="16"/>
                          <w:szCs w:val="16"/>
                        </w:rPr>
                        <w:t>Benenson</w:t>
                      </w:r>
                      <w:proofErr w:type="spellEnd"/>
                      <w:r w:rsidRPr="00BE3701">
                        <w:rPr>
                          <w:bCs/>
                          <w:color w:val="auto"/>
                          <w:sz w:val="16"/>
                          <w:szCs w:val="16"/>
                        </w:rPr>
                        <w:t xml:space="preserve"> House</w:t>
                      </w:r>
                      <w:r w:rsidRPr="00BE3701">
                        <w:rPr>
                          <w:bCs/>
                          <w:color w:val="auto"/>
                          <w:sz w:val="16"/>
                          <w:szCs w:val="16"/>
                        </w:rPr>
                        <w:br/>
                        <w:t>1 Easton Street</w:t>
                      </w:r>
                      <w:r w:rsidRPr="00BE3701">
                        <w:rPr>
                          <w:bCs/>
                          <w:color w:val="auto"/>
                          <w:sz w:val="16"/>
                          <w:szCs w:val="16"/>
                        </w:rPr>
                        <w:br/>
                        <w:t>London WC1X 0DW, UK</w:t>
                      </w:r>
                    </w:p>
                    <w:p w14:paraId="1E71D662" w14:textId="77777777" w:rsidR="0081658E" w:rsidRPr="00C8441B" w:rsidRDefault="0081658E" w:rsidP="00C8441B">
                      <w:pPr>
                        <w:rPr>
                          <w:sz w:val="14"/>
                          <w:szCs w:val="14"/>
                        </w:rPr>
                      </w:pPr>
                    </w:p>
                  </w:txbxContent>
                </v:textbox>
              </v:shape>
            </w:pict>
          </mc:Fallback>
        </mc:AlternateContent>
      </w:r>
      <w:r w:rsidR="007A577D">
        <w:rPr>
          <w:rFonts w:ascii="Amnesty Trade Gothic" w:hAnsi="Amnesty Trade Gothic"/>
          <w:noProof/>
          <w:color w:val="000000"/>
          <w:shd w:val="clear" w:color="auto" w:fill="E6E6E6"/>
        </w:rPr>
        <mc:AlternateContent>
          <mc:Choice Requires="wps">
            <w:drawing>
              <wp:anchor distT="0" distB="0" distL="114300" distR="114300" simplePos="0" relativeHeight="251658246" behindDoc="0" locked="0" layoutInCell="1" allowOverlap="1" wp14:anchorId="3878D2F4" wp14:editId="0E41BED3">
                <wp:simplePos x="0" y="0"/>
                <wp:positionH relativeFrom="column">
                  <wp:posOffset>321364</wp:posOffset>
                </wp:positionH>
                <wp:positionV relativeFrom="paragraph">
                  <wp:posOffset>5414726</wp:posOffset>
                </wp:positionV>
                <wp:extent cx="2256817" cy="326849"/>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256817" cy="326849"/>
                        </a:xfrm>
                        <a:prstGeom prst="rect">
                          <a:avLst/>
                        </a:prstGeom>
                        <a:noFill/>
                        <a:ln w="6350">
                          <a:noFill/>
                        </a:ln>
                      </wps:spPr>
                      <wps:txbx>
                        <w:txbxContent>
                          <w:p w14:paraId="23CB6EA5"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4E60631E" w14:textId="77777777" w:rsidR="007A577D" w:rsidRDefault="007A57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78D2F4" id="Text Box 12" o:spid="_x0000_s1030" type="#_x0000_t202" style="position:absolute;margin-left:25.3pt;margin-top:426.35pt;width:177.7pt;height:25.75pt;z-index:25165824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TI4HAIAADMEAAAOAAAAZHJzL2Uyb0RvYy54bWysU8tu2zAQvBfoPxC817IV23EEy4GbwEWB&#10;IAngFDnTFGkJILksSVtyv75Lyi+kPRW9ULvc1T5mhvP7TiuyF843YEo6GgwpEYZD1ZhtSX+8rb7M&#10;KPGBmYopMKKkB+Hp/eLzp3lrC5FDDaoSjmAR44vWlrQOwRZZ5nktNPMDsMJgUILTLKDrtlnlWIvV&#10;tcry4XCateAq64AL7/H2sQ/SRaovpeDhRUovAlElxdlCOl06N/HMFnNWbB2zdcOPY7B/mEKzxmDT&#10;c6lHFhjZueaPUrrhDjzIMOCgM5Cy4SLtgNuMhh+2WdfMirQLguPtGSb//8ry5/3avjoSuq/QIYER&#10;kNb6wuNl3KeTTscvTkowjhAezrCJLhCOl3k+mc5Gt5RwjN3k09n4LpbJLn9b58M3AZpEo6QOaUlo&#10;sf2TD33qKSU2M7BqlErUKEPakk5vJsP0wzmCxZXBHpdZoxW6TUeaqqTj0x4bqA64noOeeW/5qsEZ&#10;npgPr8wh1bgRyje84CEVYC84WpTU4H797T7mIwMYpaRF6ZTU/9wxJyhR3w1yczcaj6PWkjOe3Obo&#10;uOvI5jpidvoBUJ0jfCiWJzPmB3UypQP9jipfxq4YYoZj75KGk/kQekHjK+FiuUxJqC7LwpNZWx5L&#10;R1Qjwm/dO3P2SENAAp/hJDJWfGCjz+35WO4CyCZRFXHuUT3Cj8pMZB9fUZT+tZ+yLm998RsAAP//&#10;AwBQSwMEFAAGAAgAAAAhAI+ols7iAAAACgEAAA8AAABkcnMvZG93bnJldi54bWxMj8tOwzAQRfdI&#10;/IM1SOyoTdSEEOJUVaQKCcGipRt2k3iaRPgRYrcNfD1mVZajObr33HI1G81ONPnBWQn3CwGMbOvU&#10;YDsJ+/fNXQ7MB7QKtbMk4Zs8rKrrqxIL5c52S6dd6FgMsb5ACX0IY8G5b3sy6BduJBt/BzcZDPGc&#10;Oq4mPMdwo3kiRMYNDjY29DhS3VP7uTsaCS/15g23TWLyH10/vx7W49f+I5Xy9mZePwELNIcLDH/6&#10;UR2q6NS4o1WeaQmpyCIpIU+TB2ARWIosjmskPIplArwq+f8J1S8AAAD//wMAUEsBAi0AFAAGAAgA&#10;AAAhALaDOJL+AAAA4QEAABMAAAAAAAAAAAAAAAAAAAAAAFtDb250ZW50X1R5cGVzXS54bWxQSwEC&#10;LQAUAAYACAAAACEAOP0h/9YAAACUAQAACwAAAAAAAAAAAAAAAAAvAQAAX3JlbHMvLnJlbHNQSwEC&#10;LQAUAAYACAAAACEAgVkyOBwCAAAzBAAADgAAAAAAAAAAAAAAAAAuAgAAZHJzL2Uyb0RvYy54bWxQ&#10;SwECLQAUAAYACAAAACEAj6iWzuIAAAAKAQAADwAAAAAAAAAAAAAAAAB2BAAAZHJzL2Rvd25yZXYu&#10;eG1sUEsFBgAAAAAEAAQA8wAAAIUFAAAAAA==&#10;" filled="f" stroked="f" strokeweight=".5pt">
                <v:textbox>
                  <w:txbxContent>
                    <w:p w14:paraId="23CB6EA5"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4E60631E" w14:textId="77777777" w:rsidR="007A577D" w:rsidRDefault="007A577D"/>
                  </w:txbxContent>
                </v:textbox>
              </v:shape>
            </w:pict>
          </mc:Fallback>
        </mc:AlternateContent>
      </w:r>
      <w:r w:rsidR="00140418">
        <w:rPr>
          <w:rFonts w:ascii="Amnesty Trade Gothic" w:hAnsi="Amnesty Trade Gothic"/>
          <w:noProof/>
          <w:color w:val="000000"/>
          <w:shd w:val="clear" w:color="auto" w:fill="E6E6E6"/>
        </w:rPr>
        <mc:AlternateContent>
          <mc:Choice Requires="wps">
            <w:drawing>
              <wp:anchor distT="0" distB="0" distL="114300" distR="114300" simplePos="0" relativeHeight="251658243" behindDoc="0" locked="0" layoutInCell="1" allowOverlap="1" wp14:anchorId="0B425283" wp14:editId="0A64255D">
                <wp:simplePos x="0" y="0"/>
                <wp:positionH relativeFrom="column">
                  <wp:posOffset>-254513</wp:posOffset>
                </wp:positionH>
                <wp:positionV relativeFrom="paragraph">
                  <wp:posOffset>8333024</wp:posOffset>
                </wp:positionV>
                <wp:extent cx="2267585" cy="929964"/>
                <wp:effectExtent l="0" t="0" r="0" b="3810"/>
                <wp:wrapNone/>
                <wp:docPr id="25" name="Text Box 25"/>
                <wp:cNvGraphicFramePr/>
                <a:graphic xmlns:a="http://schemas.openxmlformats.org/drawingml/2006/main">
                  <a:graphicData uri="http://schemas.microsoft.com/office/word/2010/wordprocessingShape">
                    <wps:wsp>
                      <wps:cNvSpPr txBox="1"/>
                      <wps:spPr>
                        <a:xfrm>
                          <a:off x="0" y="0"/>
                          <a:ext cx="2267585" cy="929964"/>
                        </a:xfrm>
                        <a:prstGeom prst="rect">
                          <a:avLst/>
                        </a:prstGeom>
                        <a:solidFill>
                          <a:schemeClr val="lt1"/>
                        </a:solidFill>
                        <a:ln w="6350">
                          <a:noFill/>
                        </a:ln>
                      </wps:spPr>
                      <wps:txbx>
                        <w:txbxContent>
                          <w:p w14:paraId="13A3F353" w14:textId="3712DD9C" w:rsidR="0081658E" w:rsidRPr="00392F19" w:rsidRDefault="0081658E" w:rsidP="0081658E">
                            <w:pPr>
                              <w:pStyle w:val="BCopyrightsmallprint"/>
                              <w:rPr>
                                <w:rStyle w:val="Boldbodycharacter"/>
                                <w:sz w:val="21"/>
                                <w:szCs w:val="21"/>
                              </w:rPr>
                            </w:pPr>
                            <w:r w:rsidRPr="00392F19">
                              <w:rPr>
                                <w:sz w:val="21"/>
                                <w:szCs w:val="21"/>
                              </w:rPr>
                              <w:t>Index</w:t>
                            </w:r>
                            <w:r w:rsidRPr="003D12A5">
                              <w:rPr>
                                <w:sz w:val="21"/>
                                <w:szCs w:val="21"/>
                              </w:rPr>
                              <w:t xml:space="preserve">: </w:t>
                            </w:r>
                            <w:r w:rsidR="00CC40C2" w:rsidRPr="00CC40C2">
                              <w:rPr>
                                <w:rFonts w:ascii="Amnesty Trade Gothic" w:hAnsi="Amnesty Trade Gothic"/>
                                <w:b/>
                                <w:bCs w:val="0"/>
                                <w:sz w:val="21"/>
                                <w:szCs w:val="21"/>
                              </w:rPr>
                              <w:t>MDE 19/7858/2024</w:t>
                            </w:r>
                          </w:p>
                          <w:p w14:paraId="13BA83E2" w14:textId="5BB27ABC" w:rsidR="0081658E" w:rsidRPr="009A0671" w:rsidRDefault="0081658E" w:rsidP="0081658E">
                            <w:pPr>
                              <w:pStyle w:val="BCopyrightsmallprint"/>
                              <w:rPr>
                                <w:sz w:val="21"/>
                                <w:szCs w:val="21"/>
                              </w:rPr>
                            </w:pPr>
                            <w:r w:rsidRPr="009A0671">
                              <w:rPr>
                                <w:sz w:val="21"/>
                                <w:szCs w:val="21"/>
                              </w:rPr>
                              <w:t xml:space="preserve">Publication: </w:t>
                            </w:r>
                            <w:r w:rsidR="00CC40C2">
                              <w:rPr>
                                <w:rStyle w:val="Boldbodycharacter"/>
                                <w:sz w:val="21"/>
                                <w:szCs w:val="21"/>
                              </w:rPr>
                              <w:t>April</w:t>
                            </w:r>
                            <w:r w:rsidRPr="009A0671">
                              <w:rPr>
                                <w:rStyle w:val="Boldbodycharacter"/>
                                <w:sz w:val="21"/>
                                <w:szCs w:val="21"/>
                              </w:rPr>
                              <w:t xml:space="preserve"> 20</w:t>
                            </w:r>
                            <w:r w:rsidR="009A0671" w:rsidRPr="009A0671">
                              <w:rPr>
                                <w:rStyle w:val="Boldbodycharacter"/>
                                <w:sz w:val="21"/>
                                <w:szCs w:val="21"/>
                              </w:rPr>
                              <w:t>24</w:t>
                            </w:r>
                          </w:p>
                          <w:p w14:paraId="75622893" w14:textId="77777777" w:rsidR="0081658E" w:rsidRPr="009A0671" w:rsidRDefault="0081658E" w:rsidP="0081658E">
                            <w:pPr>
                              <w:pStyle w:val="BCopyrightsmallprint"/>
                              <w:rPr>
                                <w:sz w:val="21"/>
                                <w:szCs w:val="21"/>
                              </w:rPr>
                            </w:pPr>
                            <w:r w:rsidRPr="009A0671">
                              <w:rPr>
                                <w:sz w:val="21"/>
                                <w:szCs w:val="21"/>
                              </w:rPr>
                              <w:t xml:space="preserve">Original language: </w:t>
                            </w:r>
                            <w:r w:rsidRPr="009A0671">
                              <w:rPr>
                                <w:rFonts w:ascii="Amnesty Trade Gothic" w:hAnsi="Amnesty Trade Gothic"/>
                                <w:b/>
                                <w:sz w:val="21"/>
                                <w:szCs w:val="21"/>
                              </w:rPr>
                              <w:t>English</w:t>
                            </w:r>
                          </w:p>
                          <w:p w14:paraId="51BB8770" w14:textId="33EE8E9A" w:rsidR="00140418" w:rsidRPr="000660E7" w:rsidRDefault="00140418" w:rsidP="00140418">
                            <w:pPr>
                              <w:pStyle w:val="BCopyrightsmallprint"/>
                              <w:rPr>
                                <w:sz w:val="16"/>
                                <w:szCs w:val="16"/>
                              </w:rPr>
                            </w:pPr>
                            <w:r w:rsidRPr="009A0671">
                              <w:rPr>
                                <w:sz w:val="16"/>
                                <w:szCs w:val="16"/>
                              </w:rPr>
                              <w:t>© Amnesty International 20</w:t>
                            </w:r>
                            <w:r w:rsidR="009A0671" w:rsidRPr="009A0671">
                              <w:rPr>
                                <w:sz w:val="16"/>
                                <w:szCs w:val="16"/>
                              </w:rPr>
                              <w:t>24</w:t>
                            </w:r>
                          </w:p>
                          <w:p w14:paraId="2247AD3B" w14:textId="77777777" w:rsidR="0081658E" w:rsidRDefault="008165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425283" id="Text Box 25" o:spid="_x0000_s1031" type="#_x0000_t202" style="position:absolute;margin-left:-20.05pt;margin-top:656.15pt;width:178.55pt;height:73.25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s2xMgIAAFsEAAAOAAAAZHJzL2Uyb0RvYy54bWysVE2P2jAQvVfqf7B8L4EU2CUirCgrqkpo&#10;dyW22rNxbLDkeFzbkNBf37HDV7c9Vb04M57x88yb50wf2lqTg3BegSnpoNenRBgOlTLbkn5/XX66&#10;p8QHZiqmwYiSHoWnD7OPH6aNLUQOO9CVcARBjC8aW9JdCLbIMs93oma+B1YYDEpwNQvoum1WOdYg&#10;eq2zvN8fZw24yjrgwnvcfeyCdJbwpRQ8PEvpRSC6pFhbSKtL6yau2WzKiq1jdqf4qQz2D1XUTBm8&#10;9AL1yAIje6f+gKoVd+BBhh6HOgMpFRepB+xm0H/XzXrHrEi9IDneXmjy/w+WPx3W9sWR0H6BFgcY&#10;CWmsLzxuxn5a6er4xUoJxpHC44U20QbCcTPPx3ej+xElHGOTfDIZDyNMdj1tnQ9fBdQkGiV1OJbE&#10;FjusfOhSzynxMg9aVUuldXKiFMRCO3JgOEQdUo0I/luWNqQp6fjzqJ+ADcTjHbI2WMu1p2iFdtMS&#10;VZV0dO53A9URaXDQKcRbvlRY64r58MIcSgI7R5mHZ1ykBrwLThYlO3A//7Yf83FSGKWkQYmV1P/Y&#10;Myco0d8MznAyGA6jJpMzHN3l6LjbyOY2Yvb1ApCAAT4oy5MZ84M+m9JB/YavYR5vxRAzHO8uaTib&#10;i9AJH18TF/N5SkIVWhZWZm15hI6Ex0m8tm/M2dO4Ag76Cc5iZMW7qXW58aSB+T6AVGmkkeeO1RP9&#10;qOAkitNri0/k1k9Z13/C7BcAAAD//wMAUEsDBBQABgAIAAAAIQC+89vM5AAAAA0BAAAPAAAAZHJz&#10;L2Rvd25yZXYueG1sTI9LT8MwEITvSPwHa5G4oNZJ09IoxKkQ4iH1RsND3Nx4SSLidRS7Sfj3LCc4&#10;7syn2Zl8N9tOjDj41pGCeBmBQKqcaalW8FI+LFIQPmgyunOECr7Rw644P8t1ZtxEzzgeQi04hHym&#10;FTQh9JmUvmrQar90PRJ7n26wOvA51NIMeuJw28lVFF1Lq1viD43u8a7B6utwsgo+rur3vZ8fX6dk&#10;k/T3T2O5fTOlUpcX8+0NiIBz+IPhtz5Xh4I7Hd2JjBedgsU6ihllI4lXCQhGknjL844srTdpCrLI&#10;5f8VxQ8AAAD//wMAUEsBAi0AFAAGAAgAAAAhALaDOJL+AAAA4QEAABMAAAAAAAAAAAAAAAAAAAAA&#10;AFtDb250ZW50X1R5cGVzXS54bWxQSwECLQAUAAYACAAAACEAOP0h/9YAAACUAQAACwAAAAAAAAAA&#10;AAAAAAAvAQAAX3JlbHMvLnJlbHNQSwECLQAUAAYACAAAACEAwabNsTICAABbBAAADgAAAAAAAAAA&#10;AAAAAAAuAgAAZHJzL2Uyb0RvYy54bWxQSwECLQAUAAYACAAAACEAvvPbzOQAAAANAQAADwAAAAAA&#10;AAAAAAAAAACMBAAAZHJzL2Rvd25yZXYueG1sUEsFBgAAAAAEAAQA8wAAAJ0FAAAAAA==&#10;" fillcolor="white [3201]" stroked="f" strokeweight=".5pt">
                <v:textbox>
                  <w:txbxContent>
                    <w:p w14:paraId="13A3F353" w14:textId="3712DD9C" w:rsidR="0081658E" w:rsidRPr="00392F19" w:rsidRDefault="0081658E" w:rsidP="0081658E">
                      <w:pPr>
                        <w:pStyle w:val="BCopyrightsmallprint"/>
                        <w:rPr>
                          <w:rStyle w:val="Boldbodycharacter"/>
                          <w:sz w:val="21"/>
                          <w:szCs w:val="21"/>
                        </w:rPr>
                      </w:pPr>
                      <w:r w:rsidRPr="00392F19">
                        <w:rPr>
                          <w:sz w:val="21"/>
                          <w:szCs w:val="21"/>
                        </w:rPr>
                        <w:t>Index</w:t>
                      </w:r>
                      <w:r w:rsidRPr="003D12A5">
                        <w:rPr>
                          <w:sz w:val="21"/>
                          <w:szCs w:val="21"/>
                        </w:rPr>
                        <w:t xml:space="preserve">: </w:t>
                      </w:r>
                      <w:r w:rsidR="00CC40C2" w:rsidRPr="00CC40C2">
                        <w:rPr>
                          <w:rFonts w:ascii="Amnesty Trade Gothic" w:hAnsi="Amnesty Trade Gothic"/>
                          <w:b/>
                          <w:bCs w:val="0"/>
                          <w:sz w:val="21"/>
                          <w:szCs w:val="21"/>
                        </w:rPr>
                        <w:t>MDE 19/7858/2024</w:t>
                      </w:r>
                    </w:p>
                    <w:p w14:paraId="13BA83E2" w14:textId="5BB27ABC" w:rsidR="0081658E" w:rsidRPr="009A0671" w:rsidRDefault="0081658E" w:rsidP="0081658E">
                      <w:pPr>
                        <w:pStyle w:val="BCopyrightsmallprint"/>
                        <w:rPr>
                          <w:sz w:val="21"/>
                          <w:szCs w:val="21"/>
                        </w:rPr>
                      </w:pPr>
                      <w:r w:rsidRPr="009A0671">
                        <w:rPr>
                          <w:sz w:val="21"/>
                          <w:szCs w:val="21"/>
                        </w:rPr>
                        <w:t xml:space="preserve">Publication: </w:t>
                      </w:r>
                      <w:r w:rsidR="00CC40C2">
                        <w:rPr>
                          <w:rStyle w:val="Boldbodycharacter"/>
                          <w:sz w:val="21"/>
                          <w:szCs w:val="21"/>
                        </w:rPr>
                        <w:t>April</w:t>
                      </w:r>
                      <w:r w:rsidRPr="009A0671">
                        <w:rPr>
                          <w:rStyle w:val="Boldbodycharacter"/>
                          <w:sz w:val="21"/>
                          <w:szCs w:val="21"/>
                        </w:rPr>
                        <w:t xml:space="preserve"> 20</w:t>
                      </w:r>
                      <w:r w:rsidR="009A0671" w:rsidRPr="009A0671">
                        <w:rPr>
                          <w:rStyle w:val="Boldbodycharacter"/>
                          <w:sz w:val="21"/>
                          <w:szCs w:val="21"/>
                        </w:rPr>
                        <w:t>24</w:t>
                      </w:r>
                    </w:p>
                    <w:p w14:paraId="75622893" w14:textId="77777777" w:rsidR="0081658E" w:rsidRPr="009A0671" w:rsidRDefault="0081658E" w:rsidP="0081658E">
                      <w:pPr>
                        <w:pStyle w:val="BCopyrightsmallprint"/>
                        <w:rPr>
                          <w:sz w:val="21"/>
                          <w:szCs w:val="21"/>
                        </w:rPr>
                      </w:pPr>
                      <w:r w:rsidRPr="009A0671">
                        <w:rPr>
                          <w:sz w:val="21"/>
                          <w:szCs w:val="21"/>
                        </w:rPr>
                        <w:t xml:space="preserve">Original language: </w:t>
                      </w:r>
                      <w:r w:rsidRPr="009A0671">
                        <w:rPr>
                          <w:rFonts w:ascii="Amnesty Trade Gothic" w:hAnsi="Amnesty Trade Gothic"/>
                          <w:b/>
                          <w:sz w:val="21"/>
                          <w:szCs w:val="21"/>
                        </w:rPr>
                        <w:t>English</w:t>
                      </w:r>
                    </w:p>
                    <w:p w14:paraId="51BB8770" w14:textId="33EE8E9A" w:rsidR="00140418" w:rsidRPr="000660E7" w:rsidRDefault="00140418" w:rsidP="00140418">
                      <w:pPr>
                        <w:pStyle w:val="BCopyrightsmallprint"/>
                        <w:rPr>
                          <w:sz w:val="16"/>
                          <w:szCs w:val="16"/>
                        </w:rPr>
                      </w:pPr>
                      <w:r w:rsidRPr="009A0671">
                        <w:rPr>
                          <w:sz w:val="16"/>
                          <w:szCs w:val="16"/>
                        </w:rPr>
                        <w:t>© Amnesty International 20</w:t>
                      </w:r>
                      <w:r w:rsidR="009A0671" w:rsidRPr="009A0671">
                        <w:rPr>
                          <w:sz w:val="16"/>
                          <w:szCs w:val="16"/>
                        </w:rPr>
                        <w:t>24</w:t>
                      </w:r>
                    </w:p>
                    <w:p w14:paraId="2247AD3B" w14:textId="77777777" w:rsidR="0081658E" w:rsidRDefault="0081658E"/>
                  </w:txbxContent>
                </v:textbox>
              </v:shape>
            </w:pict>
          </mc:Fallback>
        </mc:AlternateContent>
      </w:r>
      <w:r w:rsidR="00140418" w:rsidRPr="00EE3C56">
        <w:rPr>
          <w:rFonts w:ascii="Amnesty Trade Gothic" w:hAnsi="Amnesty Trade Gothic"/>
          <w:noProof/>
          <w:color w:val="000000"/>
          <w:shd w:val="clear" w:color="auto" w:fill="E6E6E6"/>
        </w:rPr>
        <mc:AlternateContent>
          <mc:Choice Requires="wps">
            <w:drawing>
              <wp:anchor distT="0" distB="0" distL="114300" distR="114300" simplePos="0" relativeHeight="251658240" behindDoc="0" locked="0" layoutInCell="1" allowOverlap="1" wp14:anchorId="3EFA15FC" wp14:editId="1B2A3D0A">
                <wp:simplePos x="0" y="0"/>
                <wp:positionH relativeFrom="column">
                  <wp:posOffset>-153670</wp:posOffset>
                </wp:positionH>
                <wp:positionV relativeFrom="page">
                  <wp:posOffset>6614795</wp:posOffset>
                </wp:positionV>
                <wp:extent cx="3299460" cy="2088515"/>
                <wp:effectExtent l="0" t="0" r="0" b="6985"/>
                <wp:wrapThrough wrapText="bothSides">
                  <wp:wrapPolygon edited="0">
                    <wp:start x="0" y="0"/>
                    <wp:lineTo x="0" y="21475"/>
                    <wp:lineTo x="21450" y="21475"/>
                    <wp:lineTo x="21450" y="0"/>
                    <wp:lineTo x="0" y="0"/>
                  </wp:wrapPolygon>
                </wp:wrapThrough>
                <wp:docPr id="44" name="Text Box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299460" cy="2088515"/>
                        </a:xfrm>
                        <a:prstGeom prst="rect">
                          <a:avLst/>
                        </a:prstGeom>
                        <a:solidFill>
                          <a:sysClr val="window" lastClr="FFFFFF">
                            <a:lumMod val="95000"/>
                          </a:sysClr>
                        </a:solidFill>
                        <a:ln w="6350">
                          <a:noFill/>
                        </a:ln>
                      </wps:spPr>
                      <wps:txbx>
                        <w:txbxContent>
                          <w:p w14:paraId="0CD7CF50" w14:textId="77777777" w:rsidR="00116223" w:rsidRPr="00D4065A" w:rsidRDefault="00116223" w:rsidP="0081658E">
                            <w:pPr>
                              <w:pStyle w:val="BBodyText"/>
                              <w:rPr>
                                <w:rFonts w:ascii="Amnesty Trade Gothic Cn" w:hAnsi="Amnesty Trade Gothic Cn"/>
                                <w:b/>
                                <w:bCs w:val="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FA15FC" id="Text Box 44" o:spid="_x0000_s1032" type="#_x0000_t202" style="position:absolute;margin-left:-12.1pt;margin-top:520.85pt;width:259.8pt;height:164.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G2iZQIAALoEAAAOAAAAZHJzL2Uyb0RvYy54bWysVMFu2zAMvQ/YPwi6r3bSpGuMOEWWIsOA&#10;rC3QDj0rshwbk0VNVGJnXz9KdtKu22lYDookUo/k46PnN12j2UE5rMHkfHSRcqaMhKI2u5x/e1p/&#10;uOYMvTCF0GBUzo8K+c3i/bt5azM1hgp0oRwjEINZa3NeeW+zJEFZqUbgBVhlyFiCa4Sno9slhRMt&#10;oTc6GafpVdKCK6wDqRDp9rY38kXEL0sl/X1ZovJM55xy83F1cd2GNVnMRbZzwla1HNIQ/5BFI2pD&#10;Qc9Qt8ILtnf1H1BNLR0glP5CQpNAWdZSxRqomlH6pprHSlgVayFy0J5pwv8HK+8Oj/bBMd99go4a&#10;GItAuwH5HZmBVSXMTi3REpHBSnQlrcVseBZoxgwJINTela4J/1QVIyyi+3imWHWeSbq8HM9mkysy&#10;SbKN0+vr6WgaUV+eW4f+s4KGhU3OHYWOWYnDBn1IQGQnlxANQdfFutY6Ho640o4dBLWbVFJAy5kW&#10;6Oky5+v4i1h633yFovebTdM0CoGAMb6PMX7D1Ya1Ob+6nKbxuYEQsM9Fm4GTnoZAiO+2HasLehBK&#10;CzdbKI7EsoNegGjluqbqNpTag3CkOGKEpsjf01JqoFgw7DirwP38233wJyGQlbOWFJxz/LEXTlHF&#10;XwxJZDaaTILk42Ey/Timg3tt2b62mH2zAmJtRPNqZdwGf69P29JB80zDtgxRySSMpNg596ftyvdz&#10;RcMq1XIZnUjkVviNebTyJK7Qu6fuWTg7NNiTNu7gpHWRvelz7xuaa2C591DWUQQvrA7004DEvg3D&#10;HCbw9Tl6vXxyFr8AAAD//wMAUEsDBBQABgAIAAAAIQAtfg6s3wAAAA0BAAAPAAAAZHJzL2Rvd25y&#10;ZXYueG1sTI/LTsMwEEX3SPyDNUjsWrvB9JHGqRCCPbQRazcekpTYjmK3Mf16hhUsZ+7RnTPFLtme&#10;XXAMnXcKFnMBDF3tTecaBdXhdbYGFqJ2RvfeoYJvDLArb28KnRs/uXe87GPDqMSFXCtoYxxyzkPd&#10;otVh7gd0lH360epI49hwM+qJym3PMyGW3OrO0YVWD/jcYv21P1sFb1U6fKxPSVYWm5druE6d3zRK&#10;3d+lpy2wiCn+wfCrT+pQktPRn50JrFcwy2RGKAVCLlbACJGbRwnsSKuHlVgCLwv+/4vyBwAA//8D&#10;AFBLAQItABQABgAIAAAAIQC2gziS/gAAAOEBAAATAAAAAAAAAAAAAAAAAAAAAABbQ29udGVudF9U&#10;eXBlc10ueG1sUEsBAi0AFAAGAAgAAAAhADj9If/WAAAAlAEAAAsAAAAAAAAAAAAAAAAALwEAAF9y&#10;ZWxzLy5yZWxzUEsBAi0AFAAGAAgAAAAhAAhsbaJlAgAAugQAAA4AAAAAAAAAAAAAAAAALgIAAGRy&#10;cy9lMm9Eb2MueG1sUEsBAi0AFAAGAAgAAAAhAC1+DqzfAAAADQEAAA8AAAAAAAAAAAAAAAAAvwQA&#10;AGRycy9kb3ducmV2LnhtbFBLBQYAAAAABAAEAPMAAADLBQAAAAA=&#10;" fillcolor="#f2f2f2" stroked="f" strokeweight=".5pt">
                <o:lock v:ext="edit" aspectratio="t"/>
                <v:textbox>
                  <w:txbxContent>
                    <w:p w14:paraId="0CD7CF50" w14:textId="77777777" w:rsidR="00116223" w:rsidRPr="00D4065A" w:rsidRDefault="00116223" w:rsidP="0081658E">
                      <w:pPr>
                        <w:pStyle w:val="BBodyText"/>
                        <w:rPr>
                          <w:rFonts w:ascii="Amnesty Trade Gothic Cn" w:hAnsi="Amnesty Trade Gothic Cn"/>
                          <w:b/>
                          <w:bCs w:val="0"/>
                        </w:rPr>
                      </w:pPr>
                    </w:p>
                  </w:txbxContent>
                </v:textbox>
                <w10:wrap type="through" anchory="page"/>
              </v:shape>
            </w:pict>
          </mc:Fallback>
        </mc:AlternateContent>
      </w:r>
    </w:p>
    <w:sectPr w:rsidR="00EE3C56" w:rsidRPr="00065FFC" w:rsidSect="00DA7998">
      <w:footerReference w:type="first" r:id="rId25"/>
      <w:pgSz w:w="11906" w:h="16838" w:code="9"/>
      <w:pgMar w:top="1474"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B86650" w14:textId="77777777" w:rsidR="003B1369" w:rsidRDefault="003B1369" w:rsidP="003A7195">
      <w:r>
        <w:separator/>
      </w:r>
    </w:p>
  </w:endnote>
  <w:endnote w:type="continuationSeparator" w:id="0">
    <w:p w14:paraId="7B001626" w14:textId="77777777" w:rsidR="003B1369" w:rsidRDefault="003B1369" w:rsidP="003A7195">
      <w:r>
        <w:continuationSeparator/>
      </w:r>
    </w:p>
  </w:endnote>
  <w:endnote w:type="continuationNotice" w:id="1">
    <w:p w14:paraId="41C74EC0" w14:textId="77777777" w:rsidR="003B1369" w:rsidRDefault="003B13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 Trade Gothic Light">
    <w:altName w:val="Amnesty Trade Gothic Light"/>
    <w:panose1 w:val="020B0403040303020004"/>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mnesty Trade Gothic Cn">
    <w:panose1 w:val="020B0506040303020004"/>
    <w:charset w:val="00"/>
    <w:family w:val="swiss"/>
    <w:pitch w:val="variable"/>
    <w:sig w:usb0="800000AF"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AmnestyTradeGothic-BdCn20">
    <w:altName w:val="Calibri"/>
    <w:panose1 w:val="00000000000000000000"/>
    <w:charset w:val="4D"/>
    <w:family w:val="auto"/>
    <w:notTrueType/>
    <w:pitch w:val="default"/>
    <w:sig w:usb0="00000003" w:usb1="00000000" w:usb2="00000000" w:usb3="00000000" w:csb0="00000001" w:csb1="00000000"/>
  </w:font>
  <w:font w:name="Amnesty Trade Gothic">
    <w:panose1 w:val="020B0503040303020004"/>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2A8DF" w14:textId="77777777" w:rsidR="0088299E" w:rsidRDefault="0088299E" w:rsidP="00D803C0">
    <w:pPr>
      <w:pStyle w:val="BFooterbriefingsubtitle"/>
      <w:spacing w:after="60" w:line="240" w:lineRule="auto"/>
      <w:rPr>
        <w:b/>
        <w:bCs/>
      </w:rPr>
    </w:pPr>
  </w:p>
  <w:p w14:paraId="73272AD1" w14:textId="242A8CB0" w:rsidR="00FF4F11" w:rsidRPr="00DB55A9" w:rsidRDefault="00D03945" w:rsidP="00D803C0">
    <w:pPr>
      <w:pStyle w:val="BFooterbriefingsubtitle"/>
      <w:spacing w:after="60" w:line="240" w:lineRule="auto"/>
      <w:rPr>
        <w:rFonts w:asciiTheme="majorHAnsi" w:hAnsiTheme="majorHAnsi"/>
        <w:b/>
        <w:bCs/>
      </w:rPr>
    </w:pPr>
    <w:r>
      <w:rPr>
        <w:rFonts w:asciiTheme="majorHAnsi" w:hAnsiTheme="majorHAnsi"/>
        <w:b/>
        <w:bCs/>
      </w:rPr>
      <w:t>LIBYA</w:t>
    </w:r>
  </w:p>
  <w:p w14:paraId="371F72EA" w14:textId="07C96DF0" w:rsidR="00FF4F11" w:rsidRPr="00EF5487" w:rsidRDefault="00D03945" w:rsidP="00D03945">
    <w:pPr>
      <w:pStyle w:val="BFooterbriefingsubtitle"/>
      <w:rPr>
        <w:rFonts w:asciiTheme="majorHAnsi" w:hAnsiTheme="majorHAnsi"/>
      </w:rPr>
    </w:pPr>
    <w:r w:rsidRPr="00D03945">
      <w:rPr>
        <w:rFonts w:asciiTheme="majorHAnsi" w:hAnsiTheme="majorHAnsi"/>
      </w:rPr>
      <w:t>SUBMISSION TO THE UN COMMITTEE ON THE ELIMINATION OF DISCRIMINATION AGAINST WOMEN</w:t>
    </w:r>
    <w:r w:rsidR="00EF5487">
      <w:rPr>
        <w:rFonts w:asciiTheme="majorHAnsi" w:hAnsiTheme="majorHAnsi"/>
      </w:rPr>
      <w:t>, LOIPR</w:t>
    </w:r>
    <w:r w:rsidR="00FF4F11" w:rsidRPr="003F7D28">
      <w:tab/>
    </w:r>
  </w:p>
  <w:p w14:paraId="4C883B4C" w14:textId="77777777" w:rsidR="00FF4F11" w:rsidRPr="00F37FC3" w:rsidRDefault="00FF4F11" w:rsidP="00FF4F11">
    <w:pPr>
      <w:tabs>
        <w:tab w:val="center" w:pos="4423"/>
        <w:tab w:val="right" w:pos="9923"/>
      </w:tabs>
      <w:rPr>
        <w:rFonts w:ascii="Amnesty Trade Gothic Cn" w:hAnsi="Amnesty Trade Gothic Cn"/>
      </w:rPr>
    </w:pPr>
    <w:r w:rsidRPr="003E2AA1">
      <w:rPr>
        <w:rFonts w:ascii="Amnesty Trade Gothic Cn" w:hAnsi="Amnesty Trade Gothic Cn"/>
      </w:rPr>
      <w:t>Amnesty International</w:t>
    </w:r>
    <w:r w:rsidRPr="003E2AA1">
      <w:rPr>
        <w:rFonts w:ascii="Amnesty Trade Gothic Cn" w:hAnsi="Amnesty Trade Gothic Cn"/>
      </w:rPr>
      <w:tab/>
    </w:r>
    <w:r w:rsidRPr="003E2AA1">
      <w:rPr>
        <w:rFonts w:ascii="Amnesty Trade Gothic Cn" w:hAnsi="Amnesty Trade Gothic Cn"/>
        <w:color w:val="2B579A"/>
        <w:shd w:val="clear" w:color="auto" w:fill="E6E6E6"/>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color w:val="2B579A"/>
        <w:shd w:val="clear" w:color="auto" w:fill="E6E6E6"/>
      </w:rPr>
      <w:fldChar w:fldCharType="separate"/>
    </w:r>
    <w:r>
      <w:rPr>
        <w:rFonts w:ascii="Amnesty Trade Gothic Cn" w:hAnsi="Amnesty Trade Gothic Cn"/>
        <w:color w:val="2B579A"/>
        <w:shd w:val="clear" w:color="auto" w:fill="E6E6E6"/>
      </w:rPr>
      <w:t>1</w:t>
    </w:r>
    <w:r w:rsidRPr="003E2AA1">
      <w:rPr>
        <w:rFonts w:ascii="Amnesty Trade Gothic Cn" w:hAnsi="Amnesty Trade Gothic Cn"/>
        <w:color w:val="2B579A"/>
        <w:shd w:val="clear" w:color="auto" w:fill="E6E6E6"/>
      </w:rPr>
      <w:fldChar w:fldCharType="end"/>
    </w:r>
  </w:p>
  <w:p w14:paraId="72EBD95B" w14:textId="77777777" w:rsidR="00FF4F11" w:rsidRDefault="00FF4F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E10BA" w14:textId="45050828" w:rsidR="000754A5" w:rsidRDefault="000754A5">
    <w:pPr>
      <w:pStyle w:val="Footer"/>
    </w:pPr>
    <w:r w:rsidRPr="00AE5E82">
      <w:rPr>
        <w:noProof/>
        <w:lang w:eastAsia="en-GB"/>
      </w:rPr>
      <w:drawing>
        <wp:anchor distT="0" distB="0" distL="114300" distR="114300" simplePos="0" relativeHeight="251659264" behindDoc="0" locked="1" layoutInCell="1" allowOverlap="1" wp14:anchorId="6D16C803" wp14:editId="4E8E98BB">
          <wp:simplePos x="0" y="0"/>
          <wp:positionH relativeFrom="page">
            <wp:posOffset>5380990</wp:posOffset>
          </wp:positionH>
          <wp:positionV relativeFrom="bottomMargin">
            <wp:posOffset>-353695</wp:posOffset>
          </wp:positionV>
          <wp:extent cx="1522730" cy="647700"/>
          <wp:effectExtent l="0" t="0" r="127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522730" cy="64770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20BB0" w14:textId="77777777" w:rsidR="0031768B" w:rsidRPr="00914551" w:rsidRDefault="0031768B" w:rsidP="00914551">
    <w:pPr>
      <w:pStyle w:val="RTAmnesty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FECF9" w14:textId="18637BA2" w:rsidR="00C1695B" w:rsidRPr="007410E5" w:rsidRDefault="00691640" w:rsidP="00F71C3F">
    <w:pPr>
      <w:pStyle w:val="BSubtitle"/>
    </w:pPr>
    <w:r w:rsidRPr="00CB0FBD">
      <w:rPr>
        <w:noProof/>
        <w:lang w:eastAsia="en-GB"/>
      </w:rPr>
      <w:drawing>
        <wp:anchor distT="0" distB="0" distL="114300" distR="114300" simplePos="0" relativeHeight="251661312" behindDoc="0" locked="1" layoutInCell="1" allowOverlap="1" wp14:anchorId="3B8ABB9C" wp14:editId="3BAC0AE2">
          <wp:simplePos x="0" y="0"/>
          <wp:positionH relativeFrom="page">
            <wp:posOffset>5575935</wp:posOffset>
          </wp:positionH>
          <wp:positionV relativeFrom="page">
            <wp:posOffset>9458960</wp:posOffset>
          </wp:positionV>
          <wp:extent cx="1468755" cy="626110"/>
          <wp:effectExtent l="0" t="0" r="0" b="25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611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30F471B" w14:textId="4A20FFAE" w:rsidR="00F37FC3" w:rsidRPr="00914551" w:rsidRDefault="00F37FC3" w:rsidP="00331CEB">
    <w:pPr>
      <w:pStyle w:val="BFooterbriefingsubtitle"/>
    </w:pPr>
    <w:r w:rsidRPr="00914551">
      <w:tab/>
    </w:r>
  </w:p>
  <w:p w14:paraId="5C27D057" w14:textId="10BEF66E" w:rsidR="0081658E" w:rsidRPr="00F37FC3" w:rsidRDefault="00F37FC3" w:rsidP="00F37FC3">
    <w:pPr>
      <w:tabs>
        <w:tab w:val="center" w:pos="4423"/>
        <w:tab w:val="right" w:pos="9923"/>
      </w:tabs>
      <w:rPr>
        <w:rFonts w:ascii="Amnesty Trade Gothic Cn" w:hAnsi="Amnesty Trade Gothic Cn"/>
      </w:rPr>
    </w:pPr>
    <w:r w:rsidRPr="003E2AA1">
      <w:rPr>
        <w:rFonts w:ascii="Amnesty Trade Gothic Cn" w:hAnsi="Amnesty Trade Gothic Cn"/>
      </w:rPr>
      <w:t>Amnesty International</w:t>
    </w:r>
    <w:r w:rsidRPr="003E2AA1">
      <w:rPr>
        <w:rFonts w:ascii="Amnesty Trade Gothic Cn" w:hAnsi="Amnesty Trade Gothic Cn"/>
      </w:rPr>
      <w:tab/>
    </w:r>
    <w:r w:rsidRPr="003E2AA1">
      <w:rPr>
        <w:rFonts w:ascii="Amnesty Trade Gothic Cn" w:hAnsi="Amnesty Trade Gothic Cn"/>
        <w:color w:val="2B579A"/>
        <w:shd w:val="clear" w:color="auto" w:fill="E6E6E6"/>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color w:val="2B579A"/>
        <w:shd w:val="clear" w:color="auto" w:fill="E6E6E6"/>
      </w:rPr>
      <w:fldChar w:fldCharType="separate"/>
    </w:r>
    <w:r>
      <w:rPr>
        <w:rFonts w:ascii="Amnesty Trade Gothic Cn" w:hAnsi="Amnesty Trade Gothic Cn"/>
      </w:rPr>
      <w:t>4</w:t>
    </w:r>
    <w:r w:rsidRPr="003E2AA1">
      <w:rPr>
        <w:rFonts w:ascii="Amnesty Trade Gothic Cn" w:hAnsi="Amnesty Trade Gothic Cn"/>
        <w:color w:val="2B579A"/>
        <w:shd w:val="clear" w:color="auto" w:fill="E6E6E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46369C" w14:textId="77777777" w:rsidR="003B1369" w:rsidRDefault="003B1369" w:rsidP="003A7195">
      <w:r>
        <w:separator/>
      </w:r>
    </w:p>
  </w:footnote>
  <w:footnote w:type="continuationSeparator" w:id="0">
    <w:p w14:paraId="3534BEA9" w14:textId="77777777" w:rsidR="003B1369" w:rsidRDefault="003B1369" w:rsidP="003A7195">
      <w:r>
        <w:continuationSeparator/>
      </w:r>
    </w:p>
  </w:footnote>
  <w:footnote w:type="continuationNotice" w:id="1">
    <w:p w14:paraId="1BE6CFBF" w14:textId="77777777" w:rsidR="003B1369" w:rsidRDefault="003B1369"/>
  </w:footnote>
  <w:footnote w:id="2">
    <w:p w14:paraId="08812002" w14:textId="77777777" w:rsidR="0031768B" w:rsidRPr="001A64BC" w:rsidRDefault="0031768B" w:rsidP="003E28A9">
      <w:pPr>
        <w:pStyle w:val="FootnoteText"/>
      </w:pPr>
      <w:r>
        <w:rPr>
          <w:rStyle w:val="FootnoteReference"/>
        </w:rPr>
        <w:footnoteRef/>
      </w:r>
      <w:r>
        <w:t xml:space="preserve"> ‘Had’ refers to offences under </w:t>
      </w:r>
      <w:proofErr w:type="spellStart"/>
      <w:r>
        <w:t>Shari’ah</w:t>
      </w:r>
      <w:proofErr w:type="spellEnd"/>
      <w:r>
        <w:t xml:space="preserve"> that have prescribed publishments. </w:t>
      </w:r>
    </w:p>
  </w:footnote>
  <w:footnote w:id="3">
    <w:p w14:paraId="5CB59689" w14:textId="77777777" w:rsidR="0031768B" w:rsidRPr="0018450D" w:rsidRDefault="0031768B" w:rsidP="003E28A9">
      <w:pPr>
        <w:pStyle w:val="FootnoteText"/>
      </w:pPr>
      <w:r>
        <w:rPr>
          <w:rStyle w:val="FootnoteReference"/>
        </w:rPr>
        <w:footnoteRef/>
      </w:r>
      <w:r>
        <w:t xml:space="preserve"> Zina is defined in Libyan law as sexual relations between a man and a woman outside a lawful marriage.</w:t>
      </w:r>
    </w:p>
  </w:footnote>
  <w:footnote w:id="4">
    <w:p w14:paraId="3D5CED3F" w14:textId="65C0BC8B" w:rsidR="0031768B" w:rsidRDefault="0031768B" w:rsidP="003E28A9">
      <w:pPr>
        <w:pStyle w:val="FootnoteText"/>
      </w:pPr>
      <w:r>
        <w:rPr>
          <w:rStyle w:val="FootnoteReference"/>
        </w:rPr>
        <w:footnoteRef/>
      </w:r>
      <w:r>
        <w:t xml:space="preserve"> Amnesty International, </w:t>
      </w:r>
      <w:r w:rsidRPr="003F165F">
        <w:rPr>
          <w:i/>
          <w:iCs/>
        </w:rPr>
        <w:t>‘Libya of tomorrow’: What hope for human rights</w:t>
      </w:r>
      <w:r>
        <w:t xml:space="preserve"> (Index: </w:t>
      </w:r>
      <w:r w:rsidRPr="0018015A">
        <w:t>MDE 19/007/2010</w:t>
      </w:r>
      <w:r>
        <w:t>),</w:t>
      </w:r>
      <w:r w:rsidRPr="00B62D0F">
        <w:t xml:space="preserve"> </w:t>
      </w:r>
      <w:r>
        <w:t xml:space="preserve">23 </w:t>
      </w:r>
      <w:r w:rsidRPr="0018015A">
        <w:t>June 2010</w:t>
      </w:r>
      <w:r>
        <w:t>,</w:t>
      </w:r>
      <w:r w:rsidRPr="0018015A">
        <w:t xml:space="preserve"> </w:t>
      </w:r>
      <w:hyperlink r:id="rId1" w:history="1">
        <w:r w:rsidRPr="00B00CFF">
          <w:rPr>
            <w:rStyle w:val="Hyperlink"/>
          </w:rPr>
          <w:t>https://www.amnesty.org/en/documents/mde19/007/2010/en/</w:t>
        </w:r>
      </w:hyperlink>
      <w:r>
        <w:t xml:space="preserve">  </w:t>
      </w:r>
    </w:p>
  </w:footnote>
  <w:footnote w:id="5">
    <w:p w14:paraId="31065DCF" w14:textId="6E9DAFDF" w:rsidR="0031768B" w:rsidRDefault="0031768B" w:rsidP="003E28A9">
      <w:pPr>
        <w:pStyle w:val="FootnoteText"/>
      </w:pPr>
      <w:r>
        <w:rPr>
          <w:rStyle w:val="FootnoteReference"/>
        </w:rPr>
        <w:footnoteRef/>
      </w:r>
      <w:r>
        <w:t xml:space="preserve"> Amnesty International, </w:t>
      </w:r>
      <w:r w:rsidRPr="00C667D9">
        <w:rPr>
          <w:i/>
          <w:iCs/>
        </w:rPr>
        <w:t>‘No one will look for you’: Forcibly returned from sea to abusive detention in Libya</w:t>
      </w:r>
      <w:r>
        <w:t xml:space="preserve"> (Index: MDE 19/4439/2021), 15 July 2021, </w:t>
      </w:r>
      <w:hyperlink r:id="rId2" w:history="1">
        <w:r w:rsidRPr="00B00CFF">
          <w:rPr>
            <w:rStyle w:val="Hyperlink"/>
          </w:rPr>
          <w:t>https://www.amnesty.org/en/documents/mde19/4439/2021/en/</w:t>
        </w:r>
      </w:hyperlink>
      <w:r>
        <w:t xml:space="preserve"> </w:t>
      </w:r>
    </w:p>
  </w:footnote>
  <w:footnote w:id="6">
    <w:p w14:paraId="5C499275" w14:textId="78AD87E9" w:rsidR="0031768B" w:rsidRDefault="0031768B" w:rsidP="003E28A9">
      <w:pPr>
        <w:pStyle w:val="FootnoteText"/>
      </w:pPr>
      <w:r>
        <w:rPr>
          <w:rStyle w:val="FootnoteReference"/>
        </w:rPr>
        <w:footnoteRef/>
      </w:r>
      <w:r>
        <w:t xml:space="preserve"> Amnesty International, “</w:t>
      </w:r>
      <w:r w:rsidRPr="00C667D9">
        <w:rPr>
          <w:i/>
          <w:iCs/>
        </w:rPr>
        <w:t>Between Life and Death”: Refugees and migrants trapped in Libya's cycle of abuse</w:t>
      </w:r>
      <w:r>
        <w:t xml:space="preserve"> (Index: MDE 19/3084/2020), 24 September 2020; </w:t>
      </w:r>
      <w:hyperlink r:id="rId3" w:history="1">
        <w:r w:rsidRPr="00B00CFF">
          <w:rPr>
            <w:rStyle w:val="Hyperlink"/>
          </w:rPr>
          <w:t>https://www.amnesty.org/en/documents/mde19/3084/2020/en/</w:t>
        </w:r>
      </w:hyperlink>
      <w:r>
        <w:t xml:space="preserve"> </w:t>
      </w:r>
    </w:p>
  </w:footnote>
  <w:footnote w:id="7">
    <w:p w14:paraId="0D847E8E" w14:textId="6634F38F" w:rsidR="0031768B" w:rsidRDefault="0031768B" w:rsidP="003E28A9">
      <w:pPr>
        <w:pStyle w:val="FootnoteText"/>
      </w:pPr>
      <w:r>
        <w:rPr>
          <w:rStyle w:val="FootnoteReference"/>
        </w:rPr>
        <w:footnoteRef/>
      </w:r>
      <w:r>
        <w:t xml:space="preserve"> Dar al-</w:t>
      </w:r>
      <w:proofErr w:type="spellStart"/>
      <w:r>
        <w:t>Ifta</w:t>
      </w:r>
      <w:proofErr w:type="spellEnd"/>
      <w:r>
        <w:t>, “Resolution No. 2 of 1445 AH prohibiting the use of the term gender”, 3 October 2023,</w:t>
      </w:r>
      <w:r w:rsidRPr="00CA2BBA">
        <w:t xml:space="preserve"> </w:t>
      </w:r>
      <w:hyperlink r:id="rId4" w:history="1">
        <w:r w:rsidRPr="00B00CFF">
          <w:rPr>
            <w:rStyle w:val="Hyperlink"/>
          </w:rPr>
          <w:t>https://vo.la/XVAHy</w:t>
        </w:r>
      </w:hyperlink>
      <w:r>
        <w:t xml:space="preserve"> </w:t>
      </w:r>
    </w:p>
  </w:footnote>
  <w:footnote w:id="8">
    <w:p w14:paraId="2EF7BE37" w14:textId="77777777" w:rsidR="0031768B" w:rsidRDefault="0031768B" w:rsidP="003E28A9">
      <w:pPr>
        <w:pStyle w:val="FootnoteText"/>
      </w:pPr>
      <w:r>
        <w:rPr>
          <w:rStyle w:val="FootnoteReference"/>
        </w:rPr>
        <w:footnoteRef/>
      </w:r>
      <w:r>
        <w:t xml:space="preserve"> Amnesty International, </w:t>
      </w:r>
      <w:r w:rsidRPr="00C667D9">
        <w:rPr>
          <w:i/>
          <w:iCs/>
        </w:rPr>
        <w:t>Silenced voices: Libyan women human rights defenders under attack</w:t>
      </w:r>
      <w:r>
        <w:t xml:space="preserve"> (Index: MDE 19/8657/2018), 17 July 2018,</w:t>
      </w:r>
    </w:p>
    <w:p w14:paraId="71491965" w14:textId="2D70BCA9" w:rsidR="0031768B" w:rsidRPr="00C667D9" w:rsidRDefault="00000000" w:rsidP="003E28A9">
      <w:pPr>
        <w:pStyle w:val="FootnoteText"/>
      </w:pPr>
      <w:hyperlink r:id="rId5" w:history="1">
        <w:r w:rsidR="0031768B" w:rsidRPr="00B00CFF">
          <w:rPr>
            <w:rStyle w:val="Hyperlink"/>
          </w:rPr>
          <w:t>www.amnesty.org/en/documents/mde19/8657/2018/en</w:t>
        </w:r>
      </w:hyperlink>
      <w:r w:rsidR="0031768B">
        <w:t xml:space="preserve"> </w:t>
      </w:r>
      <w:r w:rsidR="0031768B" w:rsidRPr="00561B57">
        <w:t xml:space="preserve"> </w:t>
      </w:r>
    </w:p>
  </w:footnote>
  <w:footnote w:id="9">
    <w:p w14:paraId="1C603A98" w14:textId="77777777" w:rsidR="0031768B" w:rsidRDefault="0031768B" w:rsidP="003E28A9">
      <w:pPr>
        <w:pStyle w:val="FootnoteText"/>
      </w:pPr>
      <w:r>
        <w:rPr>
          <w:rStyle w:val="FootnoteReference"/>
        </w:rPr>
        <w:footnoteRef/>
      </w:r>
      <w:r>
        <w:t xml:space="preserve"> Yesterday in #Libya, an MoU was signed by the Minister of State for Women's Affairs in the Government of National Unity with Rep of </w:t>
      </w:r>
    </w:p>
    <w:p w14:paraId="32B49949" w14:textId="77777777" w:rsidR="0031768B" w:rsidRDefault="0031768B" w:rsidP="003E28A9">
      <w:pPr>
        <w:pStyle w:val="FootnoteText"/>
      </w:pPr>
      <w:r>
        <w:t>@</w:t>
      </w:r>
      <w:proofErr w:type="gramStart"/>
      <w:r>
        <w:t>unwomenlibya,  08</w:t>
      </w:r>
      <w:proofErr w:type="gramEnd"/>
      <w:r>
        <w:t xml:space="preserve"> October 2012, Twitter, </w:t>
      </w:r>
      <w:hyperlink r:id="rId6" w:history="1">
        <w:r w:rsidRPr="00B00CFF">
          <w:rPr>
            <w:rStyle w:val="Hyperlink"/>
          </w:rPr>
          <w:t>https://twitter.com/unwomenlibya/status/1446404015680626688</w:t>
        </w:r>
      </w:hyperlink>
      <w:r>
        <w:t xml:space="preserve"> (visited 09 April 2024)</w:t>
      </w:r>
    </w:p>
  </w:footnote>
  <w:footnote w:id="10">
    <w:p w14:paraId="5569449C" w14:textId="77777777" w:rsidR="0031768B" w:rsidRPr="00561B57" w:rsidRDefault="0031768B" w:rsidP="003E28A9">
      <w:pPr>
        <w:pStyle w:val="FootnoteText"/>
      </w:pPr>
      <w:r w:rsidRPr="00561B57">
        <w:rPr>
          <w:rStyle w:val="FootnoteReference"/>
        </w:rPr>
        <w:footnoteRef/>
      </w:r>
      <w:r w:rsidRPr="00561B57">
        <w:t xml:space="preserve"> </w:t>
      </w:r>
      <w:r>
        <w:t xml:space="preserve">Amnesty International, </w:t>
      </w:r>
      <w:r w:rsidRPr="00C667D9">
        <w:rPr>
          <w:i/>
          <w:iCs/>
        </w:rPr>
        <w:t>Silenced voices</w:t>
      </w:r>
      <w:r>
        <w:t>, (previously cited)</w:t>
      </w:r>
    </w:p>
  </w:footnote>
  <w:footnote w:id="11">
    <w:p w14:paraId="4279EC43" w14:textId="0D3D1AE6" w:rsidR="0031768B" w:rsidRDefault="0031768B" w:rsidP="003E28A9">
      <w:pPr>
        <w:pStyle w:val="FootnoteText"/>
      </w:pPr>
      <w:r>
        <w:rPr>
          <w:rStyle w:val="FootnoteReference"/>
        </w:rPr>
        <w:footnoteRef/>
      </w:r>
      <w:r>
        <w:t xml:space="preserve"> Amnesty International, </w:t>
      </w:r>
      <w:r w:rsidRPr="00C667D9">
        <w:rPr>
          <w:i/>
          <w:iCs/>
        </w:rPr>
        <w:t>Report 2022/23: The state of the world’s human rights</w:t>
      </w:r>
      <w:r>
        <w:t xml:space="preserve"> (Index: </w:t>
      </w:r>
      <w:r w:rsidRPr="00D85BF1">
        <w:t>POL 10/5670/2023</w:t>
      </w:r>
      <w:r>
        <w:t xml:space="preserve">), 27 </w:t>
      </w:r>
      <w:r w:rsidRPr="00D85BF1">
        <w:t>March 2023</w:t>
      </w:r>
      <w:r>
        <w:t xml:space="preserve">, </w:t>
      </w:r>
      <w:hyperlink r:id="rId7" w:history="1">
        <w:r w:rsidRPr="00B00CFF">
          <w:rPr>
            <w:rStyle w:val="Hyperlink"/>
          </w:rPr>
          <w:t>https://www.amnesty.org/en/documents/pol10/5670/2023/en/</w:t>
        </w:r>
      </w:hyperlink>
      <w:r>
        <w:t xml:space="preserve"> </w:t>
      </w:r>
      <w:r w:rsidRPr="00D85BF1">
        <w:t xml:space="preserve"> </w:t>
      </w:r>
      <w:r>
        <w:t xml:space="preserve"> </w:t>
      </w:r>
    </w:p>
  </w:footnote>
  <w:footnote w:id="12">
    <w:p w14:paraId="5A69AD24" w14:textId="6A971D87" w:rsidR="0031768B" w:rsidRDefault="0031768B" w:rsidP="003E28A9">
      <w:pPr>
        <w:pStyle w:val="FootnoteText"/>
      </w:pPr>
      <w:r>
        <w:rPr>
          <w:rStyle w:val="FootnoteReference"/>
        </w:rPr>
        <w:footnoteRef/>
      </w:r>
      <w:r>
        <w:t xml:space="preserve"> </w:t>
      </w:r>
      <w:r w:rsidRPr="00352810">
        <w:t xml:space="preserve">Amnesty International, </w:t>
      </w:r>
      <w:r w:rsidRPr="00C667D9">
        <w:rPr>
          <w:i/>
          <w:iCs/>
        </w:rPr>
        <w:t>Report 2021/22: The state of the world’s human rights</w:t>
      </w:r>
      <w:r w:rsidRPr="00352810">
        <w:t xml:space="preserve"> (Index: POL 10/4870/2022), 29 March 2022, </w:t>
      </w:r>
      <w:hyperlink r:id="rId8" w:history="1">
        <w:r w:rsidRPr="00B00CFF">
          <w:rPr>
            <w:rStyle w:val="Hyperlink"/>
          </w:rPr>
          <w:t>https://www.amnesty.org/en/documents/pol10/4870/2022/en/</w:t>
        </w:r>
      </w:hyperlink>
      <w:r>
        <w:t xml:space="preserve"> </w:t>
      </w:r>
    </w:p>
  </w:footnote>
  <w:footnote w:id="13">
    <w:p w14:paraId="23242003" w14:textId="77777777" w:rsidR="0031768B" w:rsidRDefault="0031768B" w:rsidP="003E28A9">
      <w:pPr>
        <w:pStyle w:val="FootnoteText"/>
      </w:pPr>
      <w:r>
        <w:rPr>
          <w:rStyle w:val="FootnoteReference"/>
        </w:rPr>
        <w:footnoteRef/>
      </w:r>
      <w:r>
        <w:t xml:space="preserve"> Amnesty International, </w:t>
      </w:r>
      <w:r w:rsidRPr="00852371">
        <w:rPr>
          <w:i/>
          <w:iCs/>
        </w:rPr>
        <w:t>Review of 2018: Human Rights in the Middle East and North Africa Regional Overview</w:t>
      </w:r>
      <w:r>
        <w:t xml:space="preserve">(Index: </w:t>
      </w:r>
      <w:r w:rsidRPr="00277113">
        <w:t>MDE 01/9433/2019</w:t>
      </w:r>
      <w:r>
        <w:t xml:space="preserve">), 26 </w:t>
      </w:r>
      <w:r w:rsidRPr="00277113">
        <w:t>February 2019</w:t>
      </w:r>
      <w:r>
        <w:t xml:space="preserve">, </w:t>
      </w:r>
      <w:hyperlink r:id="rId9" w:history="1">
        <w:r w:rsidRPr="001306F4">
          <w:rPr>
            <w:rStyle w:val="Hyperlink"/>
          </w:rPr>
          <w:t>https://www.amnesty.org/en/wp-content/uploads/2021/05/MDE0194332019ENGLISH.pdf</w:t>
        </w:r>
      </w:hyperlink>
      <w:r>
        <w:t xml:space="preserve">            </w:t>
      </w:r>
    </w:p>
  </w:footnote>
  <w:footnote w:id="14">
    <w:p w14:paraId="3BECD614" w14:textId="44EC8E80" w:rsidR="0031768B" w:rsidRDefault="0031768B" w:rsidP="003E28A9">
      <w:pPr>
        <w:pStyle w:val="FootnoteText"/>
      </w:pPr>
      <w:r>
        <w:rPr>
          <w:rStyle w:val="FootnoteReference"/>
        </w:rPr>
        <w:footnoteRef/>
      </w:r>
      <w:r>
        <w:t xml:space="preserve"> Amnesty International, </w:t>
      </w:r>
      <w:r w:rsidRPr="00852371">
        <w:rPr>
          <w:i/>
          <w:iCs/>
        </w:rPr>
        <w:t>Human rights in the Middle East and North Africa: Review of 2019</w:t>
      </w:r>
      <w:r>
        <w:rPr>
          <w:i/>
          <w:iCs/>
        </w:rPr>
        <w:t xml:space="preserve"> </w:t>
      </w:r>
      <w:r>
        <w:t xml:space="preserve">(Index: </w:t>
      </w:r>
      <w:r w:rsidRPr="009B7C09">
        <w:t>MDE 01/1357/2020</w:t>
      </w:r>
      <w:r>
        <w:t xml:space="preserve">), 18 </w:t>
      </w:r>
      <w:r w:rsidRPr="00277113">
        <w:t>February 20</w:t>
      </w:r>
      <w:r>
        <w:t xml:space="preserve">20, </w:t>
      </w:r>
      <w:hyperlink r:id="rId10" w:history="1">
        <w:r w:rsidRPr="00B00CFF">
          <w:rPr>
            <w:rStyle w:val="Hyperlink"/>
          </w:rPr>
          <w:t>https://www.amnesty.org/en/documents/mde01/1357/2020/en/</w:t>
        </w:r>
      </w:hyperlink>
      <w:r>
        <w:t xml:space="preserve">   </w:t>
      </w:r>
    </w:p>
  </w:footnote>
  <w:footnote w:id="15">
    <w:p w14:paraId="07DD7F95" w14:textId="5FA23013" w:rsidR="0031768B" w:rsidRPr="00C667D9" w:rsidRDefault="0031768B" w:rsidP="003E28A9">
      <w:pPr>
        <w:pStyle w:val="FootnoteText"/>
        <w:rPr>
          <w:rFonts w:asciiTheme="minorHAnsi" w:hAnsiTheme="minorHAnsi"/>
        </w:rPr>
      </w:pPr>
      <w:r>
        <w:rPr>
          <w:rStyle w:val="FootnoteReference"/>
        </w:rPr>
        <w:footnoteRef/>
      </w:r>
      <w:r>
        <w:t xml:space="preserve"> </w:t>
      </w:r>
      <w:r w:rsidRPr="00C667D9">
        <w:rPr>
          <w:color w:val="auto"/>
        </w:rPr>
        <w:t xml:space="preserve">Amnesty International, </w:t>
      </w:r>
      <w:r w:rsidRPr="00C667D9">
        <w:rPr>
          <w:rFonts w:asciiTheme="minorHAnsi" w:hAnsiTheme="minorHAnsi"/>
          <w:color w:val="auto"/>
        </w:rPr>
        <w:t>“</w:t>
      </w:r>
      <w:r w:rsidRPr="00C667D9">
        <w:rPr>
          <w:rFonts w:asciiTheme="minorHAnsi" w:hAnsiTheme="minorHAnsi"/>
          <w:color w:val="auto"/>
          <w:szCs w:val="20"/>
        </w:rPr>
        <w:t xml:space="preserve">Libya's Internal Security Agency must end abuses in name of ‘guarding virtue’ ”, 14 February 2024, </w:t>
      </w:r>
      <w:hyperlink r:id="rId11" w:history="1">
        <w:r w:rsidRPr="00B00CFF">
          <w:rPr>
            <w:rStyle w:val="Hyperlink"/>
            <w:rFonts w:asciiTheme="minorHAnsi" w:hAnsiTheme="minorHAnsi"/>
            <w:szCs w:val="20"/>
          </w:rPr>
          <w:t>https://www.amnesty.org/en/latest/news/2024/02/libya-internal-security-agency-must-end-abuses-in-name-of-guarding-virtue/</w:t>
        </w:r>
      </w:hyperlink>
      <w:r>
        <w:rPr>
          <w:rFonts w:asciiTheme="minorHAnsi" w:hAnsiTheme="minorHAnsi"/>
        </w:rPr>
        <w:t xml:space="preserve"> </w:t>
      </w:r>
    </w:p>
  </w:footnote>
  <w:footnote w:id="16">
    <w:p w14:paraId="57742116" w14:textId="77777777" w:rsidR="0031768B" w:rsidRDefault="0031768B" w:rsidP="003E28A9">
      <w:pPr>
        <w:pStyle w:val="FootnoteText"/>
      </w:pPr>
      <w:r>
        <w:rPr>
          <w:rStyle w:val="FootnoteReference"/>
        </w:rPr>
        <w:footnoteRef/>
      </w:r>
      <w:r>
        <w:t xml:space="preserve"> Amnesty International, “Libya: Abducted politician's fate remains unknown a year on amid ongoing disappearances”, 17 July 2020, </w:t>
      </w:r>
    </w:p>
    <w:p w14:paraId="1D263E68" w14:textId="5BF007AA" w:rsidR="0031768B" w:rsidRDefault="00000000" w:rsidP="003E28A9">
      <w:pPr>
        <w:pStyle w:val="FootnoteText"/>
      </w:pPr>
      <w:hyperlink r:id="rId12" w:history="1">
        <w:r w:rsidR="0031768B" w:rsidRPr="00B00CFF">
          <w:rPr>
            <w:rStyle w:val="Hyperlink"/>
          </w:rPr>
          <w:t>www.amnesty.org/en/latest/news/2020/07/libya-abducted-politicians-fate-remains-unknown-a-year-on-amid-ongoing-disappearances/</w:t>
        </w:r>
      </w:hyperlink>
      <w:r w:rsidR="0031768B">
        <w:t xml:space="preserve">  and Amnesty International, “Libya: UN Rights Council members must address widespread torture during periodic review”, 10 November 2020, </w:t>
      </w:r>
    </w:p>
    <w:p w14:paraId="5F34E775" w14:textId="53F5B6E2" w:rsidR="0031768B" w:rsidRDefault="00000000" w:rsidP="003E28A9">
      <w:pPr>
        <w:pStyle w:val="FootnoteText"/>
      </w:pPr>
      <w:hyperlink r:id="rId13" w:history="1">
        <w:r w:rsidR="0031768B" w:rsidRPr="00B00CFF">
          <w:rPr>
            <w:rStyle w:val="Hyperlink"/>
          </w:rPr>
          <w:t>www.amnesty.org/en/latest/news/2020/11/libya-un-rights-council-members-must-address-widespread-torture-during-periodic-review/</w:t>
        </w:r>
      </w:hyperlink>
      <w:r w:rsidR="0031768B">
        <w:t xml:space="preserve"> </w:t>
      </w:r>
    </w:p>
  </w:footnote>
  <w:footnote w:id="17">
    <w:p w14:paraId="4E42166A" w14:textId="77777777" w:rsidR="0031768B" w:rsidRDefault="0031768B" w:rsidP="003E28A9">
      <w:pPr>
        <w:pStyle w:val="FootnoteText"/>
      </w:pPr>
      <w:r>
        <w:rPr>
          <w:rStyle w:val="FootnoteReference"/>
        </w:rPr>
        <w:footnoteRef/>
      </w:r>
      <w:r>
        <w:t xml:space="preserve"> </w:t>
      </w:r>
      <w:r w:rsidRPr="00352810">
        <w:t xml:space="preserve">Amnesty International, </w:t>
      </w:r>
      <w:r w:rsidRPr="00C667D9">
        <w:rPr>
          <w:i/>
          <w:iCs/>
        </w:rPr>
        <w:t>Report 2021/22: The state of the world’s human rights</w:t>
      </w:r>
      <w:r w:rsidRPr="00352810">
        <w:t xml:space="preserve"> (Index: POL 10/4870/2022), 29 March 2022, </w:t>
      </w:r>
      <w:hyperlink r:id="rId14" w:history="1">
        <w:r w:rsidRPr="00B00CFF">
          <w:rPr>
            <w:rStyle w:val="Hyperlink"/>
          </w:rPr>
          <w:t>https://www.amnesty.org/en/documents/pol10/4870/2022/en/</w:t>
        </w:r>
      </w:hyperlink>
      <w:r>
        <w:t xml:space="preserve"> </w:t>
      </w:r>
      <w:r w:rsidRPr="000265C7">
        <w:t>(previously cited)</w:t>
      </w:r>
    </w:p>
  </w:footnote>
  <w:footnote w:id="18">
    <w:p w14:paraId="5862CE47" w14:textId="3BAFD285" w:rsidR="0031768B" w:rsidRDefault="0031768B" w:rsidP="003E28A9">
      <w:pPr>
        <w:pStyle w:val="FootnoteText"/>
      </w:pPr>
      <w:r>
        <w:rPr>
          <w:rStyle w:val="FootnoteReference"/>
        </w:rPr>
        <w:footnoteRef/>
      </w:r>
      <w:r>
        <w:t xml:space="preserve"> </w:t>
      </w:r>
      <w:r w:rsidRPr="00352810">
        <w:t>Amnesty International</w:t>
      </w:r>
      <w:r>
        <w:t>,</w:t>
      </w:r>
      <w:r w:rsidRPr="00352810">
        <w:t xml:space="preserve"> Report 2020/21: The state of the world’s human rights</w:t>
      </w:r>
      <w:r>
        <w:t xml:space="preserve">, 07 </w:t>
      </w:r>
      <w:r w:rsidRPr="00352810">
        <w:t>April 2021</w:t>
      </w:r>
      <w:r>
        <w:t xml:space="preserve">, </w:t>
      </w:r>
      <w:r w:rsidRPr="00352810">
        <w:t>(Index: POL 10/</w:t>
      </w:r>
      <w:r>
        <w:t>3202</w:t>
      </w:r>
      <w:r w:rsidRPr="00352810">
        <w:t>/202</w:t>
      </w:r>
      <w:r>
        <w:t>1</w:t>
      </w:r>
      <w:r w:rsidRPr="00352810">
        <w:t xml:space="preserve">), </w:t>
      </w:r>
      <w:hyperlink r:id="rId15" w:history="1">
        <w:r w:rsidRPr="00B00CFF">
          <w:rPr>
            <w:rStyle w:val="Hyperlink"/>
          </w:rPr>
          <w:t>https://www.amnesty.org/en/documents/pol10/3202/2021/en/</w:t>
        </w:r>
      </w:hyperlink>
      <w:r>
        <w:t xml:space="preserve"> </w:t>
      </w:r>
    </w:p>
  </w:footnote>
  <w:footnote w:id="19">
    <w:p w14:paraId="6190579A" w14:textId="6F3E3CBC" w:rsidR="0031768B" w:rsidRDefault="0031768B" w:rsidP="003E28A9">
      <w:pPr>
        <w:pStyle w:val="FootnoteText"/>
      </w:pPr>
      <w:r>
        <w:rPr>
          <w:rStyle w:val="FootnoteReference"/>
        </w:rPr>
        <w:footnoteRef/>
      </w:r>
      <w:r>
        <w:t xml:space="preserve"> T</w:t>
      </w:r>
      <w:r w:rsidRPr="00E414D2">
        <w:t xml:space="preserve">he husband of </w:t>
      </w:r>
      <w:r w:rsidR="002C23BB">
        <w:t>S.S</w:t>
      </w:r>
      <w:r w:rsidRPr="00E414D2">
        <w:t>, call to anyone who has information about the disappearance of his wife to help the family know the truth regarding her fate</w:t>
      </w:r>
      <w:r>
        <w:t xml:space="preserve">, </w:t>
      </w:r>
      <w:r w:rsidRPr="00E414D2">
        <w:t xml:space="preserve"> Al-Wasat TV, </w:t>
      </w:r>
      <w:r>
        <w:t xml:space="preserve">Facebook page, 09 March 2024, </w:t>
      </w:r>
      <w:hyperlink r:id="rId16" w:history="1">
        <w:r w:rsidRPr="00B00CFF">
          <w:rPr>
            <w:rStyle w:val="Hyperlink"/>
          </w:rPr>
          <w:t>https://www.facebook.com/alwasatnewsly/videos/1492413098380912/</w:t>
        </w:r>
      </w:hyperlink>
      <w:r>
        <w:t xml:space="preserve">  (visited 09 April 2024)</w:t>
      </w:r>
    </w:p>
  </w:footnote>
  <w:footnote w:id="20">
    <w:p w14:paraId="797D98AA" w14:textId="77777777" w:rsidR="0031768B" w:rsidRDefault="0031768B" w:rsidP="003E28A9">
      <w:pPr>
        <w:pStyle w:val="FootnoteText"/>
      </w:pPr>
      <w:r>
        <w:rPr>
          <w:rStyle w:val="FootnoteReference"/>
        </w:rPr>
        <w:footnoteRef/>
      </w:r>
      <w:r>
        <w:t xml:space="preserve"> Visit to Libya, Report of the Special Rapporteur on violence against women and girls, its causes and consequences, 4 May 2023, </w:t>
      </w:r>
    </w:p>
    <w:p w14:paraId="6256BD46" w14:textId="77777777" w:rsidR="0031768B" w:rsidRDefault="0031768B" w:rsidP="003E28A9">
      <w:pPr>
        <w:pStyle w:val="FootnoteText"/>
      </w:pPr>
      <w:r>
        <w:t>UN Doc A/HRC/53/36/Add.2.</w:t>
      </w:r>
    </w:p>
  </w:footnote>
  <w:footnote w:id="21">
    <w:p w14:paraId="34A808A9" w14:textId="14A5DEB7" w:rsidR="0031768B" w:rsidRDefault="0031768B" w:rsidP="003E28A9">
      <w:pPr>
        <w:pStyle w:val="FootnoteText"/>
      </w:pPr>
      <w:r>
        <w:rPr>
          <w:rStyle w:val="FootnoteReference"/>
        </w:rPr>
        <w:footnoteRef/>
      </w:r>
      <w:r>
        <w:t xml:space="preserve"> UNSMIL, “SRSG Abdoulaye Bathily’s remarks to the Security Council meeting on Libya", 27 February 2023, </w:t>
      </w:r>
      <w:hyperlink r:id="rId17" w:history="1">
        <w:r w:rsidRPr="00B00CFF">
          <w:rPr>
            <w:rStyle w:val="Hyperlink"/>
          </w:rPr>
          <w:t>https://unsmil.unmissions.org/srsg-abdoulaye-bathily%E2%80%99s-remarks-security-council-meeting-libya-27-february-2023</w:t>
        </w:r>
      </w:hyperlink>
      <w:r>
        <w:t xml:space="preserve"> </w:t>
      </w:r>
    </w:p>
  </w:footnote>
  <w:footnote w:id="22">
    <w:p w14:paraId="066C490B" w14:textId="7ABB7411" w:rsidR="0031768B" w:rsidRDefault="0031768B" w:rsidP="003E28A9">
      <w:pPr>
        <w:pStyle w:val="FootnoteText"/>
      </w:pPr>
      <w:r>
        <w:rPr>
          <w:rStyle w:val="FootnoteReference"/>
        </w:rPr>
        <w:footnoteRef/>
      </w:r>
      <w:r>
        <w:t xml:space="preserve"> Law no. 24 for the year 2010 on the Provisions of Libyan Nationality, C</w:t>
      </w:r>
      <w:r w:rsidRPr="0000390F">
        <w:t>itizenship</w:t>
      </w:r>
      <w:r>
        <w:t xml:space="preserve"> Ri</w:t>
      </w:r>
      <w:r w:rsidRPr="0000390F">
        <w:t>ghts</w:t>
      </w:r>
      <w:r>
        <w:t xml:space="preserve"> A</w:t>
      </w:r>
      <w:r w:rsidRPr="0000390F">
        <w:t>frica</w:t>
      </w:r>
      <w:r>
        <w:t xml:space="preserve">, </w:t>
      </w:r>
      <w:hyperlink r:id="rId18" w:history="1">
        <w:r w:rsidRPr="00B00CFF">
          <w:rPr>
            <w:rStyle w:val="Hyperlink"/>
          </w:rPr>
          <w:t>https://www.citizenshiprightsafrica.org/wp-content/uploads/2010/01/Libya-Nationality-Law-No-24-2010-EN.pdf</w:t>
        </w:r>
      </w:hyperlink>
      <w:r>
        <w:t xml:space="preserve"> </w:t>
      </w:r>
    </w:p>
  </w:footnote>
  <w:footnote w:id="23">
    <w:p w14:paraId="033AE764" w14:textId="2657ED9E" w:rsidR="0031768B" w:rsidRDefault="0031768B" w:rsidP="003E28A9">
      <w:pPr>
        <w:pStyle w:val="FootnoteText"/>
      </w:pPr>
      <w:r>
        <w:rPr>
          <w:rStyle w:val="FootnoteReference"/>
        </w:rPr>
        <w:footnoteRef/>
      </w:r>
      <w:r>
        <w:t xml:space="preserve"> </w:t>
      </w:r>
      <w:r w:rsidRPr="00DA7EBF">
        <w:t>Amnesty International</w:t>
      </w:r>
      <w:r>
        <w:t xml:space="preserve">, </w:t>
      </w:r>
      <w:r w:rsidRPr="00DA7EBF">
        <w:t>Report 2022/23: The state of the world’s human rights</w:t>
      </w:r>
      <w:r>
        <w:t xml:space="preserve">, </w:t>
      </w:r>
      <w:r w:rsidRPr="00E53313">
        <w:t>(Index:</w:t>
      </w:r>
      <w:r>
        <w:t xml:space="preserve"> </w:t>
      </w:r>
      <w:r w:rsidRPr="002E5B83">
        <w:t>POL 10/5670/2023</w:t>
      </w:r>
      <w:r>
        <w:t xml:space="preserve">), 27 </w:t>
      </w:r>
      <w:r w:rsidRPr="002E5B83">
        <w:t>March 2023</w:t>
      </w:r>
      <w:r>
        <w:t xml:space="preserve">, </w:t>
      </w:r>
      <w:hyperlink r:id="rId19" w:history="1">
        <w:r w:rsidRPr="00B00CFF">
          <w:rPr>
            <w:rStyle w:val="Hyperlink"/>
          </w:rPr>
          <w:t>https://www.amnesty.org/en/location/middle-east-and-north-africa/libya/report-libya/</w:t>
        </w:r>
      </w:hyperlink>
      <w:r>
        <w:t xml:space="preserve">  </w:t>
      </w:r>
      <w:r w:rsidRPr="000265C7">
        <w:t>(previously cited)</w:t>
      </w:r>
    </w:p>
  </w:footnote>
  <w:footnote w:id="24">
    <w:p w14:paraId="2C4D2417" w14:textId="066CFFC9" w:rsidR="0031768B" w:rsidRDefault="0031768B" w:rsidP="003E28A9">
      <w:pPr>
        <w:pStyle w:val="FootnoteText"/>
      </w:pPr>
      <w:r>
        <w:rPr>
          <w:rStyle w:val="FootnoteReference"/>
        </w:rPr>
        <w:footnoteRef/>
      </w:r>
      <w:r>
        <w:t xml:space="preserve"> </w:t>
      </w:r>
      <w:r w:rsidRPr="00E53313">
        <w:t xml:space="preserve">Amnesty International, Libya: Arbitrary military decree highlights precariousness of women’s rights in Libya (Index: MDE 19/5820/2017), 03 March 2017, </w:t>
      </w:r>
      <w:hyperlink r:id="rId20" w:history="1">
        <w:r w:rsidRPr="00B00CFF">
          <w:rPr>
            <w:rStyle w:val="Hyperlink"/>
          </w:rPr>
          <w:t>https://www.amnesty.org/en/documents/mde19/5820/2017/en/</w:t>
        </w:r>
      </w:hyperlink>
      <w:r>
        <w:t xml:space="preserve">  </w:t>
      </w:r>
      <w:r w:rsidRPr="00AC1429">
        <w:t xml:space="preserve">and Amnesty International, Report 2017/18: The state of the world’s human rights, 22 February 2018, (Index: POL 10/6700/2018), </w:t>
      </w:r>
      <w:hyperlink r:id="rId21" w:history="1">
        <w:r w:rsidRPr="00B00CFF">
          <w:rPr>
            <w:rStyle w:val="Hyperlink"/>
          </w:rPr>
          <w:t>https://www.amnesty.org/en/documents/pol10/6700/2018/en/</w:t>
        </w:r>
      </w:hyperlink>
      <w:r>
        <w:t xml:space="preserve"> </w:t>
      </w:r>
    </w:p>
  </w:footnote>
  <w:footnote w:id="25">
    <w:p w14:paraId="11F508D1" w14:textId="1B3D8155" w:rsidR="0031768B" w:rsidRDefault="0031768B" w:rsidP="003E28A9">
      <w:pPr>
        <w:pStyle w:val="FootnoteText"/>
      </w:pPr>
      <w:r>
        <w:rPr>
          <w:rStyle w:val="FootnoteReference"/>
        </w:rPr>
        <w:footnoteRef/>
      </w:r>
      <w:r>
        <w:t xml:space="preserve">  </w:t>
      </w:r>
      <w:r w:rsidRPr="0000390F">
        <w:t xml:space="preserve">According to Article 25 of Law No. 17 of 1992, “the missing status ends with the proof of the missing person’s life or death, or a judgment considering him/her dead”.  </w:t>
      </w:r>
    </w:p>
  </w:footnote>
  <w:footnote w:id="26">
    <w:p w14:paraId="005FF44D" w14:textId="26046E92" w:rsidR="0031768B" w:rsidRPr="00074115" w:rsidRDefault="0031768B" w:rsidP="003E28A9">
      <w:pPr>
        <w:pStyle w:val="FootnoteText"/>
      </w:pPr>
      <w:r>
        <w:rPr>
          <w:rStyle w:val="FootnoteReference"/>
        </w:rPr>
        <w:footnoteRef/>
      </w:r>
      <w:r>
        <w:t xml:space="preserve"> </w:t>
      </w:r>
      <w:r w:rsidRPr="00B634EB">
        <w:t xml:space="preserve">Amnesty International, Libya: “In seconds everything changed”: Justice and redress elusive for Derna flood survivors, 11 March 2024, (Index: MDE 19/7608/2024), </w:t>
      </w:r>
      <w:hyperlink r:id="rId22" w:history="1">
        <w:r w:rsidRPr="00B00CFF">
          <w:rPr>
            <w:rStyle w:val="Hyperlink"/>
          </w:rPr>
          <w:t>https://www.amnesty.org/en/documents/mde19/7608/2024/en/</w:t>
        </w:r>
      </w:hyperlink>
      <w:r>
        <w:t xml:space="preserve"> </w:t>
      </w:r>
    </w:p>
  </w:footnote>
  <w:footnote w:id="27">
    <w:p w14:paraId="7C2BCE30" w14:textId="77777777" w:rsidR="0031768B" w:rsidRDefault="0031768B" w:rsidP="003E28A9">
      <w:pPr>
        <w:pStyle w:val="FootnoteText"/>
      </w:pPr>
      <w:r>
        <w:rPr>
          <w:rStyle w:val="FootnoteReference"/>
        </w:rPr>
        <w:footnoteRef/>
      </w:r>
      <w:r>
        <w:t xml:space="preserve"> </w:t>
      </w:r>
      <w:r w:rsidRPr="00B634EB">
        <w:t xml:space="preserve">Amnesty International, Report 2020/21: The state of the world’s human rights, 07 April 2021, (Index: POL 10/3202/2021), </w:t>
      </w:r>
      <w:hyperlink r:id="rId23" w:history="1">
        <w:r w:rsidRPr="00B00CFF">
          <w:rPr>
            <w:rStyle w:val="Hyperlink"/>
          </w:rPr>
          <w:t>https://www.amnesty.org/en/documents/pol10/3202/2021/en/</w:t>
        </w:r>
      </w:hyperlink>
      <w:r>
        <w:t xml:space="preserve"> (previously cited)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4FC965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5D4885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5C2369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1F0624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EECB79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7DCB3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883AC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40834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1323D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70077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34685F"/>
    <w:multiLevelType w:val="hybridMultilevel"/>
    <w:tmpl w:val="A9D6F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24B2E07"/>
    <w:multiLevelType w:val="multilevel"/>
    <w:tmpl w:val="DCA2D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7987C4A"/>
    <w:multiLevelType w:val="hybridMultilevel"/>
    <w:tmpl w:val="D7DE1968"/>
    <w:lvl w:ilvl="0" w:tplc="68F27764">
      <w:start w:val="12"/>
      <w:numFmt w:val="bullet"/>
      <w:lvlText w:val="•"/>
      <w:lvlJc w:val="left"/>
      <w:pPr>
        <w:ind w:left="644" w:hanging="360"/>
      </w:pPr>
      <w:rPr>
        <w:rFonts w:ascii="Amnesty Trade Gothic Light" w:eastAsiaTheme="minorEastAsia" w:hAnsi="Amnesty Trade Gothic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9873F4B"/>
    <w:multiLevelType w:val="hybridMultilevel"/>
    <w:tmpl w:val="17825A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BEA0389"/>
    <w:multiLevelType w:val="hybridMultilevel"/>
    <w:tmpl w:val="A8008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DD9329F"/>
    <w:multiLevelType w:val="hybridMultilevel"/>
    <w:tmpl w:val="6C3A8D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EF56090"/>
    <w:multiLevelType w:val="hybridMultilevel"/>
    <w:tmpl w:val="716E0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5C23D71"/>
    <w:multiLevelType w:val="hybridMultilevel"/>
    <w:tmpl w:val="A7A268D2"/>
    <w:lvl w:ilvl="0" w:tplc="6B82F11E">
      <w:numFmt w:val="bullet"/>
      <w:lvlText w:val="-"/>
      <w:lvlJc w:val="left"/>
      <w:pPr>
        <w:ind w:left="1080" w:hanging="360"/>
      </w:pPr>
      <w:rPr>
        <w:rFonts w:ascii="Amnesty Trade Gothic Light" w:eastAsiaTheme="minorHAnsi" w:hAnsi="Amnesty Trade Gothic Light" w:cs="Calibri" w:hint="default"/>
        <w:b/>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29B71960"/>
    <w:multiLevelType w:val="multilevel"/>
    <w:tmpl w:val="EB1081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33B1C87"/>
    <w:multiLevelType w:val="hybridMultilevel"/>
    <w:tmpl w:val="25323F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9065B87"/>
    <w:multiLevelType w:val="hybridMultilevel"/>
    <w:tmpl w:val="06926024"/>
    <w:lvl w:ilvl="0" w:tplc="572E116E">
      <w:numFmt w:val="bullet"/>
      <w:lvlText w:val="•"/>
      <w:lvlJc w:val="left"/>
      <w:pPr>
        <w:ind w:left="720" w:hanging="360"/>
      </w:pPr>
      <w:rPr>
        <w:rFonts w:ascii="Amnesty Trade Gothic Light" w:eastAsiaTheme="minorHAnsi" w:hAnsi="Amnesty Trade Gothic Light"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A162775"/>
    <w:multiLevelType w:val="hybridMultilevel"/>
    <w:tmpl w:val="D05ABA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CF1176A"/>
    <w:multiLevelType w:val="hybridMultilevel"/>
    <w:tmpl w:val="FD006C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E503E78"/>
    <w:multiLevelType w:val="hybridMultilevel"/>
    <w:tmpl w:val="7384EC1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F6D4526"/>
    <w:multiLevelType w:val="multilevel"/>
    <w:tmpl w:val="ABB0226E"/>
    <w:lvl w:ilvl="0">
      <w:start w:val="1"/>
      <w:numFmt w:val="decimal"/>
      <w:lvlText w:val="%1."/>
      <w:lvlJc w:val="left"/>
      <w:pPr>
        <w:ind w:left="720" w:hanging="360"/>
      </w:pPr>
      <w:rPr>
        <w:rFonts w:hint="default"/>
      </w:rPr>
    </w:lvl>
    <w:lvl w:ilvl="1">
      <w:start w:val="1"/>
      <w:numFmt w:val="decimal"/>
      <w:pStyle w:val="BNumberedSubheading"/>
      <w:lvlText w:val="%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15:restartNumberingAfterBreak="0">
    <w:nsid w:val="566818DE"/>
    <w:multiLevelType w:val="hybridMultilevel"/>
    <w:tmpl w:val="8990DD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58BB4050"/>
    <w:multiLevelType w:val="hybridMultilevel"/>
    <w:tmpl w:val="F496A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7E77E3"/>
    <w:multiLevelType w:val="hybridMultilevel"/>
    <w:tmpl w:val="EC1EC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78F1B11"/>
    <w:multiLevelType w:val="hybridMultilevel"/>
    <w:tmpl w:val="0CD24A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7E2038F"/>
    <w:multiLevelType w:val="hybridMultilevel"/>
    <w:tmpl w:val="1E32EB32"/>
    <w:lvl w:ilvl="0" w:tplc="A31036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C276C7C"/>
    <w:multiLevelType w:val="multilevel"/>
    <w:tmpl w:val="BC349D08"/>
    <w:lvl w:ilvl="0">
      <w:start w:val="1"/>
      <w:numFmt w:val="decimal"/>
      <w:suff w:val="space"/>
      <w:lvlText w:val="%1."/>
      <w:lvlJc w:val="left"/>
      <w:pPr>
        <w:ind w:left="596" w:hanging="454"/>
      </w:pPr>
      <w:rPr>
        <w:rFonts w:hint="default"/>
      </w:rPr>
    </w:lvl>
    <w:lvl w:ilvl="1">
      <w:start w:val="1"/>
      <w:numFmt w:val="decimal"/>
      <w:suff w:val="space"/>
      <w:lvlText w:val="%1.%2"/>
      <w:lvlJc w:val="left"/>
      <w:pPr>
        <w:ind w:left="3714" w:hanging="2863"/>
      </w:pPr>
      <w:rPr>
        <w:rFonts w:hint="default"/>
      </w:rPr>
    </w:lvl>
    <w:lvl w:ilvl="2">
      <w:start w:val="1"/>
      <w:numFmt w:val="decimal"/>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31" w15:restartNumberingAfterBreak="0">
    <w:nsid w:val="774151E0"/>
    <w:multiLevelType w:val="hybridMultilevel"/>
    <w:tmpl w:val="6F6C08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8F936E8"/>
    <w:multiLevelType w:val="hybridMultilevel"/>
    <w:tmpl w:val="F7D2FCE8"/>
    <w:lvl w:ilvl="0" w:tplc="D3E477EC">
      <w:numFmt w:val="bullet"/>
      <w:lvlText w:val="-"/>
      <w:lvlJc w:val="left"/>
      <w:pPr>
        <w:ind w:left="720" w:hanging="360"/>
      </w:pPr>
      <w:rPr>
        <w:rFonts w:ascii="Amnesty Trade Gothic Light" w:eastAsiaTheme="minorHAnsi" w:hAnsi="Amnesty Trade Gothic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A1B2539"/>
    <w:multiLevelType w:val="multilevel"/>
    <w:tmpl w:val="83C209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4" w15:restartNumberingAfterBreak="0">
    <w:nsid w:val="7B390DBE"/>
    <w:multiLevelType w:val="hybridMultilevel"/>
    <w:tmpl w:val="CDBE75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FF93EA0"/>
    <w:multiLevelType w:val="hybridMultilevel"/>
    <w:tmpl w:val="653AD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89343449">
    <w:abstractNumId w:val="30"/>
  </w:num>
  <w:num w:numId="2" w16cid:durableId="759570088">
    <w:abstractNumId w:val="30"/>
  </w:num>
  <w:num w:numId="3" w16cid:durableId="49152716">
    <w:abstractNumId w:val="30"/>
  </w:num>
  <w:num w:numId="4" w16cid:durableId="475726308">
    <w:abstractNumId w:val="30"/>
  </w:num>
  <w:num w:numId="5" w16cid:durableId="1181312268">
    <w:abstractNumId w:val="30"/>
  </w:num>
  <w:num w:numId="6" w16cid:durableId="1947227396">
    <w:abstractNumId w:val="30"/>
  </w:num>
  <w:num w:numId="7" w16cid:durableId="759302579">
    <w:abstractNumId w:val="30"/>
  </w:num>
  <w:num w:numId="8" w16cid:durableId="1884053621">
    <w:abstractNumId w:val="30"/>
  </w:num>
  <w:num w:numId="9" w16cid:durableId="304942209">
    <w:abstractNumId w:val="29"/>
  </w:num>
  <w:num w:numId="10" w16cid:durableId="1124664696">
    <w:abstractNumId w:val="33"/>
  </w:num>
  <w:num w:numId="11" w16cid:durableId="973753742">
    <w:abstractNumId w:val="35"/>
  </w:num>
  <w:num w:numId="12" w16cid:durableId="1069614733">
    <w:abstractNumId w:val="14"/>
  </w:num>
  <w:num w:numId="13" w16cid:durableId="365840193">
    <w:abstractNumId w:val="16"/>
  </w:num>
  <w:num w:numId="14" w16cid:durableId="1743142083">
    <w:abstractNumId w:val="10"/>
  </w:num>
  <w:num w:numId="15" w16cid:durableId="1435634649">
    <w:abstractNumId w:val="12"/>
  </w:num>
  <w:num w:numId="16" w16cid:durableId="263465853">
    <w:abstractNumId w:val="34"/>
  </w:num>
  <w:num w:numId="17" w16cid:durableId="764615738">
    <w:abstractNumId w:val="26"/>
  </w:num>
  <w:num w:numId="18" w16cid:durableId="1160002665">
    <w:abstractNumId w:val="9"/>
  </w:num>
  <w:num w:numId="19" w16cid:durableId="181862611">
    <w:abstractNumId w:val="7"/>
  </w:num>
  <w:num w:numId="20" w16cid:durableId="1309672971">
    <w:abstractNumId w:val="6"/>
  </w:num>
  <w:num w:numId="21" w16cid:durableId="1607882855">
    <w:abstractNumId w:val="5"/>
  </w:num>
  <w:num w:numId="22" w16cid:durableId="988287211">
    <w:abstractNumId w:val="4"/>
  </w:num>
  <w:num w:numId="23" w16cid:durableId="1986854942">
    <w:abstractNumId w:val="8"/>
  </w:num>
  <w:num w:numId="24" w16cid:durableId="1736271954">
    <w:abstractNumId w:val="3"/>
  </w:num>
  <w:num w:numId="25" w16cid:durableId="1916622834">
    <w:abstractNumId w:val="2"/>
  </w:num>
  <w:num w:numId="26" w16cid:durableId="1410545062">
    <w:abstractNumId w:val="1"/>
  </w:num>
  <w:num w:numId="27" w16cid:durableId="817183400">
    <w:abstractNumId w:val="0"/>
  </w:num>
  <w:num w:numId="28" w16cid:durableId="2019189544">
    <w:abstractNumId w:val="15"/>
  </w:num>
  <w:num w:numId="29" w16cid:durableId="1856771728">
    <w:abstractNumId w:val="24"/>
  </w:num>
  <w:num w:numId="30" w16cid:durableId="452486010">
    <w:abstractNumId w:val="18"/>
  </w:num>
  <w:num w:numId="31" w16cid:durableId="454369790">
    <w:abstractNumId w:val="13"/>
  </w:num>
  <w:num w:numId="32" w16cid:durableId="255870602">
    <w:abstractNumId w:val="32"/>
  </w:num>
  <w:num w:numId="33" w16cid:durableId="940993153">
    <w:abstractNumId w:val="17"/>
  </w:num>
  <w:num w:numId="34" w16cid:durableId="864900019">
    <w:abstractNumId w:val="11"/>
  </w:num>
  <w:num w:numId="35" w16cid:durableId="1378972117">
    <w:abstractNumId w:val="22"/>
  </w:num>
  <w:num w:numId="36" w16cid:durableId="274484567">
    <w:abstractNumId w:val="21"/>
  </w:num>
  <w:num w:numId="37" w16cid:durableId="1887253266">
    <w:abstractNumId w:val="28"/>
  </w:num>
  <w:num w:numId="38" w16cid:durableId="1344211220">
    <w:abstractNumId w:val="31"/>
  </w:num>
  <w:num w:numId="39" w16cid:durableId="89589712">
    <w:abstractNumId w:val="25"/>
  </w:num>
  <w:num w:numId="40" w16cid:durableId="993875968">
    <w:abstractNumId w:val="23"/>
  </w:num>
  <w:num w:numId="41" w16cid:durableId="347678279">
    <w:abstractNumId w:val="19"/>
  </w:num>
  <w:num w:numId="42" w16cid:durableId="241379709">
    <w:abstractNumId w:val="27"/>
  </w:num>
  <w:num w:numId="43" w16cid:durableId="195752197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removePersonalInformation/>
  <w:removeDateAndTime/>
  <w:proofState w:spelling="clean" w:grammar="clean"/>
  <w:stylePaneFormatFilter w:val="5204" w:allStyles="0" w:customStyles="0" w:latentStyles="1" w:stylesInUse="0" w:headingStyles="0" w:numberingStyles="0" w:tableStyles="0" w:directFormattingOnRuns="0" w:directFormattingOnParagraphs="1" w:directFormattingOnNumbering="0"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B02"/>
    <w:rsid w:val="00000C4E"/>
    <w:rsid w:val="0000119E"/>
    <w:rsid w:val="0000221E"/>
    <w:rsid w:val="00003C76"/>
    <w:rsid w:val="00003ED7"/>
    <w:rsid w:val="00006E0F"/>
    <w:rsid w:val="000103F1"/>
    <w:rsid w:val="000108EA"/>
    <w:rsid w:val="000109B6"/>
    <w:rsid w:val="00011FC4"/>
    <w:rsid w:val="0001250D"/>
    <w:rsid w:val="00013579"/>
    <w:rsid w:val="000144F1"/>
    <w:rsid w:val="00014586"/>
    <w:rsid w:val="00015A12"/>
    <w:rsid w:val="000174EF"/>
    <w:rsid w:val="0002038F"/>
    <w:rsid w:val="000206AB"/>
    <w:rsid w:val="00021154"/>
    <w:rsid w:val="00021885"/>
    <w:rsid w:val="00022B38"/>
    <w:rsid w:val="00022B80"/>
    <w:rsid w:val="00024F6E"/>
    <w:rsid w:val="000259F7"/>
    <w:rsid w:val="00025AFD"/>
    <w:rsid w:val="000272F5"/>
    <w:rsid w:val="00031718"/>
    <w:rsid w:val="00031C00"/>
    <w:rsid w:val="00034E50"/>
    <w:rsid w:val="000357E2"/>
    <w:rsid w:val="00035D42"/>
    <w:rsid w:val="00035D44"/>
    <w:rsid w:val="000422B2"/>
    <w:rsid w:val="00043487"/>
    <w:rsid w:val="0004431E"/>
    <w:rsid w:val="0004624A"/>
    <w:rsid w:val="000466CB"/>
    <w:rsid w:val="000468C6"/>
    <w:rsid w:val="00046BDD"/>
    <w:rsid w:val="00046C19"/>
    <w:rsid w:val="00046FC0"/>
    <w:rsid w:val="0005087E"/>
    <w:rsid w:val="00055E23"/>
    <w:rsid w:val="00057C3B"/>
    <w:rsid w:val="000604C6"/>
    <w:rsid w:val="000634E8"/>
    <w:rsid w:val="0006494D"/>
    <w:rsid w:val="00065342"/>
    <w:rsid w:val="000656AB"/>
    <w:rsid w:val="00065FFC"/>
    <w:rsid w:val="000660E7"/>
    <w:rsid w:val="0006664D"/>
    <w:rsid w:val="0006667A"/>
    <w:rsid w:val="00067044"/>
    <w:rsid w:val="00067136"/>
    <w:rsid w:val="00067376"/>
    <w:rsid w:val="00070657"/>
    <w:rsid w:val="000710E5"/>
    <w:rsid w:val="00071534"/>
    <w:rsid w:val="000726D3"/>
    <w:rsid w:val="000754A5"/>
    <w:rsid w:val="00075AB3"/>
    <w:rsid w:val="0007677B"/>
    <w:rsid w:val="00076FD1"/>
    <w:rsid w:val="00077530"/>
    <w:rsid w:val="000808AF"/>
    <w:rsid w:val="00081537"/>
    <w:rsid w:val="00081757"/>
    <w:rsid w:val="0008415F"/>
    <w:rsid w:val="000856F8"/>
    <w:rsid w:val="00085AA0"/>
    <w:rsid w:val="000870F5"/>
    <w:rsid w:val="00090DB1"/>
    <w:rsid w:val="00091121"/>
    <w:rsid w:val="000922C7"/>
    <w:rsid w:val="000937EB"/>
    <w:rsid w:val="0009394C"/>
    <w:rsid w:val="00093ACC"/>
    <w:rsid w:val="0009472E"/>
    <w:rsid w:val="00094BCF"/>
    <w:rsid w:val="000A1082"/>
    <w:rsid w:val="000A22CD"/>
    <w:rsid w:val="000A3AE3"/>
    <w:rsid w:val="000A40C1"/>
    <w:rsid w:val="000A535C"/>
    <w:rsid w:val="000A5E06"/>
    <w:rsid w:val="000B0FEC"/>
    <w:rsid w:val="000B1A1D"/>
    <w:rsid w:val="000B3317"/>
    <w:rsid w:val="000B3B40"/>
    <w:rsid w:val="000B3B5B"/>
    <w:rsid w:val="000B3BD6"/>
    <w:rsid w:val="000B4760"/>
    <w:rsid w:val="000B5F48"/>
    <w:rsid w:val="000B6051"/>
    <w:rsid w:val="000B6852"/>
    <w:rsid w:val="000B7C97"/>
    <w:rsid w:val="000B7EEA"/>
    <w:rsid w:val="000C04AD"/>
    <w:rsid w:val="000C1584"/>
    <w:rsid w:val="000C18E0"/>
    <w:rsid w:val="000C1C64"/>
    <w:rsid w:val="000C2825"/>
    <w:rsid w:val="000C3752"/>
    <w:rsid w:val="000C4177"/>
    <w:rsid w:val="000C5B09"/>
    <w:rsid w:val="000C77F2"/>
    <w:rsid w:val="000C7A67"/>
    <w:rsid w:val="000D0C51"/>
    <w:rsid w:val="000D0EF0"/>
    <w:rsid w:val="000D187D"/>
    <w:rsid w:val="000D2BD5"/>
    <w:rsid w:val="000D654E"/>
    <w:rsid w:val="000E28E5"/>
    <w:rsid w:val="000E2B8B"/>
    <w:rsid w:val="000E3569"/>
    <w:rsid w:val="000E3604"/>
    <w:rsid w:val="000E41A1"/>
    <w:rsid w:val="000E46E0"/>
    <w:rsid w:val="000E4918"/>
    <w:rsid w:val="000E4A28"/>
    <w:rsid w:val="000F495B"/>
    <w:rsid w:val="000F4F33"/>
    <w:rsid w:val="000F4F66"/>
    <w:rsid w:val="000F5182"/>
    <w:rsid w:val="000F5DC9"/>
    <w:rsid w:val="000F6C85"/>
    <w:rsid w:val="00102916"/>
    <w:rsid w:val="0010344B"/>
    <w:rsid w:val="00103478"/>
    <w:rsid w:val="001058CF"/>
    <w:rsid w:val="00106694"/>
    <w:rsid w:val="00106778"/>
    <w:rsid w:val="00106F25"/>
    <w:rsid w:val="0010764C"/>
    <w:rsid w:val="001078C8"/>
    <w:rsid w:val="0010798D"/>
    <w:rsid w:val="001103E4"/>
    <w:rsid w:val="001105B7"/>
    <w:rsid w:val="00112CAF"/>
    <w:rsid w:val="00113B4E"/>
    <w:rsid w:val="00113E91"/>
    <w:rsid w:val="00113FAF"/>
    <w:rsid w:val="001140D3"/>
    <w:rsid w:val="001145F2"/>
    <w:rsid w:val="001153D5"/>
    <w:rsid w:val="0011547D"/>
    <w:rsid w:val="00116223"/>
    <w:rsid w:val="00120F64"/>
    <w:rsid w:val="00120F78"/>
    <w:rsid w:val="001227F7"/>
    <w:rsid w:val="001231E9"/>
    <w:rsid w:val="00124E0C"/>
    <w:rsid w:val="00125850"/>
    <w:rsid w:val="00126396"/>
    <w:rsid w:val="001263C5"/>
    <w:rsid w:val="00126A84"/>
    <w:rsid w:val="00130667"/>
    <w:rsid w:val="00130C4E"/>
    <w:rsid w:val="00131015"/>
    <w:rsid w:val="00131BCD"/>
    <w:rsid w:val="00132E35"/>
    <w:rsid w:val="00133274"/>
    <w:rsid w:val="00133535"/>
    <w:rsid w:val="00134075"/>
    <w:rsid w:val="001340E6"/>
    <w:rsid w:val="001343BE"/>
    <w:rsid w:val="00134752"/>
    <w:rsid w:val="00135843"/>
    <w:rsid w:val="00136468"/>
    <w:rsid w:val="00137621"/>
    <w:rsid w:val="00137E05"/>
    <w:rsid w:val="00140357"/>
    <w:rsid w:val="00140418"/>
    <w:rsid w:val="00142479"/>
    <w:rsid w:val="00142D38"/>
    <w:rsid w:val="0014349E"/>
    <w:rsid w:val="0014379E"/>
    <w:rsid w:val="001440B1"/>
    <w:rsid w:val="00144C8D"/>
    <w:rsid w:val="00147D0F"/>
    <w:rsid w:val="00150E12"/>
    <w:rsid w:val="0015226A"/>
    <w:rsid w:val="00152684"/>
    <w:rsid w:val="00152D3C"/>
    <w:rsid w:val="00153C77"/>
    <w:rsid w:val="00154592"/>
    <w:rsid w:val="00154926"/>
    <w:rsid w:val="00155B55"/>
    <w:rsid w:val="00156C7E"/>
    <w:rsid w:val="0016172B"/>
    <w:rsid w:val="00162896"/>
    <w:rsid w:val="00163908"/>
    <w:rsid w:val="001644A5"/>
    <w:rsid w:val="001660A4"/>
    <w:rsid w:val="001660D3"/>
    <w:rsid w:val="0016648C"/>
    <w:rsid w:val="0016768A"/>
    <w:rsid w:val="0016769D"/>
    <w:rsid w:val="00172296"/>
    <w:rsid w:val="00173507"/>
    <w:rsid w:val="00173C90"/>
    <w:rsid w:val="00174DC0"/>
    <w:rsid w:val="00175137"/>
    <w:rsid w:val="001752B0"/>
    <w:rsid w:val="0017706E"/>
    <w:rsid w:val="0017713F"/>
    <w:rsid w:val="0018098E"/>
    <w:rsid w:val="00181308"/>
    <w:rsid w:val="001822A9"/>
    <w:rsid w:val="00182355"/>
    <w:rsid w:val="00183E7F"/>
    <w:rsid w:val="001845DA"/>
    <w:rsid w:val="001854DA"/>
    <w:rsid w:val="00186073"/>
    <w:rsid w:val="0018795D"/>
    <w:rsid w:val="0019203A"/>
    <w:rsid w:val="00192E3D"/>
    <w:rsid w:val="001941E2"/>
    <w:rsid w:val="0019426D"/>
    <w:rsid w:val="001945FB"/>
    <w:rsid w:val="00194957"/>
    <w:rsid w:val="00195520"/>
    <w:rsid w:val="00196757"/>
    <w:rsid w:val="00197AD2"/>
    <w:rsid w:val="00197D37"/>
    <w:rsid w:val="001A03AE"/>
    <w:rsid w:val="001A0E99"/>
    <w:rsid w:val="001A1A6A"/>
    <w:rsid w:val="001A378C"/>
    <w:rsid w:val="001A44D2"/>
    <w:rsid w:val="001A6C49"/>
    <w:rsid w:val="001A7A35"/>
    <w:rsid w:val="001B0627"/>
    <w:rsid w:val="001B2918"/>
    <w:rsid w:val="001B2B26"/>
    <w:rsid w:val="001C1614"/>
    <w:rsid w:val="001C223F"/>
    <w:rsid w:val="001C36E1"/>
    <w:rsid w:val="001C39A3"/>
    <w:rsid w:val="001C3F17"/>
    <w:rsid w:val="001C5866"/>
    <w:rsid w:val="001D280E"/>
    <w:rsid w:val="001D3041"/>
    <w:rsid w:val="001D411B"/>
    <w:rsid w:val="001D48F6"/>
    <w:rsid w:val="001D51A7"/>
    <w:rsid w:val="001D5317"/>
    <w:rsid w:val="001D65B2"/>
    <w:rsid w:val="001D694E"/>
    <w:rsid w:val="001D6F05"/>
    <w:rsid w:val="001D7D31"/>
    <w:rsid w:val="001E0859"/>
    <w:rsid w:val="001E365E"/>
    <w:rsid w:val="001E4004"/>
    <w:rsid w:val="001E449A"/>
    <w:rsid w:val="001E4F20"/>
    <w:rsid w:val="001E6845"/>
    <w:rsid w:val="001E72EF"/>
    <w:rsid w:val="001E76B1"/>
    <w:rsid w:val="001E7BBB"/>
    <w:rsid w:val="001F079E"/>
    <w:rsid w:val="001F0C88"/>
    <w:rsid w:val="001F0F4A"/>
    <w:rsid w:val="001F19E2"/>
    <w:rsid w:val="001F2C4E"/>
    <w:rsid w:val="001F38EE"/>
    <w:rsid w:val="001F392A"/>
    <w:rsid w:val="001F3B64"/>
    <w:rsid w:val="001F518E"/>
    <w:rsid w:val="001F636C"/>
    <w:rsid w:val="001F6ADE"/>
    <w:rsid w:val="001F74CA"/>
    <w:rsid w:val="00200224"/>
    <w:rsid w:val="00200EE3"/>
    <w:rsid w:val="00203863"/>
    <w:rsid w:val="00205AA1"/>
    <w:rsid w:val="0020749A"/>
    <w:rsid w:val="0020796B"/>
    <w:rsid w:val="00207B9F"/>
    <w:rsid w:val="00210D4C"/>
    <w:rsid w:val="00210F45"/>
    <w:rsid w:val="00211C78"/>
    <w:rsid w:val="0021307B"/>
    <w:rsid w:val="00214292"/>
    <w:rsid w:val="00214326"/>
    <w:rsid w:val="002146C5"/>
    <w:rsid w:val="0021473D"/>
    <w:rsid w:val="002160FA"/>
    <w:rsid w:val="002178D2"/>
    <w:rsid w:val="00217ADA"/>
    <w:rsid w:val="00217DDF"/>
    <w:rsid w:val="00220669"/>
    <w:rsid w:val="00220716"/>
    <w:rsid w:val="00220A22"/>
    <w:rsid w:val="002217C4"/>
    <w:rsid w:val="00222DC1"/>
    <w:rsid w:val="00222E52"/>
    <w:rsid w:val="002240A5"/>
    <w:rsid w:val="0022451F"/>
    <w:rsid w:val="00224D2D"/>
    <w:rsid w:val="00226986"/>
    <w:rsid w:val="00227541"/>
    <w:rsid w:val="00231581"/>
    <w:rsid w:val="00232571"/>
    <w:rsid w:val="00232DD3"/>
    <w:rsid w:val="00233F78"/>
    <w:rsid w:val="00234A0D"/>
    <w:rsid w:val="002368AD"/>
    <w:rsid w:val="002370E0"/>
    <w:rsid w:val="0023736C"/>
    <w:rsid w:val="00237FBF"/>
    <w:rsid w:val="00242B2F"/>
    <w:rsid w:val="00243174"/>
    <w:rsid w:val="0024370B"/>
    <w:rsid w:val="00245981"/>
    <w:rsid w:val="00246932"/>
    <w:rsid w:val="00247CCC"/>
    <w:rsid w:val="00247FEA"/>
    <w:rsid w:val="00251128"/>
    <w:rsid w:val="00251AFA"/>
    <w:rsid w:val="00251F0E"/>
    <w:rsid w:val="00252AF3"/>
    <w:rsid w:val="002541A8"/>
    <w:rsid w:val="00254FC0"/>
    <w:rsid w:val="002566BC"/>
    <w:rsid w:val="00257FB4"/>
    <w:rsid w:val="002603C2"/>
    <w:rsid w:val="0026103D"/>
    <w:rsid w:val="002610F6"/>
    <w:rsid w:val="0026144A"/>
    <w:rsid w:val="00262EB8"/>
    <w:rsid w:val="00263834"/>
    <w:rsid w:val="00264807"/>
    <w:rsid w:val="0026487A"/>
    <w:rsid w:val="002653E3"/>
    <w:rsid w:val="00266153"/>
    <w:rsid w:val="002662DC"/>
    <w:rsid w:val="00266D7B"/>
    <w:rsid w:val="00270511"/>
    <w:rsid w:val="00270A61"/>
    <w:rsid w:val="00270E26"/>
    <w:rsid w:val="002710FE"/>
    <w:rsid w:val="002718C4"/>
    <w:rsid w:val="00271E75"/>
    <w:rsid w:val="00272D51"/>
    <w:rsid w:val="00272FBA"/>
    <w:rsid w:val="002731B3"/>
    <w:rsid w:val="00274539"/>
    <w:rsid w:val="00274E3E"/>
    <w:rsid w:val="00275C31"/>
    <w:rsid w:val="00276766"/>
    <w:rsid w:val="002773CD"/>
    <w:rsid w:val="0027759C"/>
    <w:rsid w:val="002777DA"/>
    <w:rsid w:val="00277CC6"/>
    <w:rsid w:val="00280759"/>
    <w:rsid w:val="00280E5E"/>
    <w:rsid w:val="00280FD2"/>
    <w:rsid w:val="00282A20"/>
    <w:rsid w:val="00283340"/>
    <w:rsid w:val="002836C9"/>
    <w:rsid w:val="00284B69"/>
    <w:rsid w:val="00286345"/>
    <w:rsid w:val="002871EC"/>
    <w:rsid w:val="002904A6"/>
    <w:rsid w:val="002908CA"/>
    <w:rsid w:val="00290CCB"/>
    <w:rsid w:val="00293918"/>
    <w:rsid w:val="002943E1"/>
    <w:rsid w:val="002945BC"/>
    <w:rsid w:val="002959EB"/>
    <w:rsid w:val="00295C31"/>
    <w:rsid w:val="00295E2F"/>
    <w:rsid w:val="0029650E"/>
    <w:rsid w:val="0029654C"/>
    <w:rsid w:val="00297058"/>
    <w:rsid w:val="002972BB"/>
    <w:rsid w:val="00297821"/>
    <w:rsid w:val="00297B06"/>
    <w:rsid w:val="002A05D5"/>
    <w:rsid w:val="002A0F3D"/>
    <w:rsid w:val="002A22C9"/>
    <w:rsid w:val="002A24CE"/>
    <w:rsid w:val="002A3638"/>
    <w:rsid w:val="002A3B59"/>
    <w:rsid w:val="002A3C3C"/>
    <w:rsid w:val="002A4507"/>
    <w:rsid w:val="002A4E60"/>
    <w:rsid w:val="002A760A"/>
    <w:rsid w:val="002A76CF"/>
    <w:rsid w:val="002B1BF6"/>
    <w:rsid w:val="002B4A53"/>
    <w:rsid w:val="002B5487"/>
    <w:rsid w:val="002B5E67"/>
    <w:rsid w:val="002B6065"/>
    <w:rsid w:val="002C04EF"/>
    <w:rsid w:val="002C1757"/>
    <w:rsid w:val="002C23BB"/>
    <w:rsid w:val="002C26F6"/>
    <w:rsid w:val="002C2A74"/>
    <w:rsid w:val="002C4B9C"/>
    <w:rsid w:val="002C4EAA"/>
    <w:rsid w:val="002C6498"/>
    <w:rsid w:val="002C796F"/>
    <w:rsid w:val="002D1873"/>
    <w:rsid w:val="002D1ECC"/>
    <w:rsid w:val="002D2C57"/>
    <w:rsid w:val="002D2E1B"/>
    <w:rsid w:val="002D34B0"/>
    <w:rsid w:val="002D528B"/>
    <w:rsid w:val="002D64A6"/>
    <w:rsid w:val="002D7AEF"/>
    <w:rsid w:val="002E05E9"/>
    <w:rsid w:val="002E1121"/>
    <w:rsid w:val="002E1A1D"/>
    <w:rsid w:val="002E28E4"/>
    <w:rsid w:val="002E384B"/>
    <w:rsid w:val="002E3D92"/>
    <w:rsid w:val="002E4CC8"/>
    <w:rsid w:val="002E7F19"/>
    <w:rsid w:val="002F0AD0"/>
    <w:rsid w:val="002F23A4"/>
    <w:rsid w:val="002F283E"/>
    <w:rsid w:val="002F3EDD"/>
    <w:rsid w:val="002F5913"/>
    <w:rsid w:val="002F6FCC"/>
    <w:rsid w:val="003002FD"/>
    <w:rsid w:val="00300470"/>
    <w:rsid w:val="00300E57"/>
    <w:rsid w:val="00300F2D"/>
    <w:rsid w:val="00300FD5"/>
    <w:rsid w:val="00301311"/>
    <w:rsid w:val="00301EE2"/>
    <w:rsid w:val="003047FD"/>
    <w:rsid w:val="00305B9F"/>
    <w:rsid w:val="00306C0E"/>
    <w:rsid w:val="00306DDA"/>
    <w:rsid w:val="00311291"/>
    <w:rsid w:val="00311766"/>
    <w:rsid w:val="0031263F"/>
    <w:rsid w:val="00313AC3"/>
    <w:rsid w:val="00313DC6"/>
    <w:rsid w:val="00315190"/>
    <w:rsid w:val="00315507"/>
    <w:rsid w:val="003159EB"/>
    <w:rsid w:val="00315AAE"/>
    <w:rsid w:val="003160A2"/>
    <w:rsid w:val="0031768B"/>
    <w:rsid w:val="00317A84"/>
    <w:rsid w:val="00317C85"/>
    <w:rsid w:val="00321055"/>
    <w:rsid w:val="0032171D"/>
    <w:rsid w:val="00321800"/>
    <w:rsid w:val="0032480A"/>
    <w:rsid w:val="00325777"/>
    <w:rsid w:val="003257F8"/>
    <w:rsid w:val="00325DD1"/>
    <w:rsid w:val="0032652C"/>
    <w:rsid w:val="00326656"/>
    <w:rsid w:val="00326F36"/>
    <w:rsid w:val="0032744F"/>
    <w:rsid w:val="003304B0"/>
    <w:rsid w:val="003305F0"/>
    <w:rsid w:val="00331A9F"/>
    <w:rsid w:val="00331CEB"/>
    <w:rsid w:val="00333F1E"/>
    <w:rsid w:val="003340FB"/>
    <w:rsid w:val="003345F7"/>
    <w:rsid w:val="00335368"/>
    <w:rsid w:val="003364BC"/>
    <w:rsid w:val="00336934"/>
    <w:rsid w:val="00337E10"/>
    <w:rsid w:val="00337E97"/>
    <w:rsid w:val="003408CB"/>
    <w:rsid w:val="00340E80"/>
    <w:rsid w:val="00341552"/>
    <w:rsid w:val="00342011"/>
    <w:rsid w:val="0034369A"/>
    <w:rsid w:val="003439BA"/>
    <w:rsid w:val="003454C8"/>
    <w:rsid w:val="00345D42"/>
    <w:rsid w:val="00346173"/>
    <w:rsid w:val="00346307"/>
    <w:rsid w:val="0034647C"/>
    <w:rsid w:val="00346BE1"/>
    <w:rsid w:val="00347368"/>
    <w:rsid w:val="00347390"/>
    <w:rsid w:val="0035046C"/>
    <w:rsid w:val="0035095E"/>
    <w:rsid w:val="00350C78"/>
    <w:rsid w:val="00351836"/>
    <w:rsid w:val="0035241A"/>
    <w:rsid w:val="00352EB8"/>
    <w:rsid w:val="003540A7"/>
    <w:rsid w:val="003550C4"/>
    <w:rsid w:val="00355567"/>
    <w:rsid w:val="00356290"/>
    <w:rsid w:val="0035709D"/>
    <w:rsid w:val="003600DE"/>
    <w:rsid w:val="00361425"/>
    <w:rsid w:val="003618E5"/>
    <w:rsid w:val="00362371"/>
    <w:rsid w:val="00363BFE"/>
    <w:rsid w:val="00364BCD"/>
    <w:rsid w:val="00365804"/>
    <w:rsid w:val="00370A23"/>
    <w:rsid w:val="00371108"/>
    <w:rsid w:val="00374EDC"/>
    <w:rsid w:val="00375151"/>
    <w:rsid w:val="003752A9"/>
    <w:rsid w:val="00376059"/>
    <w:rsid w:val="0037728C"/>
    <w:rsid w:val="00380F08"/>
    <w:rsid w:val="00381268"/>
    <w:rsid w:val="00381A1C"/>
    <w:rsid w:val="00382BD1"/>
    <w:rsid w:val="00382F02"/>
    <w:rsid w:val="00384A53"/>
    <w:rsid w:val="003860DC"/>
    <w:rsid w:val="00386E9F"/>
    <w:rsid w:val="003914D0"/>
    <w:rsid w:val="00391A04"/>
    <w:rsid w:val="00391D04"/>
    <w:rsid w:val="00392CE0"/>
    <w:rsid w:val="00392F19"/>
    <w:rsid w:val="003940ED"/>
    <w:rsid w:val="00394864"/>
    <w:rsid w:val="003A0405"/>
    <w:rsid w:val="003A077D"/>
    <w:rsid w:val="003A1382"/>
    <w:rsid w:val="003A1D2C"/>
    <w:rsid w:val="003A262D"/>
    <w:rsid w:val="003A263B"/>
    <w:rsid w:val="003A412F"/>
    <w:rsid w:val="003A6C4B"/>
    <w:rsid w:val="003A6EF5"/>
    <w:rsid w:val="003A7195"/>
    <w:rsid w:val="003A7807"/>
    <w:rsid w:val="003B07DA"/>
    <w:rsid w:val="003B0B9E"/>
    <w:rsid w:val="003B1369"/>
    <w:rsid w:val="003B1E1B"/>
    <w:rsid w:val="003B366A"/>
    <w:rsid w:val="003B37EF"/>
    <w:rsid w:val="003B55B4"/>
    <w:rsid w:val="003B713A"/>
    <w:rsid w:val="003B77AA"/>
    <w:rsid w:val="003C1BBF"/>
    <w:rsid w:val="003C499F"/>
    <w:rsid w:val="003C5F3A"/>
    <w:rsid w:val="003C6095"/>
    <w:rsid w:val="003C7824"/>
    <w:rsid w:val="003C7D17"/>
    <w:rsid w:val="003D0840"/>
    <w:rsid w:val="003D125A"/>
    <w:rsid w:val="003D12A5"/>
    <w:rsid w:val="003D2F2C"/>
    <w:rsid w:val="003D3442"/>
    <w:rsid w:val="003D3C9E"/>
    <w:rsid w:val="003D4123"/>
    <w:rsid w:val="003D47F2"/>
    <w:rsid w:val="003D5DA5"/>
    <w:rsid w:val="003D61B4"/>
    <w:rsid w:val="003D635C"/>
    <w:rsid w:val="003D70D1"/>
    <w:rsid w:val="003D7D18"/>
    <w:rsid w:val="003E01C8"/>
    <w:rsid w:val="003E041E"/>
    <w:rsid w:val="003E04F6"/>
    <w:rsid w:val="003E28A9"/>
    <w:rsid w:val="003E2AA1"/>
    <w:rsid w:val="003E50CF"/>
    <w:rsid w:val="003E7987"/>
    <w:rsid w:val="003E7C09"/>
    <w:rsid w:val="003F20BF"/>
    <w:rsid w:val="003F463C"/>
    <w:rsid w:val="003F54CE"/>
    <w:rsid w:val="003F57E4"/>
    <w:rsid w:val="003F5ED3"/>
    <w:rsid w:val="003F6CBC"/>
    <w:rsid w:val="003F7405"/>
    <w:rsid w:val="003F7D28"/>
    <w:rsid w:val="00400BF0"/>
    <w:rsid w:val="00401691"/>
    <w:rsid w:val="00401E71"/>
    <w:rsid w:val="00402AD6"/>
    <w:rsid w:val="00405CAE"/>
    <w:rsid w:val="004060B2"/>
    <w:rsid w:val="0040629C"/>
    <w:rsid w:val="00406888"/>
    <w:rsid w:val="00406BC5"/>
    <w:rsid w:val="004078DB"/>
    <w:rsid w:val="00407988"/>
    <w:rsid w:val="00410A85"/>
    <w:rsid w:val="004124F1"/>
    <w:rsid w:val="00413312"/>
    <w:rsid w:val="004142F4"/>
    <w:rsid w:val="00416481"/>
    <w:rsid w:val="00416EDC"/>
    <w:rsid w:val="004172C3"/>
    <w:rsid w:val="00417AFA"/>
    <w:rsid w:val="004207B8"/>
    <w:rsid w:val="0042150F"/>
    <w:rsid w:val="00422723"/>
    <w:rsid w:val="004230D3"/>
    <w:rsid w:val="00423306"/>
    <w:rsid w:val="00424759"/>
    <w:rsid w:val="00424BBC"/>
    <w:rsid w:val="00425F1E"/>
    <w:rsid w:val="00425FE9"/>
    <w:rsid w:val="00426595"/>
    <w:rsid w:val="00431288"/>
    <w:rsid w:val="00431EB0"/>
    <w:rsid w:val="004325EC"/>
    <w:rsid w:val="00433519"/>
    <w:rsid w:val="004344D2"/>
    <w:rsid w:val="00434DC2"/>
    <w:rsid w:val="0043613D"/>
    <w:rsid w:val="004363CA"/>
    <w:rsid w:val="0044168B"/>
    <w:rsid w:val="00442E70"/>
    <w:rsid w:val="00443A39"/>
    <w:rsid w:val="004440AE"/>
    <w:rsid w:val="0044525D"/>
    <w:rsid w:val="00447320"/>
    <w:rsid w:val="004505C6"/>
    <w:rsid w:val="00454018"/>
    <w:rsid w:val="00454DD3"/>
    <w:rsid w:val="0045556D"/>
    <w:rsid w:val="004555A6"/>
    <w:rsid w:val="0045637F"/>
    <w:rsid w:val="00456AA5"/>
    <w:rsid w:val="00457E73"/>
    <w:rsid w:val="00461301"/>
    <w:rsid w:val="00461474"/>
    <w:rsid w:val="00461894"/>
    <w:rsid w:val="00461EE5"/>
    <w:rsid w:val="00463106"/>
    <w:rsid w:val="0046512E"/>
    <w:rsid w:val="0046532B"/>
    <w:rsid w:val="00465463"/>
    <w:rsid w:val="00465C1A"/>
    <w:rsid w:val="00467C96"/>
    <w:rsid w:val="00470528"/>
    <w:rsid w:val="00471BAD"/>
    <w:rsid w:val="00471E7D"/>
    <w:rsid w:val="00471FE3"/>
    <w:rsid w:val="004736CE"/>
    <w:rsid w:val="004772A9"/>
    <w:rsid w:val="00480502"/>
    <w:rsid w:val="00480833"/>
    <w:rsid w:val="0048111D"/>
    <w:rsid w:val="0048143C"/>
    <w:rsid w:val="00482BF3"/>
    <w:rsid w:val="00482EF5"/>
    <w:rsid w:val="00482F2E"/>
    <w:rsid w:val="004831DD"/>
    <w:rsid w:val="00484563"/>
    <w:rsid w:val="00485195"/>
    <w:rsid w:val="004851D1"/>
    <w:rsid w:val="004854ED"/>
    <w:rsid w:val="00485949"/>
    <w:rsid w:val="004864DC"/>
    <w:rsid w:val="00486C42"/>
    <w:rsid w:val="00487438"/>
    <w:rsid w:val="004908BE"/>
    <w:rsid w:val="00491DBD"/>
    <w:rsid w:val="0049407B"/>
    <w:rsid w:val="004953E8"/>
    <w:rsid w:val="0049551D"/>
    <w:rsid w:val="00495789"/>
    <w:rsid w:val="00497B52"/>
    <w:rsid w:val="00497C75"/>
    <w:rsid w:val="004A08B8"/>
    <w:rsid w:val="004A1C21"/>
    <w:rsid w:val="004A284A"/>
    <w:rsid w:val="004A3CA7"/>
    <w:rsid w:val="004A40CB"/>
    <w:rsid w:val="004A51DE"/>
    <w:rsid w:val="004A5972"/>
    <w:rsid w:val="004A5CF5"/>
    <w:rsid w:val="004A6A03"/>
    <w:rsid w:val="004A6AE4"/>
    <w:rsid w:val="004A6EFA"/>
    <w:rsid w:val="004A7535"/>
    <w:rsid w:val="004B00C1"/>
    <w:rsid w:val="004B041C"/>
    <w:rsid w:val="004B0D95"/>
    <w:rsid w:val="004B1557"/>
    <w:rsid w:val="004B24A7"/>
    <w:rsid w:val="004B26CB"/>
    <w:rsid w:val="004B313B"/>
    <w:rsid w:val="004B42F5"/>
    <w:rsid w:val="004B5087"/>
    <w:rsid w:val="004B59A2"/>
    <w:rsid w:val="004B5AB3"/>
    <w:rsid w:val="004B6417"/>
    <w:rsid w:val="004B6558"/>
    <w:rsid w:val="004B6BE3"/>
    <w:rsid w:val="004C01CF"/>
    <w:rsid w:val="004C01F4"/>
    <w:rsid w:val="004C0BB9"/>
    <w:rsid w:val="004C119B"/>
    <w:rsid w:val="004C2C00"/>
    <w:rsid w:val="004C33B2"/>
    <w:rsid w:val="004C390E"/>
    <w:rsid w:val="004C3BBA"/>
    <w:rsid w:val="004C4BB6"/>
    <w:rsid w:val="004C4CCA"/>
    <w:rsid w:val="004C4F57"/>
    <w:rsid w:val="004C5464"/>
    <w:rsid w:val="004C6D9E"/>
    <w:rsid w:val="004D07FF"/>
    <w:rsid w:val="004D0D7A"/>
    <w:rsid w:val="004D279E"/>
    <w:rsid w:val="004D2A4C"/>
    <w:rsid w:val="004D2A9A"/>
    <w:rsid w:val="004D3E58"/>
    <w:rsid w:val="004D4F02"/>
    <w:rsid w:val="004D550F"/>
    <w:rsid w:val="004E0C3D"/>
    <w:rsid w:val="004E0D0A"/>
    <w:rsid w:val="004E3F54"/>
    <w:rsid w:val="004E5E19"/>
    <w:rsid w:val="004E5E8B"/>
    <w:rsid w:val="004F1FD7"/>
    <w:rsid w:val="004F2B82"/>
    <w:rsid w:val="004F41F5"/>
    <w:rsid w:val="004F4593"/>
    <w:rsid w:val="004F4B36"/>
    <w:rsid w:val="004F5B8D"/>
    <w:rsid w:val="0050178D"/>
    <w:rsid w:val="005027AC"/>
    <w:rsid w:val="00503FB0"/>
    <w:rsid w:val="00504078"/>
    <w:rsid w:val="00505990"/>
    <w:rsid w:val="00506088"/>
    <w:rsid w:val="00506147"/>
    <w:rsid w:val="00506C83"/>
    <w:rsid w:val="00507292"/>
    <w:rsid w:val="005078F3"/>
    <w:rsid w:val="00507A8D"/>
    <w:rsid w:val="0051177D"/>
    <w:rsid w:val="00511F2A"/>
    <w:rsid w:val="00511F92"/>
    <w:rsid w:val="00512144"/>
    <w:rsid w:val="005123AD"/>
    <w:rsid w:val="00512576"/>
    <w:rsid w:val="0051462D"/>
    <w:rsid w:val="005148F8"/>
    <w:rsid w:val="00514A8A"/>
    <w:rsid w:val="0051519E"/>
    <w:rsid w:val="00515272"/>
    <w:rsid w:val="0051756F"/>
    <w:rsid w:val="005203CE"/>
    <w:rsid w:val="00524A26"/>
    <w:rsid w:val="00524E47"/>
    <w:rsid w:val="00526609"/>
    <w:rsid w:val="005266AF"/>
    <w:rsid w:val="00527109"/>
    <w:rsid w:val="005309BB"/>
    <w:rsid w:val="00531BAC"/>
    <w:rsid w:val="0053206B"/>
    <w:rsid w:val="00532735"/>
    <w:rsid w:val="00533A77"/>
    <w:rsid w:val="00534047"/>
    <w:rsid w:val="00534721"/>
    <w:rsid w:val="00535494"/>
    <w:rsid w:val="0054045B"/>
    <w:rsid w:val="00542848"/>
    <w:rsid w:val="00542B67"/>
    <w:rsid w:val="00546741"/>
    <w:rsid w:val="00547487"/>
    <w:rsid w:val="00547B0B"/>
    <w:rsid w:val="00550480"/>
    <w:rsid w:val="005512E5"/>
    <w:rsid w:val="00551F9E"/>
    <w:rsid w:val="00552DA7"/>
    <w:rsid w:val="005542B1"/>
    <w:rsid w:val="005547A1"/>
    <w:rsid w:val="00554E2E"/>
    <w:rsid w:val="00554FC9"/>
    <w:rsid w:val="00555745"/>
    <w:rsid w:val="0055587C"/>
    <w:rsid w:val="005567A9"/>
    <w:rsid w:val="00556A9B"/>
    <w:rsid w:val="00556F7B"/>
    <w:rsid w:val="00557520"/>
    <w:rsid w:val="005575B1"/>
    <w:rsid w:val="00560D5E"/>
    <w:rsid w:val="00561954"/>
    <w:rsid w:val="00563E4E"/>
    <w:rsid w:val="0056518B"/>
    <w:rsid w:val="005651E8"/>
    <w:rsid w:val="0056576E"/>
    <w:rsid w:val="0056586B"/>
    <w:rsid w:val="00566DB7"/>
    <w:rsid w:val="00566F18"/>
    <w:rsid w:val="005673F7"/>
    <w:rsid w:val="00567429"/>
    <w:rsid w:val="005726A4"/>
    <w:rsid w:val="00572852"/>
    <w:rsid w:val="00573305"/>
    <w:rsid w:val="00573406"/>
    <w:rsid w:val="005736C2"/>
    <w:rsid w:val="00573E9C"/>
    <w:rsid w:val="005755F4"/>
    <w:rsid w:val="00575762"/>
    <w:rsid w:val="00575CFA"/>
    <w:rsid w:val="005761EA"/>
    <w:rsid w:val="0057686A"/>
    <w:rsid w:val="00576E03"/>
    <w:rsid w:val="00577572"/>
    <w:rsid w:val="005777D7"/>
    <w:rsid w:val="005777F9"/>
    <w:rsid w:val="005805A9"/>
    <w:rsid w:val="00580C70"/>
    <w:rsid w:val="00581876"/>
    <w:rsid w:val="00581D1E"/>
    <w:rsid w:val="00582C4D"/>
    <w:rsid w:val="0058498B"/>
    <w:rsid w:val="00584EF7"/>
    <w:rsid w:val="00585041"/>
    <w:rsid w:val="005855FB"/>
    <w:rsid w:val="00585784"/>
    <w:rsid w:val="00587333"/>
    <w:rsid w:val="0059222E"/>
    <w:rsid w:val="005944C5"/>
    <w:rsid w:val="00596471"/>
    <w:rsid w:val="00597411"/>
    <w:rsid w:val="005A04E3"/>
    <w:rsid w:val="005A26A6"/>
    <w:rsid w:val="005A2CDF"/>
    <w:rsid w:val="005A4670"/>
    <w:rsid w:val="005A4987"/>
    <w:rsid w:val="005A562F"/>
    <w:rsid w:val="005A5FDF"/>
    <w:rsid w:val="005A6C3C"/>
    <w:rsid w:val="005A6DAD"/>
    <w:rsid w:val="005A6F55"/>
    <w:rsid w:val="005B01C0"/>
    <w:rsid w:val="005B0527"/>
    <w:rsid w:val="005B2225"/>
    <w:rsid w:val="005B30CD"/>
    <w:rsid w:val="005B33C4"/>
    <w:rsid w:val="005B3B02"/>
    <w:rsid w:val="005B4CE5"/>
    <w:rsid w:val="005B527F"/>
    <w:rsid w:val="005B5E5B"/>
    <w:rsid w:val="005B6A4A"/>
    <w:rsid w:val="005C1270"/>
    <w:rsid w:val="005C1362"/>
    <w:rsid w:val="005C14E2"/>
    <w:rsid w:val="005C3C5A"/>
    <w:rsid w:val="005C4E0D"/>
    <w:rsid w:val="005C515E"/>
    <w:rsid w:val="005C57D4"/>
    <w:rsid w:val="005C58FF"/>
    <w:rsid w:val="005C5EFF"/>
    <w:rsid w:val="005C6FB1"/>
    <w:rsid w:val="005C759A"/>
    <w:rsid w:val="005C7EBB"/>
    <w:rsid w:val="005D0925"/>
    <w:rsid w:val="005D0E84"/>
    <w:rsid w:val="005D106B"/>
    <w:rsid w:val="005D1801"/>
    <w:rsid w:val="005D29F1"/>
    <w:rsid w:val="005D3674"/>
    <w:rsid w:val="005D3676"/>
    <w:rsid w:val="005D3A1B"/>
    <w:rsid w:val="005D4081"/>
    <w:rsid w:val="005D5944"/>
    <w:rsid w:val="005D5C6F"/>
    <w:rsid w:val="005D60B1"/>
    <w:rsid w:val="005D6732"/>
    <w:rsid w:val="005D7807"/>
    <w:rsid w:val="005E034C"/>
    <w:rsid w:val="005E0E54"/>
    <w:rsid w:val="005E1614"/>
    <w:rsid w:val="005E18C4"/>
    <w:rsid w:val="005E333B"/>
    <w:rsid w:val="005E4285"/>
    <w:rsid w:val="005E4B0B"/>
    <w:rsid w:val="005E5767"/>
    <w:rsid w:val="005E6F94"/>
    <w:rsid w:val="005E7D56"/>
    <w:rsid w:val="005F336F"/>
    <w:rsid w:val="005F5691"/>
    <w:rsid w:val="005F58BB"/>
    <w:rsid w:val="006000D3"/>
    <w:rsid w:val="006006E3"/>
    <w:rsid w:val="00601281"/>
    <w:rsid w:val="0060208E"/>
    <w:rsid w:val="00603391"/>
    <w:rsid w:val="00604082"/>
    <w:rsid w:val="00604782"/>
    <w:rsid w:val="00606D59"/>
    <w:rsid w:val="00607A4C"/>
    <w:rsid w:val="00610257"/>
    <w:rsid w:val="006106B4"/>
    <w:rsid w:val="00611818"/>
    <w:rsid w:val="00612094"/>
    <w:rsid w:val="0061248C"/>
    <w:rsid w:val="00612F76"/>
    <w:rsid w:val="006135AE"/>
    <w:rsid w:val="006154D8"/>
    <w:rsid w:val="00615A29"/>
    <w:rsid w:val="00615BFC"/>
    <w:rsid w:val="006164DC"/>
    <w:rsid w:val="00620197"/>
    <w:rsid w:val="00622EE3"/>
    <w:rsid w:val="00624209"/>
    <w:rsid w:val="0062423D"/>
    <w:rsid w:val="006247AA"/>
    <w:rsid w:val="00625E6A"/>
    <w:rsid w:val="006267C4"/>
    <w:rsid w:val="00626895"/>
    <w:rsid w:val="006269CD"/>
    <w:rsid w:val="00626FA1"/>
    <w:rsid w:val="006302D6"/>
    <w:rsid w:val="0063136A"/>
    <w:rsid w:val="00632414"/>
    <w:rsid w:val="006324A8"/>
    <w:rsid w:val="00634D83"/>
    <w:rsid w:val="00635709"/>
    <w:rsid w:val="00636E70"/>
    <w:rsid w:val="00640921"/>
    <w:rsid w:val="00641628"/>
    <w:rsid w:val="006418AE"/>
    <w:rsid w:val="00641EA9"/>
    <w:rsid w:val="0064277D"/>
    <w:rsid w:val="00642A47"/>
    <w:rsid w:val="00646AAF"/>
    <w:rsid w:val="00647E44"/>
    <w:rsid w:val="00650463"/>
    <w:rsid w:val="0065099D"/>
    <w:rsid w:val="00651242"/>
    <w:rsid w:val="00651A22"/>
    <w:rsid w:val="00651B53"/>
    <w:rsid w:val="00651D38"/>
    <w:rsid w:val="00652106"/>
    <w:rsid w:val="006532A0"/>
    <w:rsid w:val="00653F7B"/>
    <w:rsid w:val="00654950"/>
    <w:rsid w:val="00655A43"/>
    <w:rsid w:val="00655D80"/>
    <w:rsid w:val="00655D81"/>
    <w:rsid w:val="00656B9B"/>
    <w:rsid w:val="006570CD"/>
    <w:rsid w:val="0065763F"/>
    <w:rsid w:val="00661C0B"/>
    <w:rsid w:val="00662221"/>
    <w:rsid w:val="00662B5E"/>
    <w:rsid w:val="00662C4F"/>
    <w:rsid w:val="00662C5D"/>
    <w:rsid w:val="00663EEA"/>
    <w:rsid w:val="006643F2"/>
    <w:rsid w:val="00664555"/>
    <w:rsid w:val="00664C1E"/>
    <w:rsid w:val="006655C0"/>
    <w:rsid w:val="00665EE7"/>
    <w:rsid w:val="00666420"/>
    <w:rsid w:val="00667AB7"/>
    <w:rsid w:val="00667DBF"/>
    <w:rsid w:val="00667F5C"/>
    <w:rsid w:val="00670895"/>
    <w:rsid w:val="00670A6A"/>
    <w:rsid w:val="00674091"/>
    <w:rsid w:val="006740C5"/>
    <w:rsid w:val="00674AE6"/>
    <w:rsid w:val="00675540"/>
    <w:rsid w:val="00676CAC"/>
    <w:rsid w:val="00680B34"/>
    <w:rsid w:val="00681143"/>
    <w:rsid w:val="006820C6"/>
    <w:rsid w:val="00682EF4"/>
    <w:rsid w:val="0068394F"/>
    <w:rsid w:val="006841A3"/>
    <w:rsid w:val="00684259"/>
    <w:rsid w:val="0068490F"/>
    <w:rsid w:val="00685151"/>
    <w:rsid w:val="006878AC"/>
    <w:rsid w:val="00690A68"/>
    <w:rsid w:val="00691640"/>
    <w:rsid w:val="00691739"/>
    <w:rsid w:val="006934DD"/>
    <w:rsid w:val="00693DAE"/>
    <w:rsid w:val="00694E5C"/>
    <w:rsid w:val="00694F13"/>
    <w:rsid w:val="0069644B"/>
    <w:rsid w:val="00696930"/>
    <w:rsid w:val="00696B4C"/>
    <w:rsid w:val="006A05B0"/>
    <w:rsid w:val="006A12A3"/>
    <w:rsid w:val="006A21C8"/>
    <w:rsid w:val="006A240D"/>
    <w:rsid w:val="006A29B8"/>
    <w:rsid w:val="006A2FDC"/>
    <w:rsid w:val="006A33A9"/>
    <w:rsid w:val="006A38E4"/>
    <w:rsid w:val="006A3D0F"/>
    <w:rsid w:val="006A568F"/>
    <w:rsid w:val="006A570E"/>
    <w:rsid w:val="006A603B"/>
    <w:rsid w:val="006A6C5D"/>
    <w:rsid w:val="006B01C4"/>
    <w:rsid w:val="006B1640"/>
    <w:rsid w:val="006B1D9C"/>
    <w:rsid w:val="006B273B"/>
    <w:rsid w:val="006B2B74"/>
    <w:rsid w:val="006B3D2F"/>
    <w:rsid w:val="006B44F3"/>
    <w:rsid w:val="006B5D10"/>
    <w:rsid w:val="006B6963"/>
    <w:rsid w:val="006B6DD5"/>
    <w:rsid w:val="006B7E4E"/>
    <w:rsid w:val="006C0668"/>
    <w:rsid w:val="006C0C65"/>
    <w:rsid w:val="006C268A"/>
    <w:rsid w:val="006C3CE2"/>
    <w:rsid w:val="006C4688"/>
    <w:rsid w:val="006D0EFB"/>
    <w:rsid w:val="006D264B"/>
    <w:rsid w:val="006D26B1"/>
    <w:rsid w:val="006D339C"/>
    <w:rsid w:val="006D3402"/>
    <w:rsid w:val="006D713D"/>
    <w:rsid w:val="006D7894"/>
    <w:rsid w:val="006E3081"/>
    <w:rsid w:val="006E3357"/>
    <w:rsid w:val="006E363A"/>
    <w:rsid w:val="006E4064"/>
    <w:rsid w:val="006E5096"/>
    <w:rsid w:val="006E5CAB"/>
    <w:rsid w:val="006E5F23"/>
    <w:rsid w:val="006F20C7"/>
    <w:rsid w:val="006F2A33"/>
    <w:rsid w:val="006F38A7"/>
    <w:rsid w:val="006F41F0"/>
    <w:rsid w:val="006F4625"/>
    <w:rsid w:val="006F5182"/>
    <w:rsid w:val="006F60B5"/>
    <w:rsid w:val="006F6D35"/>
    <w:rsid w:val="006F729A"/>
    <w:rsid w:val="007000E2"/>
    <w:rsid w:val="007050F1"/>
    <w:rsid w:val="00705721"/>
    <w:rsid w:val="00705969"/>
    <w:rsid w:val="0071024E"/>
    <w:rsid w:val="0071064B"/>
    <w:rsid w:val="00710BD8"/>
    <w:rsid w:val="007112D3"/>
    <w:rsid w:val="00711B76"/>
    <w:rsid w:val="00712C7F"/>
    <w:rsid w:val="007134B6"/>
    <w:rsid w:val="007179A1"/>
    <w:rsid w:val="00717F0C"/>
    <w:rsid w:val="0072094C"/>
    <w:rsid w:val="0072109E"/>
    <w:rsid w:val="00721158"/>
    <w:rsid w:val="0072137A"/>
    <w:rsid w:val="0072148D"/>
    <w:rsid w:val="00723E1C"/>
    <w:rsid w:val="00724906"/>
    <w:rsid w:val="00724D7C"/>
    <w:rsid w:val="00725146"/>
    <w:rsid w:val="00725F45"/>
    <w:rsid w:val="00726D22"/>
    <w:rsid w:val="007276C7"/>
    <w:rsid w:val="007279B6"/>
    <w:rsid w:val="00727AF0"/>
    <w:rsid w:val="007304C2"/>
    <w:rsid w:val="00730B06"/>
    <w:rsid w:val="00734EDB"/>
    <w:rsid w:val="007352AD"/>
    <w:rsid w:val="00735443"/>
    <w:rsid w:val="007359C4"/>
    <w:rsid w:val="00736339"/>
    <w:rsid w:val="0073651F"/>
    <w:rsid w:val="007366B0"/>
    <w:rsid w:val="00736F7E"/>
    <w:rsid w:val="007374AD"/>
    <w:rsid w:val="007410E5"/>
    <w:rsid w:val="007423BE"/>
    <w:rsid w:val="00742EE9"/>
    <w:rsid w:val="00743842"/>
    <w:rsid w:val="00743C1F"/>
    <w:rsid w:val="007457CC"/>
    <w:rsid w:val="00747239"/>
    <w:rsid w:val="0075012C"/>
    <w:rsid w:val="00751603"/>
    <w:rsid w:val="00752115"/>
    <w:rsid w:val="0075296D"/>
    <w:rsid w:val="00753B69"/>
    <w:rsid w:val="007543B8"/>
    <w:rsid w:val="0075491B"/>
    <w:rsid w:val="00754A7B"/>
    <w:rsid w:val="0075717A"/>
    <w:rsid w:val="0075741F"/>
    <w:rsid w:val="0076197C"/>
    <w:rsid w:val="00762378"/>
    <w:rsid w:val="007642E8"/>
    <w:rsid w:val="00764B13"/>
    <w:rsid w:val="007666AB"/>
    <w:rsid w:val="00767889"/>
    <w:rsid w:val="007706BA"/>
    <w:rsid w:val="007713AF"/>
    <w:rsid w:val="00771B5C"/>
    <w:rsid w:val="00771C23"/>
    <w:rsid w:val="00772F7D"/>
    <w:rsid w:val="00773CCF"/>
    <w:rsid w:val="00774DD8"/>
    <w:rsid w:val="007765EF"/>
    <w:rsid w:val="00776A81"/>
    <w:rsid w:val="00777E96"/>
    <w:rsid w:val="00780136"/>
    <w:rsid w:val="00780816"/>
    <w:rsid w:val="00780E97"/>
    <w:rsid w:val="0078125C"/>
    <w:rsid w:val="00782841"/>
    <w:rsid w:val="0078291F"/>
    <w:rsid w:val="00782D0F"/>
    <w:rsid w:val="00782EED"/>
    <w:rsid w:val="00783286"/>
    <w:rsid w:val="00783ABF"/>
    <w:rsid w:val="00784336"/>
    <w:rsid w:val="00784F08"/>
    <w:rsid w:val="00785C64"/>
    <w:rsid w:val="0078702D"/>
    <w:rsid w:val="007906FC"/>
    <w:rsid w:val="00790DB0"/>
    <w:rsid w:val="00791837"/>
    <w:rsid w:val="00791E7E"/>
    <w:rsid w:val="00792657"/>
    <w:rsid w:val="007930D0"/>
    <w:rsid w:val="007932F3"/>
    <w:rsid w:val="0079376A"/>
    <w:rsid w:val="00793CF8"/>
    <w:rsid w:val="00793EE2"/>
    <w:rsid w:val="007941F2"/>
    <w:rsid w:val="00794DCC"/>
    <w:rsid w:val="00795C79"/>
    <w:rsid w:val="007975C7"/>
    <w:rsid w:val="00797AC1"/>
    <w:rsid w:val="007A12CD"/>
    <w:rsid w:val="007A1863"/>
    <w:rsid w:val="007A577D"/>
    <w:rsid w:val="007A5794"/>
    <w:rsid w:val="007A5B4B"/>
    <w:rsid w:val="007A608B"/>
    <w:rsid w:val="007A645A"/>
    <w:rsid w:val="007A7750"/>
    <w:rsid w:val="007B0778"/>
    <w:rsid w:val="007B094A"/>
    <w:rsid w:val="007B3A9C"/>
    <w:rsid w:val="007B4BF6"/>
    <w:rsid w:val="007B502E"/>
    <w:rsid w:val="007B650D"/>
    <w:rsid w:val="007B7274"/>
    <w:rsid w:val="007B7E61"/>
    <w:rsid w:val="007C02C3"/>
    <w:rsid w:val="007C116E"/>
    <w:rsid w:val="007C19C8"/>
    <w:rsid w:val="007C2D0D"/>
    <w:rsid w:val="007C3D92"/>
    <w:rsid w:val="007C431D"/>
    <w:rsid w:val="007C48A8"/>
    <w:rsid w:val="007C4A2F"/>
    <w:rsid w:val="007C528E"/>
    <w:rsid w:val="007C5612"/>
    <w:rsid w:val="007C632C"/>
    <w:rsid w:val="007C6C3F"/>
    <w:rsid w:val="007C6CA9"/>
    <w:rsid w:val="007D0096"/>
    <w:rsid w:val="007D0521"/>
    <w:rsid w:val="007D08EA"/>
    <w:rsid w:val="007D096D"/>
    <w:rsid w:val="007D12E0"/>
    <w:rsid w:val="007D1698"/>
    <w:rsid w:val="007D1AE8"/>
    <w:rsid w:val="007D28B1"/>
    <w:rsid w:val="007D2CC8"/>
    <w:rsid w:val="007D2FA1"/>
    <w:rsid w:val="007D619C"/>
    <w:rsid w:val="007E0106"/>
    <w:rsid w:val="007E0A55"/>
    <w:rsid w:val="007E0FF4"/>
    <w:rsid w:val="007E15B0"/>
    <w:rsid w:val="007E2089"/>
    <w:rsid w:val="007E23E9"/>
    <w:rsid w:val="007E2CC7"/>
    <w:rsid w:val="007E2D6A"/>
    <w:rsid w:val="007E2EF2"/>
    <w:rsid w:val="007E328B"/>
    <w:rsid w:val="007E34AC"/>
    <w:rsid w:val="007E3EE5"/>
    <w:rsid w:val="007E442C"/>
    <w:rsid w:val="007E4B97"/>
    <w:rsid w:val="007E5AEF"/>
    <w:rsid w:val="007E5EA2"/>
    <w:rsid w:val="007E69EA"/>
    <w:rsid w:val="007E6EFF"/>
    <w:rsid w:val="007F0205"/>
    <w:rsid w:val="007F16FC"/>
    <w:rsid w:val="007F3308"/>
    <w:rsid w:val="007F3C4C"/>
    <w:rsid w:val="007F47E5"/>
    <w:rsid w:val="007F7665"/>
    <w:rsid w:val="007F7B90"/>
    <w:rsid w:val="008001C2"/>
    <w:rsid w:val="00800899"/>
    <w:rsid w:val="00800BD5"/>
    <w:rsid w:val="00800D3E"/>
    <w:rsid w:val="00801CA4"/>
    <w:rsid w:val="00802518"/>
    <w:rsid w:val="008027CC"/>
    <w:rsid w:val="008031A7"/>
    <w:rsid w:val="0080322F"/>
    <w:rsid w:val="0080344D"/>
    <w:rsid w:val="0080466E"/>
    <w:rsid w:val="008047F4"/>
    <w:rsid w:val="00804D3D"/>
    <w:rsid w:val="00806373"/>
    <w:rsid w:val="00807DD2"/>
    <w:rsid w:val="0081069A"/>
    <w:rsid w:val="00810833"/>
    <w:rsid w:val="00810C01"/>
    <w:rsid w:val="008129AE"/>
    <w:rsid w:val="00813161"/>
    <w:rsid w:val="008133E9"/>
    <w:rsid w:val="00813629"/>
    <w:rsid w:val="008140D2"/>
    <w:rsid w:val="0081473E"/>
    <w:rsid w:val="008150CC"/>
    <w:rsid w:val="008154A1"/>
    <w:rsid w:val="0081658E"/>
    <w:rsid w:val="0081727E"/>
    <w:rsid w:val="00817610"/>
    <w:rsid w:val="00817C12"/>
    <w:rsid w:val="00817CB7"/>
    <w:rsid w:val="00820B5D"/>
    <w:rsid w:val="00820E39"/>
    <w:rsid w:val="00821CE5"/>
    <w:rsid w:val="00821E10"/>
    <w:rsid w:val="0082251A"/>
    <w:rsid w:val="00824D6E"/>
    <w:rsid w:val="0082603F"/>
    <w:rsid w:val="0082691F"/>
    <w:rsid w:val="00830B02"/>
    <w:rsid w:val="008315B7"/>
    <w:rsid w:val="0083175A"/>
    <w:rsid w:val="00832276"/>
    <w:rsid w:val="00833130"/>
    <w:rsid w:val="00834083"/>
    <w:rsid w:val="0083434D"/>
    <w:rsid w:val="00837CEE"/>
    <w:rsid w:val="00840B35"/>
    <w:rsid w:val="0084126B"/>
    <w:rsid w:val="008424EC"/>
    <w:rsid w:val="00842FBC"/>
    <w:rsid w:val="00844513"/>
    <w:rsid w:val="00844605"/>
    <w:rsid w:val="008452F0"/>
    <w:rsid w:val="008453D1"/>
    <w:rsid w:val="00845895"/>
    <w:rsid w:val="00845B74"/>
    <w:rsid w:val="00845C22"/>
    <w:rsid w:val="008467FD"/>
    <w:rsid w:val="008469F4"/>
    <w:rsid w:val="0085067A"/>
    <w:rsid w:val="00852BA2"/>
    <w:rsid w:val="008532A2"/>
    <w:rsid w:val="00853885"/>
    <w:rsid w:val="008538B5"/>
    <w:rsid w:val="00856486"/>
    <w:rsid w:val="00857614"/>
    <w:rsid w:val="0086029C"/>
    <w:rsid w:val="0086048F"/>
    <w:rsid w:val="008627C3"/>
    <w:rsid w:val="0086381A"/>
    <w:rsid w:val="00864B5E"/>
    <w:rsid w:val="00864E37"/>
    <w:rsid w:val="008651F4"/>
    <w:rsid w:val="00865E1A"/>
    <w:rsid w:val="008666B5"/>
    <w:rsid w:val="008700D2"/>
    <w:rsid w:val="00870B4C"/>
    <w:rsid w:val="00870C2C"/>
    <w:rsid w:val="00871591"/>
    <w:rsid w:val="008732DF"/>
    <w:rsid w:val="00873F0D"/>
    <w:rsid w:val="00874A91"/>
    <w:rsid w:val="008767CB"/>
    <w:rsid w:val="00877925"/>
    <w:rsid w:val="00880536"/>
    <w:rsid w:val="00880F5C"/>
    <w:rsid w:val="00881363"/>
    <w:rsid w:val="00881CC4"/>
    <w:rsid w:val="00882303"/>
    <w:rsid w:val="0088299E"/>
    <w:rsid w:val="00883384"/>
    <w:rsid w:val="00883D7E"/>
    <w:rsid w:val="00885D28"/>
    <w:rsid w:val="008902FF"/>
    <w:rsid w:val="00890F39"/>
    <w:rsid w:val="00891C81"/>
    <w:rsid w:val="0089260D"/>
    <w:rsid w:val="00893AF4"/>
    <w:rsid w:val="008944A2"/>
    <w:rsid w:val="008946FB"/>
    <w:rsid w:val="00895609"/>
    <w:rsid w:val="0089633B"/>
    <w:rsid w:val="008A2963"/>
    <w:rsid w:val="008A2ABD"/>
    <w:rsid w:val="008A60A3"/>
    <w:rsid w:val="008A6BBA"/>
    <w:rsid w:val="008A742C"/>
    <w:rsid w:val="008A7953"/>
    <w:rsid w:val="008B12E4"/>
    <w:rsid w:val="008B1FF0"/>
    <w:rsid w:val="008B241C"/>
    <w:rsid w:val="008B3697"/>
    <w:rsid w:val="008C0649"/>
    <w:rsid w:val="008C2CB3"/>
    <w:rsid w:val="008C4105"/>
    <w:rsid w:val="008C499F"/>
    <w:rsid w:val="008C4AD2"/>
    <w:rsid w:val="008C5E2A"/>
    <w:rsid w:val="008C5F88"/>
    <w:rsid w:val="008D02D1"/>
    <w:rsid w:val="008D0969"/>
    <w:rsid w:val="008D157E"/>
    <w:rsid w:val="008D2844"/>
    <w:rsid w:val="008D494E"/>
    <w:rsid w:val="008D4BB8"/>
    <w:rsid w:val="008D628D"/>
    <w:rsid w:val="008D6476"/>
    <w:rsid w:val="008D738F"/>
    <w:rsid w:val="008D7BC2"/>
    <w:rsid w:val="008E0D43"/>
    <w:rsid w:val="008E0DA1"/>
    <w:rsid w:val="008E169D"/>
    <w:rsid w:val="008E175D"/>
    <w:rsid w:val="008E1CF1"/>
    <w:rsid w:val="008E2084"/>
    <w:rsid w:val="008E2143"/>
    <w:rsid w:val="008E4D31"/>
    <w:rsid w:val="008E4E3C"/>
    <w:rsid w:val="008E5903"/>
    <w:rsid w:val="008E6226"/>
    <w:rsid w:val="008E682C"/>
    <w:rsid w:val="008E7757"/>
    <w:rsid w:val="008E7903"/>
    <w:rsid w:val="008E7C51"/>
    <w:rsid w:val="008E7CF2"/>
    <w:rsid w:val="008F00FC"/>
    <w:rsid w:val="008F0772"/>
    <w:rsid w:val="008F138A"/>
    <w:rsid w:val="008F145A"/>
    <w:rsid w:val="008F1D2B"/>
    <w:rsid w:val="008F20A9"/>
    <w:rsid w:val="008F3533"/>
    <w:rsid w:val="008F3E2A"/>
    <w:rsid w:val="008F5279"/>
    <w:rsid w:val="008F73F6"/>
    <w:rsid w:val="00900248"/>
    <w:rsid w:val="00900CBD"/>
    <w:rsid w:val="00902A92"/>
    <w:rsid w:val="00902BE8"/>
    <w:rsid w:val="00902F16"/>
    <w:rsid w:val="0090467F"/>
    <w:rsid w:val="00904B95"/>
    <w:rsid w:val="00905594"/>
    <w:rsid w:val="009055DA"/>
    <w:rsid w:val="009056F1"/>
    <w:rsid w:val="0090694F"/>
    <w:rsid w:val="009071EC"/>
    <w:rsid w:val="009071EE"/>
    <w:rsid w:val="0090727F"/>
    <w:rsid w:val="009114B7"/>
    <w:rsid w:val="009114CB"/>
    <w:rsid w:val="00911C27"/>
    <w:rsid w:val="0091217E"/>
    <w:rsid w:val="00914A2D"/>
    <w:rsid w:val="00915F62"/>
    <w:rsid w:val="00916E0C"/>
    <w:rsid w:val="00917125"/>
    <w:rsid w:val="00917A5A"/>
    <w:rsid w:val="0092010A"/>
    <w:rsid w:val="0092066E"/>
    <w:rsid w:val="009218E9"/>
    <w:rsid w:val="0092346D"/>
    <w:rsid w:val="009254DD"/>
    <w:rsid w:val="00931FB0"/>
    <w:rsid w:val="00932951"/>
    <w:rsid w:val="00932FE6"/>
    <w:rsid w:val="009339BD"/>
    <w:rsid w:val="009356BF"/>
    <w:rsid w:val="00935EB7"/>
    <w:rsid w:val="00936C66"/>
    <w:rsid w:val="00940194"/>
    <w:rsid w:val="00940826"/>
    <w:rsid w:val="00940A28"/>
    <w:rsid w:val="00940DD0"/>
    <w:rsid w:val="00941599"/>
    <w:rsid w:val="00941985"/>
    <w:rsid w:val="00941F2D"/>
    <w:rsid w:val="00941FA9"/>
    <w:rsid w:val="00943018"/>
    <w:rsid w:val="009448DD"/>
    <w:rsid w:val="00945C52"/>
    <w:rsid w:val="0094767B"/>
    <w:rsid w:val="009476A1"/>
    <w:rsid w:val="0094789C"/>
    <w:rsid w:val="00947912"/>
    <w:rsid w:val="00947F15"/>
    <w:rsid w:val="009504B7"/>
    <w:rsid w:val="00951603"/>
    <w:rsid w:val="0095292E"/>
    <w:rsid w:val="00953E97"/>
    <w:rsid w:val="00954F75"/>
    <w:rsid w:val="0095511C"/>
    <w:rsid w:val="0095521F"/>
    <w:rsid w:val="009556E8"/>
    <w:rsid w:val="009560F0"/>
    <w:rsid w:val="00961312"/>
    <w:rsid w:val="009619FD"/>
    <w:rsid w:val="00962784"/>
    <w:rsid w:val="00962E78"/>
    <w:rsid w:val="009645AB"/>
    <w:rsid w:val="0096490E"/>
    <w:rsid w:val="009654E1"/>
    <w:rsid w:val="0096765B"/>
    <w:rsid w:val="0096776B"/>
    <w:rsid w:val="00970B50"/>
    <w:rsid w:val="00970D4C"/>
    <w:rsid w:val="0097274F"/>
    <w:rsid w:val="009730BD"/>
    <w:rsid w:val="009736D4"/>
    <w:rsid w:val="00973E15"/>
    <w:rsid w:val="00973F85"/>
    <w:rsid w:val="0097476F"/>
    <w:rsid w:val="00975E81"/>
    <w:rsid w:val="00976928"/>
    <w:rsid w:val="00977076"/>
    <w:rsid w:val="00981C38"/>
    <w:rsid w:val="00981DD2"/>
    <w:rsid w:val="0098429C"/>
    <w:rsid w:val="009847D0"/>
    <w:rsid w:val="00984858"/>
    <w:rsid w:val="00984E0D"/>
    <w:rsid w:val="00986661"/>
    <w:rsid w:val="00990E7B"/>
    <w:rsid w:val="0099173C"/>
    <w:rsid w:val="009918CE"/>
    <w:rsid w:val="00992892"/>
    <w:rsid w:val="00993B54"/>
    <w:rsid w:val="009951AA"/>
    <w:rsid w:val="009967FA"/>
    <w:rsid w:val="00996C6B"/>
    <w:rsid w:val="009A0671"/>
    <w:rsid w:val="009A0CBC"/>
    <w:rsid w:val="009A2680"/>
    <w:rsid w:val="009A2FDE"/>
    <w:rsid w:val="009A3965"/>
    <w:rsid w:val="009A47C1"/>
    <w:rsid w:val="009A6D60"/>
    <w:rsid w:val="009A6F95"/>
    <w:rsid w:val="009A734F"/>
    <w:rsid w:val="009A7E75"/>
    <w:rsid w:val="009B05F5"/>
    <w:rsid w:val="009B141F"/>
    <w:rsid w:val="009B1B00"/>
    <w:rsid w:val="009B3DDA"/>
    <w:rsid w:val="009B4967"/>
    <w:rsid w:val="009B60C1"/>
    <w:rsid w:val="009B67FF"/>
    <w:rsid w:val="009C0A89"/>
    <w:rsid w:val="009C1326"/>
    <w:rsid w:val="009C140B"/>
    <w:rsid w:val="009C1BA2"/>
    <w:rsid w:val="009C24A1"/>
    <w:rsid w:val="009C473D"/>
    <w:rsid w:val="009C4862"/>
    <w:rsid w:val="009C5BAE"/>
    <w:rsid w:val="009C6598"/>
    <w:rsid w:val="009C7548"/>
    <w:rsid w:val="009D0C2B"/>
    <w:rsid w:val="009D3643"/>
    <w:rsid w:val="009D38F3"/>
    <w:rsid w:val="009D3FD0"/>
    <w:rsid w:val="009D4BF8"/>
    <w:rsid w:val="009D5354"/>
    <w:rsid w:val="009D648A"/>
    <w:rsid w:val="009E0814"/>
    <w:rsid w:val="009E272B"/>
    <w:rsid w:val="009E3F41"/>
    <w:rsid w:val="009E4630"/>
    <w:rsid w:val="009E47C0"/>
    <w:rsid w:val="009E5428"/>
    <w:rsid w:val="009E5B43"/>
    <w:rsid w:val="009E5CD2"/>
    <w:rsid w:val="009E6786"/>
    <w:rsid w:val="009E6846"/>
    <w:rsid w:val="009E731C"/>
    <w:rsid w:val="009F20B2"/>
    <w:rsid w:val="009F4287"/>
    <w:rsid w:val="009F4886"/>
    <w:rsid w:val="009F603B"/>
    <w:rsid w:val="009F6BAA"/>
    <w:rsid w:val="009F7136"/>
    <w:rsid w:val="009F756E"/>
    <w:rsid w:val="009F7A23"/>
    <w:rsid w:val="009F7FE7"/>
    <w:rsid w:val="00A00873"/>
    <w:rsid w:val="00A008E9"/>
    <w:rsid w:val="00A01FD5"/>
    <w:rsid w:val="00A03280"/>
    <w:rsid w:val="00A03EE0"/>
    <w:rsid w:val="00A057C0"/>
    <w:rsid w:val="00A0582F"/>
    <w:rsid w:val="00A06CE8"/>
    <w:rsid w:val="00A07921"/>
    <w:rsid w:val="00A07C6B"/>
    <w:rsid w:val="00A131DD"/>
    <w:rsid w:val="00A1363E"/>
    <w:rsid w:val="00A138BD"/>
    <w:rsid w:val="00A143FF"/>
    <w:rsid w:val="00A15312"/>
    <w:rsid w:val="00A17087"/>
    <w:rsid w:val="00A2033A"/>
    <w:rsid w:val="00A20C4B"/>
    <w:rsid w:val="00A21D3E"/>
    <w:rsid w:val="00A22522"/>
    <w:rsid w:val="00A22524"/>
    <w:rsid w:val="00A22EA1"/>
    <w:rsid w:val="00A23F12"/>
    <w:rsid w:val="00A26216"/>
    <w:rsid w:val="00A274C3"/>
    <w:rsid w:val="00A27633"/>
    <w:rsid w:val="00A31034"/>
    <w:rsid w:val="00A31AEE"/>
    <w:rsid w:val="00A321A6"/>
    <w:rsid w:val="00A328CE"/>
    <w:rsid w:val="00A33B75"/>
    <w:rsid w:val="00A343E0"/>
    <w:rsid w:val="00A34570"/>
    <w:rsid w:val="00A3533A"/>
    <w:rsid w:val="00A354A1"/>
    <w:rsid w:val="00A361D0"/>
    <w:rsid w:val="00A36505"/>
    <w:rsid w:val="00A373E9"/>
    <w:rsid w:val="00A40814"/>
    <w:rsid w:val="00A408EF"/>
    <w:rsid w:val="00A41BBA"/>
    <w:rsid w:val="00A44C16"/>
    <w:rsid w:val="00A44D23"/>
    <w:rsid w:val="00A45ED9"/>
    <w:rsid w:val="00A45FA0"/>
    <w:rsid w:val="00A4661A"/>
    <w:rsid w:val="00A5109B"/>
    <w:rsid w:val="00A513A0"/>
    <w:rsid w:val="00A52085"/>
    <w:rsid w:val="00A52768"/>
    <w:rsid w:val="00A5288F"/>
    <w:rsid w:val="00A52E32"/>
    <w:rsid w:val="00A54416"/>
    <w:rsid w:val="00A54E57"/>
    <w:rsid w:val="00A54FCB"/>
    <w:rsid w:val="00A60C2E"/>
    <w:rsid w:val="00A60C54"/>
    <w:rsid w:val="00A6153A"/>
    <w:rsid w:val="00A62AF3"/>
    <w:rsid w:val="00A62D27"/>
    <w:rsid w:val="00A64BD0"/>
    <w:rsid w:val="00A65BB1"/>
    <w:rsid w:val="00A67478"/>
    <w:rsid w:val="00A677F7"/>
    <w:rsid w:val="00A6785E"/>
    <w:rsid w:val="00A67CF7"/>
    <w:rsid w:val="00A71625"/>
    <w:rsid w:val="00A72775"/>
    <w:rsid w:val="00A7471E"/>
    <w:rsid w:val="00A763E0"/>
    <w:rsid w:val="00A765EE"/>
    <w:rsid w:val="00A76CBD"/>
    <w:rsid w:val="00A77C95"/>
    <w:rsid w:val="00A80874"/>
    <w:rsid w:val="00A84BFD"/>
    <w:rsid w:val="00A85BCC"/>
    <w:rsid w:val="00A85ECB"/>
    <w:rsid w:val="00A86845"/>
    <w:rsid w:val="00A86A51"/>
    <w:rsid w:val="00A916B2"/>
    <w:rsid w:val="00A9211A"/>
    <w:rsid w:val="00A92C02"/>
    <w:rsid w:val="00A92E90"/>
    <w:rsid w:val="00A93A4E"/>
    <w:rsid w:val="00A9404B"/>
    <w:rsid w:val="00A95B10"/>
    <w:rsid w:val="00A960A6"/>
    <w:rsid w:val="00A96594"/>
    <w:rsid w:val="00A97E2C"/>
    <w:rsid w:val="00AA0024"/>
    <w:rsid w:val="00AA2CC4"/>
    <w:rsid w:val="00AA354E"/>
    <w:rsid w:val="00AA3D9C"/>
    <w:rsid w:val="00AA45E1"/>
    <w:rsid w:val="00AA4B5C"/>
    <w:rsid w:val="00AA6748"/>
    <w:rsid w:val="00AA6BA7"/>
    <w:rsid w:val="00AA6C22"/>
    <w:rsid w:val="00AB0170"/>
    <w:rsid w:val="00AB04BC"/>
    <w:rsid w:val="00AB0F34"/>
    <w:rsid w:val="00AB130F"/>
    <w:rsid w:val="00AB224A"/>
    <w:rsid w:val="00AB2776"/>
    <w:rsid w:val="00AB2FA6"/>
    <w:rsid w:val="00AB3B78"/>
    <w:rsid w:val="00AB4821"/>
    <w:rsid w:val="00AB63AF"/>
    <w:rsid w:val="00AB68B4"/>
    <w:rsid w:val="00AB787E"/>
    <w:rsid w:val="00AB7A67"/>
    <w:rsid w:val="00AC02EA"/>
    <w:rsid w:val="00AC18EF"/>
    <w:rsid w:val="00AC5A52"/>
    <w:rsid w:val="00AC5B84"/>
    <w:rsid w:val="00AC6434"/>
    <w:rsid w:val="00AC7A17"/>
    <w:rsid w:val="00AC7D4A"/>
    <w:rsid w:val="00AC7F90"/>
    <w:rsid w:val="00AD1050"/>
    <w:rsid w:val="00AD1576"/>
    <w:rsid w:val="00AD1B6D"/>
    <w:rsid w:val="00AD1D3F"/>
    <w:rsid w:val="00AD2583"/>
    <w:rsid w:val="00AD6010"/>
    <w:rsid w:val="00AD7962"/>
    <w:rsid w:val="00AD7989"/>
    <w:rsid w:val="00AE1AE2"/>
    <w:rsid w:val="00AE30C1"/>
    <w:rsid w:val="00AE435D"/>
    <w:rsid w:val="00AE5421"/>
    <w:rsid w:val="00AE6573"/>
    <w:rsid w:val="00AE6A87"/>
    <w:rsid w:val="00AE7415"/>
    <w:rsid w:val="00AE7D00"/>
    <w:rsid w:val="00AF0168"/>
    <w:rsid w:val="00AF1AEB"/>
    <w:rsid w:val="00AF34C7"/>
    <w:rsid w:val="00AF3B21"/>
    <w:rsid w:val="00AF3D87"/>
    <w:rsid w:val="00AF4A0A"/>
    <w:rsid w:val="00AF4B66"/>
    <w:rsid w:val="00AF56EC"/>
    <w:rsid w:val="00AF6FD6"/>
    <w:rsid w:val="00AF7178"/>
    <w:rsid w:val="00B0051C"/>
    <w:rsid w:val="00B00D7A"/>
    <w:rsid w:val="00B00E91"/>
    <w:rsid w:val="00B0223B"/>
    <w:rsid w:val="00B03000"/>
    <w:rsid w:val="00B03B1D"/>
    <w:rsid w:val="00B05860"/>
    <w:rsid w:val="00B07CCD"/>
    <w:rsid w:val="00B07E94"/>
    <w:rsid w:val="00B103F3"/>
    <w:rsid w:val="00B110F6"/>
    <w:rsid w:val="00B115DF"/>
    <w:rsid w:val="00B124C1"/>
    <w:rsid w:val="00B12535"/>
    <w:rsid w:val="00B1325B"/>
    <w:rsid w:val="00B13504"/>
    <w:rsid w:val="00B15D70"/>
    <w:rsid w:val="00B17395"/>
    <w:rsid w:val="00B241C3"/>
    <w:rsid w:val="00B24B86"/>
    <w:rsid w:val="00B2691C"/>
    <w:rsid w:val="00B27615"/>
    <w:rsid w:val="00B3187E"/>
    <w:rsid w:val="00B3222A"/>
    <w:rsid w:val="00B33BCE"/>
    <w:rsid w:val="00B341C9"/>
    <w:rsid w:val="00B4086D"/>
    <w:rsid w:val="00B423B5"/>
    <w:rsid w:val="00B44755"/>
    <w:rsid w:val="00B46227"/>
    <w:rsid w:val="00B50E23"/>
    <w:rsid w:val="00B5221E"/>
    <w:rsid w:val="00B53801"/>
    <w:rsid w:val="00B55C13"/>
    <w:rsid w:val="00B567B7"/>
    <w:rsid w:val="00B5788C"/>
    <w:rsid w:val="00B61AFE"/>
    <w:rsid w:val="00B61C70"/>
    <w:rsid w:val="00B632E8"/>
    <w:rsid w:val="00B63FDD"/>
    <w:rsid w:val="00B64F7E"/>
    <w:rsid w:val="00B64F84"/>
    <w:rsid w:val="00B6503D"/>
    <w:rsid w:val="00B6536E"/>
    <w:rsid w:val="00B65D0E"/>
    <w:rsid w:val="00B702DD"/>
    <w:rsid w:val="00B7037E"/>
    <w:rsid w:val="00B7100E"/>
    <w:rsid w:val="00B73774"/>
    <w:rsid w:val="00B772D5"/>
    <w:rsid w:val="00B77E32"/>
    <w:rsid w:val="00B80C70"/>
    <w:rsid w:val="00B80D98"/>
    <w:rsid w:val="00B81595"/>
    <w:rsid w:val="00B81D5F"/>
    <w:rsid w:val="00B82530"/>
    <w:rsid w:val="00B830F7"/>
    <w:rsid w:val="00B8426B"/>
    <w:rsid w:val="00B8450E"/>
    <w:rsid w:val="00B84915"/>
    <w:rsid w:val="00B85EB2"/>
    <w:rsid w:val="00B906E0"/>
    <w:rsid w:val="00B92589"/>
    <w:rsid w:val="00B928FB"/>
    <w:rsid w:val="00B93717"/>
    <w:rsid w:val="00B93A7B"/>
    <w:rsid w:val="00B946FF"/>
    <w:rsid w:val="00B97309"/>
    <w:rsid w:val="00BA22DA"/>
    <w:rsid w:val="00BA23EB"/>
    <w:rsid w:val="00BA2FA7"/>
    <w:rsid w:val="00BA3EDF"/>
    <w:rsid w:val="00BA4863"/>
    <w:rsid w:val="00BA4956"/>
    <w:rsid w:val="00BA49AA"/>
    <w:rsid w:val="00BA4FC8"/>
    <w:rsid w:val="00BA5057"/>
    <w:rsid w:val="00BA56B8"/>
    <w:rsid w:val="00BB031B"/>
    <w:rsid w:val="00BB0B01"/>
    <w:rsid w:val="00BB1C71"/>
    <w:rsid w:val="00BB1F17"/>
    <w:rsid w:val="00BB1F9A"/>
    <w:rsid w:val="00BB31EC"/>
    <w:rsid w:val="00BB3C67"/>
    <w:rsid w:val="00BB589C"/>
    <w:rsid w:val="00BB6876"/>
    <w:rsid w:val="00BC1DF6"/>
    <w:rsid w:val="00BC328D"/>
    <w:rsid w:val="00BC3FCB"/>
    <w:rsid w:val="00BC43E0"/>
    <w:rsid w:val="00BC49B2"/>
    <w:rsid w:val="00BC4B1D"/>
    <w:rsid w:val="00BC592E"/>
    <w:rsid w:val="00BC6B48"/>
    <w:rsid w:val="00BC7373"/>
    <w:rsid w:val="00BC7573"/>
    <w:rsid w:val="00BC7BD9"/>
    <w:rsid w:val="00BD0360"/>
    <w:rsid w:val="00BD07B1"/>
    <w:rsid w:val="00BD07BA"/>
    <w:rsid w:val="00BD139E"/>
    <w:rsid w:val="00BD175B"/>
    <w:rsid w:val="00BD2497"/>
    <w:rsid w:val="00BD4691"/>
    <w:rsid w:val="00BD72C3"/>
    <w:rsid w:val="00BE030D"/>
    <w:rsid w:val="00BE10DC"/>
    <w:rsid w:val="00BE1493"/>
    <w:rsid w:val="00BE1C13"/>
    <w:rsid w:val="00BE268B"/>
    <w:rsid w:val="00BE2E2D"/>
    <w:rsid w:val="00BE3701"/>
    <w:rsid w:val="00BE4899"/>
    <w:rsid w:val="00BE54C6"/>
    <w:rsid w:val="00BE57D1"/>
    <w:rsid w:val="00BE6875"/>
    <w:rsid w:val="00BF1A80"/>
    <w:rsid w:val="00BF1CC6"/>
    <w:rsid w:val="00BF29D2"/>
    <w:rsid w:val="00BF2E8D"/>
    <w:rsid w:val="00BF2EA1"/>
    <w:rsid w:val="00BF4869"/>
    <w:rsid w:val="00BF5E5B"/>
    <w:rsid w:val="00BF7006"/>
    <w:rsid w:val="00BF799E"/>
    <w:rsid w:val="00C00B7C"/>
    <w:rsid w:val="00C00D69"/>
    <w:rsid w:val="00C00EC8"/>
    <w:rsid w:val="00C0108E"/>
    <w:rsid w:val="00C02337"/>
    <w:rsid w:val="00C02A18"/>
    <w:rsid w:val="00C03007"/>
    <w:rsid w:val="00C03129"/>
    <w:rsid w:val="00C040FE"/>
    <w:rsid w:val="00C04E0F"/>
    <w:rsid w:val="00C074C2"/>
    <w:rsid w:val="00C11302"/>
    <w:rsid w:val="00C120E8"/>
    <w:rsid w:val="00C12A70"/>
    <w:rsid w:val="00C140AA"/>
    <w:rsid w:val="00C1695B"/>
    <w:rsid w:val="00C16CC3"/>
    <w:rsid w:val="00C172ED"/>
    <w:rsid w:val="00C20B7E"/>
    <w:rsid w:val="00C219BE"/>
    <w:rsid w:val="00C22B30"/>
    <w:rsid w:val="00C246D9"/>
    <w:rsid w:val="00C254F5"/>
    <w:rsid w:val="00C2594A"/>
    <w:rsid w:val="00C267C6"/>
    <w:rsid w:val="00C3277D"/>
    <w:rsid w:val="00C3287C"/>
    <w:rsid w:val="00C3289F"/>
    <w:rsid w:val="00C32F86"/>
    <w:rsid w:val="00C34436"/>
    <w:rsid w:val="00C36179"/>
    <w:rsid w:val="00C36559"/>
    <w:rsid w:val="00C37B37"/>
    <w:rsid w:val="00C40BFC"/>
    <w:rsid w:val="00C418EA"/>
    <w:rsid w:val="00C41D97"/>
    <w:rsid w:val="00C42D72"/>
    <w:rsid w:val="00C42E61"/>
    <w:rsid w:val="00C43020"/>
    <w:rsid w:val="00C432C0"/>
    <w:rsid w:val="00C44172"/>
    <w:rsid w:val="00C46381"/>
    <w:rsid w:val="00C46866"/>
    <w:rsid w:val="00C47A24"/>
    <w:rsid w:val="00C51CDC"/>
    <w:rsid w:val="00C5341C"/>
    <w:rsid w:val="00C53C76"/>
    <w:rsid w:val="00C54071"/>
    <w:rsid w:val="00C6112B"/>
    <w:rsid w:val="00C61267"/>
    <w:rsid w:val="00C6135F"/>
    <w:rsid w:val="00C61BB7"/>
    <w:rsid w:val="00C6391A"/>
    <w:rsid w:val="00C63CDC"/>
    <w:rsid w:val="00C65095"/>
    <w:rsid w:val="00C6674F"/>
    <w:rsid w:val="00C67807"/>
    <w:rsid w:val="00C67CB9"/>
    <w:rsid w:val="00C714EC"/>
    <w:rsid w:val="00C72753"/>
    <w:rsid w:val="00C72850"/>
    <w:rsid w:val="00C738E5"/>
    <w:rsid w:val="00C75E5B"/>
    <w:rsid w:val="00C767A9"/>
    <w:rsid w:val="00C76E0C"/>
    <w:rsid w:val="00C77989"/>
    <w:rsid w:val="00C8076C"/>
    <w:rsid w:val="00C80C17"/>
    <w:rsid w:val="00C81490"/>
    <w:rsid w:val="00C81785"/>
    <w:rsid w:val="00C824B5"/>
    <w:rsid w:val="00C83BA8"/>
    <w:rsid w:val="00C8441B"/>
    <w:rsid w:val="00C84C89"/>
    <w:rsid w:val="00C857AE"/>
    <w:rsid w:val="00C865F1"/>
    <w:rsid w:val="00C8664D"/>
    <w:rsid w:val="00C87CD7"/>
    <w:rsid w:val="00C91A98"/>
    <w:rsid w:val="00C91C4F"/>
    <w:rsid w:val="00C9409C"/>
    <w:rsid w:val="00C945AD"/>
    <w:rsid w:val="00C94A95"/>
    <w:rsid w:val="00C953B1"/>
    <w:rsid w:val="00C96BF2"/>
    <w:rsid w:val="00C9790D"/>
    <w:rsid w:val="00CA006F"/>
    <w:rsid w:val="00CA0DA3"/>
    <w:rsid w:val="00CA1106"/>
    <w:rsid w:val="00CA2524"/>
    <w:rsid w:val="00CA3153"/>
    <w:rsid w:val="00CB00FF"/>
    <w:rsid w:val="00CB0C39"/>
    <w:rsid w:val="00CB25C1"/>
    <w:rsid w:val="00CB40AD"/>
    <w:rsid w:val="00CB4453"/>
    <w:rsid w:val="00CB4F4E"/>
    <w:rsid w:val="00CB724D"/>
    <w:rsid w:val="00CC014D"/>
    <w:rsid w:val="00CC2171"/>
    <w:rsid w:val="00CC40C2"/>
    <w:rsid w:val="00CC46E3"/>
    <w:rsid w:val="00CC4D88"/>
    <w:rsid w:val="00CC6F8C"/>
    <w:rsid w:val="00CD04D0"/>
    <w:rsid w:val="00CD099C"/>
    <w:rsid w:val="00CD206B"/>
    <w:rsid w:val="00CD6CAB"/>
    <w:rsid w:val="00CD7A6F"/>
    <w:rsid w:val="00CE02E9"/>
    <w:rsid w:val="00CE2B14"/>
    <w:rsid w:val="00CE3854"/>
    <w:rsid w:val="00CE56F4"/>
    <w:rsid w:val="00CE7218"/>
    <w:rsid w:val="00CE795F"/>
    <w:rsid w:val="00CF0233"/>
    <w:rsid w:val="00CF11EC"/>
    <w:rsid w:val="00CF1451"/>
    <w:rsid w:val="00CF1A91"/>
    <w:rsid w:val="00CF2993"/>
    <w:rsid w:val="00CF2C57"/>
    <w:rsid w:val="00CF2F2F"/>
    <w:rsid w:val="00CF4274"/>
    <w:rsid w:val="00CF4A36"/>
    <w:rsid w:val="00CF6158"/>
    <w:rsid w:val="00CF63DF"/>
    <w:rsid w:val="00CF7F78"/>
    <w:rsid w:val="00D008BD"/>
    <w:rsid w:val="00D012A3"/>
    <w:rsid w:val="00D01666"/>
    <w:rsid w:val="00D01AD8"/>
    <w:rsid w:val="00D02533"/>
    <w:rsid w:val="00D02956"/>
    <w:rsid w:val="00D02B7B"/>
    <w:rsid w:val="00D02DC0"/>
    <w:rsid w:val="00D03036"/>
    <w:rsid w:val="00D03424"/>
    <w:rsid w:val="00D03945"/>
    <w:rsid w:val="00D03A51"/>
    <w:rsid w:val="00D04A8E"/>
    <w:rsid w:val="00D04E5D"/>
    <w:rsid w:val="00D06FF6"/>
    <w:rsid w:val="00D10A7C"/>
    <w:rsid w:val="00D1130D"/>
    <w:rsid w:val="00D121AC"/>
    <w:rsid w:val="00D124CA"/>
    <w:rsid w:val="00D124EA"/>
    <w:rsid w:val="00D12FAE"/>
    <w:rsid w:val="00D134BC"/>
    <w:rsid w:val="00D13721"/>
    <w:rsid w:val="00D157EC"/>
    <w:rsid w:val="00D15AF7"/>
    <w:rsid w:val="00D15B53"/>
    <w:rsid w:val="00D172EF"/>
    <w:rsid w:val="00D17C61"/>
    <w:rsid w:val="00D20B2D"/>
    <w:rsid w:val="00D22AF1"/>
    <w:rsid w:val="00D22B76"/>
    <w:rsid w:val="00D253F8"/>
    <w:rsid w:val="00D26D59"/>
    <w:rsid w:val="00D31532"/>
    <w:rsid w:val="00D31C18"/>
    <w:rsid w:val="00D3200C"/>
    <w:rsid w:val="00D32933"/>
    <w:rsid w:val="00D342D5"/>
    <w:rsid w:val="00D35769"/>
    <w:rsid w:val="00D364F7"/>
    <w:rsid w:val="00D36E8E"/>
    <w:rsid w:val="00D37FE7"/>
    <w:rsid w:val="00D4065A"/>
    <w:rsid w:val="00D422BB"/>
    <w:rsid w:val="00D44588"/>
    <w:rsid w:val="00D4605F"/>
    <w:rsid w:val="00D470A4"/>
    <w:rsid w:val="00D5024C"/>
    <w:rsid w:val="00D50DB7"/>
    <w:rsid w:val="00D5180C"/>
    <w:rsid w:val="00D51E44"/>
    <w:rsid w:val="00D52AA7"/>
    <w:rsid w:val="00D53899"/>
    <w:rsid w:val="00D55CF2"/>
    <w:rsid w:val="00D5782A"/>
    <w:rsid w:val="00D57F75"/>
    <w:rsid w:val="00D60846"/>
    <w:rsid w:val="00D6093F"/>
    <w:rsid w:val="00D60DFB"/>
    <w:rsid w:val="00D6249A"/>
    <w:rsid w:val="00D6346E"/>
    <w:rsid w:val="00D65A5B"/>
    <w:rsid w:val="00D66007"/>
    <w:rsid w:val="00D6628C"/>
    <w:rsid w:val="00D70E36"/>
    <w:rsid w:val="00D70F56"/>
    <w:rsid w:val="00D7128C"/>
    <w:rsid w:val="00D713EE"/>
    <w:rsid w:val="00D72E2C"/>
    <w:rsid w:val="00D732CE"/>
    <w:rsid w:val="00D73A4B"/>
    <w:rsid w:val="00D74A7B"/>
    <w:rsid w:val="00D75A38"/>
    <w:rsid w:val="00D76980"/>
    <w:rsid w:val="00D803C0"/>
    <w:rsid w:val="00D80EE1"/>
    <w:rsid w:val="00D81E9E"/>
    <w:rsid w:val="00D82468"/>
    <w:rsid w:val="00D84AA0"/>
    <w:rsid w:val="00D84B36"/>
    <w:rsid w:val="00D851EA"/>
    <w:rsid w:val="00D855DD"/>
    <w:rsid w:val="00D90076"/>
    <w:rsid w:val="00D90830"/>
    <w:rsid w:val="00D90F46"/>
    <w:rsid w:val="00D929FA"/>
    <w:rsid w:val="00D93414"/>
    <w:rsid w:val="00D95496"/>
    <w:rsid w:val="00D96450"/>
    <w:rsid w:val="00DA3EA0"/>
    <w:rsid w:val="00DA4B01"/>
    <w:rsid w:val="00DA5EB3"/>
    <w:rsid w:val="00DA6054"/>
    <w:rsid w:val="00DA7998"/>
    <w:rsid w:val="00DB1C55"/>
    <w:rsid w:val="00DB24B3"/>
    <w:rsid w:val="00DB27D8"/>
    <w:rsid w:val="00DB34C9"/>
    <w:rsid w:val="00DB43E8"/>
    <w:rsid w:val="00DB55A9"/>
    <w:rsid w:val="00DB579D"/>
    <w:rsid w:val="00DB64F9"/>
    <w:rsid w:val="00DB6939"/>
    <w:rsid w:val="00DB6ED7"/>
    <w:rsid w:val="00DB739B"/>
    <w:rsid w:val="00DC0BFA"/>
    <w:rsid w:val="00DC2DBD"/>
    <w:rsid w:val="00DC3DBC"/>
    <w:rsid w:val="00DC5C46"/>
    <w:rsid w:val="00DC7082"/>
    <w:rsid w:val="00DD0DD1"/>
    <w:rsid w:val="00DD19B4"/>
    <w:rsid w:val="00DD247E"/>
    <w:rsid w:val="00DD36B8"/>
    <w:rsid w:val="00DD3CCC"/>
    <w:rsid w:val="00DD3EB0"/>
    <w:rsid w:val="00DD4462"/>
    <w:rsid w:val="00DD6029"/>
    <w:rsid w:val="00DD677B"/>
    <w:rsid w:val="00DD7DBB"/>
    <w:rsid w:val="00DE049C"/>
    <w:rsid w:val="00DE06BC"/>
    <w:rsid w:val="00DE0FD6"/>
    <w:rsid w:val="00DE19B7"/>
    <w:rsid w:val="00DE232F"/>
    <w:rsid w:val="00DF132C"/>
    <w:rsid w:val="00DF1577"/>
    <w:rsid w:val="00DF248B"/>
    <w:rsid w:val="00DF2B62"/>
    <w:rsid w:val="00DF2D2B"/>
    <w:rsid w:val="00DF2E0A"/>
    <w:rsid w:val="00DF3035"/>
    <w:rsid w:val="00DF3710"/>
    <w:rsid w:val="00DF3C9E"/>
    <w:rsid w:val="00DF5684"/>
    <w:rsid w:val="00DF585A"/>
    <w:rsid w:val="00DF6526"/>
    <w:rsid w:val="00DF7149"/>
    <w:rsid w:val="00DF7645"/>
    <w:rsid w:val="00DF7844"/>
    <w:rsid w:val="00DF7982"/>
    <w:rsid w:val="00E01774"/>
    <w:rsid w:val="00E02A58"/>
    <w:rsid w:val="00E02A6D"/>
    <w:rsid w:val="00E02EDB"/>
    <w:rsid w:val="00E02FEE"/>
    <w:rsid w:val="00E03C36"/>
    <w:rsid w:val="00E03D0F"/>
    <w:rsid w:val="00E049FE"/>
    <w:rsid w:val="00E056B3"/>
    <w:rsid w:val="00E07FA4"/>
    <w:rsid w:val="00E105E7"/>
    <w:rsid w:val="00E11100"/>
    <w:rsid w:val="00E1298B"/>
    <w:rsid w:val="00E1374C"/>
    <w:rsid w:val="00E162EC"/>
    <w:rsid w:val="00E17268"/>
    <w:rsid w:val="00E20C21"/>
    <w:rsid w:val="00E21DC4"/>
    <w:rsid w:val="00E226FA"/>
    <w:rsid w:val="00E230C4"/>
    <w:rsid w:val="00E235D1"/>
    <w:rsid w:val="00E24599"/>
    <w:rsid w:val="00E24A2D"/>
    <w:rsid w:val="00E260DE"/>
    <w:rsid w:val="00E26261"/>
    <w:rsid w:val="00E31743"/>
    <w:rsid w:val="00E31933"/>
    <w:rsid w:val="00E31F0A"/>
    <w:rsid w:val="00E3223D"/>
    <w:rsid w:val="00E33427"/>
    <w:rsid w:val="00E33C0C"/>
    <w:rsid w:val="00E34118"/>
    <w:rsid w:val="00E34136"/>
    <w:rsid w:val="00E350B8"/>
    <w:rsid w:val="00E36CE9"/>
    <w:rsid w:val="00E3733D"/>
    <w:rsid w:val="00E3782F"/>
    <w:rsid w:val="00E379F0"/>
    <w:rsid w:val="00E37A22"/>
    <w:rsid w:val="00E40398"/>
    <w:rsid w:val="00E43D74"/>
    <w:rsid w:val="00E44050"/>
    <w:rsid w:val="00E44B4B"/>
    <w:rsid w:val="00E453CC"/>
    <w:rsid w:val="00E45AC7"/>
    <w:rsid w:val="00E46ACE"/>
    <w:rsid w:val="00E50346"/>
    <w:rsid w:val="00E50DC9"/>
    <w:rsid w:val="00E51F71"/>
    <w:rsid w:val="00E53319"/>
    <w:rsid w:val="00E53586"/>
    <w:rsid w:val="00E5420F"/>
    <w:rsid w:val="00E60E45"/>
    <w:rsid w:val="00E630D5"/>
    <w:rsid w:val="00E64A5C"/>
    <w:rsid w:val="00E64EB5"/>
    <w:rsid w:val="00E65296"/>
    <w:rsid w:val="00E65512"/>
    <w:rsid w:val="00E65B84"/>
    <w:rsid w:val="00E660B6"/>
    <w:rsid w:val="00E672DC"/>
    <w:rsid w:val="00E713D1"/>
    <w:rsid w:val="00E71A91"/>
    <w:rsid w:val="00E72B42"/>
    <w:rsid w:val="00E731C3"/>
    <w:rsid w:val="00E73D3F"/>
    <w:rsid w:val="00E7567C"/>
    <w:rsid w:val="00E764BD"/>
    <w:rsid w:val="00E76AE5"/>
    <w:rsid w:val="00E80096"/>
    <w:rsid w:val="00E8010F"/>
    <w:rsid w:val="00E816B7"/>
    <w:rsid w:val="00E81AE2"/>
    <w:rsid w:val="00E8200B"/>
    <w:rsid w:val="00E821E8"/>
    <w:rsid w:val="00E83904"/>
    <w:rsid w:val="00E843CB"/>
    <w:rsid w:val="00E84467"/>
    <w:rsid w:val="00E84BE1"/>
    <w:rsid w:val="00E8544C"/>
    <w:rsid w:val="00E854F4"/>
    <w:rsid w:val="00E87993"/>
    <w:rsid w:val="00E91854"/>
    <w:rsid w:val="00E91AE6"/>
    <w:rsid w:val="00E91F7F"/>
    <w:rsid w:val="00E92348"/>
    <w:rsid w:val="00E925D1"/>
    <w:rsid w:val="00E92726"/>
    <w:rsid w:val="00E92B66"/>
    <w:rsid w:val="00E93F77"/>
    <w:rsid w:val="00E942FD"/>
    <w:rsid w:val="00E9433D"/>
    <w:rsid w:val="00E96638"/>
    <w:rsid w:val="00E96BCC"/>
    <w:rsid w:val="00EA000E"/>
    <w:rsid w:val="00EA1109"/>
    <w:rsid w:val="00EA1818"/>
    <w:rsid w:val="00EA19DF"/>
    <w:rsid w:val="00EA243E"/>
    <w:rsid w:val="00EA3C51"/>
    <w:rsid w:val="00EA58F4"/>
    <w:rsid w:val="00EA643D"/>
    <w:rsid w:val="00EA6B7F"/>
    <w:rsid w:val="00EA79E3"/>
    <w:rsid w:val="00EB09F9"/>
    <w:rsid w:val="00EB0BB1"/>
    <w:rsid w:val="00EB3F58"/>
    <w:rsid w:val="00EB4A4A"/>
    <w:rsid w:val="00EB5121"/>
    <w:rsid w:val="00EB5200"/>
    <w:rsid w:val="00EB527B"/>
    <w:rsid w:val="00EB5FBA"/>
    <w:rsid w:val="00EB71D8"/>
    <w:rsid w:val="00EC0803"/>
    <w:rsid w:val="00EC114D"/>
    <w:rsid w:val="00EC208D"/>
    <w:rsid w:val="00EC41A9"/>
    <w:rsid w:val="00EC462E"/>
    <w:rsid w:val="00EC4F29"/>
    <w:rsid w:val="00EC4FE9"/>
    <w:rsid w:val="00EC7BBE"/>
    <w:rsid w:val="00ED183A"/>
    <w:rsid w:val="00ED2F28"/>
    <w:rsid w:val="00ED3E39"/>
    <w:rsid w:val="00ED432F"/>
    <w:rsid w:val="00ED4369"/>
    <w:rsid w:val="00ED4D01"/>
    <w:rsid w:val="00ED7644"/>
    <w:rsid w:val="00ED770F"/>
    <w:rsid w:val="00ED77BF"/>
    <w:rsid w:val="00EE02A8"/>
    <w:rsid w:val="00EE041B"/>
    <w:rsid w:val="00EE170C"/>
    <w:rsid w:val="00EE2538"/>
    <w:rsid w:val="00EE2CEC"/>
    <w:rsid w:val="00EE2EA8"/>
    <w:rsid w:val="00EE3C56"/>
    <w:rsid w:val="00EE4EC5"/>
    <w:rsid w:val="00EE6266"/>
    <w:rsid w:val="00EE633C"/>
    <w:rsid w:val="00EE648F"/>
    <w:rsid w:val="00EE7282"/>
    <w:rsid w:val="00EE7F7B"/>
    <w:rsid w:val="00EF0B4E"/>
    <w:rsid w:val="00EF10FF"/>
    <w:rsid w:val="00EF1389"/>
    <w:rsid w:val="00EF142D"/>
    <w:rsid w:val="00EF1CA2"/>
    <w:rsid w:val="00EF2FC9"/>
    <w:rsid w:val="00EF45A7"/>
    <w:rsid w:val="00EF5487"/>
    <w:rsid w:val="00EF5B56"/>
    <w:rsid w:val="00EF5BEC"/>
    <w:rsid w:val="00F00D9C"/>
    <w:rsid w:val="00F013F8"/>
    <w:rsid w:val="00F01845"/>
    <w:rsid w:val="00F025D6"/>
    <w:rsid w:val="00F04E97"/>
    <w:rsid w:val="00F05D3C"/>
    <w:rsid w:val="00F06051"/>
    <w:rsid w:val="00F06EBF"/>
    <w:rsid w:val="00F11E9D"/>
    <w:rsid w:val="00F1413C"/>
    <w:rsid w:val="00F146AD"/>
    <w:rsid w:val="00F14A36"/>
    <w:rsid w:val="00F15084"/>
    <w:rsid w:val="00F158DE"/>
    <w:rsid w:val="00F16B15"/>
    <w:rsid w:val="00F170BB"/>
    <w:rsid w:val="00F20D24"/>
    <w:rsid w:val="00F21935"/>
    <w:rsid w:val="00F234FC"/>
    <w:rsid w:val="00F23ABE"/>
    <w:rsid w:val="00F23C2E"/>
    <w:rsid w:val="00F24643"/>
    <w:rsid w:val="00F2472B"/>
    <w:rsid w:val="00F26799"/>
    <w:rsid w:val="00F308B2"/>
    <w:rsid w:val="00F30AC2"/>
    <w:rsid w:val="00F30C72"/>
    <w:rsid w:val="00F30CB2"/>
    <w:rsid w:val="00F311A4"/>
    <w:rsid w:val="00F31D45"/>
    <w:rsid w:val="00F3427D"/>
    <w:rsid w:val="00F3534E"/>
    <w:rsid w:val="00F374C5"/>
    <w:rsid w:val="00F379E9"/>
    <w:rsid w:val="00F37B0F"/>
    <w:rsid w:val="00F37FC3"/>
    <w:rsid w:val="00F407E1"/>
    <w:rsid w:val="00F4098F"/>
    <w:rsid w:val="00F41217"/>
    <w:rsid w:val="00F41619"/>
    <w:rsid w:val="00F41734"/>
    <w:rsid w:val="00F42129"/>
    <w:rsid w:val="00F42E45"/>
    <w:rsid w:val="00F440B4"/>
    <w:rsid w:val="00F44679"/>
    <w:rsid w:val="00F474BD"/>
    <w:rsid w:val="00F47693"/>
    <w:rsid w:val="00F47ABC"/>
    <w:rsid w:val="00F507D3"/>
    <w:rsid w:val="00F51601"/>
    <w:rsid w:val="00F527FD"/>
    <w:rsid w:val="00F52821"/>
    <w:rsid w:val="00F54B00"/>
    <w:rsid w:val="00F55736"/>
    <w:rsid w:val="00F57EC8"/>
    <w:rsid w:val="00F57F92"/>
    <w:rsid w:val="00F60155"/>
    <w:rsid w:val="00F60EFF"/>
    <w:rsid w:val="00F64028"/>
    <w:rsid w:val="00F6491D"/>
    <w:rsid w:val="00F6518F"/>
    <w:rsid w:val="00F66D90"/>
    <w:rsid w:val="00F66DF9"/>
    <w:rsid w:val="00F67EDF"/>
    <w:rsid w:val="00F708A6"/>
    <w:rsid w:val="00F71682"/>
    <w:rsid w:val="00F71C3F"/>
    <w:rsid w:val="00F71DD8"/>
    <w:rsid w:val="00F73053"/>
    <w:rsid w:val="00F73F28"/>
    <w:rsid w:val="00F76CB8"/>
    <w:rsid w:val="00F80592"/>
    <w:rsid w:val="00F820FE"/>
    <w:rsid w:val="00F8316D"/>
    <w:rsid w:val="00F8479C"/>
    <w:rsid w:val="00F84C25"/>
    <w:rsid w:val="00F86C2B"/>
    <w:rsid w:val="00F86E04"/>
    <w:rsid w:val="00F87828"/>
    <w:rsid w:val="00F902A3"/>
    <w:rsid w:val="00F90785"/>
    <w:rsid w:val="00F918BC"/>
    <w:rsid w:val="00F91C6C"/>
    <w:rsid w:val="00F91CA6"/>
    <w:rsid w:val="00F928EA"/>
    <w:rsid w:val="00F92B84"/>
    <w:rsid w:val="00F9424E"/>
    <w:rsid w:val="00F948EF"/>
    <w:rsid w:val="00F95BFA"/>
    <w:rsid w:val="00F96069"/>
    <w:rsid w:val="00F97ACD"/>
    <w:rsid w:val="00FA050B"/>
    <w:rsid w:val="00FA1F40"/>
    <w:rsid w:val="00FA2969"/>
    <w:rsid w:val="00FA29BD"/>
    <w:rsid w:val="00FA386A"/>
    <w:rsid w:val="00FA3DC2"/>
    <w:rsid w:val="00FA57B9"/>
    <w:rsid w:val="00FA7688"/>
    <w:rsid w:val="00FA7A9A"/>
    <w:rsid w:val="00FA7E85"/>
    <w:rsid w:val="00FB14F7"/>
    <w:rsid w:val="00FB1911"/>
    <w:rsid w:val="00FB221B"/>
    <w:rsid w:val="00FB32BE"/>
    <w:rsid w:val="00FB3306"/>
    <w:rsid w:val="00FB3793"/>
    <w:rsid w:val="00FB3FF7"/>
    <w:rsid w:val="00FB4C9D"/>
    <w:rsid w:val="00FB4D08"/>
    <w:rsid w:val="00FB61E8"/>
    <w:rsid w:val="00FB656A"/>
    <w:rsid w:val="00FB7091"/>
    <w:rsid w:val="00FB74B0"/>
    <w:rsid w:val="00FB790E"/>
    <w:rsid w:val="00FC0233"/>
    <w:rsid w:val="00FC0F8B"/>
    <w:rsid w:val="00FC115E"/>
    <w:rsid w:val="00FC1C6E"/>
    <w:rsid w:val="00FC1D32"/>
    <w:rsid w:val="00FC2D18"/>
    <w:rsid w:val="00FC3322"/>
    <w:rsid w:val="00FC39F8"/>
    <w:rsid w:val="00FC3B81"/>
    <w:rsid w:val="00FC3C6B"/>
    <w:rsid w:val="00FC4D9A"/>
    <w:rsid w:val="00FC5CBB"/>
    <w:rsid w:val="00FC6069"/>
    <w:rsid w:val="00FC6857"/>
    <w:rsid w:val="00FC6A60"/>
    <w:rsid w:val="00FC6E7F"/>
    <w:rsid w:val="00FC7005"/>
    <w:rsid w:val="00FC714D"/>
    <w:rsid w:val="00FC75D6"/>
    <w:rsid w:val="00FC7638"/>
    <w:rsid w:val="00FD0454"/>
    <w:rsid w:val="00FD069B"/>
    <w:rsid w:val="00FD0785"/>
    <w:rsid w:val="00FD083B"/>
    <w:rsid w:val="00FD0A59"/>
    <w:rsid w:val="00FD11C7"/>
    <w:rsid w:val="00FD3D20"/>
    <w:rsid w:val="00FD4AE4"/>
    <w:rsid w:val="00FD5D4D"/>
    <w:rsid w:val="00FD6097"/>
    <w:rsid w:val="00FD6D76"/>
    <w:rsid w:val="00FD70DA"/>
    <w:rsid w:val="00FD75AE"/>
    <w:rsid w:val="00FE0496"/>
    <w:rsid w:val="00FE0D79"/>
    <w:rsid w:val="00FE0D83"/>
    <w:rsid w:val="00FE1971"/>
    <w:rsid w:val="00FE2105"/>
    <w:rsid w:val="00FE27DA"/>
    <w:rsid w:val="00FE3EC1"/>
    <w:rsid w:val="00FE5578"/>
    <w:rsid w:val="00FE6E58"/>
    <w:rsid w:val="00FE7394"/>
    <w:rsid w:val="00FE7878"/>
    <w:rsid w:val="00FF09EE"/>
    <w:rsid w:val="00FF0DF1"/>
    <w:rsid w:val="00FF1E8B"/>
    <w:rsid w:val="00FF2D4B"/>
    <w:rsid w:val="00FF3C3B"/>
    <w:rsid w:val="00FF456D"/>
    <w:rsid w:val="00FF4AD0"/>
    <w:rsid w:val="00FF4F11"/>
    <w:rsid w:val="00FF571D"/>
    <w:rsid w:val="00FF575B"/>
    <w:rsid w:val="00FF70BA"/>
    <w:rsid w:val="00FF7D8B"/>
    <w:rsid w:val="0146D82A"/>
    <w:rsid w:val="0149ABFC"/>
    <w:rsid w:val="01A2CD0B"/>
    <w:rsid w:val="021DC513"/>
    <w:rsid w:val="028B4E44"/>
    <w:rsid w:val="02D776C0"/>
    <w:rsid w:val="040B26A4"/>
    <w:rsid w:val="04CF4EA3"/>
    <w:rsid w:val="0525AE7A"/>
    <w:rsid w:val="05973859"/>
    <w:rsid w:val="05BF2D44"/>
    <w:rsid w:val="05D1DA45"/>
    <w:rsid w:val="05D40FEC"/>
    <w:rsid w:val="063E3F6B"/>
    <w:rsid w:val="06768BC8"/>
    <w:rsid w:val="06BFCD74"/>
    <w:rsid w:val="06D77A29"/>
    <w:rsid w:val="06EFD5B4"/>
    <w:rsid w:val="06F79978"/>
    <w:rsid w:val="07368272"/>
    <w:rsid w:val="0790665C"/>
    <w:rsid w:val="09B08C56"/>
    <w:rsid w:val="09D0B575"/>
    <w:rsid w:val="0A1D19AD"/>
    <w:rsid w:val="0A790517"/>
    <w:rsid w:val="0A7E9CE0"/>
    <w:rsid w:val="0A9F39DF"/>
    <w:rsid w:val="0B93894D"/>
    <w:rsid w:val="0BE0B318"/>
    <w:rsid w:val="0C9220D6"/>
    <w:rsid w:val="0CB8B7B4"/>
    <w:rsid w:val="0CC2B656"/>
    <w:rsid w:val="0CC47562"/>
    <w:rsid w:val="0D1F432F"/>
    <w:rsid w:val="0D211263"/>
    <w:rsid w:val="0ED3F604"/>
    <w:rsid w:val="0F0738F6"/>
    <w:rsid w:val="0F23C01A"/>
    <w:rsid w:val="0FC09A8A"/>
    <w:rsid w:val="100A2A73"/>
    <w:rsid w:val="100E3C8B"/>
    <w:rsid w:val="102B8D11"/>
    <w:rsid w:val="10DD91C1"/>
    <w:rsid w:val="111B4C78"/>
    <w:rsid w:val="1197B4AF"/>
    <w:rsid w:val="11A38142"/>
    <w:rsid w:val="11B5B486"/>
    <w:rsid w:val="1256BC57"/>
    <w:rsid w:val="13AC3E8E"/>
    <w:rsid w:val="1448AA57"/>
    <w:rsid w:val="148CDC2A"/>
    <w:rsid w:val="14C05273"/>
    <w:rsid w:val="14CF5571"/>
    <w:rsid w:val="1528306A"/>
    <w:rsid w:val="152F08FF"/>
    <w:rsid w:val="15E4A224"/>
    <w:rsid w:val="16851C4D"/>
    <w:rsid w:val="175B9DE6"/>
    <w:rsid w:val="18D65802"/>
    <w:rsid w:val="18DD15B8"/>
    <w:rsid w:val="196A12F0"/>
    <w:rsid w:val="198F903F"/>
    <w:rsid w:val="19CF5627"/>
    <w:rsid w:val="19D23413"/>
    <w:rsid w:val="19DDAA87"/>
    <w:rsid w:val="1A1CCE52"/>
    <w:rsid w:val="1A3E2972"/>
    <w:rsid w:val="1B46B651"/>
    <w:rsid w:val="1BDD181E"/>
    <w:rsid w:val="1C4FA8F3"/>
    <w:rsid w:val="1E5D9C3A"/>
    <w:rsid w:val="1EC6BA1E"/>
    <w:rsid w:val="1F554453"/>
    <w:rsid w:val="1F6E78E3"/>
    <w:rsid w:val="1FAFCDD2"/>
    <w:rsid w:val="20621119"/>
    <w:rsid w:val="209BC7F5"/>
    <w:rsid w:val="20DB620F"/>
    <w:rsid w:val="21953CFC"/>
    <w:rsid w:val="2233BF6B"/>
    <w:rsid w:val="22541F7F"/>
    <w:rsid w:val="227885F4"/>
    <w:rsid w:val="227B4AF6"/>
    <w:rsid w:val="22A9FCCF"/>
    <w:rsid w:val="23310D5D"/>
    <w:rsid w:val="23771E1B"/>
    <w:rsid w:val="23DA6AC7"/>
    <w:rsid w:val="240B23DF"/>
    <w:rsid w:val="242879D5"/>
    <w:rsid w:val="246410B0"/>
    <w:rsid w:val="246B2D02"/>
    <w:rsid w:val="2569E990"/>
    <w:rsid w:val="25A7E2C6"/>
    <w:rsid w:val="25C1D7FF"/>
    <w:rsid w:val="273245B1"/>
    <w:rsid w:val="27BD52C7"/>
    <w:rsid w:val="28029947"/>
    <w:rsid w:val="2802E6A6"/>
    <w:rsid w:val="2900B5B3"/>
    <w:rsid w:val="295EB6C1"/>
    <w:rsid w:val="2965F83C"/>
    <w:rsid w:val="29703284"/>
    <w:rsid w:val="29C01416"/>
    <w:rsid w:val="29D60337"/>
    <w:rsid w:val="29F6FBCE"/>
    <w:rsid w:val="2A5E742A"/>
    <w:rsid w:val="2A723FCF"/>
    <w:rsid w:val="2B4FEF9A"/>
    <w:rsid w:val="2B5A7D64"/>
    <w:rsid w:val="2BE8730B"/>
    <w:rsid w:val="2C8361A5"/>
    <w:rsid w:val="2C8E1E36"/>
    <w:rsid w:val="2D1BB7A2"/>
    <w:rsid w:val="2E320EC1"/>
    <w:rsid w:val="2E609DBC"/>
    <w:rsid w:val="2E7EC686"/>
    <w:rsid w:val="2EB7346F"/>
    <w:rsid w:val="2F2AE2D3"/>
    <w:rsid w:val="2F2B4D74"/>
    <w:rsid w:val="30057D9B"/>
    <w:rsid w:val="303F6790"/>
    <w:rsid w:val="3069C2D8"/>
    <w:rsid w:val="307967E2"/>
    <w:rsid w:val="30DCAFA8"/>
    <w:rsid w:val="3133D338"/>
    <w:rsid w:val="31790B3F"/>
    <w:rsid w:val="319350EB"/>
    <w:rsid w:val="329F2220"/>
    <w:rsid w:val="32E47A9E"/>
    <w:rsid w:val="32E6F463"/>
    <w:rsid w:val="330E0319"/>
    <w:rsid w:val="335C242B"/>
    <w:rsid w:val="339449BD"/>
    <w:rsid w:val="33A59687"/>
    <w:rsid w:val="3442E453"/>
    <w:rsid w:val="345DA66A"/>
    <w:rsid w:val="34AE4EEA"/>
    <w:rsid w:val="34EA14E9"/>
    <w:rsid w:val="3516D71D"/>
    <w:rsid w:val="3577D380"/>
    <w:rsid w:val="359A8EF8"/>
    <w:rsid w:val="359D4EF1"/>
    <w:rsid w:val="35B50619"/>
    <w:rsid w:val="35D55784"/>
    <w:rsid w:val="35F917BB"/>
    <w:rsid w:val="365C2280"/>
    <w:rsid w:val="3713F130"/>
    <w:rsid w:val="37FE5163"/>
    <w:rsid w:val="38492066"/>
    <w:rsid w:val="384E9283"/>
    <w:rsid w:val="38ACD292"/>
    <w:rsid w:val="38B01320"/>
    <w:rsid w:val="38F13A85"/>
    <w:rsid w:val="391EB319"/>
    <w:rsid w:val="398CB802"/>
    <w:rsid w:val="39951299"/>
    <w:rsid w:val="3A553C01"/>
    <w:rsid w:val="3A8249C7"/>
    <w:rsid w:val="3B4C47E8"/>
    <w:rsid w:val="3B82C281"/>
    <w:rsid w:val="3BBD1942"/>
    <w:rsid w:val="3BD407D3"/>
    <w:rsid w:val="3BD8EA03"/>
    <w:rsid w:val="3BEA34D0"/>
    <w:rsid w:val="3C032AB4"/>
    <w:rsid w:val="3C1447F0"/>
    <w:rsid w:val="3CA1EA79"/>
    <w:rsid w:val="3CDCE1CE"/>
    <w:rsid w:val="3DC17689"/>
    <w:rsid w:val="3DC7FB37"/>
    <w:rsid w:val="3DE968DC"/>
    <w:rsid w:val="3EBD3062"/>
    <w:rsid w:val="3F1BDBE7"/>
    <w:rsid w:val="3F2ECFD9"/>
    <w:rsid w:val="3F62D2F3"/>
    <w:rsid w:val="3F86D29F"/>
    <w:rsid w:val="3FDC2F84"/>
    <w:rsid w:val="400FA545"/>
    <w:rsid w:val="40595FD2"/>
    <w:rsid w:val="419831FA"/>
    <w:rsid w:val="41C673C3"/>
    <w:rsid w:val="426DE2A0"/>
    <w:rsid w:val="432417B2"/>
    <w:rsid w:val="43447078"/>
    <w:rsid w:val="43C3AF3D"/>
    <w:rsid w:val="44233AF8"/>
    <w:rsid w:val="44CAB1E9"/>
    <w:rsid w:val="4508E04C"/>
    <w:rsid w:val="4569B46A"/>
    <w:rsid w:val="45C75AF0"/>
    <w:rsid w:val="45C7B768"/>
    <w:rsid w:val="45D29EE0"/>
    <w:rsid w:val="4667FA7C"/>
    <w:rsid w:val="47356939"/>
    <w:rsid w:val="475085AD"/>
    <w:rsid w:val="477F3D54"/>
    <w:rsid w:val="486E5C17"/>
    <w:rsid w:val="490A11AD"/>
    <w:rsid w:val="4924FE11"/>
    <w:rsid w:val="4972C705"/>
    <w:rsid w:val="4A01C3B6"/>
    <w:rsid w:val="4AE804AD"/>
    <w:rsid w:val="4C0EB96F"/>
    <w:rsid w:val="4C751F55"/>
    <w:rsid w:val="4CD8B82B"/>
    <w:rsid w:val="4CE39759"/>
    <w:rsid w:val="4CE46EEF"/>
    <w:rsid w:val="4D1D9C02"/>
    <w:rsid w:val="4D517C92"/>
    <w:rsid w:val="4D5BEED3"/>
    <w:rsid w:val="4D698928"/>
    <w:rsid w:val="4DEC3E8E"/>
    <w:rsid w:val="4E2EE808"/>
    <w:rsid w:val="4E983E1B"/>
    <w:rsid w:val="4ED495A8"/>
    <w:rsid w:val="4F00AC11"/>
    <w:rsid w:val="4F15CB12"/>
    <w:rsid w:val="504DC6F3"/>
    <w:rsid w:val="50590BCD"/>
    <w:rsid w:val="50964D4B"/>
    <w:rsid w:val="50C2AFB6"/>
    <w:rsid w:val="5161B50F"/>
    <w:rsid w:val="527304BD"/>
    <w:rsid w:val="528CD536"/>
    <w:rsid w:val="52AC47CC"/>
    <w:rsid w:val="535885A8"/>
    <w:rsid w:val="5369D060"/>
    <w:rsid w:val="54B98C55"/>
    <w:rsid w:val="553CB97E"/>
    <w:rsid w:val="55E00039"/>
    <w:rsid w:val="56601920"/>
    <w:rsid w:val="569A228A"/>
    <w:rsid w:val="56C47E48"/>
    <w:rsid w:val="572ABF3B"/>
    <w:rsid w:val="5761E4F7"/>
    <w:rsid w:val="57ADACF0"/>
    <w:rsid w:val="59069EFD"/>
    <w:rsid w:val="5A59971B"/>
    <w:rsid w:val="5AA95AE4"/>
    <w:rsid w:val="5AE93DDF"/>
    <w:rsid w:val="5AEFF515"/>
    <w:rsid w:val="5AFE2CA0"/>
    <w:rsid w:val="5B01D75A"/>
    <w:rsid w:val="5B2B5302"/>
    <w:rsid w:val="5BC38CC2"/>
    <w:rsid w:val="5C25D390"/>
    <w:rsid w:val="5CBA4942"/>
    <w:rsid w:val="5D2ABDCE"/>
    <w:rsid w:val="5D31FF2F"/>
    <w:rsid w:val="5D5D39F6"/>
    <w:rsid w:val="5D697422"/>
    <w:rsid w:val="5DCDD03E"/>
    <w:rsid w:val="5E7E3987"/>
    <w:rsid w:val="5E9328D4"/>
    <w:rsid w:val="5ECC9BD0"/>
    <w:rsid w:val="5ED6F0D3"/>
    <w:rsid w:val="5EFA11DF"/>
    <w:rsid w:val="5FC6260A"/>
    <w:rsid w:val="60910DCD"/>
    <w:rsid w:val="609AFE29"/>
    <w:rsid w:val="60AC3430"/>
    <w:rsid w:val="61C53E06"/>
    <w:rsid w:val="6295E9F5"/>
    <w:rsid w:val="62B18DCE"/>
    <w:rsid w:val="62B53875"/>
    <w:rsid w:val="6350F522"/>
    <w:rsid w:val="63754B91"/>
    <w:rsid w:val="6379ECE3"/>
    <w:rsid w:val="63BB8E2D"/>
    <w:rsid w:val="641787C2"/>
    <w:rsid w:val="6450EC59"/>
    <w:rsid w:val="64C52F00"/>
    <w:rsid w:val="64EF7199"/>
    <w:rsid w:val="6530E116"/>
    <w:rsid w:val="656EB663"/>
    <w:rsid w:val="66166397"/>
    <w:rsid w:val="662FBF45"/>
    <w:rsid w:val="666A0F62"/>
    <w:rsid w:val="66A20C77"/>
    <w:rsid w:val="66E8240E"/>
    <w:rsid w:val="6725CAB7"/>
    <w:rsid w:val="681C0305"/>
    <w:rsid w:val="683FBEF5"/>
    <w:rsid w:val="68FC28FD"/>
    <w:rsid w:val="6920FB71"/>
    <w:rsid w:val="6953553B"/>
    <w:rsid w:val="6A598282"/>
    <w:rsid w:val="6AC9D044"/>
    <w:rsid w:val="6B8EA8AE"/>
    <w:rsid w:val="6BE3E554"/>
    <w:rsid w:val="6C1E39CD"/>
    <w:rsid w:val="6C1E9651"/>
    <w:rsid w:val="6C9BBAEA"/>
    <w:rsid w:val="6CB3EF95"/>
    <w:rsid w:val="6DE9188B"/>
    <w:rsid w:val="6E295CFA"/>
    <w:rsid w:val="6F99D27E"/>
    <w:rsid w:val="6FC140CA"/>
    <w:rsid w:val="6FDB0CCC"/>
    <w:rsid w:val="7091045A"/>
    <w:rsid w:val="70C606DD"/>
    <w:rsid w:val="71592A91"/>
    <w:rsid w:val="71A98C99"/>
    <w:rsid w:val="72E51A30"/>
    <w:rsid w:val="733CEFA1"/>
    <w:rsid w:val="73B9AA42"/>
    <w:rsid w:val="73D262DE"/>
    <w:rsid w:val="742A412F"/>
    <w:rsid w:val="74713F6A"/>
    <w:rsid w:val="74AFC844"/>
    <w:rsid w:val="76038993"/>
    <w:rsid w:val="76F3FD6D"/>
    <w:rsid w:val="775572B8"/>
    <w:rsid w:val="7768B465"/>
    <w:rsid w:val="778AA746"/>
    <w:rsid w:val="7792EF60"/>
    <w:rsid w:val="78A82BE2"/>
    <w:rsid w:val="78BF2365"/>
    <w:rsid w:val="78C25AF6"/>
    <w:rsid w:val="78DA06EB"/>
    <w:rsid w:val="792E3691"/>
    <w:rsid w:val="793F0D3E"/>
    <w:rsid w:val="7996B26F"/>
    <w:rsid w:val="79979A62"/>
    <w:rsid w:val="7A0B7849"/>
    <w:rsid w:val="7A199ABD"/>
    <w:rsid w:val="7A685139"/>
    <w:rsid w:val="7A73ED00"/>
    <w:rsid w:val="7A7BD492"/>
    <w:rsid w:val="7A9367E1"/>
    <w:rsid w:val="7AF5997E"/>
    <w:rsid w:val="7B0D2607"/>
    <w:rsid w:val="7C2A15D0"/>
    <w:rsid w:val="7D0E99AD"/>
    <w:rsid w:val="7D4DEB94"/>
    <w:rsid w:val="7E19439F"/>
    <w:rsid w:val="7E3D1929"/>
    <w:rsid w:val="7EC075A9"/>
    <w:rsid w:val="7EFDCA23"/>
    <w:rsid w:val="7F9E5BC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F2843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mnesty Trade Gothic Light" w:eastAsiaTheme="minorHAnsi" w:hAnsi="Amnesty Trade Gothic Light" w:cs="Arial"/>
        <w:color w:val="000000" w:themeColor="text1"/>
        <w:lang w:val="en-GB" w:eastAsia="en-US"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qFormat="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semiHidden/>
    <w:qFormat/>
    <w:rsid w:val="008B3697"/>
  </w:style>
  <w:style w:type="paragraph" w:styleId="Heading1">
    <w:name w:val="heading 1"/>
    <w:basedOn w:val="Normal"/>
    <w:next w:val="Normal"/>
    <w:link w:val="Heading1Char"/>
    <w:uiPriority w:val="9"/>
    <w:semiHidden/>
    <w:qFormat/>
    <w:rsid w:val="00F52821"/>
    <w:pPr>
      <w:keepNext/>
      <w:keepLines/>
      <w:spacing w:before="240"/>
      <w:outlineLvl w:val="0"/>
    </w:pPr>
    <w:rPr>
      <w:rFonts w:asciiTheme="majorHAnsi" w:eastAsiaTheme="majorEastAsia" w:hAnsiTheme="majorHAnsi" w:cstheme="majorBidi"/>
      <w:color w:val="BFBF00" w:themeColor="accent1" w:themeShade="BF"/>
      <w:sz w:val="32"/>
      <w:szCs w:val="32"/>
    </w:rPr>
  </w:style>
  <w:style w:type="paragraph" w:styleId="Heading2">
    <w:name w:val="heading 2"/>
    <w:aliases w:val="B Heading (No numbers)"/>
    <w:basedOn w:val="Normal"/>
    <w:next w:val="Normal"/>
    <w:link w:val="Heading2Char"/>
    <w:uiPriority w:val="9"/>
    <w:semiHidden/>
    <w:qFormat/>
    <w:rsid w:val="00D51E44"/>
    <w:pPr>
      <w:keepNext/>
      <w:keepLines/>
      <w:spacing w:before="320" w:line="420" w:lineRule="exact"/>
      <w:outlineLvl w:val="1"/>
    </w:pPr>
    <w:rPr>
      <w:rFonts w:ascii="Amnesty Trade Gothic Cn" w:eastAsiaTheme="majorEastAsia" w:hAnsi="Amnesty Trade Gothic Cn" w:cstheme="majorBidi"/>
      <w:b/>
      <w:caps/>
      <w:color w:val="auto"/>
      <w:sz w:val="42"/>
      <w:szCs w:val="26"/>
    </w:rPr>
  </w:style>
  <w:style w:type="paragraph" w:styleId="Heading3">
    <w:name w:val="heading 3"/>
    <w:basedOn w:val="Normal"/>
    <w:next w:val="Normal"/>
    <w:link w:val="Heading3Char"/>
    <w:uiPriority w:val="9"/>
    <w:semiHidden/>
    <w:qFormat/>
    <w:rsid w:val="00F52821"/>
    <w:pPr>
      <w:keepNext/>
      <w:keepLines/>
      <w:spacing w:before="40"/>
      <w:outlineLvl w:val="2"/>
    </w:pPr>
    <w:rPr>
      <w:rFonts w:asciiTheme="majorHAnsi" w:eastAsiaTheme="majorEastAsia" w:hAnsiTheme="majorHAnsi" w:cstheme="majorBidi"/>
      <w:color w:val="7F7F0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1AFE"/>
    <w:rPr>
      <w:color w:val="0563C1" w:themeColor="hyperlink"/>
    </w:rPr>
  </w:style>
  <w:style w:type="paragraph" w:customStyle="1" w:styleId="BFrontcovermaintitle">
    <w:name w:val="B Front cover main title"/>
    <w:next w:val="Normal"/>
    <w:rsid w:val="00391D04"/>
    <w:pPr>
      <w:keepNext/>
      <w:keepLines/>
      <w:spacing w:line="264" w:lineRule="auto"/>
    </w:pPr>
    <w:rPr>
      <w:rFonts w:ascii="Amnesty Trade Gothic Cn" w:eastAsiaTheme="minorEastAsia" w:hAnsi="Amnesty Trade Gothic Cn"/>
      <w:b/>
      <w:caps/>
      <w:noProof/>
      <w:color w:val="auto"/>
      <w:sz w:val="80"/>
      <w:szCs w:val="96"/>
      <w:shd w:val="clear" w:color="auto" w:fill="FFFF00" w:themeFill="accent1"/>
      <w:lang w:eastAsia="en-GB"/>
    </w:rPr>
  </w:style>
  <w:style w:type="paragraph" w:customStyle="1" w:styleId="BSubtitle">
    <w:name w:val="B Subtitle"/>
    <w:basedOn w:val="Normal"/>
    <w:autoRedefine/>
    <w:uiPriority w:val="5"/>
    <w:qFormat/>
    <w:rsid w:val="00A62D27"/>
    <w:pPr>
      <w:tabs>
        <w:tab w:val="left" w:pos="5271"/>
      </w:tabs>
      <w:suppressAutoHyphens/>
    </w:pPr>
    <w:rPr>
      <w:rFonts w:ascii="Amnesty Trade Gothic Cn" w:eastAsiaTheme="minorEastAsia" w:hAnsi="Amnesty Trade Gothic Cn"/>
      <w:bCs/>
      <w:caps/>
      <w:sz w:val="72"/>
      <w:szCs w:val="72"/>
    </w:rPr>
  </w:style>
  <w:style w:type="paragraph" w:customStyle="1" w:styleId="BHeadingnonumbers">
    <w:name w:val="B Heading (no numbers)"/>
    <w:basedOn w:val="BNumberedHeading"/>
    <w:next w:val="BBodyText"/>
    <w:link w:val="BHeadingnonumbersChar"/>
    <w:autoRedefine/>
    <w:uiPriority w:val="3"/>
    <w:rsid w:val="00B702DD"/>
    <w:pPr>
      <w:tabs>
        <w:tab w:val="clear" w:pos="567"/>
      </w:tabs>
      <w:spacing w:before="320"/>
    </w:pPr>
  </w:style>
  <w:style w:type="paragraph" w:customStyle="1" w:styleId="BNumberedHeading">
    <w:name w:val="B Numbered Heading"/>
    <w:basedOn w:val="Normal"/>
    <w:next w:val="BBodyText"/>
    <w:link w:val="BNumberedHeadingChar"/>
    <w:autoRedefine/>
    <w:uiPriority w:val="2"/>
    <w:qFormat/>
    <w:rsid w:val="00FF4F11"/>
    <w:pPr>
      <w:keepNext/>
      <w:tabs>
        <w:tab w:val="left" w:pos="567"/>
      </w:tabs>
      <w:suppressAutoHyphens/>
      <w:spacing w:before="480" w:line="259" w:lineRule="auto"/>
      <w:contextualSpacing/>
      <w:outlineLvl w:val="0"/>
    </w:pPr>
    <w:rPr>
      <w:rFonts w:ascii="Amnesty Trade Gothic Cn" w:hAnsi="Amnesty Trade Gothic Cn" w:cs="Calibri"/>
      <w:b/>
      <w:caps/>
      <w:noProof/>
      <w:color w:val="auto"/>
      <w:sz w:val="42"/>
      <w:szCs w:val="22"/>
      <w:lang w:eastAsia="en-GB"/>
    </w:rPr>
  </w:style>
  <w:style w:type="paragraph" w:customStyle="1" w:styleId="BTitlenumbered">
    <w:name w:val="B Title (numbered)"/>
    <w:basedOn w:val="Normal"/>
    <w:next w:val="Normal"/>
    <w:autoRedefine/>
    <w:rsid w:val="00882303"/>
    <w:pPr>
      <w:keepNext/>
      <w:tabs>
        <w:tab w:val="left" w:pos="851"/>
      </w:tabs>
      <w:suppressAutoHyphens/>
      <w:spacing w:before="100" w:line="720" w:lineRule="exact"/>
      <w:contextualSpacing/>
      <w:outlineLvl w:val="0"/>
    </w:pPr>
    <w:rPr>
      <w:rFonts w:ascii="Amnesty Trade Gothic Cn" w:eastAsiaTheme="minorEastAsia" w:hAnsi="Amnesty Trade Gothic Cn"/>
      <w:b/>
      <w:caps/>
      <w:noProof/>
      <w:sz w:val="72"/>
      <w:lang w:eastAsia="en-GB"/>
    </w:rPr>
  </w:style>
  <w:style w:type="paragraph" w:customStyle="1" w:styleId="BSubheadingnonumbers">
    <w:name w:val="B Subheading (no numbers)"/>
    <w:basedOn w:val="BNumberedHeading"/>
    <w:next w:val="BBodyText"/>
    <w:uiPriority w:val="5"/>
    <w:qFormat/>
    <w:rsid w:val="00A31034"/>
    <w:pPr>
      <w:tabs>
        <w:tab w:val="clear" w:pos="567"/>
      </w:tabs>
      <w:spacing w:before="160" w:line="320" w:lineRule="exact"/>
      <w:outlineLvl w:val="1"/>
    </w:pPr>
    <w:rPr>
      <w:rFonts w:eastAsiaTheme="minorEastAsia" w:cs="Arial"/>
      <w:color w:val="000000" w:themeColor="text1"/>
      <w:sz w:val="32"/>
      <w:szCs w:val="20"/>
    </w:rPr>
  </w:style>
  <w:style w:type="paragraph" w:customStyle="1" w:styleId="BNumberedSubheading">
    <w:name w:val="B Numbered Subheading"/>
    <w:basedOn w:val="BSubheadingnonumbers"/>
    <w:next w:val="BBodyText"/>
    <w:autoRedefine/>
    <w:uiPriority w:val="4"/>
    <w:qFormat/>
    <w:rsid w:val="007A608B"/>
    <w:pPr>
      <w:numPr>
        <w:ilvl w:val="1"/>
        <w:numId w:val="29"/>
      </w:numPr>
    </w:pPr>
    <w:rPr>
      <w:rFonts w:asciiTheme="majorHAnsi" w:hAnsiTheme="majorHAnsi" w:cs="AmnestyTradeGothic-BdCn20"/>
      <w:szCs w:val="22"/>
    </w:rPr>
  </w:style>
  <w:style w:type="paragraph" w:customStyle="1" w:styleId="BSmallheadingCAPS">
    <w:name w:val="B Small heading CAPS"/>
    <w:basedOn w:val="BContentsheading"/>
    <w:uiPriority w:val="6"/>
    <w:qFormat/>
    <w:rsid w:val="006164DC"/>
    <w:pPr>
      <w:keepNext/>
      <w:pageBreakBefore w:val="0"/>
      <w:spacing w:before="120" w:after="0" w:line="240" w:lineRule="exact"/>
    </w:pPr>
    <w:rPr>
      <w:rFonts w:cs="Times New Roman"/>
      <w:color w:val="000000"/>
      <w:sz w:val="24"/>
      <w:szCs w:val="32"/>
      <w:lang w:eastAsia="en-GB"/>
    </w:rPr>
  </w:style>
  <w:style w:type="paragraph" w:customStyle="1" w:styleId="BBodyText">
    <w:name w:val="B Body Text"/>
    <w:basedOn w:val="Normal"/>
    <w:link w:val="BBodyTextChar"/>
    <w:uiPriority w:val="9"/>
    <w:qFormat/>
    <w:rsid w:val="00CB4F4E"/>
    <w:pPr>
      <w:suppressAutoHyphens/>
      <w:spacing w:after="120"/>
    </w:pPr>
    <w:rPr>
      <w:bCs/>
      <w:color w:val="auto"/>
      <w:sz w:val="21"/>
      <w:szCs w:val="24"/>
    </w:rPr>
  </w:style>
  <w:style w:type="paragraph" w:customStyle="1" w:styleId="Smallerboldsubber">
    <w:name w:val="Smaller bold subber"/>
    <w:basedOn w:val="BBodyText"/>
    <w:autoRedefine/>
    <w:uiPriority w:val="99"/>
    <w:rsid w:val="004325EC"/>
    <w:pPr>
      <w:spacing w:before="120" w:after="0"/>
    </w:pPr>
    <w:rPr>
      <w:rFonts w:ascii="Amnesty Trade Gothic" w:hAnsi="Amnesty Trade Gothic"/>
      <w:b/>
      <w:bCs w:val="0"/>
      <w:szCs w:val="20"/>
      <w:lang w:eastAsia="en-GB"/>
    </w:rPr>
  </w:style>
  <w:style w:type="paragraph" w:styleId="TOC1">
    <w:name w:val="toc 1"/>
    <w:basedOn w:val="BHeadingnonumbers"/>
    <w:next w:val="Normal"/>
    <w:link w:val="TOC1Char"/>
    <w:autoRedefine/>
    <w:uiPriority w:val="39"/>
    <w:qFormat/>
    <w:rsid w:val="0055587C"/>
    <w:pPr>
      <w:shd w:val="clear" w:color="auto" w:fill="FFFFFF" w:themeFill="background1"/>
      <w:tabs>
        <w:tab w:val="left" w:leader="underscore" w:pos="426"/>
        <w:tab w:val="right" w:leader="underscore" w:pos="9072"/>
      </w:tabs>
      <w:spacing w:before="0" w:after="60" w:line="160" w:lineRule="exact"/>
      <w:ind w:left="426"/>
      <w:contextualSpacing w:val="0"/>
    </w:pPr>
    <w:rPr>
      <w:rFonts w:asciiTheme="majorHAnsi" w:hAnsiTheme="majorHAnsi" w:cs="Arial"/>
      <w:bCs/>
      <w:color w:val="000000" w:themeColor="text1"/>
      <w:sz w:val="17"/>
      <w:u w:val="single"/>
    </w:rPr>
  </w:style>
  <w:style w:type="paragraph" w:customStyle="1" w:styleId="BQuoteText">
    <w:name w:val="B Quote Text"/>
    <w:basedOn w:val="BBodyText"/>
    <w:autoRedefine/>
    <w:uiPriority w:val="14"/>
    <w:qFormat/>
    <w:rsid w:val="006E5F23"/>
    <w:pPr>
      <w:framePr w:hSpace="180" w:wrap="around" w:vAnchor="text" w:hAnchor="margin" w:y="1133"/>
      <w:spacing w:after="0"/>
    </w:pPr>
    <w:rPr>
      <w:rFonts w:ascii="Amnesty Trade Gothic Cn" w:eastAsiaTheme="minorEastAsia" w:hAnsi="Amnesty Trade Gothic Cn"/>
      <w:b/>
      <w:sz w:val="36"/>
    </w:rPr>
  </w:style>
  <w:style w:type="paragraph" w:customStyle="1" w:styleId="BSourceText">
    <w:name w:val="B Source Text"/>
    <w:basedOn w:val="BBodyText"/>
    <w:uiPriority w:val="14"/>
    <w:qFormat/>
    <w:rsid w:val="00D157EC"/>
    <w:rPr>
      <w:rFonts w:ascii="Amnesty Trade Gothic Cn" w:hAnsi="Amnesty Trade Gothic Cn"/>
    </w:rPr>
  </w:style>
  <w:style w:type="character" w:customStyle="1" w:styleId="Boldbodycharacter">
    <w:name w:val="Bold body character"/>
    <w:basedOn w:val="DefaultParagraphFont"/>
    <w:uiPriority w:val="1"/>
    <w:rsid w:val="004325EC"/>
    <w:rPr>
      <w:rFonts w:ascii="Amnesty Trade Gothic" w:hAnsi="Amnesty Trade Gothic"/>
      <w:b/>
      <w:bCs/>
    </w:rPr>
  </w:style>
  <w:style w:type="paragraph" w:customStyle="1" w:styleId="BSmallQuoteText">
    <w:name w:val="B Small Quote Text"/>
    <w:basedOn w:val="BBodyText"/>
    <w:next w:val="BBodyText"/>
    <w:autoRedefine/>
    <w:uiPriority w:val="14"/>
    <w:qFormat/>
    <w:rsid w:val="004325EC"/>
    <w:pPr>
      <w:spacing w:before="100" w:after="140"/>
    </w:pPr>
    <w:rPr>
      <w:rFonts w:ascii="Amnesty Trade Gothic Cn" w:hAnsi="Amnesty Trade Gothic Cn"/>
      <w:b/>
    </w:rPr>
  </w:style>
  <w:style w:type="paragraph" w:customStyle="1" w:styleId="BCopyrightsmallprint">
    <w:name w:val="B Copyright small print"/>
    <w:basedOn w:val="BBodyText"/>
    <w:autoRedefine/>
    <w:uiPriority w:val="99"/>
    <w:qFormat/>
    <w:rsid w:val="00E049FE"/>
    <w:pPr>
      <w:spacing w:after="60"/>
    </w:pPr>
    <w:rPr>
      <w:sz w:val="14"/>
      <w:szCs w:val="14"/>
    </w:rPr>
  </w:style>
  <w:style w:type="paragraph" w:styleId="FootnoteText">
    <w:name w:val="footnote text"/>
    <w:aliases w:val="5_G,Char Char,Char,Footnote Text Char Char Char Char Char,Footnote Text Char Char Char Char,Footnote reference,FA Fu,Footnote Text Char Char Char,Footnote Text Cha,FA Fußnotentext,FA Fuﬂnotentext,Footnote Text Char Char,FA Fu?notentext,Ca"/>
    <w:basedOn w:val="Normal"/>
    <w:link w:val="FootnoteTextChar"/>
    <w:autoRedefine/>
    <w:qFormat/>
    <w:rsid w:val="003E28A9"/>
    <w:rPr>
      <w:sz w:val="14"/>
      <w:szCs w:val="24"/>
    </w:rPr>
  </w:style>
  <w:style w:type="character" w:customStyle="1" w:styleId="FootnoteTextChar">
    <w:name w:val="Footnote Text Char"/>
    <w:aliases w:val="5_G Char,Char Char Char,Char Char1,Footnote Text Char Char Char Char Char Char,Footnote Text Char Char Char Char Char1,Footnote reference Char,FA Fu Char,Footnote Text Char Char Char Char1,Footnote Text Cha Char,FA Fußnotentext Char"/>
    <w:basedOn w:val="DefaultParagraphFont"/>
    <w:link w:val="FootnoteText"/>
    <w:rsid w:val="003E28A9"/>
    <w:rPr>
      <w:sz w:val="14"/>
      <w:szCs w:val="24"/>
    </w:rPr>
  </w:style>
  <w:style w:type="paragraph" w:styleId="TOC2">
    <w:name w:val="toc 2"/>
    <w:basedOn w:val="Smallerboldsubber"/>
    <w:next w:val="Normal"/>
    <w:link w:val="TOC2Char"/>
    <w:autoRedefine/>
    <w:uiPriority w:val="39"/>
    <w:unhideWhenUsed/>
    <w:qFormat/>
    <w:rsid w:val="0000221E"/>
    <w:pPr>
      <w:tabs>
        <w:tab w:val="left" w:leader="underscore" w:pos="426"/>
        <w:tab w:val="right" w:leader="underscore" w:pos="9072"/>
      </w:tabs>
      <w:spacing w:before="0" w:after="60" w:line="160" w:lineRule="exact"/>
      <w:ind w:left="426"/>
    </w:pPr>
    <w:rPr>
      <w:rFonts w:asciiTheme="majorHAnsi" w:hAnsiTheme="majorHAnsi"/>
      <w:b w:val="0"/>
      <w:bCs/>
      <w:noProof/>
      <w:sz w:val="17"/>
      <w:szCs w:val="24"/>
      <w:u w:val="single"/>
    </w:rPr>
  </w:style>
  <w:style w:type="character" w:customStyle="1" w:styleId="TOC1Char">
    <w:name w:val="TOC 1 Char"/>
    <w:basedOn w:val="BHeadingnonumbersChar"/>
    <w:link w:val="TOC1"/>
    <w:uiPriority w:val="39"/>
    <w:rsid w:val="0055587C"/>
    <w:rPr>
      <w:rFonts w:asciiTheme="majorHAnsi" w:hAnsiTheme="majorHAnsi" w:cs="Calibri"/>
      <w:b/>
      <w:bCs/>
      <w:caps/>
      <w:noProof/>
      <w:color w:val="auto"/>
      <w:sz w:val="17"/>
      <w:szCs w:val="22"/>
      <w:u w:val="single"/>
      <w:shd w:val="clear" w:color="auto" w:fill="FFFFFF" w:themeFill="background1"/>
      <w:lang w:eastAsia="en-GB"/>
    </w:rPr>
  </w:style>
  <w:style w:type="character" w:customStyle="1" w:styleId="TOC2Char">
    <w:name w:val="TOC 2 Char"/>
    <w:basedOn w:val="DefaultParagraphFont"/>
    <w:link w:val="TOC2"/>
    <w:uiPriority w:val="39"/>
    <w:rsid w:val="00B61AFE"/>
    <w:rPr>
      <w:rFonts w:asciiTheme="majorHAnsi" w:hAnsiTheme="majorHAnsi"/>
      <w:bCs/>
      <w:noProof/>
      <w:color w:val="auto"/>
      <w:sz w:val="17"/>
      <w:szCs w:val="24"/>
      <w:u w:val="single"/>
      <w:lang w:eastAsia="en-GB"/>
    </w:rPr>
  </w:style>
  <w:style w:type="character" w:customStyle="1" w:styleId="BNumberedHeadingChar">
    <w:name w:val="B Numbered Heading Char"/>
    <w:basedOn w:val="DefaultParagraphFont"/>
    <w:link w:val="BNumberedHeading"/>
    <w:uiPriority w:val="2"/>
    <w:rsid w:val="00FF4F11"/>
    <w:rPr>
      <w:rFonts w:ascii="Amnesty Trade Gothic Cn" w:hAnsi="Amnesty Trade Gothic Cn" w:cs="Calibri"/>
      <w:b/>
      <w:caps/>
      <w:noProof/>
      <w:color w:val="auto"/>
      <w:sz w:val="42"/>
      <w:szCs w:val="22"/>
      <w:lang w:eastAsia="en-GB"/>
    </w:rPr>
  </w:style>
  <w:style w:type="character" w:customStyle="1" w:styleId="BHeadingnonumbersChar">
    <w:name w:val="B Heading (no numbers) Char"/>
    <w:basedOn w:val="BNumberedHeadingChar"/>
    <w:link w:val="BHeadingnonumbers"/>
    <w:uiPriority w:val="3"/>
    <w:rsid w:val="00B702DD"/>
    <w:rPr>
      <w:rFonts w:ascii="Amnesty Trade Gothic Cn" w:hAnsi="Amnesty Trade Gothic Cn" w:cs="Calibri"/>
      <w:b/>
      <w:caps/>
      <w:noProof/>
      <w:color w:val="auto"/>
      <w:sz w:val="42"/>
      <w:szCs w:val="22"/>
      <w:lang w:eastAsia="en-GB"/>
    </w:rPr>
  </w:style>
  <w:style w:type="character" w:customStyle="1" w:styleId="BBodyTextChar">
    <w:name w:val="B Body Text Char"/>
    <w:basedOn w:val="DefaultParagraphFont"/>
    <w:link w:val="BBodyText"/>
    <w:uiPriority w:val="9"/>
    <w:rsid w:val="002C1757"/>
    <w:rPr>
      <w:bCs/>
      <w:color w:val="auto"/>
      <w:sz w:val="21"/>
      <w:szCs w:val="24"/>
    </w:rPr>
  </w:style>
  <w:style w:type="paragraph" w:styleId="TOC3">
    <w:name w:val="toc 3"/>
    <w:basedOn w:val="TOC4"/>
    <w:next w:val="Normal"/>
    <w:autoRedefine/>
    <w:uiPriority w:val="39"/>
    <w:semiHidden/>
    <w:rsid w:val="007F3C4C"/>
    <w:pPr>
      <w:tabs>
        <w:tab w:val="right" w:pos="8222"/>
      </w:tabs>
      <w:spacing w:after="113"/>
      <w:ind w:left="0"/>
    </w:pPr>
    <w:rPr>
      <w:rFonts w:ascii="Amnesty Trade Gothic Cn" w:eastAsiaTheme="minorEastAsia" w:hAnsi="Amnesty Trade Gothic Cn"/>
      <w:caps/>
      <w:noProof/>
      <w:sz w:val="16"/>
      <w:szCs w:val="18"/>
      <w:lang w:val="en-US"/>
    </w:rPr>
  </w:style>
  <w:style w:type="paragraph" w:styleId="TOC4">
    <w:name w:val="toc 4"/>
    <w:basedOn w:val="Normal"/>
    <w:next w:val="Normal"/>
    <w:autoRedefine/>
    <w:uiPriority w:val="39"/>
    <w:semiHidden/>
    <w:qFormat/>
    <w:rsid w:val="007F3C4C"/>
    <w:pPr>
      <w:spacing w:after="100"/>
      <w:ind w:left="600"/>
    </w:pPr>
  </w:style>
  <w:style w:type="paragraph" w:customStyle="1" w:styleId="BCaptionText">
    <w:name w:val="B Caption Text"/>
    <w:basedOn w:val="Normal"/>
    <w:autoRedefine/>
    <w:uiPriority w:val="19"/>
    <w:qFormat/>
    <w:rsid w:val="003F57E4"/>
    <w:rPr>
      <w:rFonts w:ascii="Amnesty Trade Gothic Cn" w:eastAsia="MS Mincho" w:hAnsi="Amnesty Trade Gothic Cn"/>
      <w:i/>
      <w:lang w:val="en-US"/>
    </w:rPr>
  </w:style>
  <w:style w:type="paragraph" w:customStyle="1" w:styleId="Babstract">
    <w:name w:val="B abstract"/>
    <w:basedOn w:val="Normal"/>
    <w:uiPriority w:val="99"/>
    <w:qFormat/>
    <w:rsid w:val="001D7D31"/>
    <w:rPr>
      <w:sz w:val="24"/>
    </w:rPr>
  </w:style>
  <w:style w:type="paragraph" w:customStyle="1" w:styleId="BCaption">
    <w:name w:val="B Caption"/>
    <w:basedOn w:val="BCaptionText"/>
    <w:uiPriority w:val="99"/>
    <w:qFormat/>
    <w:rsid w:val="00E3223D"/>
  </w:style>
  <w:style w:type="paragraph" w:styleId="Header">
    <w:name w:val="header"/>
    <w:basedOn w:val="Normal"/>
    <w:link w:val="HeaderChar"/>
    <w:uiPriority w:val="99"/>
    <w:unhideWhenUsed/>
    <w:rsid w:val="003A7195"/>
    <w:pPr>
      <w:tabs>
        <w:tab w:val="center" w:pos="4513"/>
        <w:tab w:val="right" w:pos="9026"/>
      </w:tabs>
    </w:pPr>
  </w:style>
  <w:style w:type="character" w:customStyle="1" w:styleId="HeaderChar">
    <w:name w:val="Header Char"/>
    <w:basedOn w:val="DefaultParagraphFont"/>
    <w:link w:val="Header"/>
    <w:uiPriority w:val="99"/>
    <w:rsid w:val="003A7195"/>
  </w:style>
  <w:style w:type="paragraph" w:styleId="Footer">
    <w:name w:val="footer"/>
    <w:basedOn w:val="Normal"/>
    <w:link w:val="FooterChar"/>
    <w:uiPriority w:val="99"/>
    <w:unhideWhenUsed/>
    <w:rsid w:val="003A7195"/>
    <w:pPr>
      <w:tabs>
        <w:tab w:val="center" w:pos="4513"/>
        <w:tab w:val="right" w:pos="9026"/>
      </w:tabs>
    </w:pPr>
  </w:style>
  <w:style w:type="character" w:customStyle="1" w:styleId="FooterChar">
    <w:name w:val="Footer Char"/>
    <w:basedOn w:val="DefaultParagraphFont"/>
    <w:link w:val="Footer"/>
    <w:uiPriority w:val="99"/>
    <w:rsid w:val="003A7195"/>
  </w:style>
  <w:style w:type="paragraph" w:customStyle="1" w:styleId="BContentsheading">
    <w:name w:val="B Contents heading"/>
    <w:basedOn w:val="Normal"/>
    <w:uiPriority w:val="99"/>
    <w:qFormat/>
    <w:rsid w:val="00820E39"/>
    <w:pPr>
      <w:pageBreakBefore/>
      <w:spacing w:after="180" w:line="440" w:lineRule="exact"/>
    </w:pPr>
    <w:rPr>
      <w:rFonts w:ascii="Amnesty Trade Gothic Cn" w:eastAsia="MS Mincho" w:hAnsi="Amnesty Trade Gothic Cn"/>
      <w:b/>
      <w:caps/>
      <w:noProof/>
      <w:color w:val="auto"/>
      <w:sz w:val="44"/>
      <w:szCs w:val="44"/>
    </w:rPr>
  </w:style>
  <w:style w:type="paragraph" w:customStyle="1" w:styleId="BFootertitle">
    <w:name w:val="B Footer title"/>
    <w:basedOn w:val="Footer"/>
    <w:autoRedefine/>
    <w:uiPriority w:val="99"/>
    <w:qFormat/>
    <w:rsid w:val="003E01C8"/>
    <w:pPr>
      <w:tabs>
        <w:tab w:val="clear" w:pos="4513"/>
        <w:tab w:val="clear" w:pos="9026"/>
        <w:tab w:val="right" w:pos="8278"/>
      </w:tabs>
      <w:spacing w:before="160" w:line="150" w:lineRule="exact"/>
    </w:pPr>
    <w:rPr>
      <w:rFonts w:ascii="Amnesty Trade Gothic Cn" w:eastAsiaTheme="minorEastAsia" w:hAnsi="Amnesty Trade Gothic Cn"/>
      <w:b/>
      <w:caps/>
      <w:sz w:val="15"/>
      <w:szCs w:val="15"/>
      <w:lang w:val="en-US"/>
    </w:rPr>
  </w:style>
  <w:style w:type="paragraph" w:customStyle="1" w:styleId="BFooterbriefingsubtitle">
    <w:name w:val="B Footer briefing sub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caps/>
      <w:sz w:val="15"/>
      <w:szCs w:val="15"/>
      <w:lang w:val="en-US"/>
    </w:rPr>
  </w:style>
  <w:style w:type="character" w:styleId="FootnoteReference">
    <w:name w:val="footnote reference"/>
    <w:aliases w:val="4_G,Footnotes refss,Footnote text,ftref,16 Point,Superscript 6 Point,Footnote + Arial,10 pt,Black,Footnote,(NECG) Footnote Reference,Footnote Text1,Ref,de nota al pie,Footnote number, BVI fnr,BVI fnr, BVI fnr Car Car,BVI fnr Car,Re,f"/>
    <w:basedOn w:val="DefaultParagraphFont"/>
    <w:rsid w:val="00DE06BC"/>
    <w:rPr>
      <w:vertAlign w:val="superscript"/>
    </w:rPr>
  </w:style>
  <w:style w:type="table" w:styleId="TableGrid">
    <w:name w:val="Table Grid"/>
    <w:basedOn w:val="TableNormal"/>
    <w:uiPriority w:val="59"/>
    <w:rsid w:val="00EC4F29"/>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locked/>
    <w:rsid w:val="00EE3C56"/>
    <w:rPr>
      <w:rFonts w:eastAsia="MS Mincho"/>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uiPriority w:val="99"/>
    <w:semiHidden/>
    <w:rsid w:val="00EE3C56"/>
    <w:pPr>
      <w:ind w:left="720"/>
    </w:pPr>
    <w:rPr>
      <w:rFonts w:ascii="Amnesty Trade Gothic" w:eastAsia="MS Mincho" w:hAnsi="Amnesty Trade Gothic"/>
      <w:sz w:val="21"/>
      <w:lang w:val="en-US"/>
    </w:rPr>
  </w:style>
  <w:style w:type="character" w:customStyle="1" w:styleId="Heading1Char">
    <w:name w:val="Heading 1 Char"/>
    <w:basedOn w:val="DefaultParagraphFont"/>
    <w:link w:val="Heading1"/>
    <w:uiPriority w:val="9"/>
    <w:semiHidden/>
    <w:rsid w:val="005A6C3C"/>
    <w:rPr>
      <w:rFonts w:asciiTheme="majorHAnsi" w:eastAsiaTheme="majorEastAsia" w:hAnsiTheme="majorHAnsi" w:cstheme="majorBidi"/>
      <w:color w:val="BFBF00" w:themeColor="accent1" w:themeShade="BF"/>
      <w:sz w:val="32"/>
      <w:szCs w:val="32"/>
    </w:rPr>
  </w:style>
  <w:style w:type="character" w:customStyle="1" w:styleId="Heading2Char">
    <w:name w:val="Heading 2 Char"/>
    <w:aliases w:val="B Heading (No numbers) Char"/>
    <w:basedOn w:val="DefaultParagraphFont"/>
    <w:link w:val="Heading2"/>
    <w:uiPriority w:val="9"/>
    <w:semiHidden/>
    <w:rsid w:val="005A6C3C"/>
    <w:rPr>
      <w:rFonts w:ascii="Amnesty Trade Gothic Cn" w:eastAsiaTheme="majorEastAsia" w:hAnsi="Amnesty Trade Gothic Cn" w:cstheme="majorBidi"/>
      <w:b/>
      <w:caps/>
      <w:color w:val="auto"/>
      <w:sz w:val="42"/>
      <w:szCs w:val="26"/>
    </w:rPr>
  </w:style>
  <w:style w:type="character" w:customStyle="1" w:styleId="Heading3Char">
    <w:name w:val="Heading 3 Char"/>
    <w:basedOn w:val="DefaultParagraphFont"/>
    <w:link w:val="Heading3"/>
    <w:uiPriority w:val="9"/>
    <w:semiHidden/>
    <w:rsid w:val="005A6C3C"/>
    <w:rPr>
      <w:rFonts w:asciiTheme="majorHAnsi" w:eastAsiaTheme="majorEastAsia" w:hAnsiTheme="majorHAnsi" w:cstheme="majorBidi"/>
      <w:color w:val="7F7F00" w:themeColor="accent1" w:themeShade="7F"/>
      <w:sz w:val="24"/>
      <w:szCs w:val="24"/>
    </w:rPr>
  </w:style>
  <w:style w:type="paragraph" w:styleId="BalloonText">
    <w:name w:val="Balloon Text"/>
    <w:basedOn w:val="Normal"/>
    <w:link w:val="BalloonTextChar"/>
    <w:uiPriority w:val="99"/>
    <w:semiHidden/>
    <w:unhideWhenUsed/>
    <w:rsid w:val="002F6F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FCC"/>
    <w:rPr>
      <w:rFonts w:ascii="Segoe UI" w:hAnsi="Segoe UI" w:cs="Segoe UI"/>
      <w:sz w:val="18"/>
      <w:szCs w:val="18"/>
    </w:rPr>
  </w:style>
  <w:style w:type="character" w:styleId="UnresolvedMention">
    <w:name w:val="Unresolved Mention"/>
    <w:basedOn w:val="DefaultParagraphFont"/>
    <w:uiPriority w:val="99"/>
    <w:semiHidden/>
    <w:unhideWhenUsed/>
    <w:rsid w:val="006B44F3"/>
    <w:rPr>
      <w:color w:val="605E5C"/>
      <w:shd w:val="clear" w:color="auto" w:fill="E1DFDD"/>
    </w:rPr>
  </w:style>
  <w:style w:type="character" w:styleId="CommentReference">
    <w:name w:val="annotation reference"/>
    <w:basedOn w:val="DefaultParagraphFont"/>
    <w:unhideWhenUsed/>
    <w:rsid w:val="006B44F3"/>
    <w:rPr>
      <w:sz w:val="16"/>
      <w:szCs w:val="16"/>
    </w:rPr>
  </w:style>
  <w:style w:type="paragraph" w:styleId="CommentSubject">
    <w:name w:val="annotation subject"/>
    <w:basedOn w:val="Normal"/>
    <w:next w:val="Normal"/>
    <w:link w:val="CommentSubjectChar"/>
    <w:uiPriority w:val="99"/>
    <w:semiHidden/>
    <w:unhideWhenUsed/>
    <w:rsid w:val="005A6C3C"/>
    <w:rPr>
      <w:b/>
      <w:bCs/>
    </w:rPr>
  </w:style>
  <w:style w:type="character" w:customStyle="1" w:styleId="CommentSubjectChar">
    <w:name w:val="Comment Subject Char"/>
    <w:basedOn w:val="DefaultParagraphFont"/>
    <w:link w:val="CommentSubject"/>
    <w:uiPriority w:val="99"/>
    <w:semiHidden/>
    <w:rsid w:val="005A6C3C"/>
    <w:rPr>
      <w:b/>
      <w:bCs/>
    </w:rPr>
  </w:style>
  <w:style w:type="paragraph" w:styleId="Revision">
    <w:name w:val="Revision"/>
    <w:hidden/>
    <w:uiPriority w:val="99"/>
    <w:semiHidden/>
    <w:rsid w:val="003E2AA1"/>
  </w:style>
  <w:style w:type="character" w:styleId="FollowedHyperlink">
    <w:name w:val="FollowedHyperlink"/>
    <w:basedOn w:val="DefaultParagraphFont"/>
    <w:uiPriority w:val="99"/>
    <w:semiHidden/>
    <w:unhideWhenUsed/>
    <w:rsid w:val="0051756F"/>
    <w:rPr>
      <w:color w:val="954F72" w:themeColor="followedHyperlink"/>
      <w:u w:val="single"/>
    </w:rPr>
  </w:style>
  <w:style w:type="character" w:customStyle="1" w:styleId="RTHighlightedtext">
    <w:name w:val="RT Highlighted text"/>
    <w:basedOn w:val="DefaultParagraphFont"/>
    <w:uiPriority w:val="7"/>
    <w:qFormat/>
    <w:rsid w:val="008D2844"/>
    <w:rPr>
      <w:shd w:val="clear" w:color="auto" w:fill="FFFF00" w:themeFill="accent1"/>
    </w:rPr>
  </w:style>
  <w:style w:type="paragraph" w:customStyle="1" w:styleId="RTMissionStatement">
    <w:name w:val="RT Mission Statement"/>
    <w:basedOn w:val="Normal"/>
    <w:uiPriority w:val="18"/>
    <w:qFormat/>
    <w:rsid w:val="008D2844"/>
    <w:pPr>
      <w:suppressAutoHyphens/>
      <w:spacing w:after="280" w:line="264" w:lineRule="auto"/>
    </w:pPr>
    <w:rPr>
      <w:rFonts w:ascii="Amnesty Trade Gothic Cn" w:eastAsiaTheme="minorEastAsia" w:hAnsi="Amnesty Trade Gothic Cn"/>
      <w:b/>
      <w:bCs/>
      <w:noProof/>
      <w:sz w:val="44"/>
      <w:szCs w:val="44"/>
      <w:lang w:eastAsia="en-GB"/>
    </w:rPr>
  </w:style>
  <w:style w:type="paragraph" w:styleId="TOCHeading">
    <w:name w:val="TOC Heading"/>
    <w:basedOn w:val="Heading1"/>
    <w:next w:val="Normal"/>
    <w:uiPriority w:val="39"/>
    <w:unhideWhenUsed/>
    <w:qFormat/>
    <w:rsid w:val="00346173"/>
    <w:pPr>
      <w:spacing w:line="259" w:lineRule="auto"/>
      <w:outlineLvl w:val="9"/>
    </w:pPr>
    <w:rPr>
      <w:lang w:val="en-US"/>
    </w:rPr>
  </w:style>
  <w:style w:type="paragraph" w:customStyle="1" w:styleId="AIBodyText">
    <w:name w:val="AI Body Text"/>
    <w:basedOn w:val="Normal"/>
    <w:uiPriority w:val="2"/>
    <w:qFormat/>
    <w:rsid w:val="00380F08"/>
    <w:pPr>
      <w:spacing w:line="240" w:lineRule="exact"/>
    </w:pPr>
    <w:rPr>
      <w:rFonts w:eastAsiaTheme="minorEastAsia"/>
      <w:szCs w:val="64"/>
      <w:lang w:val="en-US"/>
    </w:rPr>
  </w:style>
  <w:style w:type="paragraph" w:styleId="ListParagraph">
    <w:name w:val="List Paragraph"/>
    <w:basedOn w:val="Normal"/>
    <w:uiPriority w:val="34"/>
    <w:qFormat/>
    <w:rsid w:val="00380F08"/>
    <w:pPr>
      <w:ind w:left="720"/>
    </w:pPr>
    <w:rPr>
      <w:rFonts w:ascii="Calibri" w:hAnsi="Calibri" w:cs="Calibri"/>
      <w:color w:val="auto"/>
      <w:sz w:val="22"/>
      <w:szCs w:val="22"/>
      <w:lang w:eastAsia="en-GB"/>
    </w:rPr>
  </w:style>
  <w:style w:type="character" w:customStyle="1" w:styleId="ui-provider">
    <w:name w:val="ui-provider"/>
    <w:basedOn w:val="DefaultParagraphFont"/>
    <w:rsid w:val="00380F08"/>
  </w:style>
  <w:style w:type="paragraph" w:styleId="CommentText">
    <w:name w:val="annotation text"/>
    <w:basedOn w:val="Normal"/>
    <w:link w:val="CommentTextChar"/>
    <w:rsid w:val="00380F08"/>
    <w:rPr>
      <w:rFonts w:eastAsiaTheme="minorEastAsia"/>
      <w:lang w:val="en-US"/>
    </w:rPr>
  </w:style>
  <w:style w:type="character" w:customStyle="1" w:styleId="CommentTextChar">
    <w:name w:val="Comment Text Char"/>
    <w:basedOn w:val="DefaultParagraphFont"/>
    <w:link w:val="CommentText"/>
    <w:rsid w:val="00380F08"/>
    <w:rPr>
      <w:rFonts w:eastAsiaTheme="minorEastAsia"/>
      <w:lang w:val="en-US"/>
    </w:rPr>
  </w:style>
  <w:style w:type="paragraph" w:customStyle="1" w:styleId="pf0">
    <w:name w:val="pf0"/>
    <w:basedOn w:val="Normal"/>
    <w:rsid w:val="00286345"/>
    <w:pPr>
      <w:spacing w:before="100" w:beforeAutospacing="1" w:after="100" w:afterAutospacing="1"/>
    </w:pPr>
    <w:rPr>
      <w:rFonts w:ascii="Times New Roman" w:eastAsia="Times New Roman" w:hAnsi="Times New Roman" w:cs="Times New Roman"/>
      <w:color w:val="auto"/>
      <w:sz w:val="24"/>
      <w:szCs w:val="24"/>
      <w:lang w:eastAsia="en-GB"/>
    </w:rPr>
  </w:style>
  <w:style w:type="character" w:customStyle="1" w:styleId="cf01">
    <w:name w:val="cf01"/>
    <w:basedOn w:val="DefaultParagraphFont"/>
    <w:rsid w:val="00286345"/>
    <w:rPr>
      <w:rFonts w:ascii="Segoe UI" w:hAnsi="Segoe UI" w:cs="Segoe UI" w:hint="default"/>
      <w:sz w:val="18"/>
      <w:szCs w:val="18"/>
    </w:rPr>
  </w:style>
  <w:style w:type="character" w:customStyle="1" w:styleId="cf11">
    <w:name w:val="cf11"/>
    <w:basedOn w:val="DefaultParagraphFont"/>
    <w:rsid w:val="00286345"/>
    <w:rPr>
      <w:rFonts w:ascii="Segoe UI" w:hAnsi="Segoe UI" w:cs="Segoe UI" w:hint="default"/>
      <w:b/>
      <w:bCs/>
      <w:sz w:val="18"/>
      <w:szCs w:val="18"/>
    </w:rPr>
  </w:style>
  <w:style w:type="paragraph" w:customStyle="1" w:styleId="RTSubheadinglightCAPS">
    <w:name w:val="RT Subheading light CAPS"/>
    <w:basedOn w:val="Normal"/>
    <w:uiPriority w:val="5"/>
    <w:qFormat/>
    <w:rsid w:val="00BF29D2"/>
    <w:pPr>
      <w:suppressAutoHyphens/>
      <w:spacing w:before="40" w:line="245" w:lineRule="auto"/>
    </w:pPr>
    <w:rPr>
      <w:rFonts w:ascii="Amnesty Trade Gothic Cn" w:eastAsiaTheme="minorEastAsia" w:hAnsi="Amnesty Trade Gothic Cn"/>
      <w:bCs/>
      <w:caps/>
      <w:sz w:val="44"/>
      <w:szCs w:val="44"/>
    </w:rPr>
  </w:style>
  <w:style w:type="character" w:styleId="Mention">
    <w:name w:val="Mention"/>
    <w:basedOn w:val="DefaultParagraphFont"/>
    <w:uiPriority w:val="99"/>
    <w:unhideWhenUsed/>
    <w:rsid w:val="00BE4899"/>
    <w:rPr>
      <w:color w:val="2B579A"/>
      <w:shd w:val="clear" w:color="auto" w:fill="E6E6E6"/>
    </w:rPr>
  </w:style>
  <w:style w:type="paragraph" w:styleId="NormalWeb">
    <w:name w:val="Normal (Web)"/>
    <w:basedOn w:val="Normal"/>
    <w:uiPriority w:val="99"/>
    <w:unhideWhenUsed/>
    <w:rsid w:val="0010344B"/>
    <w:pPr>
      <w:spacing w:before="100" w:beforeAutospacing="1" w:after="100" w:afterAutospacing="1"/>
    </w:pPr>
    <w:rPr>
      <w:rFonts w:ascii="Times New Roman" w:eastAsiaTheme="minorEastAsia" w:hAnsi="Times New Roman" w:cs="Times New Roman"/>
      <w:color w:val="auto"/>
      <w:sz w:val="24"/>
      <w:szCs w:val="24"/>
      <w:lang w:val="en-US"/>
    </w:rPr>
  </w:style>
  <w:style w:type="character" w:customStyle="1" w:styleId="normaltextrun">
    <w:name w:val="normaltextrun"/>
    <w:basedOn w:val="DefaultParagraphFont"/>
    <w:rsid w:val="0010344B"/>
  </w:style>
  <w:style w:type="character" w:customStyle="1" w:styleId="eop">
    <w:name w:val="eop"/>
    <w:basedOn w:val="DefaultParagraphFont"/>
    <w:rsid w:val="0010344B"/>
  </w:style>
  <w:style w:type="paragraph" w:customStyle="1" w:styleId="Default">
    <w:name w:val="Default"/>
    <w:rsid w:val="003F7405"/>
    <w:pPr>
      <w:autoSpaceDE w:val="0"/>
      <w:autoSpaceDN w:val="0"/>
      <w:adjustRightInd w:val="0"/>
    </w:pPr>
    <w:rPr>
      <w:rFonts w:ascii="Calibri" w:eastAsia="Times New Roman" w:hAnsi="Calibri" w:cs="Calibri"/>
      <w:color w:val="000000"/>
      <w:sz w:val="24"/>
      <w:szCs w:val="24"/>
      <w:lang w:val="en-US" w:eastAsia="en-GB"/>
    </w:rPr>
  </w:style>
  <w:style w:type="paragraph" w:styleId="EndnoteText">
    <w:name w:val="endnote text"/>
    <w:basedOn w:val="Normal"/>
    <w:link w:val="EndnoteTextChar"/>
    <w:uiPriority w:val="99"/>
    <w:semiHidden/>
    <w:rsid w:val="00904B95"/>
    <w:rPr>
      <w:rFonts w:eastAsiaTheme="minorEastAsia"/>
      <w:lang w:val="en-US"/>
    </w:rPr>
  </w:style>
  <w:style w:type="character" w:customStyle="1" w:styleId="EndnoteTextChar">
    <w:name w:val="Endnote Text Char"/>
    <w:basedOn w:val="DefaultParagraphFont"/>
    <w:link w:val="EndnoteText"/>
    <w:uiPriority w:val="99"/>
    <w:semiHidden/>
    <w:rsid w:val="00904B95"/>
    <w:rPr>
      <w:rFonts w:eastAsiaTheme="minorEastAsia"/>
      <w:lang w:val="en-US"/>
    </w:rPr>
  </w:style>
  <w:style w:type="character" w:styleId="EndnoteReference">
    <w:name w:val="endnote reference"/>
    <w:basedOn w:val="DefaultParagraphFont"/>
    <w:uiPriority w:val="99"/>
    <w:semiHidden/>
    <w:rsid w:val="00904B95"/>
    <w:rPr>
      <w:vertAlign w:val="superscript"/>
    </w:rPr>
  </w:style>
  <w:style w:type="character" w:customStyle="1" w:styleId="indexnumber">
    <w:name w:val="indexnumber"/>
    <w:basedOn w:val="DefaultParagraphFont"/>
    <w:rsid w:val="00454DD3"/>
  </w:style>
  <w:style w:type="paragraph" w:customStyle="1" w:styleId="RTBodyText">
    <w:name w:val="RT Body Text"/>
    <w:basedOn w:val="Normal"/>
    <w:uiPriority w:val="9"/>
    <w:qFormat/>
    <w:rsid w:val="00975E81"/>
    <w:pPr>
      <w:suppressAutoHyphens/>
      <w:spacing w:after="120"/>
    </w:pPr>
    <w:rPr>
      <w:rFonts w:asciiTheme="minorHAnsi" w:eastAsiaTheme="minorEastAsia" w:hAnsiTheme="minorHAnsi"/>
      <w:sz w:val="18"/>
      <w:szCs w:val="24"/>
    </w:rPr>
  </w:style>
  <w:style w:type="paragraph" w:customStyle="1" w:styleId="RTAmnestyfooter">
    <w:name w:val="RT Amnesty footer"/>
    <w:basedOn w:val="Footer"/>
    <w:uiPriority w:val="99"/>
    <w:qFormat/>
    <w:rsid w:val="00975E81"/>
    <w:pPr>
      <w:tabs>
        <w:tab w:val="clear" w:pos="4513"/>
        <w:tab w:val="clear" w:pos="9026"/>
        <w:tab w:val="right" w:pos="8278"/>
      </w:tabs>
      <w:spacing w:before="80" w:line="150" w:lineRule="exact"/>
    </w:pPr>
    <w:rPr>
      <w:rFonts w:ascii="Amnesty Trade Gothic Cn" w:eastAsiaTheme="minorEastAsia" w:hAnsi="Amnesty Trade Gothic Cn"/>
      <w:sz w:val="15"/>
      <w:szCs w:val="15"/>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03753">
      <w:bodyDiv w:val="1"/>
      <w:marLeft w:val="0"/>
      <w:marRight w:val="0"/>
      <w:marTop w:val="0"/>
      <w:marBottom w:val="0"/>
      <w:divBdr>
        <w:top w:val="none" w:sz="0" w:space="0" w:color="auto"/>
        <w:left w:val="none" w:sz="0" w:space="0" w:color="auto"/>
        <w:bottom w:val="none" w:sz="0" w:space="0" w:color="auto"/>
        <w:right w:val="none" w:sz="0" w:space="0" w:color="auto"/>
      </w:divBdr>
    </w:div>
    <w:div w:id="59796113">
      <w:bodyDiv w:val="1"/>
      <w:marLeft w:val="0"/>
      <w:marRight w:val="0"/>
      <w:marTop w:val="0"/>
      <w:marBottom w:val="0"/>
      <w:divBdr>
        <w:top w:val="none" w:sz="0" w:space="0" w:color="auto"/>
        <w:left w:val="none" w:sz="0" w:space="0" w:color="auto"/>
        <w:bottom w:val="none" w:sz="0" w:space="0" w:color="auto"/>
        <w:right w:val="none" w:sz="0" w:space="0" w:color="auto"/>
      </w:divBdr>
    </w:div>
    <w:div w:id="212734871">
      <w:bodyDiv w:val="1"/>
      <w:marLeft w:val="0"/>
      <w:marRight w:val="0"/>
      <w:marTop w:val="0"/>
      <w:marBottom w:val="0"/>
      <w:divBdr>
        <w:top w:val="none" w:sz="0" w:space="0" w:color="auto"/>
        <w:left w:val="none" w:sz="0" w:space="0" w:color="auto"/>
        <w:bottom w:val="none" w:sz="0" w:space="0" w:color="auto"/>
        <w:right w:val="none" w:sz="0" w:space="0" w:color="auto"/>
      </w:divBdr>
    </w:div>
    <w:div w:id="254628503">
      <w:bodyDiv w:val="1"/>
      <w:marLeft w:val="0"/>
      <w:marRight w:val="0"/>
      <w:marTop w:val="0"/>
      <w:marBottom w:val="0"/>
      <w:divBdr>
        <w:top w:val="none" w:sz="0" w:space="0" w:color="auto"/>
        <w:left w:val="none" w:sz="0" w:space="0" w:color="auto"/>
        <w:bottom w:val="none" w:sz="0" w:space="0" w:color="auto"/>
        <w:right w:val="none" w:sz="0" w:space="0" w:color="auto"/>
      </w:divBdr>
    </w:div>
    <w:div w:id="460466178">
      <w:bodyDiv w:val="1"/>
      <w:marLeft w:val="0"/>
      <w:marRight w:val="0"/>
      <w:marTop w:val="0"/>
      <w:marBottom w:val="0"/>
      <w:divBdr>
        <w:top w:val="none" w:sz="0" w:space="0" w:color="auto"/>
        <w:left w:val="none" w:sz="0" w:space="0" w:color="auto"/>
        <w:bottom w:val="none" w:sz="0" w:space="0" w:color="auto"/>
        <w:right w:val="none" w:sz="0" w:space="0" w:color="auto"/>
      </w:divBdr>
      <w:divsChild>
        <w:div w:id="1196966581">
          <w:marLeft w:val="0"/>
          <w:marRight w:val="0"/>
          <w:marTop w:val="0"/>
          <w:marBottom w:val="203"/>
          <w:divBdr>
            <w:top w:val="none" w:sz="0" w:space="0" w:color="auto"/>
            <w:left w:val="none" w:sz="0" w:space="0" w:color="auto"/>
            <w:bottom w:val="none" w:sz="0" w:space="0" w:color="auto"/>
            <w:right w:val="none" w:sz="0" w:space="0" w:color="auto"/>
          </w:divBdr>
        </w:div>
        <w:div w:id="2145073700">
          <w:marLeft w:val="0"/>
          <w:marRight w:val="0"/>
          <w:marTop w:val="0"/>
          <w:marBottom w:val="0"/>
          <w:divBdr>
            <w:top w:val="single" w:sz="6" w:space="8" w:color="auto"/>
            <w:left w:val="none" w:sz="0" w:space="0" w:color="auto"/>
            <w:bottom w:val="single" w:sz="6" w:space="8" w:color="auto"/>
            <w:right w:val="none" w:sz="0" w:space="0" w:color="auto"/>
          </w:divBdr>
          <w:divsChild>
            <w:div w:id="857082200">
              <w:marLeft w:val="0"/>
              <w:marRight w:val="0"/>
              <w:marTop w:val="0"/>
              <w:marBottom w:val="0"/>
              <w:divBdr>
                <w:top w:val="none" w:sz="0" w:space="0" w:color="auto"/>
                <w:left w:val="none" w:sz="0" w:space="0" w:color="auto"/>
                <w:bottom w:val="none" w:sz="0" w:space="0" w:color="auto"/>
                <w:right w:val="none" w:sz="0" w:space="0" w:color="auto"/>
              </w:divBdr>
              <w:divsChild>
                <w:div w:id="585378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456622">
      <w:bodyDiv w:val="1"/>
      <w:marLeft w:val="0"/>
      <w:marRight w:val="0"/>
      <w:marTop w:val="0"/>
      <w:marBottom w:val="0"/>
      <w:divBdr>
        <w:top w:val="none" w:sz="0" w:space="0" w:color="auto"/>
        <w:left w:val="none" w:sz="0" w:space="0" w:color="auto"/>
        <w:bottom w:val="none" w:sz="0" w:space="0" w:color="auto"/>
        <w:right w:val="none" w:sz="0" w:space="0" w:color="auto"/>
      </w:divBdr>
      <w:divsChild>
        <w:div w:id="343287769">
          <w:marLeft w:val="0"/>
          <w:marRight w:val="0"/>
          <w:marTop w:val="0"/>
          <w:marBottom w:val="203"/>
          <w:divBdr>
            <w:top w:val="none" w:sz="0" w:space="0" w:color="auto"/>
            <w:left w:val="none" w:sz="0" w:space="0" w:color="auto"/>
            <w:bottom w:val="none" w:sz="0" w:space="0" w:color="auto"/>
            <w:right w:val="none" w:sz="0" w:space="0" w:color="auto"/>
          </w:divBdr>
        </w:div>
        <w:div w:id="771971813">
          <w:marLeft w:val="0"/>
          <w:marRight w:val="0"/>
          <w:marTop w:val="0"/>
          <w:marBottom w:val="0"/>
          <w:divBdr>
            <w:top w:val="single" w:sz="6" w:space="8" w:color="auto"/>
            <w:left w:val="none" w:sz="0" w:space="0" w:color="auto"/>
            <w:bottom w:val="single" w:sz="6" w:space="8" w:color="auto"/>
            <w:right w:val="none" w:sz="0" w:space="0" w:color="auto"/>
          </w:divBdr>
          <w:divsChild>
            <w:div w:id="1623995804">
              <w:marLeft w:val="0"/>
              <w:marRight w:val="0"/>
              <w:marTop w:val="0"/>
              <w:marBottom w:val="0"/>
              <w:divBdr>
                <w:top w:val="none" w:sz="0" w:space="0" w:color="auto"/>
                <w:left w:val="none" w:sz="0" w:space="0" w:color="auto"/>
                <w:bottom w:val="none" w:sz="0" w:space="0" w:color="auto"/>
                <w:right w:val="none" w:sz="0" w:space="0" w:color="auto"/>
              </w:divBdr>
              <w:divsChild>
                <w:div w:id="87585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085896">
      <w:bodyDiv w:val="1"/>
      <w:marLeft w:val="0"/>
      <w:marRight w:val="0"/>
      <w:marTop w:val="0"/>
      <w:marBottom w:val="0"/>
      <w:divBdr>
        <w:top w:val="none" w:sz="0" w:space="0" w:color="auto"/>
        <w:left w:val="none" w:sz="0" w:space="0" w:color="auto"/>
        <w:bottom w:val="none" w:sz="0" w:space="0" w:color="auto"/>
        <w:right w:val="none" w:sz="0" w:space="0" w:color="auto"/>
      </w:divBdr>
    </w:div>
    <w:div w:id="1049572709">
      <w:bodyDiv w:val="1"/>
      <w:marLeft w:val="0"/>
      <w:marRight w:val="0"/>
      <w:marTop w:val="0"/>
      <w:marBottom w:val="0"/>
      <w:divBdr>
        <w:top w:val="none" w:sz="0" w:space="0" w:color="auto"/>
        <w:left w:val="none" w:sz="0" w:space="0" w:color="auto"/>
        <w:bottom w:val="none" w:sz="0" w:space="0" w:color="auto"/>
        <w:right w:val="none" w:sz="0" w:space="0" w:color="auto"/>
      </w:divBdr>
    </w:div>
    <w:div w:id="1457337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info@amnesty.org" TargetMode="External"/><Relationship Id="rId18" Type="http://schemas.openxmlformats.org/officeDocument/2006/relationships/hyperlink" Target="http://www.facebook.com/AmnestyGloba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mailto:info@amnesty.org"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s://www.amnesty.org/en/about-us/permissions/" TargetMode="External"/><Relationship Id="rId29"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image" Target="media/image9.sv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8.png"/><Relationship Id="rId28" Type="http://schemas.openxmlformats.org/officeDocument/2006/relationships/customXml" Target="../customXml/item2.xml"/><Relationship Id="rId10" Type="http://schemas.openxmlformats.org/officeDocument/2006/relationships/footer" Target="footer2.xml"/><Relationship Id="rId19" Type="http://schemas.openxmlformats.org/officeDocument/2006/relationships/hyperlink" Target="https://www.amnesty.org/en/about-us/permission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facebook.com/AmnestyGlobal" TargetMode="External"/><Relationship Id="rId22" Type="http://schemas.openxmlformats.org/officeDocument/2006/relationships/image" Target="media/image7.svg"/><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amnesty.org/en/documents/pol10/4870/2022/en/" TargetMode="External"/><Relationship Id="rId13" Type="http://schemas.openxmlformats.org/officeDocument/2006/relationships/hyperlink" Target="http://www.amnesty.org/en/latest/news/2020/11/libya-un-rights-council-members-must-address-widespread-torture-during-periodic-review/" TargetMode="External"/><Relationship Id="rId18" Type="http://schemas.openxmlformats.org/officeDocument/2006/relationships/hyperlink" Target="https://www.citizenshiprightsafrica.org/wp-content/uploads/2010/01/Libya-Nationality-Law-No-24-2010-EN.pdf" TargetMode="External"/><Relationship Id="rId3" Type="http://schemas.openxmlformats.org/officeDocument/2006/relationships/hyperlink" Target="https://www.amnesty.org/en/documents/mde19/3084/2020/en/" TargetMode="External"/><Relationship Id="rId21" Type="http://schemas.openxmlformats.org/officeDocument/2006/relationships/hyperlink" Target="https://www.amnesty.org/en/documents/pol10/6700/2018/en/" TargetMode="External"/><Relationship Id="rId7" Type="http://schemas.openxmlformats.org/officeDocument/2006/relationships/hyperlink" Target="https://www.amnesty.org/en/documents/pol10/5670/2023/en/" TargetMode="External"/><Relationship Id="rId12" Type="http://schemas.openxmlformats.org/officeDocument/2006/relationships/hyperlink" Target="http://www.amnesty.org/en/latest/news/2020/07/libya-abducted-politicians-fate-remains-unknown-a-year-on-amid-ongoing-disappearances/" TargetMode="External"/><Relationship Id="rId17" Type="http://schemas.openxmlformats.org/officeDocument/2006/relationships/hyperlink" Target="https://unsmil.unmissions.org/srsg-abdoulaye-bathily%E2%80%99s-remarks-security-council-meeting-libya-27-february-2023" TargetMode="External"/><Relationship Id="rId2" Type="http://schemas.openxmlformats.org/officeDocument/2006/relationships/hyperlink" Target="https://www.amnesty.org/en/documents/mde19/4439/2021/en/" TargetMode="External"/><Relationship Id="rId16" Type="http://schemas.openxmlformats.org/officeDocument/2006/relationships/hyperlink" Target="https://www.facebook.com/alwasatnewsly/videos/1492413098380912/" TargetMode="External"/><Relationship Id="rId20" Type="http://schemas.openxmlformats.org/officeDocument/2006/relationships/hyperlink" Target="https://www.amnesty.org/en/documents/mde19/5820/2017/en/" TargetMode="External"/><Relationship Id="rId1" Type="http://schemas.openxmlformats.org/officeDocument/2006/relationships/hyperlink" Target="https://www.amnesty.org/en/documents/mde19/007/2010/en/" TargetMode="External"/><Relationship Id="rId6" Type="http://schemas.openxmlformats.org/officeDocument/2006/relationships/hyperlink" Target="https://twitter.com/unwomenlibya/status/1446404015680626688" TargetMode="External"/><Relationship Id="rId11" Type="http://schemas.openxmlformats.org/officeDocument/2006/relationships/hyperlink" Target="https://www.amnesty.org/en/latest/news/2024/02/libya-internal-security-agency-must-end-abuses-in-name-of-guarding-virtue/" TargetMode="External"/><Relationship Id="rId5" Type="http://schemas.openxmlformats.org/officeDocument/2006/relationships/hyperlink" Target="http://www.amnesty.org/en/documents/mde19/8657/2018/en" TargetMode="External"/><Relationship Id="rId15" Type="http://schemas.openxmlformats.org/officeDocument/2006/relationships/hyperlink" Target="https://www.amnesty.org/en/documents/pol10/3202/2021/en/" TargetMode="External"/><Relationship Id="rId23" Type="http://schemas.openxmlformats.org/officeDocument/2006/relationships/hyperlink" Target="https://www.amnesty.org/en/documents/pol10/3202/2021/en/" TargetMode="External"/><Relationship Id="rId10" Type="http://schemas.openxmlformats.org/officeDocument/2006/relationships/hyperlink" Target="https://www.amnesty.org/en/documents/mde01/1357/2020/en/" TargetMode="External"/><Relationship Id="rId19" Type="http://schemas.openxmlformats.org/officeDocument/2006/relationships/hyperlink" Target="https://www.amnesty.org/en/location/middle-east-and-north-africa/libya/report-libya/" TargetMode="External"/><Relationship Id="rId4" Type="http://schemas.openxmlformats.org/officeDocument/2006/relationships/hyperlink" Target="https://vo.la/XVAHy" TargetMode="External"/><Relationship Id="rId9" Type="http://schemas.openxmlformats.org/officeDocument/2006/relationships/hyperlink" Target="https://www.amnesty.org/en/wp-content/uploads/2021/05/MDE0194332019ENGLISH.pdf" TargetMode="External"/><Relationship Id="rId14" Type="http://schemas.openxmlformats.org/officeDocument/2006/relationships/hyperlink" Target="https://www.amnesty.org/en/documents/pol10/4870/2022/en/" TargetMode="External"/><Relationship Id="rId22" Type="http://schemas.openxmlformats.org/officeDocument/2006/relationships/hyperlink" Target="https://www.amnesty.org/en/documents/mde19/7608/2024/en/" TargetMode="External"/></Relationships>
</file>

<file path=word/theme/theme1.xml><?xml version="1.0" encoding="utf-8"?>
<a:theme xmlns:a="http://schemas.openxmlformats.org/drawingml/2006/main" name="Office Theme">
  <a:themeElements>
    <a:clrScheme name="Amnesty 2021 colours">
      <a:dk1>
        <a:sysClr val="windowText" lastClr="000000"/>
      </a:dk1>
      <a:lt1>
        <a:sysClr val="window" lastClr="FFFFFF"/>
      </a:lt1>
      <a:dk2>
        <a:srgbClr val="44546A"/>
      </a:dk2>
      <a:lt2>
        <a:srgbClr val="E7E6E6"/>
      </a:lt2>
      <a:accent1>
        <a:srgbClr val="FFFF00"/>
      </a:accent1>
      <a:accent2>
        <a:srgbClr val="D0CECE"/>
      </a:accent2>
      <a:accent3>
        <a:srgbClr val="A5A5A5"/>
      </a:accent3>
      <a:accent4>
        <a:srgbClr val="757070"/>
      </a:accent4>
      <a:accent5>
        <a:srgbClr val="7F7F7F"/>
      </a:accent5>
      <a:accent6>
        <a:srgbClr val="E7E6E6"/>
      </a:accent6>
      <a:hlink>
        <a:srgbClr val="0563C1"/>
      </a:hlink>
      <a:folHlink>
        <a:srgbClr val="954F72"/>
      </a:folHlink>
    </a:clrScheme>
    <a:fontScheme name="Amnesty_2021">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190BE9-7516-4B53-8231-16B1014D8E1D}">
  <ds:schemaRefs>
    <ds:schemaRef ds:uri="http://schemas.openxmlformats.org/officeDocument/2006/bibliography"/>
  </ds:schemaRefs>
</ds:datastoreItem>
</file>

<file path=customXml/itemProps2.xml><?xml version="1.0" encoding="utf-8"?>
<ds:datastoreItem xmlns:ds="http://schemas.openxmlformats.org/officeDocument/2006/customXml" ds:itemID="{3389843A-60BD-488A-A6E8-FBC5A3417A13}"/>
</file>

<file path=customXml/itemProps3.xml><?xml version="1.0" encoding="utf-8"?>
<ds:datastoreItem xmlns:ds="http://schemas.openxmlformats.org/officeDocument/2006/customXml" ds:itemID="{753383F1-573A-4130-B7DE-E1B0E057691F}"/>
</file>

<file path=docProps/app.xml><?xml version="1.0" encoding="utf-8"?>
<Properties xmlns="http://schemas.openxmlformats.org/officeDocument/2006/extended-properties" xmlns:vt="http://schemas.openxmlformats.org/officeDocument/2006/docPropsVTypes">
  <Template>Normal</Template>
  <TotalTime>0</TotalTime>
  <Pages>8</Pages>
  <Words>2794</Words>
  <Characters>15930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18687</CharactersWithSpaces>
  <SharedDoc>false</SharedDoc>
  <HLinks>
    <vt:vector size="156" baseType="variant">
      <vt:variant>
        <vt:i4>917518</vt:i4>
      </vt:variant>
      <vt:variant>
        <vt:i4>48</vt:i4>
      </vt:variant>
      <vt:variant>
        <vt:i4>0</vt:i4>
      </vt:variant>
      <vt:variant>
        <vt:i4>5</vt:i4>
      </vt:variant>
      <vt:variant>
        <vt:lpwstr>https://www.amnesty.org/en/documents/asa34/4030/2016/en/</vt:lpwstr>
      </vt:variant>
      <vt:variant>
        <vt:lpwstr/>
      </vt:variant>
      <vt:variant>
        <vt:i4>1769484</vt:i4>
      </vt:variant>
      <vt:variant>
        <vt:i4>45</vt:i4>
      </vt:variant>
      <vt:variant>
        <vt:i4>0</vt:i4>
      </vt:variant>
      <vt:variant>
        <vt:i4>5</vt:i4>
      </vt:variant>
      <vt:variant>
        <vt:lpwstr>https://www.amnesty.org/en/documents/eur36/4034/2016/en/</vt:lpwstr>
      </vt:variant>
      <vt:variant>
        <vt:lpwstr/>
      </vt:variant>
      <vt:variant>
        <vt:i4>851982</vt:i4>
      </vt:variant>
      <vt:variant>
        <vt:i4>42</vt:i4>
      </vt:variant>
      <vt:variant>
        <vt:i4>0</vt:i4>
      </vt:variant>
      <vt:variant>
        <vt:i4>5</vt:i4>
      </vt:variant>
      <vt:variant>
        <vt:lpwstr>https://www.amnesty.org/en/documents/asa17/4032/2016/en/</vt:lpwstr>
      </vt:variant>
      <vt:variant>
        <vt:lpwstr/>
      </vt:variant>
      <vt:variant>
        <vt:i4>1900560</vt:i4>
      </vt:variant>
      <vt:variant>
        <vt:i4>39</vt:i4>
      </vt:variant>
      <vt:variant>
        <vt:i4>0</vt:i4>
      </vt:variant>
      <vt:variant>
        <vt:i4>5</vt:i4>
      </vt:variant>
      <vt:variant>
        <vt:lpwstr>https://www.amnesty.org/en/documents/amr13/4042/2016/en/</vt:lpwstr>
      </vt:variant>
      <vt:variant>
        <vt:lpwstr/>
      </vt:variant>
      <vt:variant>
        <vt:i4>2031676</vt:i4>
      </vt:variant>
      <vt:variant>
        <vt:i4>32</vt:i4>
      </vt:variant>
      <vt:variant>
        <vt:i4>0</vt:i4>
      </vt:variant>
      <vt:variant>
        <vt:i4>5</vt:i4>
      </vt:variant>
      <vt:variant>
        <vt:lpwstr/>
      </vt:variant>
      <vt:variant>
        <vt:lpwstr>_Toc156984302</vt:lpwstr>
      </vt:variant>
      <vt:variant>
        <vt:i4>2031676</vt:i4>
      </vt:variant>
      <vt:variant>
        <vt:i4>26</vt:i4>
      </vt:variant>
      <vt:variant>
        <vt:i4>0</vt:i4>
      </vt:variant>
      <vt:variant>
        <vt:i4>5</vt:i4>
      </vt:variant>
      <vt:variant>
        <vt:lpwstr/>
      </vt:variant>
      <vt:variant>
        <vt:lpwstr>_Toc156984301</vt:lpwstr>
      </vt:variant>
      <vt:variant>
        <vt:i4>2031676</vt:i4>
      </vt:variant>
      <vt:variant>
        <vt:i4>20</vt:i4>
      </vt:variant>
      <vt:variant>
        <vt:i4>0</vt:i4>
      </vt:variant>
      <vt:variant>
        <vt:i4>5</vt:i4>
      </vt:variant>
      <vt:variant>
        <vt:lpwstr/>
      </vt:variant>
      <vt:variant>
        <vt:lpwstr>_Toc156984300</vt:lpwstr>
      </vt:variant>
      <vt:variant>
        <vt:i4>1441853</vt:i4>
      </vt:variant>
      <vt:variant>
        <vt:i4>14</vt:i4>
      </vt:variant>
      <vt:variant>
        <vt:i4>0</vt:i4>
      </vt:variant>
      <vt:variant>
        <vt:i4>5</vt:i4>
      </vt:variant>
      <vt:variant>
        <vt:lpwstr/>
      </vt:variant>
      <vt:variant>
        <vt:lpwstr>_Toc156984299</vt:lpwstr>
      </vt:variant>
      <vt:variant>
        <vt:i4>1441853</vt:i4>
      </vt:variant>
      <vt:variant>
        <vt:i4>8</vt:i4>
      </vt:variant>
      <vt:variant>
        <vt:i4>0</vt:i4>
      </vt:variant>
      <vt:variant>
        <vt:i4>5</vt:i4>
      </vt:variant>
      <vt:variant>
        <vt:lpwstr/>
      </vt:variant>
      <vt:variant>
        <vt:lpwstr>_Toc156984298</vt:lpwstr>
      </vt:variant>
      <vt:variant>
        <vt:i4>1441853</vt:i4>
      </vt:variant>
      <vt:variant>
        <vt:i4>2</vt:i4>
      </vt:variant>
      <vt:variant>
        <vt:i4>0</vt:i4>
      </vt:variant>
      <vt:variant>
        <vt:i4>5</vt:i4>
      </vt:variant>
      <vt:variant>
        <vt:lpwstr/>
      </vt:variant>
      <vt:variant>
        <vt:lpwstr>_Toc156984297</vt:lpwstr>
      </vt:variant>
      <vt:variant>
        <vt:i4>1507341</vt:i4>
      </vt:variant>
      <vt:variant>
        <vt:i4>33</vt:i4>
      </vt:variant>
      <vt:variant>
        <vt:i4>0</vt:i4>
      </vt:variant>
      <vt:variant>
        <vt:i4>5</vt:i4>
      </vt:variant>
      <vt:variant>
        <vt:lpwstr>https://www.amnesty.org/en/documents/eur29/5156/2022/en/</vt:lpwstr>
      </vt:variant>
      <vt:variant>
        <vt:lpwstr/>
      </vt:variant>
      <vt:variant>
        <vt:i4>1507341</vt:i4>
      </vt:variant>
      <vt:variant>
        <vt:i4>30</vt:i4>
      </vt:variant>
      <vt:variant>
        <vt:i4>0</vt:i4>
      </vt:variant>
      <vt:variant>
        <vt:i4>5</vt:i4>
      </vt:variant>
      <vt:variant>
        <vt:lpwstr>https://www.amnesty.org/en/documents/eur29/5156/2022/en/</vt:lpwstr>
      </vt:variant>
      <vt:variant>
        <vt:lpwstr/>
      </vt:variant>
      <vt:variant>
        <vt:i4>1507341</vt:i4>
      </vt:variant>
      <vt:variant>
        <vt:i4>27</vt:i4>
      </vt:variant>
      <vt:variant>
        <vt:i4>0</vt:i4>
      </vt:variant>
      <vt:variant>
        <vt:i4>5</vt:i4>
      </vt:variant>
      <vt:variant>
        <vt:lpwstr>https://www.amnesty.org/en/documents/eur29/5156/2022/en/</vt:lpwstr>
      </vt:variant>
      <vt:variant>
        <vt:lpwstr/>
      </vt:variant>
      <vt:variant>
        <vt:i4>851982</vt:i4>
      </vt:variant>
      <vt:variant>
        <vt:i4>24</vt:i4>
      </vt:variant>
      <vt:variant>
        <vt:i4>0</vt:i4>
      </vt:variant>
      <vt:variant>
        <vt:i4>5</vt:i4>
      </vt:variant>
      <vt:variant>
        <vt:lpwstr>https://www.amnesty.org/en/documents/ASA17/4032/2016/en/</vt:lpwstr>
      </vt:variant>
      <vt:variant>
        <vt:lpwstr/>
      </vt:variant>
      <vt:variant>
        <vt:i4>5570653</vt:i4>
      </vt:variant>
      <vt:variant>
        <vt:i4>21</vt:i4>
      </vt:variant>
      <vt:variant>
        <vt:i4>0</vt:i4>
      </vt:variant>
      <vt:variant>
        <vt:i4>5</vt:i4>
      </vt:variant>
      <vt:variant>
        <vt:lpwstr>https://asiapacific.unfpa.org/sites/default/files/pub-pdf/Building Partnerships on HIV and Sex Work 2.pdf</vt:lpwstr>
      </vt:variant>
      <vt:variant>
        <vt:lpwstr/>
      </vt:variant>
      <vt:variant>
        <vt:i4>3145824</vt:i4>
      </vt:variant>
      <vt:variant>
        <vt:i4>18</vt:i4>
      </vt:variant>
      <vt:variant>
        <vt:i4>0</vt:i4>
      </vt:variant>
      <vt:variant>
        <vt:i4>5</vt:i4>
      </vt:variant>
      <vt:variant>
        <vt:lpwstr>https://gaatw.org/resources/publications/941-sex-workers-organising-for-change</vt:lpwstr>
      </vt:variant>
      <vt:variant>
        <vt:lpwstr/>
      </vt:variant>
      <vt:variant>
        <vt:i4>8060962</vt:i4>
      </vt:variant>
      <vt:variant>
        <vt:i4>15</vt:i4>
      </vt:variant>
      <vt:variant>
        <vt:i4>0</vt:i4>
      </vt:variant>
      <vt:variant>
        <vt:i4>5</vt:i4>
      </vt:variant>
      <vt:variant>
        <vt:lpwstr>http://www.amnesty.org/en/documents/ior40/2274/2020/en/</vt:lpwstr>
      </vt:variant>
      <vt:variant>
        <vt:lpwstr/>
      </vt:variant>
      <vt:variant>
        <vt:i4>1900560</vt:i4>
      </vt:variant>
      <vt:variant>
        <vt:i4>12</vt:i4>
      </vt:variant>
      <vt:variant>
        <vt:i4>0</vt:i4>
      </vt:variant>
      <vt:variant>
        <vt:i4>5</vt:i4>
      </vt:variant>
      <vt:variant>
        <vt:lpwstr>https://www.amnesty.org/en/documents/AMR13/4042/2016/en/</vt:lpwstr>
      </vt:variant>
      <vt:variant>
        <vt:lpwstr/>
      </vt:variant>
      <vt:variant>
        <vt:i4>2031628</vt:i4>
      </vt:variant>
      <vt:variant>
        <vt:i4>9</vt:i4>
      </vt:variant>
      <vt:variant>
        <vt:i4>0</vt:i4>
      </vt:variant>
      <vt:variant>
        <vt:i4>5</vt:i4>
      </vt:variant>
      <vt:variant>
        <vt:lpwstr>https://www.amnesty.org/en/documents/eur41/3929/2023/en/</vt:lpwstr>
      </vt:variant>
      <vt:variant>
        <vt:lpwstr/>
      </vt:variant>
      <vt:variant>
        <vt:i4>4653061</vt:i4>
      </vt:variant>
      <vt:variant>
        <vt:i4>6</vt:i4>
      </vt:variant>
      <vt:variant>
        <vt:i4>0</vt:i4>
      </vt:variant>
      <vt:variant>
        <vt:i4>5</vt:i4>
      </vt:variant>
      <vt:variant>
        <vt:lpwstr>http://www.unodc.org/documents/hiv-aids/publications/guidance_note_English.pdf</vt:lpwstr>
      </vt:variant>
      <vt:variant>
        <vt:lpwstr/>
      </vt:variant>
      <vt:variant>
        <vt:i4>1245201</vt:i4>
      </vt:variant>
      <vt:variant>
        <vt:i4>3</vt:i4>
      </vt:variant>
      <vt:variant>
        <vt:i4>0</vt:i4>
      </vt:variant>
      <vt:variant>
        <vt:i4>5</vt:i4>
      </vt:variant>
      <vt:variant>
        <vt:lpwstr>https://www.amnesty.org/en/documents/pol30/4063/2016/en/</vt:lpwstr>
      </vt:variant>
      <vt:variant>
        <vt:lpwstr/>
      </vt:variant>
      <vt:variant>
        <vt:i4>5439504</vt:i4>
      </vt:variant>
      <vt:variant>
        <vt:i4>0</vt:i4>
      </vt:variant>
      <vt:variant>
        <vt:i4>0</vt:i4>
      </vt:variant>
      <vt:variant>
        <vt:i4>5</vt:i4>
      </vt:variant>
      <vt:variant>
        <vt:lpwstr>https://www.ohchr.org/en/calls-for-input/2024/call-input-report-special-rapporteur-violence-against-women-and-girls-human</vt:lpwstr>
      </vt:variant>
      <vt:variant>
        <vt:lpwstr/>
      </vt:variant>
      <vt:variant>
        <vt:i4>3866720</vt:i4>
      </vt:variant>
      <vt:variant>
        <vt:i4>0</vt:i4>
      </vt:variant>
      <vt:variant>
        <vt:i4>0</vt:i4>
      </vt:variant>
      <vt:variant>
        <vt:i4>5</vt:i4>
      </vt:variant>
      <vt:variant>
        <vt:lpwstr>https://www.amnesty.org/en/wp-content/uploads/2023/04/EUR4166832023ENGLISH.pdf</vt:lpwstr>
      </vt:variant>
      <vt:variant>
        <vt:lpwstr/>
      </vt:variant>
      <vt:variant>
        <vt:i4>5898314</vt:i4>
      </vt:variant>
      <vt:variant>
        <vt:i4>6</vt:i4>
      </vt:variant>
      <vt:variant>
        <vt:i4>0</vt:i4>
      </vt:variant>
      <vt:variant>
        <vt:i4>5</vt:i4>
      </vt:variant>
      <vt:variant>
        <vt:lpwstr>https://www.amnesty.org/en/about-us/permissions/</vt:lpwstr>
      </vt:variant>
      <vt:variant>
        <vt:lpwstr/>
      </vt:variant>
      <vt:variant>
        <vt:i4>5767253</vt:i4>
      </vt:variant>
      <vt:variant>
        <vt:i4>3</vt:i4>
      </vt:variant>
      <vt:variant>
        <vt:i4>0</vt:i4>
      </vt:variant>
      <vt:variant>
        <vt:i4>5</vt:i4>
      </vt:variant>
      <vt:variant>
        <vt:lpwstr>http://www.facebook.com/AmnestyGlobal</vt:lpwstr>
      </vt:variant>
      <vt:variant>
        <vt:lpwstr/>
      </vt:variant>
      <vt:variant>
        <vt:i4>852001</vt:i4>
      </vt:variant>
      <vt:variant>
        <vt:i4>0</vt:i4>
      </vt:variant>
      <vt:variant>
        <vt:i4>0</vt:i4>
      </vt:variant>
      <vt:variant>
        <vt:i4>5</vt:i4>
      </vt:variant>
      <vt:variant>
        <vt:lpwstr>mailto:info@amnesty.org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2024-04-15T08:56:00Z</dcterms:created>
  <dcterms:modified xsi:type="dcterms:W3CDTF">2024-04-15T09:07:00Z</dcterms:modified>
</cp:coreProperties>
</file>