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024" w:rsidRPr="00A83E2C" w:rsidRDefault="008F4656" w:rsidP="00295772">
      <w:pPr>
        <w:pStyle w:val="Overskrift2"/>
        <w:rPr>
          <w:rStyle w:val="normaltextrun"/>
          <w:rFonts w:ascii="Arial" w:hAnsi="Arial" w:cs="Times New Roman"/>
          <w:bCs/>
          <w:i/>
          <w:iCs/>
          <w:color w:val="000000" w:themeColor="text1"/>
          <w:sz w:val="24"/>
        </w:rPr>
      </w:pPr>
      <w:r w:rsidRPr="00A83E2C">
        <w:rPr>
          <w:rStyle w:val="eop"/>
          <w:rFonts w:ascii="Calibri" w:hAnsi="Calibri" w:cs="Calibri"/>
          <w:b w:val="0"/>
          <w:sz w:val="48"/>
          <w:szCs w:val="48"/>
          <w:lang w:eastAsia="en-US" w:bidi="en-US"/>
        </w:rPr>
        <w:t>Annex - list-of-issues</w:t>
      </w:r>
      <w:r w:rsidR="009F5024" w:rsidRPr="00A83E2C">
        <w:rPr>
          <w:rStyle w:val="Overskrift4Tegn"/>
          <w:rFonts w:cs="Times New Roman"/>
          <w:b/>
          <w:bCs/>
          <w:sz w:val="24"/>
          <w:lang w:eastAsia="en-US" w:bidi="en-US"/>
        </w:rPr>
        <w:t xml:space="preserve"> </w:t>
      </w:r>
    </w:p>
    <w:p w:rsidR="00E57515" w:rsidRDefault="00E57515" w:rsidP="009F5024">
      <w:pPr>
        <w:pStyle w:val="paragraph"/>
        <w:textAlignment w:val="baseline"/>
        <w:rPr>
          <w:rStyle w:val="normaltextrun"/>
          <w:rFonts w:ascii="Calibri" w:hAnsi="Calibri" w:cs="Calibri"/>
          <w:sz w:val="22"/>
          <w:szCs w:val="22"/>
          <w:lang w:eastAsia="en-US" w:bidi="en-US"/>
        </w:rPr>
      </w:pPr>
    </w:p>
    <w:p w:rsidR="000A1CDF" w:rsidRPr="00A83E2C" w:rsidRDefault="008F4656" w:rsidP="009F5024">
      <w:pPr>
        <w:pStyle w:val="paragraph"/>
        <w:textAlignment w:val="baseline"/>
        <w:rPr>
          <w:rStyle w:val="eop"/>
          <w:rFonts w:ascii="Calibri" w:hAnsi="Calibri" w:cs="Calibri"/>
          <w:sz w:val="22"/>
          <w:szCs w:val="22"/>
          <w:lang w:eastAsia="en-US" w:bidi="en-US"/>
        </w:rPr>
      </w:pPr>
      <w:r w:rsidRPr="00A83E2C">
        <w:rPr>
          <w:rStyle w:val="normaltextrun"/>
          <w:rFonts w:ascii="Calibri" w:hAnsi="Calibri" w:cs="Calibri"/>
          <w:sz w:val="22"/>
          <w:szCs w:val="22"/>
          <w:lang w:eastAsia="en-US" w:bidi="en-US"/>
        </w:rPr>
        <w:t>List of issues, para. 16</w:t>
      </w:r>
    </w:p>
    <w:p w:rsidR="00295772" w:rsidRPr="00A83E2C" w:rsidRDefault="00295772" w:rsidP="00295772">
      <w:pPr>
        <w:rPr>
          <w:rStyle w:val="Overskrift4Tegn"/>
          <w:rFonts w:asciiTheme="minorHAnsi" w:hAnsiTheme="minorHAnsi" w:cstheme="minorHAnsi"/>
          <w:bCs/>
          <w:sz w:val="24"/>
          <w:szCs w:val="24"/>
          <w:lang w:val="en-GB"/>
        </w:rPr>
      </w:pPr>
      <w:r w:rsidRPr="00A83E2C">
        <w:rPr>
          <w:rStyle w:val="Overskrift4Tegn"/>
          <w:rFonts w:asciiTheme="minorHAnsi" w:hAnsiTheme="minorHAnsi" w:cstheme="minorHAnsi"/>
          <w:bCs/>
          <w:sz w:val="24"/>
          <w:szCs w:val="24"/>
          <w:lang w:val="en-GB" w:bidi="en-GB"/>
        </w:rPr>
        <w:t>Information on the allocation of resources for social services in relation to total expenditure during the last three years</w:t>
      </w:r>
    </w:p>
    <w:tbl>
      <w:tblPr>
        <w:tblStyle w:val="Tabellrutenett"/>
        <w:tblW w:w="0" w:type="auto"/>
        <w:tblLook w:val="04A0" w:firstRow="1" w:lastRow="0" w:firstColumn="1" w:lastColumn="0" w:noHBand="0" w:noVBand="1"/>
      </w:tblPr>
      <w:tblGrid>
        <w:gridCol w:w="2414"/>
        <w:gridCol w:w="842"/>
        <w:gridCol w:w="708"/>
        <w:gridCol w:w="851"/>
        <w:gridCol w:w="850"/>
        <w:gridCol w:w="1098"/>
        <w:gridCol w:w="850"/>
        <w:gridCol w:w="851"/>
        <w:gridCol w:w="845"/>
      </w:tblGrid>
      <w:tr w:rsidR="00295772" w:rsidRPr="00A83E2C" w:rsidTr="00141D87">
        <w:tc>
          <w:tcPr>
            <w:tcW w:w="2414" w:type="dxa"/>
          </w:tcPr>
          <w:p w:rsidR="00295772" w:rsidRPr="00A83E2C" w:rsidRDefault="00295772" w:rsidP="00295772">
            <w:pPr>
              <w:pStyle w:val="paragraph"/>
              <w:textAlignment w:val="baseline"/>
              <w:rPr>
                <w:rStyle w:val="eop"/>
                <w:rFonts w:asciiTheme="minorHAnsi" w:hAnsiTheme="minorHAnsi" w:cstheme="minorHAnsi"/>
                <w:sz w:val="20"/>
                <w:szCs w:val="20"/>
              </w:rPr>
            </w:pPr>
          </w:p>
        </w:tc>
        <w:tc>
          <w:tcPr>
            <w:tcW w:w="842"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2014</w:t>
            </w:r>
          </w:p>
        </w:tc>
        <w:tc>
          <w:tcPr>
            <w:tcW w:w="708"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p>
        </w:tc>
        <w:tc>
          <w:tcPr>
            <w:tcW w:w="851"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2015</w:t>
            </w:r>
          </w:p>
        </w:tc>
        <w:tc>
          <w:tcPr>
            <w:tcW w:w="850"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p>
        </w:tc>
        <w:tc>
          <w:tcPr>
            <w:tcW w:w="1098"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2016</w:t>
            </w:r>
          </w:p>
        </w:tc>
        <w:tc>
          <w:tcPr>
            <w:tcW w:w="850"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p>
        </w:tc>
        <w:tc>
          <w:tcPr>
            <w:tcW w:w="851"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2017</w:t>
            </w:r>
          </w:p>
        </w:tc>
        <w:tc>
          <w:tcPr>
            <w:tcW w:w="845" w:type="dxa"/>
          </w:tcPr>
          <w:p w:rsidR="00295772" w:rsidRPr="00A83E2C" w:rsidRDefault="00295772" w:rsidP="00295772">
            <w:pPr>
              <w:pStyle w:val="paragraph"/>
              <w:jc w:val="right"/>
              <w:textAlignment w:val="baseline"/>
              <w:rPr>
                <w:rStyle w:val="eop"/>
                <w:rFonts w:asciiTheme="minorHAnsi" w:hAnsiTheme="minorHAnsi" w:cstheme="minorHAnsi"/>
                <w:b/>
                <w:sz w:val="20"/>
                <w:szCs w:val="20"/>
              </w:rPr>
            </w:pPr>
          </w:p>
        </w:tc>
      </w:tr>
      <w:tr w:rsidR="00295772" w:rsidRPr="00A83E2C" w:rsidTr="00141D87">
        <w:tc>
          <w:tcPr>
            <w:tcW w:w="2414" w:type="dxa"/>
          </w:tcPr>
          <w:p w:rsidR="00295772" w:rsidRPr="00A83E2C" w:rsidRDefault="00295772" w:rsidP="00295772">
            <w:pPr>
              <w:pStyle w:val="paragraph"/>
              <w:textAlignment w:val="baseline"/>
              <w:rPr>
                <w:rStyle w:val="eop"/>
                <w:rFonts w:asciiTheme="minorHAnsi" w:hAnsiTheme="minorHAnsi" w:cstheme="minorHAnsi"/>
                <w:sz w:val="20"/>
                <w:szCs w:val="20"/>
              </w:rPr>
            </w:pPr>
          </w:p>
        </w:tc>
        <w:tc>
          <w:tcPr>
            <w:tcW w:w="842"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Total in NOK</w:t>
            </w:r>
          </w:p>
        </w:tc>
        <w:tc>
          <w:tcPr>
            <w:tcW w:w="708"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GNP (%)</w:t>
            </w:r>
          </w:p>
        </w:tc>
        <w:tc>
          <w:tcPr>
            <w:tcW w:w="851"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Total in NOK</w:t>
            </w:r>
          </w:p>
        </w:tc>
        <w:tc>
          <w:tcPr>
            <w:tcW w:w="850"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GNP (%)</w:t>
            </w:r>
          </w:p>
        </w:tc>
        <w:tc>
          <w:tcPr>
            <w:tcW w:w="1098"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Total in NOK</w:t>
            </w:r>
          </w:p>
        </w:tc>
        <w:tc>
          <w:tcPr>
            <w:tcW w:w="850"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GNP (%)</w:t>
            </w:r>
          </w:p>
        </w:tc>
        <w:tc>
          <w:tcPr>
            <w:tcW w:w="851"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Total in NOK</w:t>
            </w:r>
          </w:p>
        </w:tc>
        <w:tc>
          <w:tcPr>
            <w:tcW w:w="845" w:type="dxa"/>
          </w:tcPr>
          <w:p w:rsidR="00295772" w:rsidRPr="00A83E2C" w:rsidRDefault="00295772" w:rsidP="00295772">
            <w:pPr>
              <w:pStyle w:val="paragraph"/>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rPr>
              <w:t>GNP (%)</w:t>
            </w:r>
          </w:p>
        </w:tc>
      </w:tr>
      <w:tr w:rsidR="00295772" w:rsidRPr="00A83E2C" w:rsidTr="00141D87">
        <w:tc>
          <w:tcPr>
            <w:tcW w:w="2414" w:type="dxa"/>
          </w:tcPr>
          <w:p w:rsidR="00295772" w:rsidRPr="00A83E2C" w:rsidRDefault="00295772" w:rsidP="00295772">
            <w:pPr>
              <w:pStyle w:val="paragraph"/>
              <w:textAlignment w:val="baseline"/>
              <w:rPr>
                <w:rStyle w:val="eop"/>
                <w:rFonts w:asciiTheme="minorHAnsi" w:hAnsiTheme="minorHAnsi" w:cstheme="minorHAnsi"/>
                <w:sz w:val="20"/>
                <w:szCs w:val="20"/>
              </w:rPr>
            </w:pPr>
            <w:r w:rsidRPr="00A83E2C">
              <w:rPr>
                <w:rFonts w:asciiTheme="minorHAnsi" w:eastAsiaTheme="majorEastAsia" w:hAnsiTheme="minorHAnsi" w:cstheme="minorHAnsi"/>
                <w:b/>
                <w:color w:val="000000" w:themeColor="text1"/>
                <w:sz w:val="20"/>
                <w:szCs w:val="20"/>
                <w:lang w:val="en-GB" w:eastAsia="en-GB" w:bidi="en-GB"/>
              </w:rPr>
              <w:t>(a) Family and/or child allowances, conditional cash transfer systems</w:t>
            </w:r>
          </w:p>
        </w:tc>
        <w:tc>
          <w:tcPr>
            <w:tcW w:w="842" w:type="dxa"/>
          </w:tcPr>
          <w:p w:rsidR="00295772" w:rsidRPr="00A83E2C" w:rsidRDefault="00295772" w:rsidP="00295772">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34,8 billion</w:t>
            </w:r>
          </w:p>
        </w:tc>
        <w:tc>
          <w:tcPr>
            <w:tcW w:w="708" w:type="dxa"/>
          </w:tcPr>
          <w:p w:rsidR="00295772" w:rsidRPr="00A83E2C" w:rsidRDefault="00295772" w:rsidP="00295772">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1,10</w:t>
            </w:r>
          </w:p>
        </w:tc>
        <w:tc>
          <w:tcPr>
            <w:tcW w:w="851" w:type="dxa"/>
          </w:tcPr>
          <w:p w:rsidR="00295772" w:rsidRPr="00A83E2C" w:rsidRDefault="00295772" w:rsidP="00295772">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36,1 billion</w:t>
            </w:r>
          </w:p>
        </w:tc>
        <w:tc>
          <w:tcPr>
            <w:tcW w:w="850" w:type="dxa"/>
          </w:tcPr>
          <w:p w:rsidR="00295772" w:rsidRPr="000A1CDF" w:rsidRDefault="00295772" w:rsidP="00295772">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lang w:eastAsia="en-US" w:bidi="en-US"/>
              </w:rPr>
              <w:t>1,15</w:t>
            </w:r>
          </w:p>
        </w:tc>
        <w:tc>
          <w:tcPr>
            <w:tcW w:w="1098" w:type="dxa"/>
            <w:shd w:val="clear" w:color="auto" w:fill="FFFFFF" w:themeFill="background1"/>
          </w:tcPr>
          <w:p w:rsidR="00295772" w:rsidRPr="000A1CDF" w:rsidRDefault="00C4420A" w:rsidP="00295772">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36,2 billion</w:t>
            </w:r>
          </w:p>
        </w:tc>
        <w:tc>
          <w:tcPr>
            <w:tcW w:w="850" w:type="dxa"/>
            <w:shd w:val="clear" w:color="auto" w:fill="FFFFFF" w:themeFill="background1"/>
          </w:tcPr>
          <w:p w:rsidR="00295772" w:rsidRPr="000A1CDF" w:rsidRDefault="00C4420A" w:rsidP="00295772">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1,16</w:t>
            </w:r>
          </w:p>
        </w:tc>
        <w:tc>
          <w:tcPr>
            <w:tcW w:w="851" w:type="dxa"/>
            <w:shd w:val="clear" w:color="auto" w:fill="FFFFFF" w:themeFill="background1"/>
          </w:tcPr>
          <w:p w:rsidR="00295772" w:rsidRPr="000A1CDF" w:rsidRDefault="00C4420A" w:rsidP="00295772">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36,3 billion</w:t>
            </w:r>
          </w:p>
        </w:tc>
        <w:tc>
          <w:tcPr>
            <w:tcW w:w="845" w:type="dxa"/>
            <w:shd w:val="clear" w:color="auto" w:fill="FFFFFF" w:themeFill="background1"/>
          </w:tcPr>
          <w:p w:rsidR="00295772" w:rsidRPr="000A1CDF" w:rsidRDefault="00C4420A" w:rsidP="00295772">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1,11</w:t>
            </w:r>
          </w:p>
        </w:tc>
      </w:tr>
      <w:tr w:rsidR="00141D87" w:rsidRPr="00A83E2C" w:rsidTr="00141D87">
        <w:tc>
          <w:tcPr>
            <w:tcW w:w="2414" w:type="dxa"/>
          </w:tcPr>
          <w:p w:rsidR="00141D87" w:rsidRPr="00A83E2C" w:rsidRDefault="00141D87" w:rsidP="00141D87">
            <w:pPr>
              <w:rPr>
                <w:rFonts w:asciiTheme="minorHAnsi" w:eastAsiaTheme="majorEastAsia" w:hAnsiTheme="minorHAnsi" w:cstheme="minorHAnsi"/>
                <w:b/>
                <w:color w:val="000000" w:themeColor="text1"/>
                <w:sz w:val="20"/>
                <w:lang w:val="en-GB"/>
              </w:rPr>
            </w:pPr>
            <w:r w:rsidRPr="00A83E2C">
              <w:rPr>
                <w:rFonts w:asciiTheme="minorHAnsi" w:eastAsiaTheme="majorEastAsia" w:hAnsiTheme="minorHAnsi" w:cstheme="minorHAnsi"/>
                <w:b/>
                <w:color w:val="000000" w:themeColor="text1"/>
                <w:sz w:val="20"/>
                <w:lang w:val="en-GB" w:bidi="en-GB"/>
              </w:rPr>
              <w:t>(b) Health services, in particular primary health services</w:t>
            </w:r>
          </w:p>
          <w:p w:rsidR="00141D87" w:rsidRPr="00A83E2C" w:rsidRDefault="00141D87" w:rsidP="00141D87">
            <w:pPr>
              <w:pStyle w:val="paragraph"/>
              <w:textAlignment w:val="baseline"/>
              <w:rPr>
                <w:rStyle w:val="eop"/>
                <w:rFonts w:asciiTheme="minorHAnsi" w:hAnsiTheme="minorHAnsi" w:cstheme="minorHAnsi"/>
                <w:sz w:val="20"/>
                <w:szCs w:val="20"/>
              </w:rPr>
            </w:pPr>
            <w:r w:rsidRPr="00A83E2C">
              <w:rPr>
                <w:rFonts w:asciiTheme="minorHAnsi" w:eastAsiaTheme="majorEastAsia" w:hAnsiTheme="minorHAnsi" w:cstheme="minorHAnsi"/>
                <w:color w:val="000000" w:themeColor="text1"/>
                <w:sz w:val="20"/>
                <w:szCs w:val="20"/>
                <w:lang w:val="en-GB" w:eastAsia="en-GB" w:bidi="en-GB"/>
              </w:rPr>
              <w:t>*1, *2</w:t>
            </w:r>
          </w:p>
        </w:tc>
        <w:tc>
          <w:tcPr>
            <w:tcW w:w="842" w:type="dxa"/>
          </w:tcPr>
          <w:p w:rsidR="00141D87" w:rsidRPr="00A83E2C" w:rsidRDefault="00141D87" w:rsidP="00141D87">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3 billion</w:t>
            </w:r>
          </w:p>
        </w:tc>
        <w:tc>
          <w:tcPr>
            <w:tcW w:w="708" w:type="dxa"/>
          </w:tcPr>
          <w:p w:rsidR="00141D87" w:rsidRPr="00A83E2C" w:rsidRDefault="00141D87" w:rsidP="00141D87">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0,10</w:t>
            </w:r>
          </w:p>
        </w:tc>
        <w:tc>
          <w:tcPr>
            <w:tcW w:w="851" w:type="dxa"/>
          </w:tcPr>
          <w:p w:rsidR="00141D87" w:rsidRPr="00A83E2C" w:rsidRDefault="00141D87" w:rsidP="00141D87">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3,2 billion</w:t>
            </w:r>
          </w:p>
        </w:tc>
        <w:tc>
          <w:tcPr>
            <w:tcW w:w="850" w:type="dxa"/>
          </w:tcPr>
          <w:p w:rsidR="00141D87" w:rsidRPr="000A1CDF" w:rsidRDefault="00141D87" w:rsidP="00141D87">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lang w:eastAsia="en-US" w:bidi="en-US"/>
              </w:rPr>
              <w:t>0,10</w:t>
            </w:r>
          </w:p>
        </w:tc>
        <w:tc>
          <w:tcPr>
            <w:tcW w:w="1098" w:type="dxa"/>
            <w:shd w:val="clear" w:color="auto" w:fill="auto"/>
          </w:tcPr>
          <w:p w:rsidR="00141D87" w:rsidRPr="000A1CDF" w:rsidRDefault="00141D87" w:rsidP="00141D87">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3,5 billion</w:t>
            </w:r>
          </w:p>
        </w:tc>
        <w:tc>
          <w:tcPr>
            <w:tcW w:w="850" w:type="dxa"/>
            <w:shd w:val="clear" w:color="auto" w:fill="auto"/>
          </w:tcPr>
          <w:p w:rsidR="00141D87" w:rsidRPr="000A1CDF" w:rsidRDefault="00141D87" w:rsidP="00141D87">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0,11</w:t>
            </w:r>
          </w:p>
        </w:tc>
        <w:tc>
          <w:tcPr>
            <w:tcW w:w="851" w:type="dxa"/>
            <w:shd w:val="clear" w:color="auto" w:fill="auto"/>
          </w:tcPr>
          <w:p w:rsidR="00141D87" w:rsidRPr="000A1CDF" w:rsidRDefault="00141D87" w:rsidP="00141D87">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w:t>
            </w:r>
          </w:p>
        </w:tc>
        <w:tc>
          <w:tcPr>
            <w:tcW w:w="845" w:type="dxa"/>
            <w:shd w:val="clear" w:color="auto" w:fill="auto"/>
          </w:tcPr>
          <w:p w:rsidR="00141D87" w:rsidRPr="000A1CDF" w:rsidRDefault="00141D87" w:rsidP="00141D87">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w:t>
            </w:r>
          </w:p>
        </w:tc>
      </w:tr>
      <w:tr w:rsidR="000A1CDF" w:rsidRPr="00A83E2C" w:rsidTr="0003797E">
        <w:tc>
          <w:tcPr>
            <w:tcW w:w="2414" w:type="dxa"/>
          </w:tcPr>
          <w:p w:rsidR="000A1CDF" w:rsidRPr="00A83E2C" w:rsidRDefault="000A1CDF" w:rsidP="000A1CDF">
            <w:pPr>
              <w:rPr>
                <w:rFonts w:asciiTheme="minorHAnsi" w:eastAsiaTheme="majorEastAsia" w:hAnsiTheme="minorHAnsi" w:cstheme="minorHAnsi"/>
                <w:b/>
                <w:sz w:val="20"/>
                <w:lang w:val="en-GB"/>
              </w:rPr>
            </w:pPr>
            <w:r w:rsidRPr="00A83E2C">
              <w:rPr>
                <w:rFonts w:asciiTheme="minorHAnsi" w:eastAsiaTheme="majorEastAsia" w:hAnsiTheme="minorHAnsi" w:cstheme="minorHAnsi"/>
                <w:b/>
                <w:sz w:val="20"/>
                <w:lang w:val="en-GB" w:bidi="en-GB"/>
              </w:rPr>
              <w:t xml:space="preserve">(c) Early childhood development (care and education) </w:t>
            </w:r>
          </w:p>
          <w:p w:rsidR="000A1CDF" w:rsidRPr="00A83E2C" w:rsidRDefault="000A1CDF" w:rsidP="000A1CDF">
            <w:pPr>
              <w:rPr>
                <w:rFonts w:asciiTheme="minorHAnsi" w:eastAsiaTheme="majorEastAsia" w:hAnsiTheme="minorHAnsi" w:cstheme="minorHAnsi"/>
                <w:b/>
                <w:color w:val="000000" w:themeColor="text1"/>
                <w:sz w:val="20"/>
                <w:lang w:val="en-GB"/>
              </w:rPr>
            </w:pPr>
            <w:r w:rsidRPr="00A83E2C">
              <w:rPr>
                <w:rFonts w:asciiTheme="minorHAnsi" w:eastAsiaTheme="majorEastAsia" w:hAnsiTheme="minorHAnsi" w:cstheme="minorHAnsi"/>
                <w:sz w:val="20"/>
                <w:lang w:val="en-GB" w:bidi="en-GB"/>
              </w:rPr>
              <w:t>*3</w:t>
            </w:r>
          </w:p>
        </w:tc>
        <w:tc>
          <w:tcPr>
            <w:tcW w:w="842" w:type="dxa"/>
          </w:tcPr>
          <w:p w:rsidR="000A1CDF" w:rsidRPr="00A83E2C" w:rsidRDefault="000A1CDF" w:rsidP="000A1CDF">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41 billion</w:t>
            </w:r>
          </w:p>
        </w:tc>
        <w:tc>
          <w:tcPr>
            <w:tcW w:w="708" w:type="dxa"/>
          </w:tcPr>
          <w:p w:rsidR="000A1CDF" w:rsidRPr="00A83E2C" w:rsidRDefault="000A1CDF" w:rsidP="000A1CDF">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1,5</w:t>
            </w:r>
          </w:p>
        </w:tc>
        <w:tc>
          <w:tcPr>
            <w:tcW w:w="851" w:type="dxa"/>
          </w:tcPr>
          <w:p w:rsidR="000A1CDF" w:rsidRPr="00A83E2C" w:rsidRDefault="000A1CDF" w:rsidP="000A1CDF">
            <w:pPr>
              <w:pStyle w:val="paragraph"/>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41,4 billion</w:t>
            </w:r>
          </w:p>
        </w:tc>
        <w:tc>
          <w:tcPr>
            <w:tcW w:w="850" w:type="dxa"/>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lang w:eastAsia="en-US" w:bidi="en-US"/>
              </w:rPr>
              <w:t>1,6</w:t>
            </w:r>
          </w:p>
        </w:tc>
        <w:tc>
          <w:tcPr>
            <w:tcW w:w="1098" w:type="dxa"/>
            <w:shd w:val="clear" w:color="auto" w:fill="FFFFFF" w:themeFill="background1"/>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43,2 billion</w:t>
            </w:r>
          </w:p>
        </w:tc>
        <w:tc>
          <w:tcPr>
            <w:tcW w:w="850" w:type="dxa"/>
            <w:shd w:val="clear" w:color="auto" w:fill="auto"/>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1,6</w:t>
            </w:r>
          </w:p>
          <w:p w:rsidR="000A1CDF" w:rsidRPr="000A1CDF" w:rsidRDefault="000A1CDF" w:rsidP="000A1CDF">
            <w:pPr>
              <w:rPr>
                <w:sz w:val="20"/>
                <w:lang w:eastAsia="nb-NO"/>
              </w:rPr>
            </w:pPr>
          </w:p>
        </w:tc>
        <w:tc>
          <w:tcPr>
            <w:tcW w:w="851" w:type="dxa"/>
            <w:shd w:val="clear" w:color="auto" w:fill="auto"/>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45,0 billion</w:t>
            </w:r>
          </w:p>
        </w:tc>
        <w:tc>
          <w:tcPr>
            <w:tcW w:w="845" w:type="dxa"/>
            <w:shd w:val="clear" w:color="auto" w:fill="auto"/>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1,6</w:t>
            </w:r>
          </w:p>
        </w:tc>
      </w:tr>
      <w:tr w:rsidR="000A1CDF" w:rsidRPr="00A83E2C" w:rsidTr="0003797E">
        <w:tc>
          <w:tcPr>
            <w:tcW w:w="2414" w:type="dxa"/>
          </w:tcPr>
          <w:p w:rsidR="000A1CDF" w:rsidRPr="00A83E2C" w:rsidRDefault="000A1CDF" w:rsidP="000A1CDF">
            <w:pPr>
              <w:rPr>
                <w:rFonts w:asciiTheme="minorHAnsi" w:eastAsiaTheme="majorEastAsia" w:hAnsiTheme="minorHAnsi" w:cstheme="minorHAnsi"/>
                <w:b/>
                <w:color w:val="000000" w:themeColor="text1"/>
                <w:sz w:val="20"/>
                <w:lang w:val="en-GB"/>
              </w:rPr>
            </w:pPr>
            <w:r w:rsidRPr="00A83E2C">
              <w:rPr>
                <w:rFonts w:asciiTheme="minorHAnsi" w:eastAsiaTheme="majorEastAsia" w:hAnsiTheme="minorHAnsi" w:cstheme="minorHAnsi"/>
                <w:b/>
                <w:color w:val="000000" w:themeColor="text1"/>
                <w:sz w:val="20"/>
                <w:lang w:val="en-GB" w:bidi="en-GB"/>
              </w:rPr>
              <w:t xml:space="preserve">(d) Education </w:t>
            </w:r>
          </w:p>
          <w:p w:rsidR="000A1CDF" w:rsidRPr="00A83E2C" w:rsidRDefault="000A1CDF" w:rsidP="000A1CDF">
            <w:pPr>
              <w:rPr>
                <w:rFonts w:asciiTheme="minorHAnsi" w:eastAsiaTheme="majorEastAsia" w:hAnsiTheme="minorHAnsi" w:cstheme="minorHAnsi"/>
                <w:b/>
                <w:sz w:val="20"/>
                <w:lang w:val="en-GB"/>
              </w:rPr>
            </w:pPr>
            <w:r w:rsidRPr="00A83E2C">
              <w:rPr>
                <w:rFonts w:asciiTheme="minorHAnsi" w:eastAsiaTheme="majorEastAsia" w:hAnsiTheme="minorHAnsi" w:cstheme="minorHAnsi"/>
                <w:color w:val="000000" w:themeColor="text1"/>
                <w:sz w:val="20"/>
                <w:lang w:val="en-GB" w:bidi="en-GB"/>
              </w:rPr>
              <w:t>*4</w:t>
            </w:r>
          </w:p>
        </w:tc>
        <w:tc>
          <w:tcPr>
            <w:tcW w:w="842" w:type="dxa"/>
          </w:tcPr>
          <w:p w:rsidR="000A1CDF" w:rsidRPr="00A83E2C" w:rsidRDefault="000A1CDF" w:rsidP="000A1CDF">
            <w:pPr>
              <w:pStyle w:val="paragraph"/>
              <w:textAlignment w:val="baseline"/>
              <w:rPr>
                <w:rStyle w:val="eop"/>
                <w:rFonts w:asciiTheme="minorHAnsi" w:hAnsiTheme="minorHAnsi" w:cstheme="minorHAnsi"/>
                <w:sz w:val="20"/>
                <w:szCs w:val="20"/>
              </w:rPr>
            </w:pPr>
          </w:p>
        </w:tc>
        <w:tc>
          <w:tcPr>
            <w:tcW w:w="708" w:type="dxa"/>
          </w:tcPr>
          <w:p w:rsidR="000A1CDF" w:rsidRPr="00A83E2C" w:rsidRDefault="000A1CDF" w:rsidP="000A1CDF">
            <w:pPr>
              <w:pStyle w:val="paragraph"/>
              <w:textAlignment w:val="baseline"/>
              <w:rPr>
                <w:rStyle w:val="eop"/>
                <w:rFonts w:asciiTheme="minorHAnsi" w:hAnsiTheme="minorHAnsi" w:cstheme="minorHAnsi"/>
                <w:sz w:val="20"/>
                <w:szCs w:val="20"/>
              </w:rPr>
            </w:pPr>
          </w:p>
        </w:tc>
        <w:tc>
          <w:tcPr>
            <w:tcW w:w="851" w:type="dxa"/>
          </w:tcPr>
          <w:p w:rsidR="000A1CDF" w:rsidRPr="00A83E2C" w:rsidRDefault="000A1CDF" w:rsidP="000A1CDF">
            <w:pPr>
              <w:pStyle w:val="paragraph"/>
              <w:textAlignment w:val="baseline"/>
              <w:rPr>
                <w:rStyle w:val="eop"/>
                <w:rFonts w:asciiTheme="minorHAnsi" w:hAnsiTheme="minorHAnsi" w:cstheme="minorHAnsi"/>
                <w:sz w:val="20"/>
                <w:szCs w:val="20"/>
              </w:rPr>
            </w:pPr>
          </w:p>
        </w:tc>
        <w:tc>
          <w:tcPr>
            <w:tcW w:w="850" w:type="dxa"/>
          </w:tcPr>
          <w:p w:rsidR="000A1CDF" w:rsidRPr="000A1CDF" w:rsidRDefault="000A1CDF" w:rsidP="000A1CDF">
            <w:pPr>
              <w:pStyle w:val="paragraph"/>
              <w:textAlignment w:val="baseline"/>
              <w:rPr>
                <w:rStyle w:val="eop"/>
                <w:rFonts w:asciiTheme="minorHAnsi" w:hAnsiTheme="minorHAnsi" w:cstheme="minorHAnsi"/>
                <w:sz w:val="20"/>
                <w:szCs w:val="20"/>
              </w:rPr>
            </w:pPr>
          </w:p>
        </w:tc>
        <w:tc>
          <w:tcPr>
            <w:tcW w:w="1098" w:type="dxa"/>
            <w:shd w:val="clear" w:color="auto" w:fill="auto"/>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101,4 billion</w:t>
            </w:r>
          </w:p>
        </w:tc>
        <w:tc>
          <w:tcPr>
            <w:tcW w:w="850" w:type="dxa"/>
            <w:shd w:val="clear" w:color="auto" w:fill="auto"/>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3,73</w:t>
            </w:r>
          </w:p>
        </w:tc>
        <w:tc>
          <w:tcPr>
            <w:tcW w:w="851" w:type="dxa"/>
            <w:shd w:val="clear" w:color="auto" w:fill="auto"/>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105,09 billion</w:t>
            </w:r>
          </w:p>
        </w:tc>
        <w:tc>
          <w:tcPr>
            <w:tcW w:w="845" w:type="dxa"/>
            <w:shd w:val="clear" w:color="auto" w:fill="auto"/>
          </w:tcPr>
          <w:p w:rsidR="000A1CDF" w:rsidRPr="000A1CDF" w:rsidRDefault="000A1CDF" w:rsidP="000A1CDF">
            <w:pPr>
              <w:pStyle w:val="paragraph"/>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3,75</w:t>
            </w:r>
          </w:p>
        </w:tc>
      </w:tr>
      <w:tr w:rsidR="000A1CDF" w:rsidRPr="00A83E2C" w:rsidTr="0003797E">
        <w:tc>
          <w:tcPr>
            <w:tcW w:w="2414" w:type="dxa"/>
          </w:tcPr>
          <w:p w:rsidR="000A1CDF" w:rsidRPr="00A83E2C" w:rsidRDefault="000A1CDF" w:rsidP="000A1CDF">
            <w:pPr>
              <w:pStyle w:val="paragraph"/>
              <w:spacing w:before="0" w:beforeAutospacing="0" w:after="0" w:afterAutospacing="0"/>
              <w:ind w:left="708"/>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bidi="en-US"/>
              </w:rPr>
              <w:t>Primary</w:t>
            </w:r>
          </w:p>
          <w:p w:rsidR="000A1CDF" w:rsidRPr="00A83E2C" w:rsidRDefault="000A1CDF" w:rsidP="000A1CDF">
            <w:pPr>
              <w:pStyle w:val="paragraph"/>
              <w:spacing w:before="0" w:beforeAutospacing="0" w:after="0" w:afterAutospacing="0"/>
              <w:ind w:left="708"/>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*5</w:t>
            </w:r>
          </w:p>
        </w:tc>
        <w:tc>
          <w:tcPr>
            <w:tcW w:w="842"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63 billion</w:t>
            </w:r>
          </w:p>
        </w:tc>
        <w:tc>
          <w:tcPr>
            <w:tcW w:w="708"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2,90</w:t>
            </w:r>
          </w:p>
        </w:tc>
        <w:tc>
          <w:tcPr>
            <w:tcW w:w="851"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63,3 billion</w:t>
            </w:r>
          </w:p>
        </w:tc>
        <w:tc>
          <w:tcPr>
            <w:tcW w:w="850" w:type="dxa"/>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lang w:eastAsia="en-US" w:bidi="en-US"/>
              </w:rPr>
              <w:t>2,80</w:t>
            </w:r>
          </w:p>
        </w:tc>
        <w:tc>
          <w:tcPr>
            <w:tcW w:w="1098"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67,7 billio</w:t>
            </w:r>
            <w:r w:rsidRPr="000A1CDF">
              <w:rPr>
                <w:rStyle w:val="FotnotetekstTegn"/>
                <w:rFonts w:asciiTheme="minorHAnsi" w:hAnsiTheme="minorHAnsi" w:cstheme="minorHAnsi"/>
              </w:rPr>
              <w:t>n</w:t>
            </w:r>
          </w:p>
        </w:tc>
        <w:tc>
          <w:tcPr>
            <w:tcW w:w="850"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2,4</w:t>
            </w:r>
            <w:r w:rsidRPr="000A1CDF">
              <w:rPr>
                <w:rStyle w:val="FotnotetekstTegn"/>
                <w:rFonts w:asciiTheme="minorHAnsi" w:hAnsiTheme="minorHAnsi" w:cstheme="minorHAnsi"/>
              </w:rPr>
              <w:t>9</w:t>
            </w:r>
          </w:p>
        </w:tc>
        <w:tc>
          <w:tcPr>
            <w:tcW w:w="851"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70,4</w:t>
            </w:r>
            <w:r w:rsidRPr="000A1CDF">
              <w:rPr>
                <w:rStyle w:val="FotnotetekstTegn"/>
                <w:rFonts w:asciiTheme="minorHAnsi" w:hAnsiTheme="minorHAnsi" w:cstheme="minorHAnsi"/>
              </w:rPr>
              <w:t>9</w:t>
            </w:r>
          </w:p>
        </w:tc>
        <w:tc>
          <w:tcPr>
            <w:tcW w:w="845"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2,5</w:t>
            </w:r>
            <w:r w:rsidRPr="000A1CDF">
              <w:rPr>
                <w:rStyle w:val="FotnotetekstTegn"/>
                <w:rFonts w:asciiTheme="minorHAnsi" w:hAnsiTheme="minorHAnsi" w:cstheme="minorHAnsi"/>
              </w:rPr>
              <w:t>1</w:t>
            </w:r>
          </w:p>
        </w:tc>
      </w:tr>
      <w:tr w:rsidR="000A1CDF" w:rsidRPr="00A83E2C" w:rsidTr="0003797E">
        <w:tc>
          <w:tcPr>
            <w:tcW w:w="2414" w:type="dxa"/>
          </w:tcPr>
          <w:p w:rsidR="000A1CDF" w:rsidRPr="00A83E2C" w:rsidRDefault="000A1CDF" w:rsidP="000A1CDF">
            <w:pPr>
              <w:pStyle w:val="paragraph"/>
              <w:spacing w:before="0" w:beforeAutospacing="0" w:after="0" w:afterAutospacing="0"/>
              <w:ind w:left="708"/>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bidi="en-US"/>
              </w:rPr>
              <w:t>Secondary</w:t>
            </w:r>
          </w:p>
          <w:p w:rsidR="000A1CDF" w:rsidRPr="00A83E2C" w:rsidRDefault="000A1CDF" w:rsidP="000A1CDF">
            <w:pPr>
              <w:pStyle w:val="paragraph"/>
              <w:spacing w:before="0" w:beforeAutospacing="0" w:after="0" w:afterAutospacing="0"/>
              <w:ind w:left="708"/>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*6</w:t>
            </w:r>
          </w:p>
        </w:tc>
        <w:tc>
          <w:tcPr>
            <w:tcW w:w="842"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27,4 billion</w:t>
            </w:r>
          </w:p>
        </w:tc>
        <w:tc>
          <w:tcPr>
            <w:tcW w:w="708"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1,25</w:t>
            </w:r>
          </w:p>
        </w:tc>
        <w:tc>
          <w:tcPr>
            <w:tcW w:w="851"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27,3 billion</w:t>
            </w:r>
          </w:p>
        </w:tc>
        <w:tc>
          <w:tcPr>
            <w:tcW w:w="850" w:type="dxa"/>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lang w:eastAsia="en-US" w:bidi="en-US"/>
              </w:rPr>
              <w:t>1,2</w:t>
            </w:r>
            <w:r w:rsidRPr="000A1CDF">
              <w:rPr>
                <w:rStyle w:val="BobletekstTegn"/>
                <w:rFonts w:asciiTheme="minorHAnsi" w:hAnsiTheme="minorHAnsi" w:cstheme="minorHAnsi"/>
                <w:sz w:val="20"/>
                <w:szCs w:val="20"/>
                <w:lang w:eastAsia="en-US" w:bidi="en-US"/>
              </w:rPr>
              <w:t>0</w:t>
            </w:r>
          </w:p>
        </w:tc>
        <w:tc>
          <w:tcPr>
            <w:tcW w:w="1098"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27,9 billi</w:t>
            </w:r>
            <w:r w:rsidRPr="000A1CDF">
              <w:rPr>
                <w:rStyle w:val="FotnotetekstTegn"/>
                <w:rFonts w:asciiTheme="minorHAnsi" w:hAnsiTheme="minorHAnsi" w:cstheme="minorHAnsi"/>
              </w:rPr>
              <w:t>o</w:t>
            </w:r>
            <w:r w:rsidRPr="000A1CDF">
              <w:rPr>
                <w:rStyle w:val="eop"/>
                <w:rFonts w:asciiTheme="minorHAnsi" w:hAnsiTheme="minorHAnsi" w:cstheme="minorHAnsi"/>
                <w:sz w:val="20"/>
                <w:szCs w:val="20"/>
              </w:rPr>
              <w:t>n</w:t>
            </w:r>
          </w:p>
        </w:tc>
        <w:tc>
          <w:tcPr>
            <w:tcW w:w="850"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1,</w:t>
            </w:r>
            <w:r w:rsidRPr="000A1CDF">
              <w:rPr>
                <w:rStyle w:val="FotnotetekstTegn"/>
                <w:rFonts w:asciiTheme="minorHAnsi" w:hAnsiTheme="minorHAnsi" w:cstheme="minorHAnsi"/>
              </w:rPr>
              <w:t>0</w:t>
            </w:r>
            <w:r w:rsidRPr="000A1CDF">
              <w:rPr>
                <w:rStyle w:val="eop"/>
                <w:rFonts w:asciiTheme="minorHAnsi" w:hAnsiTheme="minorHAnsi" w:cstheme="minorHAnsi"/>
                <w:sz w:val="20"/>
                <w:szCs w:val="20"/>
              </w:rPr>
              <w:t>3</w:t>
            </w:r>
          </w:p>
        </w:tc>
        <w:tc>
          <w:tcPr>
            <w:tcW w:w="851"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28,4 billi</w:t>
            </w:r>
            <w:r w:rsidRPr="000A1CDF">
              <w:rPr>
                <w:rStyle w:val="FotnotetekstTegn"/>
                <w:rFonts w:asciiTheme="minorHAnsi" w:hAnsiTheme="minorHAnsi" w:cstheme="minorHAnsi"/>
              </w:rPr>
              <w:t>o</w:t>
            </w:r>
            <w:r w:rsidRPr="000A1CDF">
              <w:rPr>
                <w:rStyle w:val="eop"/>
                <w:rFonts w:asciiTheme="minorHAnsi" w:hAnsiTheme="minorHAnsi" w:cstheme="minorHAnsi"/>
                <w:sz w:val="20"/>
                <w:szCs w:val="20"/>
              </w:rPr>
              <w:t>n</w:t>
            </w:r>
          </w:p>
        </w:tc>
        <w:tc>
          <w:tcPr>
            <w:tcW w:w="845"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1,</w:t>
            </w:r>
            <w:r w:rsidRPr="000A1CDF">
              <w:rPr>
                <w:rStyle w:val="FotnotetekstTegn"/>
                <w:rFonts w:asciiTheme="minorHAnsi" w:hAnsiTheme="minorHAnsi" w:cstheme="minorHAnsi"/>
              </w:rPr>
              <w:t>01</w:t>
            </w:r>
          </w:p>
        </w:tc>
      </w:tr>
      <w:tr w:rsidR="000A1CDF" w:rsidRPr="00A83E2C" w:rsidTr="0003797E">
        <w:tc>
          <w:tcPr>
            <w:tcW w:w="2414" w:type="dxa"/>
          </w:tcPr>
          <w:p w:rsidR="000A1CDF" w:rsidRPr="00A83E2C" w:rsidRDefault="000A1CDF" w:rsidP="000A1CDF">
            <w:pPr>
              <w:pStyle w:val="paragraph"/>
              <w:spacing w:before="0" w:beforeAutospacing="0" w:after="0" w:afterAutospacing="0"/>
              <w:ind w:left="708"/>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bidi="en-US"/>
              </w:rPr>
              <w:t>Vocational education and training</w:t>
            </w:r>
          </w:p>
        </w:tc>
        <w:tc>
          <w:tcPr>
            <w:tcW w:w="842"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2,7 billion</w:t>
            </w:r>
          </w:p>
        </w:tc>
        <w:tc>
          <w:tcPr>
            <w:tcW w:w="708"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0,12</w:t>
            </w:r>
          </w:p>
        </w:tc>
        <w:tc>
          <w:tcPr>
            <w:tcW w:w="851"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2,9 billion</w:t>
            </w:r>
          </w:p>
        </w:tc>
        <w:tc>
          <w:tcPr>
            <w:tcW w:w="850" w:type="dxa"/>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lang w:eastAsia="en-US" w:bidi="en-US"/>
              </w:rPr>
              <w:t>0,</w:t>
            </w:r>
            <w:r w:rsidRPr="000A1CDF">
              <w:rPr>
                <w:rStyle w:val="BobletekstTegn"/>
                <w:rFonts w:asciiTheme="minorHAnsi" w:hAnsiTheme="minorHAnsi" w:cstheme="minorHAnsi"/>
                <w:sz w:val="20"/>
                <w:szCs w:val="20"/>
                <w:lang w:eastAsia="en-US" w:bidi="en-US"/>
              </w:rPr>
              <w:t>13</w:t>
            </w:r>
          </w:p>
        </w:tc>
        <w:tc>
          <w:tcPr>
            <w:tcW w:w="1098"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3,2 bill</w:t>
            </w:r>
            <w:r w:rsidRPr="000A1CDF">
              <w:rPr>
                <w:rStyle w:val="FotnotetekstTegn"/>
                <w:rFonts w:asciiTheme="minorHAnsi" w:hAnsiTheme="minorHAnsi" w:cstheme="minorHAnsi"/>
              </w:rPr>
              <w:t>i</w:t>
            </w:r>
            <w:r w:rsidRPr="000A1CDF">
              <w:rPr>
                <w:rStyle w:val="eop"/>
                <w:rFonts w:asciiTheme="minorHAnsi" w:hAnsiTheme="minorHAnsi" w:cstheme="minorHAnsi"/>
                <w:sz w:val="20"/>
                <w:szCs w:val="20"/>
              </w:rPr>
              <w:t>on</w:t>
            </w:r>
          </w:p>
        </w:tc>
        <w:tc>
          <w:tcPr>
            <w:tcW w:w="850"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0</w:t>
            </w:r>
            <w:r w:rsidRPr="000A1CDF">
              <w:rPr>
                <w:rStyle w:val="FotnotetekstTegn"/>
                <w:rFonts w:asciiTheme="minorHAnsi" w:hAnsiTheme="minorHAnsi" w:cstheme="minorHAnsi"/>
              </w:rPr>
              <w:t>,</w:t>
            </w:r>
            <w:r w:rsidRPr="000A1CDF">
              <w:rPr>
                <w:rStyle w:val="eop"/>
                <w:rFonts w:asciiTheme="minorHAnsi" w:hAnsiTheme="minorHAnsi" w:cstheme="minorHAnsi"/>
                <w:sz w:val="20"/>
                <w:szCs w:val="20"/>
              </w:rPr>
              <w:t>12</w:t>
            </w:r>
          </w:p>
        </w:tc>
        <w:tc>
          <w:tcPr>
            <w:tcW w:w="851"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3,5 bill</w:t>
            </w:r>
            <w:r w:rsidRPr="000A1CDF">
              <w:rPr>
                <w:rStyle w:val="FotnotetekstTegn"/>
                <w:rFonts w:asciiTheme="minorHAnsi" w:hAnsiTheme="minorHAnsi" w:cstheme="minorHAnsi"/>
              </w:rPr>
              <w:t>i</w:t>
            </w:r>
            <w:r w:rsidRPr="000A1CDF">
              <w:rPr>
                <w:rStyle w:val="eop"/>
                <w:rFonts w:asciiTheme="minorHAnsi" w:hAnsiTheme="minorHAnsi" w:cstheme="minorHAnsi"/>
                <w:sz w:val="20"/>
                <w:szCs w:val="20"/>
              </w:rPr>
              <w:t>on</w:t>
            </w:r>
          </w:p>
        </w:tc>
        <w:tc>
          <w:tcPr>
            <w:tcW w:w="845"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0A1CDF">
              <w:rPr>
                <w:rStyle w:val="eop"/>
                <w:rFonts w:asciiTheme="minorHAnsi" w:hAnsiTheme="minorHAnsi" w:cstheme="minorHAnsi"/>
                <w:sz w:val="20"/>
                <w:szCs w:val="20"/>
              </w:rPr>
              <w:t>0</w:t>
            </w:r>
            <w:r w:rsidRPr="000A1CDF">
              <w:rPr>
                <w:rStyle w:val="FotnotetekstTegn"/>
                <w:rFonts w:asciiTheme="minorHAnsi" w:hAnsiTheme="minorHAnsi" w:cstheme="minorHAnsi"/>
              </w:rPr>
              <w:t>,13</w:t>
            </w:r>
          </w:p>
        </w:tc>
      </w:tr>
      <w:tr w:rsidR="000A1CDF" w:rsidRPr="00A83E2C" w:rsidTr="0003797E">
        <w:tc>
          <w:tcPr>
            <w:tcW w:w="2414" w:type="dxa"/>
          </w:tcPr>
          <w:p w:rsidR="000A1CDF" w:rsidRPr="00A83E2C" w:rsidRDefault="000A1CDF" w:rsidP="000A1CDF">
            <w:pPr>
              <w:pStyle w:val="paragraph"/>
              <w:spacing w:before="0" w:beforeAutospacing="0" w:after="0" w:afterAutospacing="0"/>
              <w:ind w:left="708"/>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bidi="en-US"/>
              </w:rPr>
              <w:t>Special education</w:t>
            </w:r>
          </w:p>
          <w:p w:rsidR="000A1CDF" w:rsidRPr="00A83E2C" w:rsidRDefault="000A1CDF" w:rsidP="000A1CDF">
            <w:pPr>
              <w:pStyle w:val="paragraph"/>
              <w:spacing w:before="0" w:beforeAutospacing="0" w:after="0" w:afterAutospacing="0"/>
              <w:ind w:left="708"/>
              <w:textAlignment w:val="baseline"/>
              <w:rPr>
                <w:rStyle w:val="eop"/>
                <w:rFonts w:asciiTheme="minorHAnsi" w:hAnsiTheme="minorHAnsi" w:cstheme="minorHAnsi"/>
                <w:sz w:val="20"/>
                <w:szCs w:val="20"/>
              </w:rPr>
            </w:pPr>
          </w:p>
        </w:tc>
        <w:tc>
          <w:tcPr>
            <w:tcW w:w="842"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2,4 billion</w:t>
            </w:r>
          </w:p>
        </w:tc>
        <w:tc>
          <w:tcPr>
            <w:tcW w:w="708"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0,11</w:t>
            </w:r>
          </w:p>
        </w:tc>
        <w:tc>
          <w:tcPr>
            <w:tcW w:w="851"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2,5 billion</w:t>
            </w:r>
          </w:p>
        </w:tc>
        <w:tc>
          <w:tcPr>
            <w:tcW w:w="850" w:type="dxa"/>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lang w:eastAsia="en-US" w:bidi="en-US"/>
              </w:rPr>
              <w:t>0</w:t>
            </w:r>
            <w:r w:rsidRPr="000A1CDF">
              <w:rPr>
                <w:rStyle w:val="BobletekstTegn"/>
                <w:rFonts w:asciiTheme="minorHAnsi" w:hAnsiTheme="minorHAnsi" w:cstheme="minorHAnsi"/>
                <w:sz w:val="20"/>
                <w:szCs w:val="20"/>
                <w:lang w:eastAsia="en-US" w:bidi="en-US"/>
              </w:rPr>
              <w:t>,11</w:t>
            </w:r>
          </w:p>
        </w:tc>
        <w:tc>
          <w:tcPr>
            <w:tcW w:w="1098"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2,6 bil</w:t>
            </w:r>
            <w:r w:rsidRPr="000A1CDF">
              <w:rPr>
                <w:rStyle w:val="FotnotetekstTegn"/>
                <w:rFonts w:asciiTheme="minorHAnsi" w:hAnsiTheme="minorHAnsi" w:cstheme="minorHAnsi"/>
              </w:rPr>
              <w:t>l</w:t>
            </w:r>
            <w:r w:rsidRPr="000A1CDF">
              <w:rPr>
                <w:rStyle w:val="eop"/>
                <w:rFonts w:asciiTheme="minorHAnsi" w:hAnsiTheme="minorHAnsi" w:cstheme="minorHAnsi"/>
                <w:sz w:val="20"/>
                <w:szCs w:val="20"/>
              </w:rPr>
              <w:t>ion</w:t>
            </w:r>
          </w:p>
        </w:tc>
        <w:tc>
          <w:tcPr>
            <w:tcW w:w="850"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FotnotetekstTegn"/>
                <w:rFonts w:asciiTheme="minorHAnsi" w:hAnsiTheme="minorHAnsi" w:cstheme="minorHAnsi"/>
              </w:rPr>
              <w:t>0</w:t>
            </w:r>
            <w:r w:rsidRPr="000A1CDF">
              <w:rPr>
                <w:rStyle w:val="eop"/>
                <w:rFonts w:asciiTheme="minorHAnsi" w:hAnsiTheme="minorHAnsi" w:cstheme="minorHAnsi"/>
                <w:sz w:val="20"/>
                <w:szCs w:val="20"/>
              </w:rPr>
              <w:t>,10</w:t>
            </w:r>
          </w:p>
        </w:tc>
        <w:tc>
          <w:tcPr>
            <w:tcW w:w="851" w:type="dxa"/>
            <w:shd w:val="clear" w:color="auto" w:fill="auto"/>
          </w:tcPr>
          <w:p w:rsidR="000A1CDF" w:rsidRPr="000A1CDF" w:rsidRDefault="000A1CDF" w:rsidP="000A1CDF">
            <w:pPr>
              <w:pStyle w:val="Bobletekst"/>
              <w:rPr>
                <w:rStyle w:val="BobletekstTegn"/>
                <w:rFonts w:asciiTheme="minorHAnsi" w:hAnsiTheme="minorHAnsi" w:cstheme="minorHAnsi"/>
                <w:sz w:val="20"/>
                <w:szCs w:val="20"/>
              </w:rPr>
            </w:pPr>
            <w:r w:rsidRPr="000A1CDF">
              <w:rPr>
                <w:rStyle w:val="eop"/>
                <w:rFonts w:asciiTheme="minorHAnsi" w:hAnsiTheme="minorHAnsi" w:cstheme="minorHAnsi"/>
                <w:sz w:val="20"/>
                <w:szCs w:val="20"/>
              </w:rPr>
              <w:t>2,7 bil</w:t>
            </w:r>
            <w:r w:rsidRPr="000A1CDF">
              <w:rPr>
                <w:rStyle w:val="FotnotetekstTegn"/>
                <w:rFonts w:asciiTheme="minorHAnsi" w:hAnsiTheme="minorHAnsi" w:cstheme="minorHAnsi"/>
              </w:rPr>
              <w:t>l</w:t>
            </w:r>
            <w:r w:rsidRPr="000A1CDF">
              <w:rPr>
                <w:rStyle w:val="eop"/>
                <w:rFonts w:asciiTheme="minorHAnsi" w:hAnsiTheme="minorHAnsi" w:cstheme="minorHAnsi"/>
                <w:sz w:val="20"/>
                <w:szCs w:val="20"/>
              </w:rPr>
              <w:t>ion</w:t>
            </w:r>
          </w:p>
        </w:tc>
        <w:tc>
          <w:tcPr>
            <w:tcW w:w="845"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0A1CDF">
              <w:rPr>
                <w:rStyle w:val="FotnotetekstTegn"/>
                <w:rFonts w:asciiTheme="minorHAnsi" w:hAnsiTheme="minorHAnsi" w:cstheme="minorHAnsi"/>
              </w:rPr>
              <w:t>0,10</w:t>
            </w:r>
          </w:p>
        </w:tc>
      </w:tr>
      <w:tr w:rsidR="000A1CDF" w:rsidRPr="00A83E2C" w:rsidTr="0003797E">
        <w:tc>
          <w:tcPr>
            <w:tcW w:w="2414"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b/>
                <w:sz w:val="20"/>
                <w:szCs w:val="20"/>
              </w:rPr>
            </w:pPr>
            <w:r w:rsidRPr="00A83E2C">
              <w:rPr>
                <w:rStyle w:val="eop"/>
                <w:rFonts w:asciiTheme="minorHAnsi" w:hAnsiTheme="minorHAnsi" w:cstheme="minorHAnsi"/>
                <w:b/>
                <w:sz w:val="20"/>
                <w:szCs w:val="20"/>
                <w:lang w:eastAsia="en-US" w:bidi="en-US"/>
              </w:rPr>
              <w:t>(e) Child protection measures, including prevention of violence, child labour and sexual exploitation, and rehabilitation programmes</w:t>
            </w:r>
          </w:p>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*8, *9</w:t>
            </w:r>
          </w:p>
        </w:tc>
        <w:tc>
          <w:tcPr>
            <w:tcW w:w="842"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r w:rsidRPr="00A83E2C">
              <w:rPr>
                <w:rStyle w:val="eop"/>
                <w:rFonts w:asciiTheme="minorHAnsi" w:hAnsiTheme="minorHAnsi" w:cstheme="minorHAnsi"/>
                <w:sz w:val="20"/>
                <w:szCs w:val="20"/>
                <w:lang w:eastAsia="en-US" w:bidi="en-US"/>
              </w:rPr>
              <w:t>See below</w:t>
            </w:r>
          </w:p>
        </w:tc>
        <w:tc>
          <w:tcPr>
            <w:tcW w:w="708"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p>
        </w:tc>
        <w:tc>
          <w:tcPr>
            <w:tcW w:w="851" w:type="dxa"/>
          </w:tcPr>
          <w:p w:rsidR="000A1CDF" w:rsidRPr="00A83E2C"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p>
        </w:tc>
        <w:tc>
          <w:tcPr>
            <w:tcW w:w="850" w:type="dxa"/>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p>
        </w:tc>
        <w:tc>
          <w:tcPr>
            <w:tcW w:w="1098"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p>
        </w:tc>
        <w:tc>
          <w:tcPr>
            <w:tcW w:w="850"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p>
        </w:tc>
        <w:tc>
          <w:tcPr>
            <w:tcW w:w="851"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p>
        </w:tc>
        <w:tc>
          <w:tcPr>
            <w:tcW w:w="845" w:type="dxa"/>
            <w:shd w:val="clear" w:color="auto" w:fill="auto"/>
          </w:tcPr>
          <w:p w:rsidR="000A1CDF" w:rsidRPr="000A1CDF" w:rsidRDefault="000A1CDF" w:rsidP="000A1CDF">
            <w:pPr>
              <w:pStyle w:val="paragraph"/>
              <w:spacing w:before="0" w:beforeAutospacing="0" w:after="0" w:afterAutospacing="0"/>
              <w:textAlignment w:val="baseline"/>
              <w:rPr>
                <w:rStyle w:val="eop"/>
                <w:rFonts w:asciiTheme="minorHAnsi" w:hAnsiTheme="minorHAnsi" w:cstheme="minorHAnsi"/>
                <w:sz w:val="20"/>
                <w:szCs w:val="20"/>
              </w:rPr>
            </w:pPr>
          </w:p>
        </w:tc>
      </w:tr>
    </w:tbl>
    <w:p w:rsidR="00295772" w:rsidRPr="00A83E2C" w:rsidRDefault="00295772" w:rsidP="00295772">
      <w:pPr>
        <w:rPr>
          <w:rFonts w:asciiTheme="minorHAnsi" w:hAnsiTheme="minorHAnsi" w:cstheme="minorHAnsi"/>
          <w:b/>
          <w:sz w:val="20"/>
          <w:lang w:val="en-GB" w:eastAsia="nb-NO"/>
        </w:rPr>
      </w:pPr>
    </w:p>
    <w:p w:rsidR="00295772" w:rsidRPr="00A83E2C" w:rsidRDefault="00295772" w:rsidP="00295772">
      <w:pPr>
        <w:rPr>
          <w:rFonts w:asciiTheme="minorHAnsi" w:hAnsiTheme="minorHAnsi" w:cstheme="minorHAnsi"/>
          <w:sz w:val="20"/>
          <w:lang w:val="en-GB"/>
        </w:rPr>
      </w:pPr>
      <w:r w:rsidRPr="00A83E2C">
        <w:rPr>
          <w:rFonts w:asciiTheme="minorHAnsi" w:hAnsiTheme="minorHAnsi" w:cstheme="minorHAnsi"/>
          <w:b/>
          <w:sz w:val="20"/>
          <w:lang w:val="en-GB" w:eastAsia="nb-NO" w:bidi="en-GB"/>
        </w:rPr>
        <w:t>Ad (b) Health services, in particular primary health services</w:t>
      </w:r>
    </w:p>
    <w:p w:rsidR="00295772" w:rsidRPr="00A83E2C" w:rsidRDefault="00295772" w:rsidP="00295772">
      <w:pPr>
        <w:rPr>
          <w:rFonts w:asciiTheme="minorHAnsi" w:hAnsiTheme="minorHAnsi" w:cstheme="minorHAnsi"/>
          <w:sz w:val="20"/>
          <w:lang w:val="en-GB"/>
        </w:rPr>
      </w:pPr>
      <w:r w:rsidRPr="00A83E2C">
        <w:rPr>
          <w:rFonts w:asciiTheme="minorHAnsi" w:hAnsiTheme="minorHAnsi" w:cstheme="minorHAnsi"/>
          <w:sz w:val="20"/>
          <w:lang w:val="en-GB" w:bidi="en-GB"/>
        </w:rPr>
        <w:t xml:space="preserve">*1 </w:t>
      </w:r>
    </w:p>
    <w:p w:rsidR="00295772" w:rsidRPr="00A83E2C" w:rsidRDefault="00295772" w:rsidP="00295772">
      <w:pPr>
        <w:rPr>
          <w:rFonts w:asciiTheme="minorHAnsi" w:hAnsiTheme="minorHAnsi" w:cstheme="minorHAnsi"/>
          <w:sz w:val="20"/>
          <w:lang w:val="en-GB"/>
        </w:rPr>
      </w:pPr>
      <w:proofErr w:type="gramStart"/>
      <w:r w:rsidRPr="00A83E2C">
        <w:rPr>
          <w:rFonts w:asciiTheme="minorHAnsi" w:hAnsiTheme="minorHAnsi" w:cstheme="minorHAnsi"/>
          <w:sz w:val="20"/>
          <w:lang w:val="en-GB" w:bidi="en-GB"/>
        </w:rPr>
        <w:t>includes</w:t>
      </w:r>
      <w:proofErr w:type="gramEnd"/>
      <w:r w:rsidRPr="00A83E2C">
        <w:rPr>
          <w:rFonts w:asciiTheme="minorHAnsi" w:hAnsiTheme="minorHAnsi" w:cstheme="minorHAnsi"/>
          <w:sz w:val="20"/>
          <w:lang w:val="en-GB" w:bidi="en-GB"/>
        </w:rPr>
        <w:t xml:space="preserve"> gross operating expenditure for preventive health care, school/health centre in municipalities. It does not include expenditures for children and youth attached to other primary health services such as:   </w:t>
      </w:r>
    </w:p>
    <w:p w:rsidR="00295772" w:rsidRPr="00A83E2C" w:rsidRDefault="00295772" w:rsidP="00295772">
      <w:pPr>
        <w:pStyle w:val="Listeavsnitt"/>
        <w:numPr>
          <w:ilvl w:val="0"/>
          <w:numId w:val="3"/>
        </w:numPr>
        <w:rPr>
          <w:rFonts w:asciiTheme="minorHAnsi" w:hAnsiTheme="minorHAnsi" w:cstheme="minorHAnsi"/>
          <w:sz w:val="20"/>
          <w:lang w:val="en-GB"/>
        </w:rPr>
      </w:pPr>
      <w:r w:rsidRPr="00A83E2C">
        <w:rPr>
          <w:rFonts w:asciiTheme="minorHAnsi" w:hAnsiTheme="minorHAnsi" w:cstheme="minorHAnsi"/>
          <w:sz w:val="20"/>
          <w:lang w:val="en-GB" w:bidi="en-GB"/>
        </w:rPr>
        <w:t>Preventive health care</w:t>
      </w:r>
    </w:p>
    <w:p w:rsidR="00295772" w:rsidRPr="00A83E2C" w:rsidRDefault="00295772" w:rsidP="00295772">
      <w:pPr>
        <w:pStyle w:val="Listeavsnitt"/>
        <w:numPr>
          <w:ilvl w:val="0"/>
          <w:numId w:val="3"/>
        </w:numPr>
        <w:rPr>
          <w:rFonts w:asciiTheme="minorHAnsi" w:hAnsiTheme="minorHAnsi" w:cstheme="minorHAnsi"/>
          <w:sz w:val="20"/>
          <w:lang w:val="en-GB"/>
        </w:rPr>
      </w:pPr>
      <w:r w:rsidRPr="00A83E2C">
        <w:rPr>
          <w:rFonts w:asciiTheme="minorHAnsi" w:hAnsiTheme="minorHAnsi" w:cstheme="minorHAnsi"/>
          <w:sz w:val="20"/>
          <w:lang w:val="en-GB" w:bidi="en-GB"/>
        </w:rPr>
        <w:t>Diagnosis, treatment and rehabilitation</w:t>
      </w:r>
    </w:p>
    <w:p w:rsidR="00295772" w:rsidRPr="00A83E2C" w:rsidRDefault="00295772" w:rsidP="00295772">
      <w:pPr>
        <w:pStyle w:val="Listeavsnitt"/>
        <w:numPr>
          <w:ilvl w:val="0"/>
          <w:numId w:val="3"/>
        </w:numPr>
        <w:rPr>
          <w:rFonts w:asciiTheme="minorHAnsi" w:hAnsiTheme="minorHAnsi" w:cstheme="minorHAnsi"/>
          <w:sz w:val="20"/>
          <w:lang w:val="en-GB"/>
        </w:rPr>
      </w:pPr>
      <w:r w:rsidRPr="00A83E2C">
        <w:rPr>
          <w:rFonts w:asciiTheme="minorHAnsi" w:hAnsiTheme="minorHAnsi" w:cstheme="minorHAnsi"/>
          <w:sz w:val="20"/>
          <w:lang w:val="en-GB" w:bidi="en-GB"/>
        </w:rPr>
        <w:t>Nursing and care services in institutions</w:t>
      </w:r>
    </w:p>
    <w:p w:rsidR="00295772" w:rsidRPr="00A83E2C" w:rsidRDefault="00295772" w:rsidP="00295772">
      <w:pPr>
        <w:pStyle w:val="Listeavsnitt"/>
        <w:numPr>
          <w:ilvl w:val="0"/>
          <w:numId w:val="3"/>
        </w:numPr>
        <w:rPr>
          <w:rFonts w:asciiTheme="minorHAnsi" w:hAnsiTheme="minorHAnsi" w:cstheme="minorHAnsi"/>
          <w:sz w:val="20"/>
          <w:lang w:val="en-GB"/>
        </w:rPr>
      </w:pPr>
      <w:r w:rsidRPr="00A83E2C">
        <w:rPr>
          <w:rFonts w:asciiTheme="minorHAnsi" w:hAnsiTheme="minorHAnsi" w:cstheme="minorHAnsi"/>
          <w:sz w:val="20"/>
          <w:lang w:val="en-GB" w:bidi="en-GB"/>
        </w:rPr>
        <w:t>Nursing and care services, home-based</w:t>
      </w:r>
    </w:p>
    <w:p w:rsidR="00295772" w:rsidRPr="00A83E2C" w:rsidRDefault="00295772" w:rsidP="00295772">
      <w:pPr>
        <w:pStyle w:val="Listeavsnitt"/>
        <w:numPr>
          <w:ilvl w:val="0"/>
          <w:numId w:val="3"/>
        </w:numPr>
        <w:rPr>
          <w:rFonts w:asciiTheme="minorHAnsi" w:hAnsiTheme="minorHAnsi" w:cstheme="minorHAnsi"/>
          <w:sz w:val="20"/>
          <w:lang w:val="en-GB"/>
        </w:rPr>
      </w:pPr>
      <w:r w:rsidRPr="00A83E2C">
        <w:rPr>
          <w:rFonts w:asciiTheme="minorHAnsi" w:hAnsiTheme="minorHAnsi" w:cstheme="minorHAnsi"/>
          <w:sz w:val="20"/>
          <w:lang w:val="en-GB" w:bidi="en-GB"/>
        </w:rPr>
        <w:t>Emergency health and care services</w:t>
      </w:r>
    </w:p>
    <w:p w:rsidR="00295772" w:rsidRPr="00A83E2C" w:rsidRDefault="00295772" w:rsidP="00295772">
      <w:pPr>
        <w:overflowPunct/>
        <w:autoSpaceDE/>
        <w:autoSpaceDN/>
        <w:adjustRightInd/>
        <w:spacing w:line="276" w:lineRule="auto"/>
        <w:textAlignment w:val="auto"/>
        <w:rPr>
          <w:rFonts w:asciiTheme="minorHAnsi" w:hAnsiTheme="minorHAnsi" w:cstheme="minorHAnsi"/>
          <w:sz w:val="20"/>
          <w:lang w:val="en-GB" w:eastAsia="nb-NO"/>
        </w:rPr>
      </w:pPr>
      <w:r w:rsidRPr="00A83E2C">
        <w:rPr>
          <w:rFonts w:asciiTheme="minorHAnsi" w:hAnsiTheme="minorHAnsi" w:cstheme="minorHAnsi"/>
          <w:sz w:val="20"/>
          <w:lang w:val="en-GB" w:eastAsia="nb-NO" w:bidi="en-GB"/>
        </w:rPr>
        <w:t xml:space="preserve">*2 </w:t>
      </w:r>
    </w:p>
    <w:p w:rsidR="00295772" w:rsidRPr="00A83E2C" w:rsidRDefault="00295772" w:rsidP="00295772">
      <w:pPr>
        <w:overflowPunct/>
        <w:autoSpaceDE/>
        <w:autoSpaceDN/>
        <w:adjustRightInd/>
        <w:spacing w:line="276" w:lineRule="auto"/>
        <w:textAlignment w:val="auto"/>
        <w:rPr>
          <w:rFonts w:asciiTheme="minorHAnsi" w:hAnsiTheme="minorHAnsi" w:cstheme="minorHAnsi"/>
          <w:sz w:val="20"/>
          <w:lang w:val="en-GB" w:eastAsia="nb-NO"/>
        </w:rPr>
      </w:pPr>
      <w:r w:rsidRPr="00A83E2C">
        <w:rPr>
          <w:rFonts w:asciiTheme="minorHAnsi" w:hAnsiTheme="minorHAnsi" w:cstheme="minorHAnsi"/>
          <w:sz w:val="20"/>
          <w:lang w:val="en-GB" w:eastAsia="nb-NO" w:bidi="en-GB"/>
        </w:rPr>
        <w:t>Preliminary figures for GDP in 2015.</w:t>
      </w:r>
    </w:p>
    <w:p w:rsidR="00295772" w:rsidRPr="00A83E2C" w:rsidRDefault="00295772" w:rsidP="00295772">
      <w:pPr>
        <w:overflowPunct/>
        <w:autoSpaceDE/>
        <w:autoSpaceDN/>
        <w:adjustRightInd/>
        <w:spacing w:line="276" w:lineRule="auto"/>
        <w:textAlignment w:val="auto"/>
        <w:rPr>
          <w:rFonts w:asciiTheme="minorHAnsi" w:eastAsiaTheme="majorEastAsia" w:hAnsiTheme="minorHAnsi" w:cstheme="minorHAnsi"/>
          <w:b/>
          <w:color w:val="000000" w:themeColor="text1"/>
          <w:sz w:val="20"/>
          <w:lang w:val="en-GB"/>
        </w:rPr>
      </w:pPr>
    </w:p>
    <w:p w:rsidR="00295772" w:rsidRPr="00A83E2C" w:rsidRDefault="00295772" w:rsidP="00295772">
      <w:pPr>
        <w:overflowPunct/>
        <w:autoSpaceDE/>
        <w:autoSpaceDN/>
        <w:adjustRightInd/>
        <w:spacing w:line="276" w:lineRule="auto"/>
        <w:textAlignment w:val="auto"/>
        <w:rPr>
          <w:rFonts w:asciiTheme="minorHAnsi" w:eastAsiaTheme="majorEastAsia" w:hAnsiTheme="minorHAnsi" w:cstheme="minorHAnsi"/>
          <w:b/>
          <w:color w:val="000000" w:themeColor="text1"/>
          <w:sz w:val="20"/>
          <w:lang w:val="en-GB"/>
        </w:rPr>
      </w:pPr>
      <w:r w:rsidRPr="00A83E2C">
        <w:rPr>
          <w:rFonts w:asciiTheme="minorHAnsi" w:eastAsiaTheme="majorEastAsia" w:hAnsiTheme="minorHAnsi" w:cstheme="minorHAnsi"/>
          <w:b/>
          <w:color w:val="000000" w:themeColor="text1"/>
          <w:sz w:val="20"/>
          <w:lang w:val="en-GB" w:bidi="en-GB"/>
        </w:rPr>
        <w:t>Ad (c) Early childhood development (care and education)</w:t>
      </w:r>
    </w:p>
    <w:p w:rsidR="00295772" w:rsidRPr="00A83E2C" w:rsidRDefault="00295772" w:rsidP="00295772">
      <w:pPr>
        <w:pStyle w:val="Fotnotetekst"/>
        <w:rPr>
          <w:rFonts w:asciiTheme="minorHAnsi" w:eastAsiaTheme="majorEastAsia" w:hAnsiTheme="minorHAnsi" w:cstheme="minorHAnsi"/>
          <w:b/>
          <w:color w:val="000000" w:themeColor="text1"/>
          <w:lang w:val="en-GB"/>
        </w:rPr>
      </w:pPr>
      <w:r w:rsidRPr="00A83E2C">
        <w:rPr>
          <w:rFonts w:asciiTheme="minorHAnsi" w:eastAsiaTheme="majorEastAsia" w:hAnsiTheme="minorHAnsi" w:cstheme="minorHAnsi"/>
          <w:b/>
          <w:color w:val="000000" w:themeColor="text1"/>
          <w:lang w:val="en-GB" w:bidi="en-GB"/>
        </w:rPr>
        <w:t>*</w:t>
      </w:r>
      <w:r w:rsidRPr="00A83E2C">
        <w:rPr>
          <w:rFonts w:asciiTheme="minorHAnsi" w:eastAsiaTheme="majorEastAsia" w:hAnsiTheme="minorHAnsi" w:cstheme="minorHAnsi"/>
          <w:color w:val="000000" w:themeColor="text1"/>
          <w:lang w:val="en-GB" w:bidi="en-GB"/>
        </w:rPr>
        <w:t xml:space="preserve">3 </w:t>
      </w:r>
    </w:p>
    <w:p w:rsidR="00295772" w:rsidRPr="00A83E2C" w:rsidRDefault="00295772" w:rsidP="00295772">
      <w:pPr>
        <w:pStyle w:val="Fotnotetekst"/>
        <w:rPr>
          <w:rFonts w:asciiTheme="minorHAnsi" w:hAnsiTheme="minorHAnsi" w:cstheme="minorHAnsi"/>
          <w:lang w:val="en-GB"/>
        </w:rPr>
      </w:pPr>
      <w:r w:rsidRPr="00A83E2C">
        <w:rPr>
          <w:rFonts w:asciiTheme="minorHAnsi" w:eastAsiaTheme="majorEastAsia" w:hAnsiTheme="minorHAnsi" w:cstheme="minorHAnsi"/>
          <w:color w:val="000000" w:themeColor="text1"/>
          <w:lang w:val="en-GB" w:bidi="en-GB"/>
        </w:rPr>
        <w:t>The numbers concern early childhood education and care</w:t>
      </w:r>
      <w:r w:rsidRPr="00A83E2C">
        <w:rPr>
          <w:rFonts w:asciiTheme="minorHAnsi" w:eastAsiaTheme="majorEastAsia" w:hAnsiTheme="minorHAnsi" w:cstheme="minorHAnsi"/>
          <w:b/>
          <w:color w:val="000000" w:themeColor="text1"/>
          <w:lang w:val="en-GB" w:bidi="en-GB"/>
        </w:rPr>
        <w:t xml:space="preserve"> (</w:t>
      </w:r>
      <w:r w:rsidRPr="00A83E2C">
        <w:rPr>
          <w:rFonts w:asciiTheme="minorHAnsi" w:hAnsiTheme="minorHAnsi" w:cstheme="minorHAnsi"/>
          <w:lang w:val="en-GB" w:bidi="en-GB"/>
        </w:rPr>
        <w:t>ECEC), the numbers do not include social services such as child protection services or maternal and child health centre.</w:t>
      </w:r>
    </w:p>
    <w:p w:rsidR="00295772" w:rsidRPr="00A83E2C" w:rsidRDefault="00295772" w:rsidP="00295772">
      <w:pPr>
        <w:overflowPunct/>
        <w:autoSpaceDE/>
        <w:autoSpaceDN/>
        <w:adjustRightInd/>
        <w:spacing w:line="276" w:lineRule="auto"/>
        <w:textAlignment w:val="auto"/>
        <w:rPr>
          <w:rFonts w:asciiTheme="minorHAnsi" w:hAnsiTheme="minorHAnsi" w:cstheme="minorHAnsi"/>
          <w:sz w:val="20"/>
          <w:lang w:val="en-GB" w:eastAsia="nb-NO"/>
        </w:rPr>
      </w:pPr>
    </w:p>
    <w:p w:rsidR="00295772" w:rsidRPr="00A83E2C" w:rsidRDefault="00295772" w:rsidP="00295772">
      <w:pPr>
        <w:overflowPunct/>
        <w:autoSpaceDE/>
        <w:autoSpaceDN/>
        <w:adjustRightInd/>
        <w:spacing w:line="276" w:lineRule="auto"/>
        <w:textAlignment w:val="auto"/>
        <w:rPr>
          <w:rFonts w:asciiTheme="minorHAnsi" w:hAnsiTheme="minorHAnsi" w:cstheme="minorHAnsi"/>
          <w:b/>
          <w:sz w:val="20"/>
          <w:lang w:val="en-GB" w:eastAsia="nb-NO"/>
        </w:rPr>
      </w:pPr>
      <w:r w:rsidRPr="00A83E2C">
        <w:rPr>
          <w:rFonts w:asciiTheme="minorHAnsi" w:hAnsiTheme="minorHAnsi" w:cstheme="minorHAnsi"/>
          <w:b/>
          <w:sz w:val="20"/>
          <w:lang w:val="en-GB" w:eastAsia="nb-NO" w:bidi="en-GB"/>
        </w:rPr>
        <w:t xml:space="preserve">Ad (d) Education (primary, secondary, vocational </w:t>
      </w:r>
      <w:proofErr w:type="gramStart"/>
      <w:r w:rsidRPr="00A83E2C">
        <w:rPr>
          <w:rFonts w:asciiTheme="minorHAnsi" w:hAnsiTheme="minorHAnsi" w:cstheme="minorHAnsi"/>
          <w:b/>
          <w:sz w:val="20"/>
          <w:lang w:val="en-GB" w:eastAsia="nb-NO" w:bidi="en-GB"/>
        </w:rPr>
        <w:t>education and training</w:t>
      </w:r>
      <w:proofErr w:type="gramEnd"/>
      <w:r w:rsidRPr="00A83E2C">
        <w:rPr>
          <w:rFonts w:asciiTheme="minorHAnsi" w:hAnsiTheme="minorHAnsi" w:cstheme="minorHAnsi"/>
          <w:b/>
          <w:sz w:val="20"/>
          <w:lang w:val="en-GB" w:eastAsia="nb-NO" w:bidi="en-GB"/>
        </w:rPr>
        <w:t xml:space="preserve"> and special education)</w:t>
      </w:r>
    </w:p>
    <w:p w:rsidR="00295772" w:rsidRPr="00A83E2C" w:rsidRDefault="00295772" w:rsidP="00295772">
      <w:pPr>
        <w:overflowPunct/>
        <w:autoSpaceDE/>
        <w:autoSpaceDN/>
        <w:adjustRightInd/>
        <w:spacing w:line="276" w:lineRule="auto"/>
        <w:textAlignment w:val="auto"/>
        <w:rPr>
          <w:rFonts w:asciiTheme="minorHAnsi" w:hAnsiTheme="minorHAnsi" w:cstheme="minorHAnsi"/>
          <w:sz w:val="20"/>
          <w:lang w:val="en-GB" w:eastAsia="nb-NO"/>
        </w:rPr>
      </w:pPr>
      <w:r w:rsidRPr="00A83E2C">
        <w:rPr>
          <w:rFonts w:asciiTheme="minorHAnsi" w:hAnsiTheme="minorHAnsi" w:cstheme="minorHAnsi"/>
          <w:sz w:val="20"/>
          <w:lang w:val="en-GB" w:eastAsia="nb-NO" w:bidi="en-GB"/>
        </w:rPr>
        <w:t xml:space="preserve">*4 </w:t>
      </w:r>
    </w:p>
    <w:p w:rsidR="00295772" w:rsidRPr="00A83E2C" w:rsidRDefault="00295772" w:rsidP="00295772">
      <w:pPr>
        <w:overflowPunct/>
        <w:autoSpaceDE/>
        <w:autoSpaceDN/>
        <w:adjustRightInd/>
        <w:spacing w:line="276" w:lineRule="auto"/>
        <w:textAlignment w:val="auto"/>
        <w:rPr>
          <w:rFonts w:asciiTheme="minorHAnsi" w:hAnsiTheme="minorHAnsi" w:cstheme="minorHAnsi"/>
          <w:sz w:val="20"/>
          <w:lang w:val="en-GB"/>
        </w:rPr>
      </w:pPr>
      <w:r w:rsidRPr="00A83E2C">
        <w:rPr>
          <w:rFonts w:asciiTheme="minorHAnsi" w:hAnsiTheme="minorHAnsi" w:cstheme="minorHAnsi"/>
          <w:sz w:val="20"/>
          <w:lang w:val="en-GB" w:bidi="en-GB"/>
        </w:rPr>
        <w:t xml:space="preserve">Numbers on total expenditure </w:t>
      </w:r>
      <w:proofErr w:type="gramStart"/>
      <w:r w:rsidRPr="00A83E2C">
        <w:rPr>
          <w:rFonts w:asciiTheme="minorHAnsi" w:hAnsiTheme="minorHAnsi" w:cstheme="minorHAnsi"/>
          <w:sz w:val="20"/>
          <w:lang w:val="en-GB" w:bidi="en-GB"/>
        </w:rPr>
        <w:t>are retrieved</w:t>
      </w:r>
      <w:proofErr w:type="gramEnd"/>
      <w:r w:rsidRPr="00A83E2C">
        <w:rPr>
          <w:rFonts w:asciiTheme="minorHAnsi" w:hAnsiTheme="minorHAnsi" w:cstheme="minorHAnsi"/>
          <w:sz w:val="20"/>
          <w:lang w:val="en-GB" w:bidi="en-GB"/>
        </w:rPr>
        <w:t xml:space="preserve"> from Statistics Norway</w:t>
      </w:r>
    </w:p>
    <w:p w:rsidR="00295772" w:rsidRPr="00A83E2C" w:rsidRDefault="00295772" w:rsidP="00295772">
      <w:pPr>
        <w:pStyle w:val="Fotnotetekst"/>
        <w:rPr>
          <w:rFonts w:asciiTheme="minorHAnsi" w:hAnsiTheme="minorHAnsi" w:cstheme="minorHAnsi"/>
          <w:lang w:val="en-GB" w:eastAsia="nb-NO"/>
        </w:rPr>
      </w:pPr>
      <w:r w:rsidRPr="00A83E2C">
        <w:rPr>
          <w:rFonts w:asciiTheme="minorHAnsi" w:hAnsiTheme="minorHAnsi" w:cstheme="minorHAnsi"/>
          <w:lang w:val="en-GB" w:eastAsia="nb-NO" w:bidi="en-GB"/>
        </w:rPr>
        <w:t xml:space="preserve">*5 </w:t>
      </w:r>
    </w:p>
    <w:p w:rsidR="00295772" w:rsidRPr="00A83E2C" w:rsidRDefault="00295772" w:rsidP="00295772">
      <w:pPr>
        <w:pStyle w:val="Fotnotetekst"/>
        <w:rPr>
          <w:rFonts w:asciiTheme="minorHAnsi" w:hAnsiTheme="minorHAnsi" w:cstheme="minorHAnsi"/>
          <w:lang w:val="en-GB"/>
        </w:rPr>
      </w:pPr>
      <w:r w:rsidRPr="00A83E2C">
        <w:rPr>
          <w:rFonts w:asciiTheme="minorHAnsi" w:hAnsiTheme="minorHAnsi" w:cstheme="minorHAnsi"/>
          <w:lang w:val="en-GB" w:bidi="en-GB"/>
        </w:rPr>
        <w:t>This covers the cost of tuition and materials, the cost of running and maintaining school premises, and expenditure on transport between home and school.</w:t>
      </w:r>
    </w:p>
    <w:p w:rsidR="00295772" w:rsidRPr="00A83E2C" w:rsidRDefault="00295772" w:rsidP="00295772">
      <w:pPr>
        <w:pStyle w:val="Fotnotetekst"/>
        <w:rPr>
          <w:rFonts w:asciiTheme="minorHAnsi" w:hAnsiTheme="minorHAnsi" w:cstheme="minorHAnsi"/>
          <w:lang w:val="en-GB" w:eastAsia="nb-NO"/>
        </w:rPr>
      </w:pPr>
      <w:r w:rsidRPr="00A83E2C">
        <w:rPr>
          <w:rFonts w:asciiTheme="minorHAnsi" w:hAnsiTheme="minorHAnsi" w:cstheme="minorHAnsi"/>
          <w:lang w:val="en-GB" w:eastAsia="nb-NO" w:bidi="en-GB"/>
        </w:rPr>
        <w:t xml:space="preserve">*6 </w:t>
      </w:r>
    </w:p>
    <w:p w:rsidR="00295772" w:rsidRPr="00A83E2C" w:rsidRDefault="00295772" w:rsidP="00295772">
      <w:pPr>
        <w:pStyle w:val="Fotnotetekst"/>
        <w:rPr>
          <w:rFonts w:asciiTheme="minorHAnsi" w:hAnsiTheme="minorHAnsi" w:cstheme="minorHAnsi"/>
          <w:lang w:val="en-GB"/>
        </w:rPr>
      </w:pPr>
      <w:r w:rsidRPr="00A83E2C">
        <w:rPr>
          <w:rFonts w:asciiTheme="minorHAnsi" w:hAnsiTheme="minorHAnsi" w:cstheme="minorHAnsi"/>
          <w:lang w:val="en-GB" w:eastAsia="nb-NO" w:bidi="en-GB"/>
        </w:rPr>
        <w:t>This covers the cost of tuition and materials, the cost of running and maintaining school premises.</w:t>
      </w:r>
    </w:p>
    <w:p w:rsidR="00295772" w:rsidRPr="00A83E2C" w:rsidRDefault="00295772" w:rsidP="00295772">
      <w:pPr>
        <w:rPr>
          <w:sz w:val="24"/>
          <w:szCs w:val="24"/>
          <w:lang w:val="en-GB"/>
        </w:rPr>
      </w:pPr>
    </w:p>
    <w:p w:rsidR="00295772" w:rsidRPr="00A83E2C" w:rsidRDefault="00295772" w:rsidP="00295772">
      <w:pPr>
        <w:overflowPunct/>
        <w:autoSpaceDE/>
        <w:autoSpaceDN/>
        <w:adjustRightInd/>
        <w:spacing w:line="276" w:lineRule="auto"/>
        <w:textAlignment w:val="auto"/>
        <w:rPr>
          <w:rFonts w:asciiTheme="minorHAnsi" w:hAnsiTheme="minorHAnsi" w:cstheme="minorHAnsi"/>
          <w:b/>
          <w:sz w:val="20"/>
          <w:lang w:val="en-GB"/>
        </w:rPr>
      </w:pPr>
      <w:r w:rsidRPr="00A83E2C">
        <w:rPr>
          <w:rFonts w:asciiTheme="minorHAnsi" w:hAnsiTheme="minorHAnsi" w:cstheme="minorHAnsi"/>
          <w:b/>
          <w:sz w:val="20"/>
          <w:lang w:val="en-GB" w:eastAsia="nb-NO" w:bidi="en-GB"/>
        </w:rPr>
        <w:t>Ad e) Child protection measures, including the prevention of violence, child labour and sexual exploitation, and rehabilitation programmes.</w:t>
      </w:r>
    </w:p>
    <w:p w:rsidR="00295772" w:rsidRPr="00A83E2C" w:rsidRDefault="00295772" w:rsidP="00295772">
      <w:pPr>
        <w:rPr>
          <w:rFonts w:asciiTheme="minorHAnsi" w:hAnsiTheme="minorHAnsi" w:cstheme="minorHAnsi"/>
          <w:sz w:val="20"/>
          <w:lang w:val="en-GB"/>
        </w:rPr>
      </w:pPr>
      <w:r w:rsidRPr="00A83E2C">
        <w:rPr>
          <w:rFonts w:asciiTheme="minorHAnsi" w:hAnsiTheme="minorHAnsi" w:cstheme="minorHAnsi"/>
          <w:sz w:val="20"/>
          <w:lang w:val="en-GB" w:bidi="en-GB"/>
        </w:rPr>
        <w:t xml:space="preserve">*8 </w:t>
      </w:r>
    </w:p>
    <w:p w:rsidR="00295772" w:rsidRPr="00A83E2C" w:rsidRDefault="00295772" w:rsidP="00295772">
      <w:pPr>
        <w:rPr>
          <w:rFonts w:asciiTheme="minorHAnsi" w:hAnsiTheme="minorHAnsi" w:cstheme="minorHAnsi"/>
          <w:sz w:val="20"/>
          <w:lang w:val="en-GB"/>
        </w:rPr>
      </w:pPr>
      <w:r w:rsidRPr="00A83E2C">
        <w:rPr>
          <w:rFonts w:asciiTheme="minorHAnsi" w:hAnsiTheme="minorHAnsi" w:cstheme="minorHAnsi"/>
          <w:sz w:val="20"/>
          <w:lang w:val="en-GB" w:bidi="en-GB"/>
        </w:rPr>
        <w:t xml:space="preserve">According to the annual balance of accounts from the Directorate of Children, Youth and Family Affairs the resources spent on measures connected to child and youth protection </w:t>
      </w:r>
      <w:proofErr w:type="gramStart"/>
      <w:r w:rsidRPr="00A83E2C">
        <w:rPr>
          <w:rFonts w:asciiTheme="minorHAnsi" w:hAnsiTheme="minorHAnsi" w:cstheme="minorHAnsi"/>
          <w:sz w:val="20"/>
          <w:lang w:val="en-GB" w:bidi="en-GB"/>
        </w:rPr>
        <w:t>may be reflected</w:t>
      </w:r>
      <w:proofErr w:type="gramEnd"/>
      <w:r w:rsidRPr="00A83E2C">
        <w:rPr>
          <w:rFonts w:asciiTheme="minorHAnsi" w:hAnsiTheme="minorHAnsi" w:cstheme="minorHAnsi"/>
          <w:sz w:val="20"/>
          <w:lang w:val="en-GB" w:bidi="en-GB"/>
        </w:rPr>
        <w:t xml:space="preserve"> as seen in the table below. These numbers include measures that may benefit adults as well as children and therefore they do not solely reflect on measures put in place for child protection purposes. Resource allocation at the Municipal Child Welfare Office </w:t>
      </w:r>
      <w:proofErr w:type="gramStart"/>
      <w:r w:rsidRPr="00A83E2C">
        <w:rPr>
          <w:rFonts w:asciiTheme="minorHAnsi" w:hAnsiTheme="minorHAnsi" w:cstheme="minorHAnsi"/>
          <w:sz w:val="20"/>
          <w:lang w:val="en-GB" w:bidi="en-GB"/>
        </w:rPr>
        <w:t>is not reflected</w:t>
      </w:r>
      <w:proofErr w:type="gramEnd"/>
      <w:r w:rsidRPr="00A83E2C">
        <w:rPr>
          <w:rFonts w:asciiTheme="minorHAnsi" w:hAnsiTheme="minorHAnsi" w:cstheme="minorHAnsi"/>
          <w:sz w:val="20"/>
          <w:lang w:val="en-GB" w:bidi="en-GB"/>
        </w:rPr>
        <w:t xml:space="preserve"> in these numbers.</w:t>
      </w:r>
    </w:p>
    <w:p w:rsidR="00295772" w:rsidRPr="00A83E2C" w:rsidRDefault="00295772" w:rsidP="00295772">
      <w:pPr>
        <w:rPr>
          <w:rFonts w:asciiTheme="minorHAnsi" w:hAnsiTheme="minorHAnsi" w:cstheme="minorHAnsi"/>
          <w:sz w:val="20"/>
          <w:lang w:val="en-GB"/>
        </w:rPr>
      </w:pPr>
    </w:p>
    <w:p w:rsidR="00295772" w:rsidRPr="00A83E2C" w:rsidRDefault="00295772" w:rsidP="00295772">
      <w:pPr>
        <w:rPr>
          <w:rFonts w:asciiTheme="minorHAnsi" w:hAnsiTheme="minorHAnsi" w:cstheme="minorHAnsi"/>
          <w:sz w:val="20"/>
          <w:lang w:val="en-GB"/>
        </w:rPr>
      </w:pPr>
      <w:r w:rsidRPr="00A83E2C">
        <w:rPr>
          <w:rFonts w:asciiTheme="minorHAnsi" w:hAnsiTheme="minorHAnsi" w:cstheme="minorHAnsi"/>
          <w:b/>
          <w:bCs/>
          <w:color w:val="000000"/>
          <w:sz w:val="20"/>
          <w:lang w:val="en-GB" w:eastAsia="nb-NO" w:bidi="en-GB"/>
        </w:rPr>
        <w:t>Allocation of resources for child protection measures within the Directorate of Children, Youth and Family Affairs (in NOK 1 000) by year</w:t>
      </w:r>
    </w:p>
    <w:p w:rsidR="00C86BC0" w:rsidRDefault="00C86BC0" w:rsidP="00C86BC0">
      <w:pPr>
        <w:rPr>
          <w:lang w:eastAsia="en-US"/>
        </w:rPr>
      </w:pPr>
    </w:p>
    <w:p w:rsidR="00C86BC0" w:rsidRDefault="00C86BC0" w:rsidP="00C86BC0">
      <w:r>
        <w:rPr>
          <w:color w:val="1F497D"/>
        </w:rPr>
        <w:t> </w:t>
      </w:r>
    </w:p>
    <w:tbl>
      <w:tblPr>
        <w:tblW w:w="13675" w:type="dxa"/>
        <w:tblInd w:w="65" w:type="dxa"/>
        <w:tblCellMar>
          <w:left w:w="0" w:type="dxa"/>
          <w:right w:w="0" w:type="dxa"/>
        </w:tblCellMar>
        <w:tblLook w:val="04A0" w:firstRow="1" w:lastRow="0" w:firstColumn="1" w:lastColumn="0" w:noHBand="0" w:noVBand="1"/>
      </w:tblPr>
      <w:tblGrid>
        <w:gridCol w:w="788"/>
        <w:gridCol w:w="4949"/>
        <w:gridCol w:w="1129"/>
        <w:gridCol w:w="1433"/>
        <w:gridCol w:w="964"/>
        <w:gridCol w:w="160"/>
        <w:gridCol w:w="510"/>
        <w:gridCol w:w="482"/>
        <w:gridCol w:w="1134"/>
        <w:gridCol w:w="1134"/>
        <w:gridCol w:w="992"/>
      </w:tblGrid>
      <w:tr w:rsidR="00C86BC0" w:rsidTr="00EE32D7">
        <w:trPr>
          <w:trHeight w:val="290"/>
        </w:trPr>
        <w:tc>
          <w:tcPr>
            <w:tcW w:w="78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color w:val="000000"/>
                <w:sz w:val="20"/>
                <w:lang w:val="en-GB" w:eastAsia="nb-NO"/>
              </w:rPr>
              <w:t>kappost</w:t>
            </w:r>
          </w:p>
        </w:tc>
        <w:tc>
          <w:tcPr>
            <w:tcW w:w="8635" w:type="dxa"/>
            <w:gridSpan w:val="5"/>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color w:val="000000"/>
                <w:sz w:val="20"/>
                <w:lang w:val="en-GB" w:eastAsia="nb-NO"/>
              </w:rPr>
              <w:t> </w:t>
            </w:r>
          </w:p>
        </w:tc>
        <w:tc>
          <w:tcPr>
            <w:tcW w:w="992" w:type="dxa"/>
            <w:gridSpan w:val="2"/>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000000"/>
                <w:sz w:val="20"/>
                <w:lang w:val="en-GB" w:eastAsia="nb-NO"/>
              </w:rPr>
              <w:t>2014</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000000"/>
                <w:sz w:val="20"/>
                <w:lang w:val="en-GB" w:eastAsia="nb-NO"/>
              </w:rPr>
              <w:t>2015</w:t>
            </w:r>
          </w:p>
        </w:tc>
        <w:tc>
          <w:tcPr>
            <w:tcW w:w="113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sz w:val="20"/>
                <w:lang w:val="en-GB" w:eastAsia="nb-NO"/>
              </w:rPr>
              <w:t>2016</w:t>
            </w:r>
          </w:p>
        </w:tc>
        <w:tc>
          <w:tcPr>
            <w:tcW w:w="992"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sz w:val="20"/>
                <w:lang w:val="en-GB" w:eastAsia="nb-NO"/>
              </w:rPr>
              <w:t>2017</w:t>
            </w:r>
          </w:p>
        </w:tc>
      </w:tr>
      <w:tr w:rsidR="00C86BC0" w:rsidTr="00EE32D7">
        <w:trPr>
          <w:trHeight w:val="290"/>
        </w:trPr>
        <w:tc>
          <w:tcPr>
            <w:tcW w:w="788"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b/>
                <w:bCs/>
                <w:color w:val="000000"/>
                <w:sz w:val="20"/>
                <w:lang w:val="en-GB" w:eastAsia="nb-NO"/>
              </w:rPr>
              <w:t> </w:t>
            </w:r>
          </w:p>
        </w:tc>
        <w:tc>
          <w:tcPr>
            <w:tcW w:w="8635" w:type="dxa"/>
            <w:gridSpan w:val="5"/>
            <w:tcBorders>
              <w:top w:val="nil"/>
              <w:left w:val="nil"/>
              <w:bottom w:val="single" w:sz="8" w:space="0" w:color="auto"/>
              <w:right w:val="single" w:sz="8" w:space="0" w:color="auto"/>
            </w:tcBorders>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b/>
                <w:bCs/>
                <w:color w:val="000000"/>
                <w:sz w:val="20"/>
                <w:lang w:val="en-GB" w:eastAsia="nb-NO"/>
              </w:rPr>
              <w:t>Total</w:t>
            </w:r>
          </w:p>
        </w:tc>
        <w:tc>
          <w:tcPr>
            <w:tcW w:w="992" w:type="dxa"/>
            <w:gridSpan w:val="2"/>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000000"/>
                <w:sz w:val="20"/>
                <w:lang w:val="en-GB" w:eastAsia="nb-NO"/>
              </w:rPr>
              <w:t>7 784 464</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000000"/>
                <w:sz w:val="20"/>
                <w:lang w:val="en-GB" w:eastAsia="nb-NO"/>
              </w:rPr>
              <w:t>8 424 127</w:t>
            </w:r>
          </w:p>
        </w:tc>
        <w:tc>
          <w:tcPr>
            <w:tcW w:w="1134" w:type="dxa"/>
            <w:tcBorders>
              <w:top w:val="nil"/>
              <w:left w:val="nil"/>
              <w:bottom w:val="single" w:sz="8" w:space="0" w:color="auto"/>
              <w:right w:val="single" w:sz="8" w:space="0" w:color="auto"/>
            </w:tcBorders>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FF0000"/>
                <w:sz w:val="20"/>
                <w:lang w:val="en-GB" w:eastAsia="nb-NO"/>
              </w:rPr>
              <w:t> </w:t>
            </w:r>
          </w:p>
        </w:tc>
        <w:tc>
          <w:tcPr>
            <w:tcW w:w="992" w:type="dxa"/>
            <w:tcBorders>
              <w:top w:val="nil"/>
              <w:left w:val="nil"/>
              <w:bottom w:val="single" w:sz="8" w:space="0" w:color="auto"/>
              <w:right w:val="single" w:sz="8" w:space="0" w:color="auto"/>
            </w:tcBorders>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FF0000"/>
                <w:sz w:val="20"/>
                <w:lang w:val="en-GB" w:eastAsia="nb-NO"/>
              </w:rPr>
              <w:t> </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b/>
                <w:bCs/>
                <w:sz w:val="20"/>
                <w:lang w:val="en-GB" w:eastAsia="nb-NO"/>
              </w:rPr>
              <w:t> </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b/>
                <w:bCs/>
                <w:sz w:val="20"/>
                <w:lang w:val="en-GB" w:eastAsia="nb-NO"/>
              </w:rPr>
              <w:t>GNP (%)</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sz w:val="20"/>
                <w:lang w:val="en-GB" w:eastAsia="nb-NO"/>
              </w:rPr>
              <w:t>0,25</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sz w:val="20"/>
                <w:lang w:val="en-GB" w:eastAsia="nb-NO"/>
              </w:rPr>
              <w:t>0,27</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FF0000"/>
                <w:sz w:val="20"/>
                <w:lang w:val="en-GB" w:eastAsia="nb-NO"/>
              </w:rPr>
              <w:t> </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b/>
                <w:bCs/>
                <w:color w:val="FF0000"/>
                <w:sz w:val="20"/>
                <w:lang w:val="en-GB" w:eastAsia="nb-NO"/>
              </w:rPr>
              <w:t> </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85501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Child Welfare Services: salaries and running costs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3 688 677</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3 619 507</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center"/>
              <w:rPr>
                <w:rFonts w:asciiTheme="minorHAnsi" w:hAnsiTheme="minorHAnsi" w:cstheme="minorHAnsi"/>
              </w:rPr>
            </w:pPr>
            <w:r w:rsidRPr="00C86BC0">
              <w:rPr>
                <w:rFonts w:asciiTheme="minorHAnsi" w:hAnsiTheme="minorHAnsi" w:cstheme="minorHAnsi"/>
                <w:sz w:val="20"/>
                <w:lang w:val="en-GB" w:eastAsia="nb-NO"/>
              </w:rPr>
              <w:t>3 677 545</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3 749 663</w:t>
            </w:r>
          </w:p>
        </w:tc>
      </w:tr>
      <w:tr w:rsidR="00C86BC0" w:rsidTr="00EE32D7">
        <w:trPr>
          <w:trHeight w:val="272"/>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85522</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Child Welfare Services: procurement of private child welfare services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2 073 172</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2 327 162</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2 429 058</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2 444 333</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85560</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Child Welfare Services: municipal grant</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385 237</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376 079</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378 554</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369 754</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856</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Care centres for unaccompanied minor asylum seekers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184 292</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397 541</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1 198 812</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459 547</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84201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Family protection: salaries and running costs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230 756</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266 022</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283 771</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306 846</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84221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Family protection: particular running costs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15 960</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27 941</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29 645</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33 368</w:t>
            </w:r>
          </w:p>
        </w:tc>
      </w:tr>
      <w:tr w:rsidR="00C86BC0" w:rsidTr="00EE32D7">
        <w:trPr>
          <w:trHeight w:val="34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84270</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Family protection: contribution to the church family protection office</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148 171</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177 403</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176 521</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191 681</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85421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Measures in child and youth protection: Particular running costs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23 455</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23 725</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19 165</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37 009</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85450</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Measures in child and youth protection: Research and development</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8 834</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0</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0</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0</w:t>
            </w:r>
          </w:p>
        </w:tc>
      </w:tr>
      <w:tr w:rsidR="00C86BC0" w:rsidTr="00EE32D7">
        <w:trPr>
          <w:trHeight w:val="306"/>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85461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Measures in child and youth protection: Local development in the municipalities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28 251</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58 786</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8 894</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tc>
      </w:tr>
      <w:tr w:rsidR="00C86BC0" w:rsidTr="00EE32D7">
        <w:trPr>
          <w:trHeight w:val="40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85465</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Measures in child and youth protection: Subsidies to municipalities for expenditure connected to unaccompanied minor asylum seekers and refugees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792 564</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899 042</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911 587</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85471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Measures in child and youth protection: Development and dissemination, etc.</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28 622</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45 868</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28 493</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29 786</w:t>
            </w:r>
          </w:p>
        </w:tc>
      </w:tr>
      <w:tr w:rsidR="00C86BC0" w:rsidTr="00EE32D7">
        <w:trPr>
          <w:trHeight w:val="265"/>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85472</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Measures in child and youth protection: Grants to stimulate research and development of the Child Welfare Service</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60 666</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68 855</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69 800</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72 800</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85521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Government administration of Child welfare services: Particular running costs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18 595</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20 065</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20 895</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20 989</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84072</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Measure for children and youths: Grants to implement measures to benefit children exposed to violence</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0</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9 659</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5 884</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84061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Emergency measures: Grants to centres for victims of domestic violence and incest centres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75 746</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79 521</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82 821</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89 111</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84070</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Emergency measures: Grants to implement violence reducing measures</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7 370</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14 296</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17 696</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84121</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Family break-up and conflict resolution: particular running costs - mediation</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9 789</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9 299</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9</w:t>
            </w:r>
            <w:r w:rsidRPr="00C86BC0">
              <w:rPr>
                <w:rFonts w:asciiTheme="minorHAnsi" w:hAnsiTheme="minorHAnsi" w:cstheme="minorHAnsi"/>
                <w:color w:val="1F497D"/>
                <w:sz w:val="20"/>
                <w:lang w:val="en-GB" w:eastAsia="nb-NO"/>
              </w:rPr>
              <w:t> </w:t>
            </w:r>
            <w:r w:rsidRPr="00C86BC0">
              <w:rPr>
                <w:rFonts w:asciiTheme="minorHAnsi" w:hAnsiTheme="minorHAnsi" w:cstheme="minorHAnsi"/>
                <w:sz w:val="20"/>
                <w:lang w:val="en-GB" w:eastAsia="nb-NO"/>
              </w:rPr>
              <w:t>240</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10170</w:t>
            </w:r>
          </w:p>
        </w:tc>
      </w:tr>
      <w:tr w:rsidR="00C86BC0" w:rsidTr="00EE32D7">
        <w:trPr>
          <w:trHeight w:val="290"/>
        </w:trPr>
        <w:tc>
          <w:tcPr>
            <w:tcW w:w="7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84122</w:t>
            </w:r>
          </w:p>
        </w:tc>
        <w:tc>
          <w:tcPr>
            <w:tcW w:w="8635" w:type="dxa"/>
            <w:gridSpan w:val="5"/>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C86BC0" w:rsidRPr="00C86BC0" w:rsidRDefault="00C86BC0">
            <w:pPr>
              <w:spacing w:line="252" w:lineRule="auto"/>
              <w:rPr>
                <w:rFonts w:asciiTheme="minorHAnsi" w:hAnsiTheme="minorHAnsi" w:cstheme="minorHAnsi"/>
              </w:rPr>
            </w:pPr>
            <w:r w:rsidRPr="00C86BC0">
              <w:rPr>
                <w:rFonts w:asciiTheme="minorHAnsi" w:hAnsiTheme="minorHAnsi" w:cstheme="minorHAnsi"/>
                <w:sz w:val="20"/>
                <w:lang w:val="en-GB" w:eastAsia="nb-NO"/>
              </w:rPr>
              <w:t>Family break-up and conflict resolution: training, research, development, etc</w:t>
            </w:r>
          </w:p>
        </w:tc>
        <w:tc>
          <w:tcPr>
            <w:tcW w:w="992" w:type="dxa"/>
            <w:gridSpan w:val="2"/>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4 306</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3 355</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color w:val="FF0000"/>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4 062</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 </w:t>
            </w:r>
          </w:p>
          <w:p w:rsidR="00C86BC0" w:rsidRPr="00C86BC0" w:rsidRDefault="00C86BC0">
            <w:pPr>
              <w:spacing w:line="252" w:lineRule="auto"/>
              <w:jc w:val="right"/>
              <w:rPr>
                <w:rFonts w:asciiTheme="minorHAnsi" w:hAnsiTheme="minorHAnsi" w:cstheme="minorHAnsi"/>
              </w:rPr>
            </w:pPr>
            <w:r w:rsidRPr="00C86BC0">
              <w:rPr>
                <w:rFonts w:asciiTheme="minorHAnsi" w:hAnsiTheme="minorHAnsi" w:cstheme="minorHAnsi"/>
                <w:sz w:val="20"/>
                <w:lang w:val="en-GB" w:eastAsia="nb-NO"/>
              </w:rPr>
              <w:t>4 328</w:t>
            </w:r>
          </w:p>
        </w:tc>
      </w:tr>
      <w:tr w:rsidR="00C86BC0" w:rsidTr="00B3253B">
        <w:trPr>
          <w:gridAfter w:val="4"/>
          <w:wAfter w:w="3742" w:type="dxa"/>
          <w:trHeight w:val="290"/>
        </w:trPr>
        <w:tc>
          <w:tcPr>
            <w:tcW w:w="788" w:type="dxa"/>
            <w:tcMar>
              <w:top w:w="0" w:type="dxa"/>
              <w:left w:w="70" w:type="dxa"/>
              <w:bottom w:w="0" w:type="dxa"/>
              <w:right w:w="70" w:type="dxa"/>
            </w:tcMar>
            <w:hideMark/>
          </w:tcPr>
          <w:p w:rsidR="00C86BC0" w:rsidRDefault="00C86BC0">
            <w:pPr>
              <w:spacing w:line="252" w:lineRule="auto"/>
            </w:pPr>
            <w:r>
              <w:rPr>
                <w:color w:val="000000"/>
                <w:sz w:val="20"/>
                <w:lang w:val="en-GB" w:eastAsia="nb-NO"/>
              </w:rPr>
              <w:t> </w:t>
            </w:r>
          </w:p>
        </w:tc>
        <w:tc>
          <w:tcPr>
            <w:tcW w:w="4949" w:type="dxa"/>
            <w:noWrap/>
            <w:tcMar>
              <w:top w:w="0" w:type="dxa"/>
              <w:left w:w="70" w:type="dxa"/>
              <w:bottom w:w="0" w:type="dxa"/>
              <w:right w:w="70" w:type="dxa"/>
            </w:tcMar>
            <w:vAlign w:val="center"/>
            <w:hideMark/>
          </w:tcPr>
          <w:p w:rsidR="00C86BC0" w:rsidRDefault="00C86BC0">
            <w:pPr>
              <w:spacing w:line="252" w:lineRule="auto"/>
            </w:pPr>
            <w:r>
              <w:rPr>
                <w:color w:val="000000"/>
                <w:sz w:val="20"/>
                <w:lang w:val="en-GB" w:eastAsia="nb-NO"/>
              </w:rPr>
              <w:t>Source: Directorat</w:t>
            </w:r>
            <w:r w:rsidR="00B3253B">
              <w:rPr>
                <w:color w:val="000000"/>
                <w:sz w:val="20"/>
                <w:lang w:val="en-GB" w:eastAsia="nb-NO"/>
              </w:rPr>
              <w:t xml:space="preserve">e of Children, Youth and Family </w:t>
            </w:r>
            <w:r>
              <w:rPr>
                <w:color w:val="000000"/>
                <w:sz w:val="20"/>
                <w:lang w:val="en-GB" w:eastAsia="nb-NO"/>
              </w:rPr>
              <w:t>Affairs</w:t>
            </w:r>
          </w:p>
        </w:tc>
        <w:tc>
          <w:tcPr>
            <w:tcW w:w="1129" w:type="dxa"/>
            <w:noWrap/>
            <w:tcMar>
              <w:top w:w="0" w:type="dxa"/>
              <w:left w:w="70" w:type="dxa"/>
              <w:bottom w:w="0" w:type="dxa"/>
              <w:right w:w="70" w:type="dxa"/>
            </w:tcMar>
            <w:vAlign w:val="bottom"/>
            <w:hideMark/>
          </w:tcPr>
          <w:p w:rsidR="00C86BC0" w:rsidRDefault="00C86BC0"/>
        </w:tc>
        <w:tc>
          <w:tcPr>
            <w:tcW w:w="1433" w:type="dxa"/>
            <w:noWrap/>
            <w:tcMar>
              <w:top w:w="0" w:type="dxa"/>
              <w:left w:w="70" w:type="dxa"/>
              <w:bottom w:w="0" w:type="dxa"/>
              <w:right w:w="70" w:type="dxa"/>
            </w:tcMar>
            <w:vAlign w:val="bottom"/>
            <w:hideMark/>
          </w:tcPr>
          <w:p w:rsidR="00C86BC0" w:rsidRDefault="00C86BC0">
            <w:pPr>
              <w:rPr>
                <w:sz w:val="20"/>
                <w:lang w:eastAsia="nb-NO"/>
              </w:rPr>
            </w:pPr>
          </w:p>
        </w:tc>
        <w:tc>
          <w:tcPr>
            <w:tcW w:w="964" w:type="dxa"/>
            <w:tcMar>
              <w:top w:w="0" w:type="dxa"/>
              <w:left w:w="70" w:type="dxa"/>
              <w:bottom w:w="0" w:type="dxa"/>
              <w:right w:w="70" w:type="dxa"/>
            </w:tcMar>
            <w:hideMark/>
          </w:tcPr>
          <w:p w:rsidR="00C86BC0" w:rsidRDefault="00C86BC0">
            <w:pPr>
              <w:spacing w:line="252" w:lineRule="auto"/>
              <w:rPr>
                <w:rFonts w:ascii="Calibri" w:eastAsiaTheme="minorHAnsi" w:hAnsi="Calibri" w:cs="Calibri"/>
                <w:szCs w:val="22"/>
                <w:lang w:eastAsia="en-US"/>
              </w:rPr>
            </w:pPr>
            <w:r>
              <w:rPr>
                <w:color w:val="FF0000"/>
                <w:sz w:val="20"/>
                <w:lang w:val="en-GB" w:eastAsia="nb-NO"/>
              </w:rPr>
              <w:t> </w:t>
            </w:r>
          </w:p>
        </w:tc>
        <w:tc>
          <w:tcPr>
            <w:tcW w:w="670" w:type="dxa"/>
            <w:gridSpan w:val="2"/>
            <w:tcMar>
              <w:top w:w="0" w:type="dxa"/>
              <w:left w:w="70" w:type="dxa"/>
              <w:bottom w:w="0" w:type="dxa"/>
              <w:right w:w="70" w:type="dxa"/>
            </w:tcMar>
            <w:hideMark/>
          </w:tcPr>
          <w:p w:rsidR="00C86BC0" w:rsidRDefault="00C86BC0">
            <w:pPr>
              <w:spacing w:line="252" w:lineRule="auto"/>
            </w:pPr>
            <w:r>
              <w:rPr>
                <w:color w:val="FF0000"/>
                <w:sz w:val="20"/>
                <w:lang w:val="en-GB" w:eastAsia="nb-NO"/>
              </w:rPr>
              <w:t> </w:t>
            </w:r>
          </w:p>
        </w:tc>
      </w:tr>
    </w:tbl>
    <w:p w:rsidR="00C86BC0" w:rsidRDefault="00C86BC0" w:rsidP="00C86BC0">
      <w:pPr>
        <w:rPr>
          <w:rFonts w:ascii="Calibri" w:eastAsiaTheme="minorHAnsi" w:hAnsi="Calibri" w:cs="Calibri"/>
          <w:szCs w:val="22"/>
          <w:lang w:eastAsia="en-US"/>
        </w:rPr>
      </w:pPr>
      <w:r>
        <w:rPr>
          <w:color w:val="1F497D"/>
        </w:rPr>
        <w:t> </w:t>
      </w:r>
    </w:p>
    <w:p w:rsidR="00295772" w:rsidRPr="00A83E2C" w:rsidRDefault="00295772" w:rsidP="00295772">
      <w:pPr>
        <w:overflowPunct/>
        <w:autoSpaceDE/>
        <w:autoSpaceDN/>
        <w:adjustRightInd/>
        <w:spacing w:after="200" w:line="276" w:lineRule="auto"/>
        <w:textAlignment w:val="auto"/>
        <w:rPr>
          <w:rFonts w:asciiTheme="minorHAnsi" w:hAnsiTheme="minorHAnsi" w:cstheme="minorHAnsi"/>
          <w:sz w:val="20"/>
          <w:lang w:val="en-GB" w:eastAsia="nb-NO"/>
        </w:rPr>
      </w:pPr>
      <w:r w:rsidRPr="00A83E2C">
        <w:rPr>
          <w:rFonts w:asciiTheme="minorHAnsi" w:hAnsiTheme="minorHAnsi" w:cstheme="minorHAnsi"/>
          <w:sz w:val="20"/>
          <w:lang w:val="en-GB" w:bidi="en-GB"/>
        </w:rPr>
        <w:t xml:space="preserve">*9 </w:t>
      </w:r>
      <w:r w:rsidRPr="00A83E2C">
        <w:rPr>
          <w:rFonts w:asciiTheme="minorHAnsi" w:hAnsiTheme="minorHAnsi" w:cstheme="minorHAnsi"/>
          <w:sz w:val="20"/>
          <w:lang w:val="en-GB" w:bidi="en-GB"/>
        </w:rPr>
        <w:br/>
        <w:t>T</w:t>
      </w:r>
      <w:r w:rsidRPr="00A83E2C">
        <w:rPr>
          <w:rFonts w:asciiTheme="minorHAnsi" w:hAnsiTheme="minorHAnsi" w:cstheme="minorHAnsi"/>
          <w:color w:val="222222"/>
          <w:sz w:val="20"/>
          <w:lang w:val="en-GB" w:bidi="en-GB"/>
        </w:rPr>
        <w:t xml:space="preserve">he police has a generalist </w:t>
      </w:r>
      <w:proofErr w:type="gramStart"/>
      <w:r w:rsidRPr="00A83E2C">
        <w:rPr>
          <w:rFonts w:asciiTheme="minorHAnsi" w:hAnsiTheme="minorHAnsi" w:cstheme="minorHAnsi"/>
          <w:color w:val="222222"/>
          <w:sz w:val="20"/>
          <w:lang w:val="en-GB" w:bidi="en-GB"/>
        </w:rPr>
        <w:t>role,</w:t>
      </w:r>
      <w:proofErr w:type="gramEnd"/>
      <w:r w:rsidRPr="00A83E2C">
        <w:rPr>
          <w:rFonts w:asciiTheme="minorHAnsi" w:hAnsiTheme="minorHAnsi" w:cstheme="minorHAnsi"/>
          <w:color w:val="222222"/>
          <w:sz w:val="20"/>
          <w:lang w:val="en-GB" w:bidi="en-GB"/>
        </w:rPr>
        <w:t xml:space="preserve"> their work is per se not organized in various specialties and responsibilities. This means that it is difficult to estimate the amount of resources spent for example on prevention of violence against children. General crime prevention is one of the central tasks of the Norwegian police.</w:t>
      </w:r>
    </w:p>
    <w:p w:rsidR="00295772" w:rsidRPr="00A83E2C" w:rsidRDefault="00295772" w:rsidP="00295772">
      <w:pPr>
        <w:rPr>
          <w:rFonts w:asciiTheme="minorHAnsi" w:hAnsiTheme="minorHAnsi" w:cstheme="minorHAnsi"/>
          <w:sz w:val="20"/>
          <w:lang w:val="en-GB"/>
        </w:rPr>
      </w:pPr>
    </w:p>
    <w:p w:rsidR="00295772" w:rsidRPr="00A83E2C" w:rsidRDefault="00295772" w:rsidP="00295772">
      <w:pPr>
        <w:rPr>
          <w:rFonts w:asciiTheme="minorHAnsi" w:hAnsiTheme="minorHAnsi" w:cstheme="minorHAnsi"/>
          <w:sz w:val="20"/>
          <w:lang w:val="en-GB" w:eastAsia="nb-NO"/>
        </w:rPr>
      </w:pPr>
      <w:r w:rsidRPr="00A83E2C">
        <w:rPr>
          <w:rFonts w:asciiTheme="minorHAnsi" w:hAnsiTheme="minorHAnsi" w:cstheme="minorHAnsi"/>
          <w:sz w:val="20"/>
          <w:lang w:val="en-GB" w:bidi="en-GB"/>
        </w:rPr>
        <w:t xml:space="preserve">The police have one budget allocation (except for the Norwegian Police University </w:t>
      </w:r>
      <w:proofErr w:type="gramStart"/>
      <w:r w:rsidRPr="00A83E2C">
        <w:rPr>
          <w:rFonts w:asciiTheme="minorHAnsi" w:hAnsiTheme="minorHAnsi" w:cstheme="minorHAnsi"/>
          <w:sz w:val="20"/>
          <w:lang w:val="en-GB" w:bidi="en-GB"/>
        </w:rPr>
        <w:t>College which</w:t>
      </w:r>
      <w:proofErr w:type="gramEnd"/>
      <w:r w:rsidRPr="00A83E2C">
        <w:rPr>
          <w:rFonts w:asciiTheme="minorHAnsi" w:hAnsiTheme="minorHAnsi" w:cstheme="minorHAnsi"/>
          <w:sz w:val="20"/>
          <w:lang w:val="en-GB" w:bidi="en-GB"/>
        </w:rPr>
        <w:t xml:space="preserve"> has its separate budget allocation). The budget covers all the expenses concerning police activities, the police districts, the special bodies and the National Police Directorate. To distribute the resources between the police districts and the agencies is under the responsibility of the National Police Directorate.</w:t>
      </w:r>
    </w:p>
    <w:p w:rsidR="002D438D" w:rsidRPr="00A83E2C" w:rsidRDefault="002D438D" w:rsidP="002D438D">
      <w:pPr>
        <w:rPr>
          <w:sz w:val="24"/>
          <w:szCs w:val="24"/>
          <w:lang w:val="en-GB"/>
        </w:rPr>
      </w:pPr>
    </w:p>
    <w:p w:rsidR="002768C8" w:rsidRPr="00A83E2C" w:rsidRDefault="002768C8">
      <w:pPr>
        <w:overflowPunct/>
        <w:autoSpaceDE/>
        <w:autoSpaceDN/>
        <w:adjustRightInd/>
        <w:spacing w:after="160" w:line="259" w:lineRule="auto"/>
        <w:textAlignment w:val="auto"/>
        <w:rPr>
          <w:sz w:val="24"/>
          <w:szCs w:val="24"/>
          <w:lang w:val="en-GB"/>
        </w:rPr>
      </w:pPr>
    </w:p>
    <w:p w:rsidR="00E76DEA" w:rsidRDefault="00E76DEA">
      <w:r>
        <w:br w:type="page"/>
      </w:r>
    </w:p>
    <w:tbl>
      <w:tblPr>
        <w:tblW w:w="10560" w:type="dxa"/>
        <w:tblCellMar>
          <w:left w:w="70" w:type="dxa"/>
          <w:right w:w="70" w:type="dxa"/>
        </w:tblCellMar>
        <w:tblLook w:val="04A0" w:firstRow="1" w:lastRow="0" w:firstColumn="1" w:lastColumn="0" w:noHBand="0" w:noVBand="1"/>
      </w:tblPr>
      <w:tblGrid>
        <w:gridCol w:w="2397"/>
        <w:gridCol w:w="1094"/>
        <w:gridCol w:w="1093"/>
        <w:gridCol w:w="1093"/>
        <w:gridCol w:w="1093"/>
        <w:gridCol w:w="1254"/>
        <w:gridCol w:w="1254"/>
        <w:gridCol w:w="1282"/>
      </w:tblGrid>
      <w:tr w:rsidR="002768C8" w:rsidRPr="00A83E2C" w:rsidTr="002768C8">
        <w:trPr>
          <w:trHeight w:val="348"/>
        </w:trPr>
        <w:tc>
          <w:tcPr>
            <w:tcW w:w="10560" w:type="dxa"/>
            <w:gridSpan w:val="8"/>
            <w:tcBorders>
              <w:top w:val="nil"/>
              <w:left w:val="nil"/>
              <w:bottom w:val="nil"/>
              <w:right w:val="nil"/>
            </w:tcBorders>
            <w:shd w:val="clear" w:color="auto" w:fill="auto"/>
            <w:noWrap/>
            <w:vAlign w:val="bottom"/>
            <w:hideMark/>
          </w:tcPr>
          <w:p w:rsidR="00D74C73" w:rsidRPr="00A83E2C" w:rsidRDefault="005443B5" w:rsidP="00D74C73">
            <w:pPr>
              <w:pStyle w:val="paragraph"/>
              <w:textAlignment w:val="baseline"/>
              <w:rPr>
                <w:rStyle w:val="eop"/>
                <w:rFonts w:ascii="Calibri" w:hAnsi="Calibri" w:cs="Calibri"/>
                <w:sz w:val="22"/>
                <w:szCs w:val="22"/>
              </w:rPr>
            </w:pPr>
            <w:r w:rsidRPr="00A83E2C">
              <w:rPr>
                <w:lang w:eastAsia="en-US" w:bidi="en-US"/>
              </w:rPr>
              <w:t>List of issues, para.</w:t>
            </w:r>
            <w:r w:rsidR="00D74C73" w:rsidRPr="00A83E2C">
              <w:rPr>
                <w:rStyle w:val="normaltextrun"/>
                <w:rFonts w:ascii="Calibri" w:hAnsi="Calibri" w:cs="Calibri"/>
                <w:sz w:val="22"/>
                <w:szCs w:val="22"/>
                <w:lang w:eastAsia="en-US" w:bidi="en-US"/>
              </w:rPr>
              <w:t xml:space="preserve"> 17a. </w:t>
            </w:r>
          </w:p>
          <w:p w:rsidR="00E46CC8" w:rsidRPr="00A83E2C" w:rsidRDefault="002768C8" w:rsidP="002768C8">
            <w:pPr>
              <w:overflowPunct/>
              <w:autoSpaceDE/>
              <w:autoSpaceDN/>
              <w:adjustRightInd/>
              <w:textAlignment w:val="auto"/>
              <w:rPr>
                <w:rFonts w:ascii="Calibri" w:hAnsi="Calibri" w:cs="Calibri"/>
                <w:b/>
                <w:bCs/>
                <w:color w:val="000000"/>
                <w:sz w:val="26"/>
                <w:szCs w:val="26"/>
                <w:lang w:eastAsia="nb-NO"/>
              </w:rPr>
            </w:pPr>
            <w:r w:rsidRPr="00E76DEA">
              <w:rPr>
                <w:rFonts w:ascii="Calibri" w:eastAsia="Calibri" w:hAnsi="Calibri" w:cs="Calibri"/>
                <w:b/>
                <w:color w:val="000000"/>
                <w:sz w:val="26"/>
                <w:szCs w:val="26"/>
                <w:lang w:val="en-GB" w:bidi="en-GB"/>
              </w:rPr>
              <w:t>Number of first-time permits for family immigration granted in 2016 where applicant was a child.</w:t>
            </w:r>
          </w:p>
        </w:tc>
      </w:tr>
      <w:tr w:rsidR="002E1015" w:rsidRPr="00A83E2C" w:rsidTr="002E1015">
        <w:trPr>
          <w:trHeight w:val="288"/>
        </w:trPr>
        <w:tc>
          <w:tcPr>
            <w:tcW w:w="239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Sex</w:t>
            </w:r>
          </w:p>
        </w:tc>
        <w:tc>
          <w:tcPr>
            <w:tcW w:w="1094" w:type="dxa"/>
            <w:tcBorders>
              <w:top w:val="single" w:sz="4" w:space="0" w:color="auto"/>
              <w:left w:val="nil"/>
              <w:bottom w:val="single" w:sz="4" w:space="0" w:color="auto"/>
              <w:right w:val="nil"/>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p>
        </w:tc>
        <w:tc>
          <w:tcPr>
            <w:tcW w:w="1093" w:type="dxa"/>
            <w:tcBorders>
              <w:top w:val="single" w:sz="4" w:space="0" w:color="auto"/>
              <w:left w:val="nil"/>
              <w:bottom w:val="single" w:sz="4" w:space="0" w:color="auto"/>
              <w:right w:val="nil"/>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b/>
                <w:bCs/>
                <w:color w:val="000000"/>
                <w:szCs w:val="22"/>
                <w:lang w:val="nb-NO" w:eastAsia="nb-NO" w:bidi="nb-NO"/>
              </w:rPr>
              <w:t>Women </w:t>
            </w:r>
          </w:p>
        </w:tc>
        <w:tc>
          <w:tcPr>
            <w:tcW w:w="1093" w:type="dxa"/>
            <w:tcBorders>
              <w:top w:val="single" w:sz="4" w:space="0" w:color="auto"/>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single" w:sz="4" w:space="0" w:color="auto"/>
              <w:left w:val="nil"/>
              <w:bottom w:val="single" w:sz="4" w:space="0" w:color="auto"/>
              <w:right w:val="nil"/>
            </w:tcBorders>
            <w:shd w:val="clear" w:color="000000" w:fill="FFFFFF"/>
            <w:noWrap/>
            <w:vAlign w:val="bottom"/>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p>
        </w:tc>
        <w:tc>
          <w:tcPr>
            <w:tcW w:w="1254" w:type="dxa"/>
            <w:tcBorders>
              <w:top w:val="single" w:sz="4" w:space="0" w:color="auto"/>
              <w:left w:val="nil"/>
              <w:bottom w:val="single" w:sz="4" w:space="0" w:color="auto"/>
              <w:right w:val="nil"/>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Men</w:t>
            </w:r>
          </w:p>
        </w:tc>
        <w:tc>
          <w:tcPr>
            <w:tcW w:w="1254" w:type="dxa"/>
            <w:tcBorders>
              <w:top w:val="single" w:sz="4" w:space="0" w:color="auto"/>
              <w:left w:val="nil"/>
              <w:bottom w:val="single" w:sz="4" w:space="0" w:color="auto"/>
              <w:right w:val="nil"/>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Total</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Nationality/ age</w:t>
            </w:r>
          </w:p>
        </w:tc>
        <w:tc>
          <w:tcPr>
            <w:tcW w:w="1094" w:type="dxa"/>
            <w:tcBorders>
              <w:top w:val="nil"/>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0-11</w:t>
            </w:r>
          </w:p>
        </w:tc>
        <w:tc>
          <w:tcPr>
            <w:tcW w:w="1093" w:type="dxa"/>
            <w:tcBorders>
              <w:top w:val="nil"/>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12-14</w:t>
            </w:r>
          </w:p>
        </w:tc>
        <w:tc>
          <w:tcPr>
            <w:tcW w:w="1093" w:type="dxa"/>
            <w:tcBorders>
              <w:top w:val="nil"/>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over 15</w:t>
            </w:r>
          </w:p>
        </w:tc>
        <w:tc>
          <w:tcPr>
            <w:tcW w:w="1093" w:type="dxa"/>
            <w:tcBorders>
              <w:top w:val="nil"/>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0-11</w:t>
            </w:r>
          </w:p>
        </w:tc>
        <w:tc>
          <w:tcPr>
            <w:tcW w:w="1254" w:type="dxa"/>
            <w:tcBorders>
              <w:top w:val="nil"/>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12-14</w:t>
            </w:r>
          </w:p>
        </w:tc>
        <w:tc>
          <w:tcPr>
            <w:tcW w:w="1254" w:type="dxa"/>
            <w:tcBorders>
              <w:top w:val="nil"/>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over 15</w:t>
            </w:r>
          </w:p>
        </w:tc>
        <w:tc>
          <w:tcPr>
            <w:tcW w:w="1282" w:type="dxa"/>
            <w:tcBorders>
              <w:top w:val="nil"/>
              <w:left w:val="nil"/>
              <w:bottom w:val="single" w:sz="4" w:space="0" w:color="auto"/>
              <w:right w:val="single" w:sz="4" w:space="0" w:color="auto"/>
            </w:tcBorders>
            <w:shd w:val="clear" w:color="000000" w:fill="FFFFFF"/>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Afghanistan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50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133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Albania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Algeria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Angola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Argentina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Armenia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Azerbaijan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Australia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18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Bangladesh</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Belgium</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Bosnia-Hercegovina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19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Brasil</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26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Burkina Faso</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Burundi</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Canada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15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18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40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Chile</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Colombia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Costa Rica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Cuba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Dem. Rep. Kongo (DRC)</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Dominican Republic</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Egypt</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15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El Salvador</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Ivory Coast</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Eritrea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418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27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427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50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27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997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Ethiopia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187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Philippines</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98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26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24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303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Gambia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Georgia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Ghana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29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Guatemala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Guinea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Guinea-Bissau</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Belarus (Hviterussland)</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India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193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213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416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Indonesia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Iraq</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18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Iran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20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58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Jamaica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Japan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Yemen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Jordan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Camodia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Cameron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Cape Verde</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Kasakhstan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Kenya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10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China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Kyrgyzstan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Kosovo</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10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Croatia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Latvia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Lebanon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Liberia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Libya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Lithuania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Madagaskar</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Macedonia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19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Malawi</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Malaysia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19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Marocco</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Mauritius</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Mexico</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Moldova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Mongolia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Montenegro</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Myanmar</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15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Netherlands</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Nepal</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New Zealand</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Nicaragua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Nigeria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10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28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Oman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Pakistan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96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Panama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Peru</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Poland</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Portugal</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Rep. Kongo (Brazzaville)</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Romania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Russia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115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Rwanda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Saudi-Arabia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Senegal</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Serbia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75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171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Sierra Leone</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Singapore</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Slovakia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Slovenia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Somalia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266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45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303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737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316E04"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Spain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Sri Lanka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29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316E04"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Stateless</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112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97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17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288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316E04"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Great Britain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Sudan</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69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133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Syria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514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569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85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78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1 390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316E04"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South-Africa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10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316E04"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South-Korea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14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Tanzania</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10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Thailand</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104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60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105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65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34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429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Togo</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2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xml:space="preserve">                     2 </w:t>
            </w:r>
          </w:p>
        </w:tc>
      </w:tr>
      <w:tr w:rsidR="002E1015" w:rsidRPr="00A83E2C" w:rsidTr="002768C8">
        <w:trPr>
          <w:trHeight w:val="288"/>
        </w:trPr>
        <w:tc>
          <w:tcPr>
            <w:tcW w:w="2397" w:type="dxa"/>
            <w:tcBorders>
              <w:top w:val="nil"/>
              <w:left w:val="single" w:sz="4" w:space="0" w:color="auto"/>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Total</w:t>
            </w:r>
          </w:p>
        </w:tc>
        <w:tc>
          <w:tcPr>
            <w:tcW w:w="109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xml:space="preserve">         2 634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xml:space="preserve">             351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xml:space="preserve">             338 </w:t>
            </w:r>
          </w:p>
        </w:tc>
        <w:tc>
          <w:tcPr>
            <w:tcW w:w="1093"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xml:space="preserve">2 720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xml:space="preserve">                389 </w:t>
            </w:r>
          </w:p>
        </w:tc>
        <w:tc>
          <w:tcPr>
            <w:tcW w:w="1254"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xml:space="preserve">                334 </w:t>
            </w:r>
          </w:p>
        </w:tc>
        <w:tc>
          <w:tcPr>
            <w:tcW w:w="1282" w:type="dxa"/>
            <w:tcBorders>
              <w:top w:val="nil"/>
              <w:left w:val="nil"/>
              <w:bottom w:val="single" w:sz="4" w:space="0" w:color="auto"/>
              <w:right w:val="single" w:sz="4" w:space="0" w:color="auto"/>
            </w:tcBorders>
            <w:shd w:val="clear" w:color="auto" w:fill="auto"/>
            <w:noWrap/>
            <w:vAlign w:val="bottom"/>
            <w:hideMark/>
          </w:tcPr>
          <w:p w:rsidR="002E1015" w:rsidRPr="00A83E2C" w:rsidRDefault="002E1015" w:rsidP="002E1015">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 xml:space="preserve">6 766 </w:t>
            </w:r>
          </w:p>
        </w:tc>
      </w:tr>
    </w:tbl>
    <w:p w:rsidR="00E46CC8" w:rsidRPr="00A83E2C" w:rsidRDefault="00490354" w:rsidP="00490354">
      <w:pPr>
        <w:tabs>
          <w:tab w:val="left" w:pos="12075"/>
        </w:tabs>
        <w:overflowPunct/>
        <w:autoSpaceDE/>
        <w:autoSpaceDN/>
        <w:adjustRightInd/>
        <w:spacing w:after="160" w:line="259" w:lineRule="auto"/>
        <w:textAlignment w:val="auto"/>
        <w:rPr>
          <w:rFonts w:ascii="Calibri" w:hAnsi="Calibri" w:cs="Calibri"/>
          <w:b/>
          <w:bCs/>
          <w:color w:val="000000"/>
          <w:sz w:val="26"/>
          <w:szCs w:val="26"/>
          <w:lang w:eastAsia="nb-NO"/>
        </w:rPr>
      </w:pPr>
      <w:r w:rsidRPr="00A83E2C">
        <w:rPr>
          <w:rFonts w:ascii="Calibri" w:eastAsia="Calibri" w:hAnsi="Calibri" w:cs="Calibri"/>
          <w:color w:val="000000"/>
          <w:sz w:val="26"/>
          <w:szCs w:val="26"/>
          <w:lang w:val="en-GB" w:bidi="en-GB"/>
        </w:rPr>
        <w:tab/>
      </w:r>
    </w:p>
    <w:p w:rsidR="003C7F69" w:rsidRPr="00A83E2C" w:rsidRDefault="00E46CC8" w:rsidP="00E46CC8">
      <w:pPr>
        <w:overflowPunct/>
        <w:autoSpaceDE/>
        <w:autoSpaceDN/>
        <w:adjustRightInd/>
        <w:spacing w:line="259" w:lineRule="auto"/>
        <w:textAlignment w:val="auto"/>
        <w:rPr>
          <w:sz w:val="24"/>
          <w:szCs w:val="24"/>
        </w:rPr>
      </w:pPr>
      <w:r w:rsidRPr="00E76DEA">
        <w:rPr>
          <w:rFonts w:ascii="Calibri" w:eastAsia="Calibri" w:hAnsi="Calibri" w:cs="Calibri"/>
          <w:b/>
          <w:color w:val="000000"/>
          <w:sz w:val="26"/>
          <w:szCs w:val="26"/>
          <w:lang w:val="en-GB" w:bidi="en-GB"/>
        </w:rPr>
        <w:t>Total number of applications for first-time family immigration granted where applicant was a child in the period 2010-2016.</w:t>
      </w:r>
    </w:p>
    <w:tbl>
      <w:tblPr>
        <w:tblW w:w="3436" w:type="dxa"/>
        <w:tblInd w:w="-5" w:type="dxa"/>
        <w:tblCellMar>
          <w:left w:w="70" w:type="dxa"/>
          <w:right w:w="70" w:type="dxa"/>
        </w:tblCellMar>
        <w:tblLook w:val="04A0" w:firstRow="1" w:lastRow="0" w:firstColumn="1" w:lastColumn="0" w:noHBand="0" w:noVBand="1"/>
      </w:tblPr>
      <w:tblGrid>
        <w:gridCol w:w="824"/>
        <w:gridCol w:w="2612"/>
      </w:tblGrid>
      <w:tr w:rsidR="00E46CC8" w:rsidRPr="00A83E2C" w:rsidTr="00E46CC8">
        <w:trPr>
          <w:trHeight w:val="288"/>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6CC8" w:rsidRPr="00A83E2C" w:rsidRDefault="005443B5" w:rsidP="00DB23DA">
            <w:pPr>
              <w:overflowPunct/>
              <w:autoSpaceDE/>
              <w:autoSpaceDN/>
              <w:adjustRightInd/>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Year</w:t>
            </w:r>
          </w:p>
        </w:tc>
        <w:tc>
          <w:tcPr>
            <w:tcW w:w="2612" w:type="dxa"/>
            <w:tcBorders>
              <w:top w:val="single" w:sz="4" w:space="0" w:color="auto"/>
              <w:left w:val="nil"/>
              <w:bottom w:val="single" w:sz="4" w:space="0" w:color="auto"/>
              <w:right w:val="single" w:sz="4" w:space="0" w:color="auto"/>
            </w:tcBorders>
            <w:shd w:val="clear" w:color="auto" w:fill="auto"/>
            <w:noWrap/>
            <w:vAlign w:val="bottom"/>
            <w:hideMark/>
          </w:tcPr>
          <w:p w:rsidR="00E46CC8" w:rsidRPr="00A83E2C" w:rsidRDefault="005443B5" w:rsidP="00DB23DA">
            <w:pPr>
              <w:overflowPunct/>
              <w:autoSpaceDE/>
              <w:autoSpaceDN/>
              <w:adjustRightInd/>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Number of permits</w:t>
            </w:r>
          </w:p>
        </w:tc>
      </w:tr>
      <w:tr w:rsidR="00E46CC8" w:rsidRPr="00A83E2C" w:rsidTr="00E46CC8">
        <w:trPr>
          <w:trHeight w:val="288"/>
        </w:trPr>
        <w:tc>
          <w:tcPr>
            <w:tcW w:w="824" w:type="dxa"/>
            <w:tcBorders>
              <w:top w:val="nil"/>
              <w:left w:val="single" w:sz="4" w:space="0" w:color="auto"/>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2010</w:t>
            </w:r>
          </w:p>
        </w:tc>
        <w:tc>
          <w:tcPr>
            <w:tcW w:w="2612" w:type="dxa"/>
            <w:tcBorders>
              <w:top w:val="nil"/>
              <w:left w:val="nil"/>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4130</w:t>
            </w:r>
          </w:p>
        </w:tc>
      </w:tr>
      <w:tr w:rsidR="00E46CC8" w:rsidRPr="00A83E2C" w:rsidTr="00E46CC8">
        <w:trPr>
          <w:trHeight w:val="288"/>
        </w:trPr>
        <w:tc>
          <w:tcPr>
            <w:tcW w:w="824" w:type="dxa"/>
            <w:tcBorders>
              <w:top w:val="nil"/>
              <w:left w:val="single" w:sz="4" w:space="0" w:color="auto"/>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2011</w:t>
            </w:r>
          </w:p>
        </w:tc>
        <w:tc>
          <w:tcPr>
            <w:tcW w:w="2612" w:type="dxa"/>
            <w:tcBorders>
              <w:top w:val="nil"/>
              <w:left w:val="nil"/>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5339</w:t>
            </w:r>
          </w:p>
        </w:tc>
      </w:tr>
      <w:tr w:rsidR="00E46CC8" w:rsidRPr="00A83E2C" w:rsidTr="00E46CC8">
        <w:trPr>
          <w:trHeight w:val="288"/>
        </w:trPr>
        <w:tc>
          <w:tcPr>
            <w:tcW w:w="824" w:type="dxa"/>
            <w:tcBorders>
              <w:top w:val="nil"/>
              <w:left w:val="single" w:sz="4" w:space="0" w:color="auto"/>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2012</w:t>
            </w:r>
          </w:p>
        </w:tc>
        <w:tc>
          <w:tcPr>
            <w:tcW w:w="2612" w:type="dxa"/>
            <w:tcBorders>
              <w:top w:val="nil"/>
              <w:left w:val="nil"/>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4920</w:t>
            </w:r>
          </w:p>
        </w:tc>
      </w:tr>
      <w:tr w:rsidR="00E46CC8" w:rsidRPr="00A83E2C" w:rsidTr="00E46CC8">
        <w:trPr>
          <w:trHeight w:val="288"/>
        </w:trPr>
        <w:tc>
          <w:tcPr>
            <w:tcW w:w="824" w:type="dxa"/>
            <w:tcBorders>
              <w:top w:val="nil"/>
              <w:left w:val="single" w:sz="4" w:space="0" w:color="auto"/>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2013</w:t>
            </w:r>
          </w:p>
        </w:tc>
        <w:tc>
          <w:tcPr>
            <w:tcW w:w="2612" w:type="dxa"/>
            <w:tcBorders>
              <w:top w:val="nil"/>
              <w:left w:val="nil"/>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4927</w:t>
            </w:r>
          </w:p>
        </w:tc>
      </w:tr>
      <w:tr w:rsidR="00E46CC8" w:rsidRPr="00A83E2C" w:rsidTr="00E46CC8">
        <w:trPr>
          <w:trHeight w:val="288"/>
        </w:trPr>
        <w:tc>
          <w:tcPr>
            <w:tcW w:w="824" w:type="dxa"/>
            <w:tcBorders>
              <w:top w:val="nil"/>
              <w:left w:val="single" w:sz="4" w:space="0" w:color="auto"/>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2014</w:t>
            </w:r>
          </w:p>
        </w:tc>
        <w:tc>
          <w:tcPr>
            <w:tcW w:w="2612" w:type="dxa"/>
            <w:tcBorders>
              <w:top w:val="nil"/>
              <w:left w:val="nil"/>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4675</w:t>
            </w:r>
          </w:p>
        </w:tc>
      </w:tr>
      <w:tr w:rsidR="00E46CC8" w:rsidRPr="00A83E2C" w:rsidTr="00E46CC8">
        <w:trPr>
          <w:trHeight w:val="288"/>
        </w:trPr>
        <w:tc>
          <w:tcPr>
            <w:tcW w:w="824" w:type="dxa"/>
            <w:tcBorders>
              <w:top w:val="nil"/>
              <w:left w:val="single" w:sz="4" w:space="0" w:color="auto"/>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2015</w:t>
            </w:r>
          </w:p>
        </w:tc>
        <w:tc>
          <w:tcPr>
            <w:tcW w:w="2612" w:type="dxa"/>
            <w:tcBorders>
              <w:top w:val="nil"/>
              <w:left w:val="nil"/>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4729</w:t>
            </w:r>
          </w:p>
        </w:tc>
      </w:tr>
      <w:tr w:rsidR="00E46CC8" w:rsidRPr="00A83E2C" w:rsidTr="00E46CC8">
        <w:trPr>
          <w:trHeight w:val="288"/>
        </w:trPr>
        <w:tc>
          <w:tcPr>
            <w:tcW w:w="824" w:type="dxa"/>
            <w:tcBorders>
              <w:top w:val="nil"/>
              <w:left w:val="single" w:sz="4" w:space="0" w:color="auto"/>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2016</w:t>
            </w:r>
          </w:p>
        </w:tc>
        <w:tc>
          <w:tcPr>
            <w:tcW w:w="2612" w:type="dxa"/>
            <w:tcBorders>
              <w:top w:val="nil"/>
              <w:left w:val="nil"/>
              <w:bottom w:val="single" w:sz="4" w:space="0" w:color="auto"/>
              <w:right w:val="single" w:sz="4" w:space="0" w:color="auto"/>
            </w:tcBorders>
            <w:shd w:val="clear" w:color="auto" w:fill="auto"/>
            <w:noWrap/>
            <w:vAlign w:val="bottom"/>
            <w:hideMark/>
          </w:tcPr>
          <w:p w:rsidR="00E46CC8" w:rsidRPr="00A83E2C" w:rsidRDefault="00E46CC8"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6766</w:t>
            </w:r>
          </w:p>
        </w:tc>
      </w:tr>
    </w:tbl>
    <w:p w:rsidR="00CE41FF" w:rsidRPr="00A83E2C" w:rsidRDefault="00CE41FF">
      <w:pPr>
        <w:overflowPunct/>
        <w:autoSpaceDE/>
        <w:autoSpaceDN/>
        <w:adjustRightInd/>
        <w:spacing w:after="160" w:line="259" w:lineRule="auto"/>
        <w:textAlignment w:val="auto"/>
        <w:rPr>
          <w:sz w:val="24"/>
          <w:szCs w:val="24"/>
          <w:lang w:val="en-GB"/>
        </w:rPr>
      </w:pPr>
    </w:p>
    <w:p w:rsidR="00E46CC8" w:rsidRPr="00A83E2C" w:rsidRDefault="00E46CC8">
      <w:pPr>
        <w:overflowPunct/>
        <w:autoSpaceDE/>
        <w:autoSpaceDN/>
        <w:adjustRightInd/>
        <w:spacing w:after="160" w:line="259" w:lineRule="auto"/>
        <w:textAlignment w:val="auto"/>
        <w:rPr>
          <w:sz w:val="24"/>
          <w:szCs w:val="24"/>
          <w:lang w:val="en-GB"/>
        </w:rPr>
      </w:pPr>
      <w:r w:rsidRPr="00A83E2C">
        <w:rPr>
          <w:sz w:val="24"/>
          <w:szCs w:val="24"/>
          <w:lang w:val="en-GB" w:bidi="en-GB"/>
        </w:rPr>
        <w:br w:type="page"/>
      </w:r>
    </w:p>
    <w:p w:rsidR="008F253D" w:rsidRPr="00A83E2C" w:rsidRDefault="008F253D" w:rsidP="008F253D">
      <w:pPr>
        <w:shd w:val="clear" w:color="auto" w:fill="FFFFFF" w:themeFill="background1"/>
      </w:pPr>
      <w:r w:rsidRPr="008824B8">
        <w:rPr>
          <w:rFonts w:ascii="Calibri" w:hAnsi="Calibri" w:cs="Calibri"/>
          <w:b/>
          <w:bCs/>
          <w:color w:val="000000"/>
          <w:sz w:val="26"/>
          <w:szCs w:val="26"/>
          <w:lang w:eastAsia="nb-NO" w:bidi="nb-NO"/>
        </w:rPr>
        <w:t>Children who applied for asylum in 2016</w:t>
      </w:r>
    </w:p>
    <w:tbl>
      <w:tblPr>
        <w:tblW w:w="6400" w:type="dxa"/>
        <w:tblCellMar>
          <w:left w:w="70" w:type="dxa"/>
          <w:right w:w="70" w:type="dxa"/>
        </w:tblCellMar>
        <w:tblLook w:val="04A0" w:firstRow="1" w:lastRow="0" w:firstColumn="1" w:lastColumn="0" w:noHBand="0" w:noVBand="1"/>
      </w:tblPr>
      <w:tblGrid>
        <w:gridCol w:w="2581"/>
        <w:gridCol w:w="1685"/>
        <w:gridCol w:w="1900"/>
        <w:gridCol w:w="1240"/>
      </w:tblGrid>
      <w:tr w:rsidR="008F253D" w:rsidRPr="00A83E2C" w:rsidTr="00C86BC0">
        <w:trPr>
          <w:trHeight w:val="288"/>
        </w:trPr>
        <w:tc>
          <w:tcPr>
            <w:tcW w:w="25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Arial" w:hAnsi="Arial" w:cs="Arial"/>
                <w:b/>
                <w:bCs/>
                <w:color w:val="000000"/>
                <w:sz w:val="20"/>
                <w:lang w:eastAsia="nb-NO"/>
              </w:rPr>
            </w:pPr>
            <w:r w:rsidRPr="00A83E2C">
              <w:rPr>
                <w:rFonts w:ascii="Arial" w:hAnsi="Arial" w:cs="Arial"/>
                <w:b/>
                <w:bCs/>
                <w:color w:val="000000"/>
                <w:sz w:val="20"/>
                <w:lang w:val="nb-NO" w:eastAsia="nb-NO" w:bidi="nb-NO"/>
              </w:rPr>
              <w:t>Nationality</w:t>
            </w:r>
          </w:p>
        </w:tc>
        <w:tc>
          <w:tcPr>
            <w:tcW w:w="679" w:type="dxa"/>
            <w:tcBorders>
              <w:top w:val="single" w:sz="4" w:space="0" w:color="auto"/>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Arial" w:hAnsi="Arial" w:cs="Arial"/>
                <w:b/>
                <w:bCs/>
                <w:color w:val="000000"/>
                <w:sz w:val="20"/>
                <w:lang w:eastAsia="nb-NO"/>
              </w:rPr>
            </w:pPr>
            <w:r w:rsidRPr="00BB4E1D">
              <w:rPr>
                <w:rFonts w:ascii="Arial" w:hAnsi="Arial" w:cs="Arial"/>
                <w:b/>
                <w:bCs/>
                <w:color w:val="000000"/>
                <w:sz w:val="20"/>
                <w:lang w:eastAsia="nb-NO" w:bidi="nb-NO"/>
              </w:rPr>
              <w:t>Unaccompanied minor asylum seekers (UMA)</w:t>
            </w:r>
          </w:p>
        </w:tc>
        <w:tc>
          <w:tcPr>
            <w:tcW w:w="1900" w:type="dxa"/>
            <w:tcBorders>
              <w:top w:val="single" w:sz="4" w:space="0" w:color="auto"/>
              <w:left w:val="nil"/>
              <w:bottom w:val="single" w:sz="4" w:space="0" w:color="auto"/>
              <w:right w:val="single" w:sz="4" w:space="0" w:color="auto"/>
            </w:tcBorders>
            <w:shd w:val="clear" w:color="auto" w:fill="auto"/>
            <w:noWrap/>
            <w:vAlign w:val="bottom"/>
            <w:hideMark/>
          </w:tcPr>
          <w:p w:rsidR="008F253D" w:rsidRPr="00A83E2C" w:rsidRDefault="008F253D" w:rsidP="008F253D">
            <w:pPr>
              <w:overflowPunct/>
              <w:autoSpaceDE/>
              <w:autoSpaceDN/>
              <w:adjustRightInd/>
              <w:jc w:val="right"/>
              <w:textAlignment w:val="auto"/>
              <w:rPr>
                <w:rFonts w:ascii="Arial" w:hAnsi="Arial" w:cs="Arial"/>
                <w:b/>
                <w:bCs/>
                <w:color w:val="000000"/>
                <w:sz w:val="20"/>
                <w:lang w:eastAsia="nb-NO"/>
              </w:rPr>
            </w:pPr>
            <w:r>
              <w:rPr>
                <w:rFonts w:ascii="Arial" w:hAnsi="Arial" w:cs="Arial"/>
                <w:b/>
                <w:bCs/>
                <w:color w:val="000000"/>
                <w:sz w:val="20"/>
                <w:lang w:val="nb-NO" w:eastAsia="nb-NO" w:bidi="nb-NO"/>
              </w:rPr>
              <w:t>Accompanying children</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Arial" w:hAnsi="Arial" w:cs="Arial"/>
                <w:b/>
                <w:bCs/>
                <w:color w:val="000000"/>
                <w:sz w:val="20"/>
                <w:lang w:eastAsia="nb-NO"/>
              </w:rPr>
            </w:pPr>
            <w:r w:rsidRPr="00A83E2C">
              <w:rPr>
                <w:rFonts w:ascii="Arial" w:hAnsi="Arial" w:cs="Arial"/>
                <w:b/>
                <w:bCs/>
                <w:color w:val="000000"/>
                <w:sz w:val="20"/>
                <w:lang w:val="nb-NO" w:eastAsia="nb-NO" w:bidi="nb-NO"/>
              </w:rPr>
              <w:t>Total</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Afghanistan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113</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94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207</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Albania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6</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29</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35</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Algeria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6</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Angola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Azerbaijan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Bangladesh</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Bosnia-Hercegovina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Burkina Faso</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Burundi</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Colombia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Denmark</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Djibouti</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Egypt</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El Salvador</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Ivory Coast</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Eritrea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44</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72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116</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Ethiopia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16</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59</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Gambia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Ghana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Guinea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India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Iraq</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67</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78</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Iran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40</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Yemen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7</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7</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Jordan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Kenya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China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Kyrgyzstan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Kongo</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8</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8</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Kosovo</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6</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Kuwait</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Lebanon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10</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Libya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Macedonia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9</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9</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Marocco</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13</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8</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Mexico</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Mongolia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Nigeria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Pakistan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Romania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Russia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Saudi-Arabia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Serbia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10</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10</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Somalia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15</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59</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Sri Lanka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Statless</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7</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52</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59</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Sudan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14</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Syria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25</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261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286</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South-Sudan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Tajikistan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3</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Turkey</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25</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Germany</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Ukraine</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4</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Hungary</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USA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Uzbekistan</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Venezuela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Zambia</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 </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w:t>
            </w:r>
          </w:p>
        </w:tc>
      </w:tr>
      <w:tr w:rsidR="008F253D" w:rsidRPr="00A83E2C" w:rsidTr="00C86BC0">
        <w:trPr>
          <w:trHeight w:val="288"/>
        </w:trPr>
        <w:tc>
          <w:tcPr>
            <w:tcW w:w="2581" w:type="dxa"/>
            <w:tcBorders>
              <w:top w:val="nil"/>
              <w:left w:val="single" w:sz="4" w:space="0" w:color="auto"/>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textAlignment w:val="auto"/>
              <w:rPr>
                <w:rFonts w:ascii="Arial" w:hAnsi="Arial" w:cs="Arial"/>
                <w:b/>
                <w:bCs/>
                <w:color w:val="000000"/>
                <w:sz w:val="20"/>
                <w:lang w:eastAsia="nb-NO"/>
              </w:rPr>
            </w:pPr>
            <w:r w:rsidRPr="00A83E2C">
              <w:rPr>
                <w:rFonts w:ascii="Arial" w:hAnsi="Arial" w:cs="Arial"/>
                <w:b/>
                <w:bCs/>
                <w:color w:val="000000"/>
                <w:sz w:val="20"/>
                <w:lang w:val="nb-NO" w:eastAsia="nb-NO" w:bidi="nb-NO"/>
              </w:rPr>
              <w:t>Total</w:t>
            </w:r>
          </w:p>
        </w:tc>
        <w:tc>
          <w:tcPr>
            <w:tcW w:w="679"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Arial" w:hAnsi="Arial" w:cs="Arial"/>
                <w:b/>
                <w:bCs/>
                <w:color w:val="000000"/>
                <w:sz w:val="20"/>
                <w:lang w:eastAsia="nb-NO"/>
              </w:rPr>
            </w:pPr>
            <w:r w:rsidRPr="00A83E2C">
              <w:rPr>
                <w:rFonts w:ascii="Arial" w:hAnsi="Arial" w:cs="Arial"/>
                <w:b/>
                <w:bCs/>
                <w:color w:val="000000"/>
                <w:sz w:val="20"/>
                <w:lang w:val="nb-NO" w:eastAsia="nb-NO" w:bidi="nb-NO"/>
              </w:rPr>
              <w:t>273</w:t>
            </w:r>
          </w:p>
        </w:tc>
        <w:tc>
          <w:tcPr>
            <w:tcW w:w="190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Arial" w:hAnsi="Arial" w:cs="Arial"/>
                <w:b/>
                <w:bCs/>
                <w:color w:val="000000"/>
                <w:sz w:val="20"/>
                <w:lang w:eastAsia="nb-NO"/>
              </w:rPr>
            </w:pPr>
            <w:r w:rsidRPr="00A83E2C">
              <w:rPr>
                <w:rFonts w:ascii="Arial" w:hAnsi="Arial" w:cs="Arial"/>
                <w:b/>
                <w:bCs/>
                <w:color w:val="000000"/>
                <w:sz w:val="20"/>
                <w:lang w:val="nb-NO" w:eastAsia="nb-NO" w:bidi="nb-NO"/>
              </w:rPr>
              <w:t>901</w:t>
            </w:r>
          </w:p>
        </w:tc>
        <w:tc>
          <w:tcPr>
            <w:tcW w:w="1240" w:type="dxa"/>
            <w:tcBorders>
              <w:top w:val="nil"/>
              <w:left w:val="nil"/>
              <w:bottom w:val="single" w:sz="4" w:space="0" w:color="auto"/>
              <w:right w:val="single" w:sz="4" w:space="0" w:color="auto"/>
            </w:tcBorders>
            <w:shd w:val="clear" w:color="auto" w:fill="auto"/>
            <w:noWrap/>
            <w:vAlign w:val="bottom"/>
            <w:hideMark/>
          </w:tcPr>
          <w:p w:rsidR="008F253D" w:rsidRPr="00A83E2C" w:rsidRDefault="008F253D" w:rsidP="00C86BC0">
            <w:pPr>
              <w:overflowPunct/>
              <w:autoSpaceDE/>
              <w:autoSpaceDN/>
              <w:adjustRightInd/>
              <w:jc w:val="right"/>
              <w:textAlignment w:val="auto"/>
              <w:rPr>
                <w:rFonts w:ascii="Arial" w:hAnsi="Arial" w:cs="Arial"/>
                <w:b/>
                <w:bCs/>
                <w:color w:val="000000"/>
                <w:sz w:val="20"/>
                <w:lang w:eastAsia="nb-NO"/>
              </w:rPr>
            </w:pPr>
            <w:r w:rsidRPr="00A83E2C">
              <w:rPr>
                <w:rFonts w:ascii="Arial" w:hAnsi="Arial" w:cs="Arial"/>
                <w:b/>
                <w:bCs/>
                <w:color w:val="000000"/>
                <w:sz w:val="20"/>
                <w:lang w:val="nb-NO" w:eastAsia="nb-NO" w:bidi="nb-NO"/>
              </w:rPr>
              <w:t>1174</w:t>
            </w:r>
          </w:p>
        </w:tc>
      </w:tr>
    </w:tbl>
    <w:p w:rsidR="008F253D" w:rsidRDefault="008F253D">
      <w:pPr>
        <w:overflowPunct/>
        <w:autoSpaceDE/>
        <w:autoSpaceDN/>
        <w:adjustRightInd/>
        <w:spacing w:after="160" w:line="259" w:lineRule="auto"/>
        <w:textAlignment w:val="auto"/>
        <w:rPr>
          <w:sz w:val="24"/>
          <w:szCs w:val="24"/>
          <w:lang w:eastAsia="en-US"/>
        </w:rPr>
      </w:pPr>
    </w:p>
    <w:p w:rsidR="008F253D" w:rsidRDefault="008F253D">
      <w:pPr>
        <w:overflowPunct/>
        <w:autoSpaceDE/>
        <w:autoSpaceDN/>
        <w:adjustRightInd/>
        <w:spacing w:after="160" w:line="259" w:lineRule="auto"/>
        <w:textAlignment w:val="auto"/>
        <w:rPr>
          <w:sz w:val="24"/>
          <w:szCs w:val="24"/>
          <w:lang w:eastAsia="en-US"/>
        </w:rPr>
      </w:pPr>
    </w:p>
    <w:p w:rsidR="003C7F69" w:rsidRPr="00A83E2C" w:rsidRDefault="005443B5">
      <w:pPr>
        <w:overflowPunct/>
        <w:autoSpaceDE/>
        <w:autoSpaceDN/>
        <w:adjustRightInd/>
        <w:spacing w:after="160" w:line="259" w:lineRule="auto"/>
        <w:textAlignment w:val="auto"/>
        <w:rPr>
          <w:sz w:val="24"/>
          <w:szCs w:val="24"/>
        </w:rPr>
      </w:pPr>
      <w:r w:rsidRPr="00A83E2C">
        <w:rPr>
          <w:sz w:val="24"/>
          <w:szCs w:val="24"/>
          <w:lang w:eastAsia="en-US"/>
        </w:rPr>
        <w:t>List of issues, para. 18b</w:t>
      </w:r>
    </w:p>
    <w:p w:rsidR="003C7F69" w:rsidRPr="00A83E2C" w:rsidRDefault="003C7F69" w:rsidP="00E76DEA">
      <w:pPr>
        <w:shd w:val="clear" w:color="auto" w:fill="FFFFFF" w:themeFill="background1"/>
        <w:rPr>
          <w:rFonts w:ascii="Arial" w:hAnsi="Arial" w:cs="Arial"/>
          <w:b/>
          <w:sz w:val="20"/>
        </w:rPr>
      </w:pPr>
      <w:r w:rsidRPr="00E76DEA">
        <w:rPr>
          <w:rFonts w:ascii="Arial" w:eastAsia="Arial" w:hAnsi="Arial" w:cs="Arial"/>
          <w:b/>
          <w:sz w:val="20"/>
          <w:lang w:val="en-GB" w:bidi="en-GB"/>
        </w:rPr>
        <w:t>Unaccompanied minors who left reception centres without giving a known address 2012-2016</w:t>
      </w:r>
    </w:p>
    <w:tbl>
      <w:tblPr>
        <w:tblW w:w="8500" w:type="dxa"/>
        <w:tblCellMar>
          <w:left w:w="70" w:type="dxa"/>
          <w:right w:w="70" w:type="dxa"/>
        </w:tblCellMar>
        <w:tblLook w:val="04A0" w:firstRow="1" w:lastRow="0" w:firstColumn="1" w:lastColumn="0" w:noHBand="0" w:noVBand="1"/>
      </w:tblPr>
      <w:tblGrid>
        <w:gridCol w:w="1271"/>
        <w:gridCol w:w="1276"/>
        <w:gridCol w:w="1417"/>
        <w:gridCol w:w="1418"/>
        <w:gridCol w:w="1559"/>
        <w:gridCol w:w="1559"/>
      </w:tblGrid>
      <w:tr w:rsidR="003C7F69" w:rsidRPr="00A83E2C" w:rsidTr="005443B5">
        <w:trPr>
          <w:trHeight w:val="288"/>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7F69" w:rsidRPr="00A83E2C" w:rsidRDefault="005443B5" w:rsidP="00DB23DA">
            <w:pPr>
              <w:overflowPunct/>
              <w:autoSpaceDE/>
              <w:autoSpaceDN/>
              <w:adjustRightInd/>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Year</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2012</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2013</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2014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2015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b/>
                <w:bCs/>
                <w:color w:val="000000"/>
                <w:szCs w:val="22"/>
                <w:lang w:eastAsia="nb-NO"/>
              </w:rPr>
            </w:pPr>
            <w:r w:rsidRPr="00A83E2C">
              <w:rPr>
                <w:rFonts w:ascii="Calibri" w:hAnsi="Calibri" w:cs="Calibri"/>
                <w:b/>
                <w:bCs/>
                <w:color w:val="000000"/>
                <w:szCs w:val="22"/>
                <w:lang w:val="nb-NO" w:eastAsia="nb-NO" w:bidi="nb-NO"/>
              </w:rPr>
              <w:t>2016</w:t>
            </w:r>
          </w:p>
        </w:tc>
      </w:tr>
      <w:tr w:rsidR="003C7F69" w:rsidRPr="00A83E2C" w:rsidTr="005443B5">
        <w:trPr>
          <w:trHeight w:val="288"/>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rsidR="003C7F69" w:rsidRPr="00A83E2C" w:rsidRDefault="005443B5" w:rsidP="00DB23DA">
            <w:pPr>
              <w:overflowPunct/>
              <w:autoSpaceDE/>
              <w:autoSpaceDN/>
              <w:adjustRightInd/>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Number</w:t>
            </w:r>
          </w:p>
        </w:tc>
        <w:tc>
          <w:tcPr>
            <w:tcW w:w="1276" w:type="dxa"/>
            <w:tcBorders>
              <w:top w:val="nil"/>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112</w:t>
            </w:r>
          </w:p>
        </w:tc>
        <w:tc>
          <w:tcPr>
            <w:tcW w:w="1417" w:type="dxa"/>
            <w:tcBorders>
              <w:top w:val="nil"/>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89</w:t>
            </w:r>
          </w:p>
        </w:tc>
        <w:tc>
          <w:tcPr>
            <w:tcW w:w="1418" w:type="dxa"/>
            <w:tcBorders>
              <w:top w:val="nil"/>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53</w:t>
            </w:r>
          </w:p>
        </w:tc>
        <w:tc>
          <w:tcPr>
            <w:tcW w:w="1559" w:type="dxa"/>
            <w:tcBorders>
              <w:top w:val="nil"/>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96</w:t>
            </w:r>
          </w:p>
        </w:tc>
        <w:tc>
          <w:tcPr>
            <w:tcW w:w="1559" w:type="dxa"/>
            <w:tcBorders>
              <w:top w:val="nil"/>
              <w:left w:val="nil"/>
              <w:bottom w:val="single" w:sz="4" w:space="0" w:color="auto"/>
              <w:right w:val="single" w:sz="4" w:space="0" w:color="auto"/>
            </w:tcBorders>
            <w:shd w:val="clear" w:color="auto" w:fill="auto"/>
            <w:noWrap/>
            <w:vAlign w:val="center"/>
            <w:hideMark/>
          </w:tcPr>
          <w:p w:rsidR="003C7F69" w:rsidRPr="00A83E2C" w:rsidRDefault="003C7F69" w:rsidP="00DB23DA">
            <w:pPr>
              <w:overflowPunct/>
              <w:autoSpaceDE/>
              <w:autoSpaceDN/>
              <w:adjustRightInd/>
              <w:jc w:val="right"/>
              <w:textAlignment w:val="auto"/>
              <w:rPr>
                <w:rFonts w:ascii="Calibri" w:hAnsi="Calibri" w:cs="Calibri"/>
                <w:color w:val="000000"/>
                <w:szCs w:val="22"/>
                <w:lang w:eastAsia="nb-NO"/>
              </w:rPr>
            </w:pPr>
            <w:r w:rsidRPr="00A83E2C">
              <w:rPr>
                <w:rFonts w:ascii="Calibri" w:hAnsi="Calibri" w:cs="Calibri"/>
                <w:color w:val="000000"/>
                <w:szCs w:val="22"/>
                <w:lang w:val="nb-NO" w:eastAsia="nb-NO" w:bidi="nb-NO"/>
              </w:rPr>
              <w:t>266</w:t>
            </w:r>
          </w:p>
        </w:tc>
      </w:tr>
    </w:tbl>
    <w:p w:rsidR="001D6512" w:rsidRPr="00BB4E1D" w:rsidRDefault="001D6512" w:rsidP="00BB4E1D">
      <w:pPr>
        <w:overflowPunct/>
        <w:autoSpaceDE/>
        <w:autoSpaceDN/>
        <w:adjustRightInd/>
        <w:spacing w:after="160" w:line="259" w:lineRule="auto"/>
        <w:textAlignment w:val="auto"/>
        <w:rPr>
          <w:sz w:val="24"/>
          <w:szCs w:val="24"/>
          <w:lang w:eastAsia="en-US"/>
        </w:rPr>
      </w:pPr>
    </w:p>
    <w:sectPr w:rsidR="001D6512" w:rsidRPr="00BB4E1D" w:rsidSect="00286A5D">
      <w:headerReference w:type="even" r:id="rId11"/>
      <w:headerReference w:type="default" r:id="rId12"/>
      <w:footerReference w:type="even" r:id="rId13"/>
      <w:footerReference w:type="default" r:id="rId14"/>
      <w:headerReference w:type="first" r:id="rId15"/>
      <w:footerReference w:type="first" r:id="rId16"/>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CC9" w:rsidRDefault="00001CC9" w:rsidP="00031B50">
      <w:r>
        <w:separator/>
      </w:r>
    </w:p>
  </w:endnote>
  <w:endnote w:type="continuationSeparator" w:id="0">
    <w:p w:rsidR="00001CC9" w:rsidRDefault="00001CC9" w:rsidP="0003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15C" w:rsidRDefault="00A9215C">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15C" w:rsidRDefault="00A9215C">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15C" w:rsidRDefault="00A9215C">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CC9" w:rsidRDefault="00001CC9" w:rsidP="00031B50">
      <w:r>
        <w:separator/>
      </w:r>
    </w:p>
  </w:footnote>
  <w:footnote w:type="continuationSeparator" w:id="0">
    <w:p w:rsidR="00001CC9" w:rsidRDefault="00001CC9" w:rsidP="00031B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15C" w:rsidRDefault="00A9215C">
    <w:pPr>
      <w:pStyle w:val="Top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15C" w:rsidRDefault="00A9215C">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15C" w:rsidRDefault="00A9215C">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0543A"/>
    <w:multiLevelType w:val="hybridMultilevel"/>
    <w:tmpl w:val="EE5E551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4A403A03"/>
    <w:multiLevelType w:val="hybridMultilevel"/>
    <w:tmpl w:val="7A988C18"/>
    <w:lvl w:ilvl="0" w:tplc="C88C309E">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7D1F59B5"/>
    <w:multiLevelType w:val="hybridMultilevel"/>
    <w:tmpl w:val="A20E684C"/>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moveDateAndTime/>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38D"/>
    <w:rsid w:val="00001CC9"/>
    <w:rsid w:val="00031B50"/>
    <w:rsid w:val="0003797E"/>
    <w:rsid w:val="00044A5F"/>
    <w:rsid w:val="00080BFD"/>
    <w:rsid w:val="000A1CDF"/>
    <w:rsid w:val="000E4B49"/>
    <w:rsid w:val="00106EA8"/>
    <w:rsid w:val="0012218E"/>
    <w:rsid w:val="00141A6A"/>
    <w:rsid w:val="00141D87"/>
    <w:rsid w:val="001D6512"/>
    <w:rsid w:val="002233C9"/>
    <w:rsid w:val="002331F8"/>
    <w:rsid w:val="002768C8"/>
    <w:rsid w:val="0028070C"/>
    <w:rsid w:val="00286A5D"/>
    <w:rsid w:val="00295772"/>
    <w:rsid w:val="0029637D"/>
    <w:rsid w:val="002D438D"/>
    <w:rsid w:val="002E1015"/>
    <w:rsid w:val="00316E04"/>
    <w:rsid w:val="003C7F69"/>
    <w:rsid w:val="004372F3"/>
    <w:rsid w:val="00490354"/>
    <w:rsid w:val="004D22FA"/>
    <w:rsid w:val="005443B5"/>
    <w:rsid w:val="00564B57"/>
    <w:rsid w:val="00567C3D"/>
    <w:rsid w:val="005D6B2E"/>
    <w:rsid w:val="00604331"/>
    <w:rsid w:val="006772BB"/>
    <w:rsid w:val="006854D6"/>
    <w:rsid w:val="00734CE2"/>
    <w:rsid w:val="007C37DA"/>
    <w:rsid w:val="007D669D"/>
    <w:rsid w:val="00843955"/>
    <w:rsid w:val="008824B8"/>
    <w:rsid w:val="0089319A"/>
    <w:rsid w:val="008C6869"/>
    <w:rsid w:val="008F253D"/>
    <w:rsid w:val="008F4656"/>
    <w:rsid w:val="009435AA"/>
    <w:rsid w:val="009F5024"/>
    <w:rsid w:val="00A0746E"/>
    <w:rsid w:val="00A3614C"/>
    <w:rsid w:val="00A83E2C"/>
    <w:rsid w:val="00A9215C"/>
    <w:rsid w:val="00A96B63"/>
    <w:rsid w:val="00B3253B"/>
    <w:rsid w:val="00B60103"/>
    <w:rsid w:val="00BB4E1D"/>
    <w:rsid w:val="00BB74CE"/>
    <w:rsid w:val="00C14AE5"/>
    <w:rsid w:val="00C168FE"/>
    <w:rsid w:val="00C4420A"/>
    <w:rsid w:val="00C77920"/>
    <w:rsid w:val="00C86BC0"/>
    <w:rsid w:val="00CE41FF"/>
    <w:rsid w:val="00D06BF3"/>
    <w:rsid w:val="00D74C73"/>
    <w:rsid w:val="00D875E8"/>
    <w:rsid w:val="00DB23DA"/>
    <w:rsid w:val="00DE07BD"/>
    <w:rsid w:val="00E46CC8"/>
    <w:rsid w:val="00E56D83"/>
    <w:rsid w:val="00E57515"/>
    <w:rsid w:val="00E76DEA"/>
    <w:rsid w:val="00EB7CC7"/>
    <w:rsid w:val="00EC06D9"/>
    <w:rsid w:val="00ED1EE4"/>
    <w:rsid w:val="00ED4BFB"/>
    <w:rsid w:val="00EE12D9"/>
    <w:rsid w:val="00EE32D7"/>
    <w:rsid w:val="00F03D21"/>
    <w:rsid w:val="00FC09CB"/>
    <w:rsid w:val="00FD2D7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6C7324"/>
  <w15:chartTrackingRefBased/>
  <w15:docId w15:val="{529AFE36-1D5C-4DF0-8BCD-4FC6020A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38D"/>
    <w:pPr>
      <w:overflowPunct w:val="0"/>
      <w:autoSpaceDE w:val="0"/>
      <w:autoSpaceDN w:val="0"/>
      <w:adjustRightInd w:val="0"/>
      <w:spacing w:after="0" w:line="240" w:lineRule="auto"/>
      <w:textAlignment w:val="baseline"/>
    </w:pPr>
    <w:rPr>
      <w:rFonts w:ascii="Times New Roman" w:eastAsia="Times New Roman" w:hAnsi="Times New Roman" w:cs="Times New Roman"/>
      <w:szCs w:val="20"/>
      <w:lang w:eastAsia="en-GB"/>
    </w:rPr>
  </w:style>
  <w:style w:type="paragraph" w:styleId="Overskrift1">
    <w:name w:val="heading 1"/>
    <w:basedOn w:val="Normal"/>
    <w:next w:val="Normal"/>
    <w:link w:val="Overskrift1Tegn"/>
    <w:uiPriority w:val="9"/>
    <w:qFormat/>
    <w:rsid w:val="00EE12D9"/>
    <w:pPr>
      <w:keepNext/>
      <w:keepLines/>
      <w:spacing w:before="240" w:after="60"/>
      <w:outlineLvl w:val="0"/>
    </w:pPr>
    <w:rPr>
      <w:rFonts w:eastAsiaTheme="majorEastAsia" w:cstheme="majorBidi"/>
      <w:b/>
      <w:sz w:val="30"/>
      <w:szCs w:val="32"/>
    </w:rPr>
  </w:style>
  <w:style w:type="paragraph" w:styleId="Overskrift2">
    <w:name w:val="heading 2"/>
    <w:basedOn w:val="Normal"/>
    <w:next w:val="Normal"/>
    <w:link w:val="Overskrift2Tegn"/>
    <w:unhideWhenUsed/>
    <w:qFormat/>
    <w:rsid w:val="001D6512"/>
    <w:pPr>
      <w:keepNext/>
      <w:keepLines/>
      <w:spacing w:before="240" w:after="60"/>
      <w:outlineLvl w:val="1"/>
    </w:pPr>
    <w:rPr>
      <w:rFonts w:eastAsiaTheme="majorEastAsia" w:cstheme="majorBidi"/>
      <w:b/>
      <w:sz w:val="26"/>
      <w:szCs w:val="26"/>
    </w:rPr>
  </w:style>
  <w:style w:type="paragraph" w:styleId="Overskrift3">
    <w:name w:val="heading 3"/>
    <w:basedOn w:val="Normal"/>
    <w:next w:val="Normal"/>
    <w:link w:val="Overskrift3Tegn"/>
    <w:uiPriority w:val="9"/>
    <w:unhideWhenUsed/>
    <w:qFormat/>
    <w:rsid w:val="001D6512"/>
    <w:pPr>
      <w:keepNext/>
      <w:keepLines/>
      <w:spacing w:before="240" w:after="60"/>
      <w:outlineLvl w:val="2"/>
    </w:pPr>
    <w:rPr>
      <w:rFonts w:eastAsiaTheme="majorEastAsia" w:cstheme="majorBidi"/>
      <w:b/>
      <w:szCs w:val="24"/>
    </w:rPr>
  </w:style>
  <w:style w:type="paragraph" w:styleId="Overskrift4">
    <w:name w:val="heading 4"/>
    <w:basedOn w:val="Normal"/>
    <w:next w:val="Normal"/>
    <w:link w:val="Overskrift4Tegn"/>
    <w:unhideWhenUsed/>
    <w:qFormat/>
    <w:rsid w:val="001D6512"/>
    <w:pPr>
      <w:keepNext/>
      <w:keepLines/>
      <w:spacing w:before="240" w:after="60"/>
      <w:outlineLvl w:val="3"/>
    </w:pPr>
    <w:rPr>
      <w:rFonts w:eastAsiaTheme="majorEastAsia" w:cstheme="majorBidi"/>
      <w:b/>
      <w:i/>
      <w:iCs/>
    </w:rPr>
  </w:style>
  <w:style w:type="paragraph" w:styleId="Overskrift5">
    <w:name w:val="heading 5"/>
    <w:basedOn w:val="Normal"/>
    <w:next w:val="Normal"/>
    <w:link w:val="Overskrift5Tegn"/>
    <w:uiPriority w:val="9"/>
    <w:unhideWhenUsed/>
    <w:qFormat/>
    <w:rsid w:val="001D6512"/>
    <w:pPr>
      <w:keepNext/>
      <w:keepLines/>
      <w:spacing w:before="240" w:after="60"/>
      <w:outlineLvl w:val="4"/>
    </w:pPr>
    <w:rPr>
      <w:rFonts w:eastAsiaTheme="majorEastAsia" w:cstheme="majorBidi"/>
      <w:i/>
    </w:rPr>
  </w:style>
  <w:style w:type="paragraph" w:styleId="Overskrift6">
    <w:name w:val="heading 6"/>
    <w:basedOn w:val="Normal"/>
    <w:next w:val="Normal"/>
    <w:link w:val="Overskrift6Tegn"/>
    <w:uiPriority w:val="9"/>
    <w:unhideWhenUsed/>
    <w:qFormat/>
    <w:rsid w:val="001D6512"/>
    <w:pPr>
      <w:keepNext/>
      <w:keepLines/>
      <w:spacing w:before="240" w:after="60"/>
      <w:outlineLvl w:val="5"/>
    </w:pPr>
    <w:rPr>
      <w:rFonts w:eastAsiaTheme="majorEastAsia" w:cstheme="majorBidi"/>
      <w:i/>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genmellomrom">
    <w:name w:val="No Spacing"/>
    <w:uiPriority w:val="1"/>
    <w:qFormat/>
    <w:rsid w:val="00B60103"/>
    <w:pPr>
      <w:spacing w:after="0" w:line="240" w:lineRule="auto"/>
    </w:pPr>
    <w:rPr>
      <w:rFonts w:ascii="Arial" w:hAnsi="Arial"/>
      <w:color w:val="000000" w:themeColor="text1"/>
    </w:rPr>
  </w:style>
  <w:style w:type="character" w:customStyle="1" w:styleId="Overskrift1Tegn">
    <w:name w:val="Overskrift 1 Tegn"/>
    <w:basedOn w:val="Standardskriftforavsnitt"/>
    <w:link w:val="Overskrift1"/>
    <w:uiPriority w:val="9"/>
    <w:rsid w:val="00D875E8"/>
    <w:rPr>
      <w:rFonts w:ascii="Arial" w:eastAsiaTheme="majorEastAsia" w:hAnsi="Arial" w:cstheme="majorBidi"/>
      <w:b/>
      <w:color w:val="000000" w:themeColor="text1"/>
      <w:sz w:val="30"/>
      <w:szCs w:val="32"/>
    </w:rPr>
  </w:style>
  <w:style w:type="character" w:customStyle="1" w:styleId="Overskrift2Tegn">
    <w:name w:val="Overskrift 2 Tegn"/>
    <w:basedOn w:val="Standardskriftforavsnitt"/>
    <w:link w:val="Overskrift2"/>
    <w:uiPriority w:val="9"/>
    <w:rsid w:val="001D6512"/>
    <w:rPr>
      <w:rFonts w:ascii="Arial" w:eastAsiaTheme="majorEastAsia" w:hAnsi="Arial" w:cstheme="majorBidi"/>
      <w:b/>
      <w:color w:val="000000" w:themeColor="text1"/>
      <w:sz w:val="26"/>
      <w:szCs w:val="26"/>
    </w:rPr>
  </w:style>
  <w:style w:type="character" w:customStyle="1" w:styleId="Overskrift3Tegn">
    <w:name w:val="Overskrift 3 Tegn"/>
    <w:basedOn w:val="Standardskriftforavsnitt"/>
    <w:link w:val="Overskrift3"/>
    <w:uiPriority w:val="9"/>
    <w:rsid w:val="001D6512"/>
    <w:rPr>
      <w:rFonts w:ascii="Arial" w:eastAsiaTheme="majorEastAsia" w:hAnsi="Arial" w:cstheme="majorBidi"/>
      <w:b/>
      <w:color w:val="000000" w:themeColor="text1"/>
      <w:szCs w:val="24"/>
    </w:rPr>
  </w:style>
  <w:style w:type="character" w:customStyle="1" w:styleId="Overskrift4Tegn">
    <w:name w:val="Overskrift 4 Tegn"/>
    <w:basedOn w:val="Standardskriftforavsnitt"/>
    <w:link w:val="Overskrift4"/>
    <w:rsid w:val="001D6512"/>
    <w:rPr>
      <w:rFonts w:ascii="Arial" w:eastAsiaTheme="majorEastAsia" w:hAnsi="Arial" w:cstheme="majorBidi"/>
      <w:b/>
      <w:i/>
      <w:iCs/>
      <w:color w:val="000000" w:themeColor="text1"/>
    </w:rPr>
  </w:style>
  <w:style w:type="character" w:customStyle="1" w:styleId="Overskrift5Tegn">
    <w:name w:val="Overskrift 5 Tegn"/>
    <w:basedOn w:val="Standardskriftforavsnitt"/>
    <w:link w:val="Overskrift5"/>
    <w:uiPriority w:val="9"/>
    <w:rsid w:val="001D6512"/>
    <w:rPr>
      <w:rFonts w:ascii="Arial" w:eastAsiaTheme="majorEastAsia" w:hAnsi="Arial" w:cstheme="majorBidi"/>
      <w:i/>
      <w:color w:val="000000" w:themeColor="text1"/>
    </w:rPr>
  </w:style>
  <w:style w:type="character" w:customStyle="1" w:styleId="Overskrift6Tegn">
    <w:name w:val="Overskrift 6 Tegn"/>
    <w:basedOn w:val="Standardskriftforavsnitt"/>
    <w:link w:val="Overskrift6"/>
    <w:uiPriority w:val="9"/>
    <w:rsid w:val="001D6512"/>
    <w:rPr>
      <w:rFonts w:ascii="Arial" w:eastAsiaTheme="majorEastAsia" w:hAnsi="Arial" w:cstheme="majorBidi"/>
      <w:i/>
      <w:color w:val="000000" w:themeColor="text1"/>
    </w:rPr>
  </w:style>
  <w:style w:type="character" w:styleId="Utheving">
    <w:name w:val="Emphasis"/>
    <w:basedOn w:val="Standardskriftforavsnitt"/>
    <w:uiPriority w:val="20"/>
    <w:qFormat/>
    <w:rsid w:val="001D6512"/>
    <w:rPr>
      <w:rFonts w:ascii="Arial" w:hAnsi="Arial"/>
      <w:i/>
      <w:iCs/>
    </w:rPr>
  </w:style>
  <w:style w:type="character" w:styleId="Sterkutheving">
    <w:name w:val="Intense Emphasis"/>
    <w:basedOn w:val="Standardskriftforavsnitt"/>
    <w:uiPriority w:val="21"/>
    <w:qFormat/>
    <w:rsid w:val="001D6512"/>
    <w:rPr>
      <w:rFonts w:ascii="Arial" w:hAnsi="Arial"/>
      <w:i/>
      <w:iCs/>
      <w:color w:val="000000" w:themeColor="text1"/>
    </w:rPr>
  </w:style>
  <w:style w:type="character" w:styleId="Sterk">
    <w:name w:val="Strong"/>
    <w:basedOn w:val="Standardskriftforavsnitt"/>
    <w:uiPriority w:val="22"/>
    <w:qFormat/>
    <w:rsid w:val="001D6512"/>
    <w:rPr>
      <w:rFonts w:ascii="Arial" w:hAnsi="Arial"/>
      <w:b/>
      <w:bCs/>
    </w:rPr>
  </w:style>
  <w:style w:type="paragraph" w:styleId="Sterktsitat">
    <w:name w:val="Intense Quote"/>
    <w:basedOn w:val="Normal"/>
    <w:next w:val="Normal"/>
    <w:link w:val="SterktsitatTegn"/>
    <w:uiPriority w:val="30"/>
    <w:qFormat/>
    <w:rsid w:val="001D6512"/>
    <w:pPr>
      <w:pBdr>
        <w:top w:val="single" w:sz="4" w:space="10" w:color="5B9BD5" w:themeColor="accent1"/>
        <w:bottom w:val="single" w:sz="4" w:space="10" w:color="5B9BD5" w:themeColor="accent1"/>
      </w:pBdr>
      <w:spacing w:before="360" w:after="360"/>
      <w:ind w:left="864" w:right="864"/>
      <w:jc w:val="center"/>
    </w:pPr>
    <w:rPr>
      <w:i/>
      <w:iCs/>
    </w:rPr>
  </w:style>
  <w:style w:type="character" w:customStyle="1" w:styleId="SterktsitatTegn">
    <w:name w:val="Sterkt sitat Tegn"/>
    <w:basedOn w:val="Standardskriftforavsnitt"/>
    <w:link w:val="Sterktsitat"/>
    <w:uiPriority w:val="30"/>
    <w:rsid w:val="001D6512"/>
    <w:rPr>
      <w:rFonts w:ascii="Arial" w:hAnsi="Arial"/>
      <w:i/>
      <w:iCs/>
      <w:color w:val="000000" w:themeColor="text1"/>
    </w:rPr>
  </w:style>
  <w:style w:type="character" w:styleId="Svakreferanse">
    <w:name w:val="Subtle Reference"/>
    <w:basedOn w:val="Standardskriftforavsnitt"/>
    <w:uiPriority w:val="31"/>
    <w:qFormat/>
    <w:rsid w:val="001D6512"/>
    <w:rPr>
      <w:smallCaps/>
      <w:color w:val="5A5A5A" w:themeColor="text1" w:themeTint="A5"/>
    </w:rPr>
  </w:style>
  <w:style w:type="character" w:styleId="Sterkreferanse">
    <w:name w:val="Intense Reference"/>
    <w:basedOn w:val="Standardskriftforavsnitt"/>
    <w:uiPriority w:val="32"/>
    <w:qFormat/>
    <w:rsid w:val="001D6512"/>
    <w:rPr>
      <w:rFonts w:ascii="Arial" w:hAnsi="Arial"/>
      <w:b/>
      <w:bCs/>
      <w:smallCaps/>
      <w:color w:val="000000" w:themeColor="text1"/>
      <w:spacing w:val="5"/>
    </w:rPr>
  </w:style>
  <w:style w:type="paragraph" w:styleId="Topptekst">
    <w:name w:val="header"/>
    <w:basedOn w:val="Normal"/>
    <w:link w:val="TopptekstTegn"/>
    <w:uiPriority w:val="99"/>
    <w:unhideWhenUsed/>
    <w:rsid w:val="00031B50"/>
    <w:pPr>
      <w:tabs>
        <w:tab w:val="center" w:pos="4536"/>
        <w:tab w:val="right" w:pos="9072"/>
      </w:tabs>
    </w:pPr>
  </w:style>
  <w:style w:type="character" w:customStyle="1" w:styleId="TopptekstTegn">
    <w:name w:val="Topptekst Tegn"/>
    <w:basedOn w:val="Standardskriftforavsnitt"/>
    <w:link w:val="Topptekst"/>
    <w:uiPriority w:val="99"/>
    <w:rsid w:val="00031B50"/>
    <w:rPr>
      <w:rFonts w:ascii="Arial" w:hAnsi="Arial"/>
      <w:color w:val="000000" w:themeColor="text1"/>
    </w:rPr>
  </w:style>
  <w:style w:type="paragraph" w:styleId="Bunntekst">
    <w:name w:val="footer"/>
    <w:basedOn w:val="Normal"/>
    <w:link w:val="BunntekstTegn"/>
    <w:uiPriority w:val="99"/>
    <w:unhideWhenUsed/>
    <w:rsid w:val="00031B50"/>
    <w:pPr>
      <w:tabs>
        <w:tab w:val="center" w:pos="4536"/>
        <w:tab w:val="right" w:pos="9072"/>
      </w:tabs>
    </w:pPr>
  </w:style>
  <w:style w:type="character" w:customStyle="1" w:styleId="BunntekstTegn">
    <w:name w:val="Bunntekst Tegn"/>
    <w:basedOn w:val="Standardskriftforavsnitt"/>
    <w:link w:val="Bunntekst"/>
    <w:uiPriority w:val="99"/>
    <w:rsid w:val="00031B50"/>
    <w:rPr>
      <w:rFonts w:ascii="Arial" w:hAnsi="Arial"/>
      <w:color w:val="000000" w:themeColor="text1"/>
    </w:rPr>
  </w:style>
  <w:style w:type="paragraph" w:styleId="Listeavsnitt">
    <w:name w:val="List Paragraph"/>
    <w:basedOn w:val="Normal"/>
    <w:link w:val="ListeavsnittTegn"/>
    <w:uiPriority w:val="34"/>
    <w:qFormat/>
    <w:rsid w:val="002D438D"/>
    <w:pPr>
      <w:ind w:left="720"/>
      <w:contextualSpacing/>
    </w:pPr>
  </w:style>
  <w:style w:type="paragraph" w:styleId="Fotnotetekst">
    <w:name w:val="footnote text"/>
    <w:basedOn w:val="Normal"/>
    <w:link w:val="FotnotetekstTegn"/>
    <w:uiPriority w:val="99"/>
    <w:unhideWhenUsed/>
    <w:rsid w:val="002D438D"/>
    <w:rPr>
      <w:sz w:val="20"/>
    </w:rPr>
  </w:style>
  <w:style w:type="character" w:customStyle="1" w:styleId="FotnotetekstTegn">
    <w:name w:val="Fotnotetekst Tegn"/>
    <w:basedOn w:val="Standardskriftforavsnitt"/>
    <w:link w:val="Fotnotetekst"/>
    <w:uiPriority w:val="99"/>
    <w:rsid w:val="002D438D"/>
    <w:rPr>
      <w:rFonts w:ascii="Times New Roman" w:eastAsia="Times New Roman" w:hAnsi="Times New Roman" w:cs="Times New Roman"/>
      <w:sz w:val="20"/>
      <w:szCs w:val="20"/>
      <w:lang w:eastAsia="en-GB"/>
    </w:rPr>
  </w:style>
  <w:style w:type="table" w:styleId="Tabellrutenett">
    <w:name w:val="Table Grid"/>
    <w:basedOn w:val="Vanligtabell"/>
    <w:uiPriority w:val="59"/>
    <w:rsid w:val="002D4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eavsnittTegn">
    <w:name w:val="Listeavsnitt Tegn"/>
    <w:link w:val="Listeavsnitt"/>
    <w:uiPriority w:val="34"/>
    <w:rsid w:val="002D438D"/>
    <w:rPr>
      <w:rFonts w:ascii="Times New Roman" w:eastAsia="Times New Roman" w:hAnsi="Times New Roman" w:cs="Times New Roman"/>
      <w:szCs w:val="20"/>
      <w:lang w:eastAsia="en-GB"/>
    </w:rPr>
  </w:style>
  <w:style w:type="character" w:customStyle="1" w:styleId="normaltextrun">
    <w:name w:val="normaltextrun"/>
    <w:basedOn w:val="Standardskriftforavsnitt"/>
    <w:rsid w:val="002D438D"/>
  </w:style>
  <w:style w:type="paragraph" w:customStyle="1" w:styleId="paragraph">
    <w:name w:val="paragraph"/>
    <w:basedOn w:val="Normal"/>
    <w:rsid w:val="002D438D"/>
    <w:pPr>
      <w:overflowPunct/>
      <w:autoSpaceDE/>
      <w:autoSpaceDN/>
      <w:adjustRightInd/>
      <w:spacing w:before="100" w:beforeAutospacing="1" w:after="100" w:afterAutospacing="1"/>
      <w:textAlignment w:val="auto"/>
    </w:pPr>
    <w:rPr>
      <w:sz w:val="24"/>
      <w:szCs w:val="24"/>
      <w:lang w:eastAsia="nb-NO"/>
    </w:rPr>
  </w:style>
  <w:style w:type="character" w:customStyle="1" w:styleId="eop">
    <w:name w:val="eop"/>
    <w:basedOn w:val="Standardskriftforavsnitt"/>
    <w:rsid w:val="002D438D"/>
  </w:style>
  <w:style w:type="character" w:customStyle="1" w:styleId="scx247975651">
    <w:name w:val="scx247975651"/>
    <w:basedOn w:val="Standardskriftforavsnitt"/>
    <w:rsid w:val="002D438D"/>
  </w:style>
  <w:style w:type="paragraph" w:styleId="Bobletekst">
    <w:name w:val="Balloon Text"/>
    <w:basedOn w:val="Normal"/>
    <w:link w:val="BobletekstTegn"/>
    <w:uiPriority w:val="99"/>
    <w:semiHidden/>
    <w:unhideWhenUsed/>
    <w:rsid w:val="002233C9"/>
    <w:rPr>
      <w:rFonts w:ascii="Segoe UI" w:hAnsi="Segoe UI" w:cs="Segoe UI"/>
      <w:sz w:val="18"/>
      <w:szCs w:val="18"/>
    </w:rPr>
  </w:style>
  <w:style w:type="character" w:customStyle="1" w:styleId="BobletekstTegn">
    <w:name w:val="Bobletekst Tegn"/>
    <w:basedOn w:val="Standardskriftforavsnitt"/>
    <w:link w:val="Bobletekst"/>
    <w:uiPriority w:val="99"/>
    <w:semiHidden/>
    <w:rsid w:val="002233C9"/>
    <w:rPr>
      <w:rFonts w:ascii="Segoe UI" w:eastAsia="Times New Roman" w:hAnsi="Segoe UI" w:cs="Segoe UI"/>
      <w:sz w:val="18"/>
      <w:szCs w:val="18"/>
      <w:lang w:eastAsia="en-GB"/>
    </w:rPr>
  </w:style>
  <w:style w:type="numbering" w:customStyle="1" w:styleId="Ingenliste1">
    <w:name w:val="Ingen liste1"/>
    <w:next w:val="Ingenliste"/>
    <w:uiPriority w:val="99"/>
    <w:semiHidden/>
    <w:unhideWhenUsed/>
    <w:rsid w:val="002768C8"/>
  </w:style>
  <w:style w:type="character" w:styleId="Hyperkobling">
    <w:name w:val="Hyperlink"/>
    <w:basedOn w:val="Standardskriftforavsnitt"/>
    <w:uiPriority w:val="99"/>
    <w:semiHidden/>
    <w:unhideWhenUsed/>
    <w:rsid w:val="002768C8"/>
    <w:rPr>
      <w:color w:val="0563C1"/>
      <w:u w:val="single"/>
    </w:rPr>
  </w:style>
  <w:style w:type="character" w:styleId="Fulgthyperkobling">
    <w:name w:val="FollowedHyperlink"/>
    <w:basedOn w:val="Standardskriftforavsnitt"/>
    <w:uiPriority w:val="99"/>
    <w:semiHidden/>
    <w:unhideWhenUsed/>
    <w:rsid w:val="002768C8"/>
    <w:rPr>
      <w:color w:val="954F72"/>
      <w:u w:val="single"/>
    </w:rPr>
  </w:style>
  <w:style w:type="paragraph" w:customStyle="1" w:styleId="msonormal0">
    <w:name w:val="msonormal"/>
    <w:basedOn w:val="Normal"/>
    <w:rsid w:val="002768C8"/>
    <w:pPr>
      <w:overflowPunct/>
      <w:autoSpaceDE/>
      <w:autoSpaceDN/>
      <w:adjustRightInd/>
      <w:spacing w:before="100" w:beforeAutospacing="1" w:after="100" w:afterAutospacing="1"/>
      <w:textAlignment w:val="auto"/>
    </w:pPr>
    <w:rPr>
      <w:sz w:val="24"/>
      <w:szCs w:val="24"/>
      <w:lang w:eastAsia="nb-NO"/>
    </w:rPr>
  </w:style>
  <w:style w:type="paragraph" w:customStyle="1" w:styleId="xl65">
    <w:name w:val="xl65"/>
    <w:basedOn w:val="Normal"/>
    <w:rsid w:val="002768C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lang w:eastAsia="nb-NO"/>
    </w:rPr>
  </w:style>
  <w:style w:type="paragraph" w:customStyle="1" w:styleId="xl66">
    <w:name w:val="xl66"/>
    <w:basedOn w:val="Normal"/>
    <w:rsid w:val="002768C8"/>
    <w:pPr>
      <w:overflowPunct/>
      <w:autoSpaceDE/>
      <w:autoSpaceDN/>
      <w:adjustRightInd/>
      <w:spacing w:before="100" w:beforeAutospacing="1" w:after="100" w:afterAutospacing="1"/>
      <w:textAlignment w:val="auto"/>
    </w:pPr>
    <w:rPr>
      <w:b/>
      <w:bCs/>
      <w:sz w:val="26"/>
      <w:szCs w:val="26"/>
      <w:lang w:eastAsia="nb-NO"/>
    </w:rPr>
  </w:style>
  <w:style w:type="paragraph" w:customStyle="1" w:styleId="xl67">
    <w:name w:val="xl67"/>
    <w:basedOn w:val="Normal"/>
    <w:rsid w:val="002768C8"/>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b/>
      <w:bCs/>
      <w:sz w:val="24"/>
      <w:szCs w:val="24"/>
      <w:lang w:eastAsia="nb-NO"/>
    </w:rPr>
  </w:style>
  <w:style w:type="paragraph" w:customStyle="1" w:styleId="xl68">
    <w:name w:val="xl68"/>
    <w:basedOn w:val="Normal"/>
    <w:rsid w:val="002768C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eastAsia="nb-NO"/>
    </w:rPr>
  </w:style>
  <w:style w:type="paragraph" w:customStyle="1" w:styleId="xl69">
    <w:name w:val="xl69"/>
    <w:basedOn w:val="Normal"/>
    <w:rsid w:val="002768C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eastAsia="nb-NO"/>
    </w:rPr>
  </w:style>
  <w:style w:type="paragraph" w:customStyle="1" w:styleId="xl70">
    <w:name w:val="xl70"/>
    <w:basedOn w:val="Normal"/>
    <w:rsid w:val="002768C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lang w:eastAsia="nb-NO"/>
    </w:rPr>
  </w:style>
  <w:style w:type="paragraph" w:customStyle="1" w:styleId="xl71">
    <w:name w:val="xl71"/>
    <w:basedOn w:val="Normal"/>
    <w:rsid w:val="002768C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textAlignment w:val="auto"/>
    </w:pPr>
    <w:rPr>
      <w:b/>
      <w:bCs/>
      <w:sz w:val="24"/>
      <w:szCs w:val="24"/>
      <w:lang w:eastAsia="nb-NO"/>
    </w:rPr>
  </w:style>
  <w:style w:type="paragraph" w:customStyle="1" w:styleId="xl72">
    <w:name w:val="xl72"/>
    <w:basedOn w:val="Normal"/>
    <w:rsid w:val="002768C8"/>
    <w:pPr>
      <w:pBdr>
        <w:top w:val="single" w:sz="4" w:space="0" w:color="auto"/>
        <w:bottom w:val="single" w:sz="4" w:space="0" w:color="auto"/>
      </w:pBdr>
      <w:shd w:val="clear" w:color="000000" w:fill="FFFFFF"/>
      <w:overflowPunct/>
      <w:autoSpaceDE/>
      <w:autoSpaceDN/>
      <w:adjustRightInd/>
      <w:spacing w:before="100" w:beforeAutospacing="1" w:after="100" w:afterAutospacing="1"/>
      <w:textAlignment w:val="auto"/>
    </w:pPr>
    <w:rPr>
      <w:sz w:val="24"/>
      <w:szCs w:val="24"/>
      <w:lang w:eastAsia="nb-NO"/>
    </w:rPr>
  </w:style>
  <w:style w:type="paragraph" w:customStyle="1" w:styleId="xl73">
    <w:name w:val="xl73"/>
    <w:basedOn w:val="Normal"/>
    <w:rsid w:val="002768C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lang w:eastAsia="nb-NO"/>
    </w:rPr>
  </w:style>
  <w:style w:type="paragraph" w:customStyle="1" w:styleId="Default">
    <w:name w:val="Default"/>
    <w:rsid w:val="00295772"/>
    <w:pPr>
      <w:autoSpaceDE w:val="0"/>
      <w:autoSpaceDN w:val="0"/>
      <w:adjustRightInd w:val="0"/>
      <w:spacing w:after="0" w:line="240" w:lineRule="auto"/>
    </w:pPr>
    <w:rPr>
      <w:rFonts w:ascii="Calibri" w:hAnsi="Calibri" w:cs="Calibri"/>
      <w:color w:val="000000"/>
      <w:sz w:val="24"/>
      <w:szCs w:val="24"/>
    </w:rPr>
  </w:style>
  <w:style w:type="character" w:styleId="Fotnotereferanse">
    <w:name w:val="footnote reference"/>
    <w:basedOn w:val="Standardskriftforavsnitt"/>
    <w:uiPriority w:val="99"/>
    <w:semiHidden/>
    <w:unhideWhenUsed/>
    <w:rsid w:val="00295772"/>
    <w:rPr>
      <w:vertAlign w:val="superscript"/>
    </w:rPr>
  </w:style>
  <w:style w:type="character" w:styleId="Merknadsreferanse">
    <w:name w:val="annotation reference"/>
    <w:basedOn w:val="Standardskriftforavsnitt"/>
    <w:uiPriority w:val="99"/>
    <w:semiHidden/>
    <w:unhideWhenUsed/>
    <w:rsid w:val="00295772"/>
    <w:rPr>
      <w:sz w:val="16"/>
      <w:szCs w:val="16"/>
    </w:rPr>
  </w:style>
  <w:style w:type="paragraph" w:styleId="Merknadstekst">
    <w:name w:val="annotation text"/>
    <w:basedOn w:val="Normal"/>
    <w:link w:val="MerknadstekstTegn"/>
    <w:uiPriority w:val="99"/>
    <w:semiHidden/>
    <w:unhideWhenUsed/>
    <w:rsid w:val="00295772"/>
    <w:rPr>
      <w:sz w:val="20"/>
    </w:rPr>
  </w:style>
  <w:style w:type="character" w:customStyle="1" w:styleId="MerknadstekstTegn">
    <w:name w:val="Merknadstekst Tegn"/>
    <w:basedOn w:val="Standardskriftforavsnitt"/>
    <w:link w:val="Merknadstekst"/>
    <w:uiPriority w:val="99"/>
    <w:semiHidden/>
    <w:rsid w:val="00295772"/>
    <w:rPr>
      <w:rFonts w:ascii="Times New Roman" w:eastAsia="Times New Roman" w:hAnsi="Times New Roman" w:cs="Times New Roman"/>
      <w:sz w:val="20"/>
      <w:szCs w:val="20"/>
      <w:lang w:eastAsia="en-GB"/>
    </w:rPr>
  </w:style>
  <w:style w:type="paragraph" w:styleId="Kommentaremne">
    <w:name w:val="annotation subject"/>
    <w:basedOn w:val="Merknadstekst"/>
    <w:next w:val="Merknadstekst"/>
    <w:link w:val="KommentaremneTegn"/>
    <w:uiPriority w:val="99"/>
    <w:semiHidden/>
    <w:unhideWhenUsed/>
    <w:rsid w:val="00FC09CB"/>
    <w:rPr>
      <w:b/>
      <w:bCs/>
    </w:rPr>
  </w:style>
  <w:style w:type="character" w:customStyle="1" w:styleId="KommentaremneTegn">
    <w:name w:val="Kommentaremne Tegn"/>
    <w:basedOn w:val="MerknadstekstTegn"/>
    <w:link w:val="Kommentaremne"/>
    <w:uiPriority w:val="99"/>
    <w:semiHidden/>
    <w:rsid w:val="00FC09CB"/>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73892">
      <w:bodyDiv w:val="1"/>
      <w:marLeft w:val="0"/>
      <w:marRight w:val="0"/>
      <w:marTop w:val="0"/>
      <w:marBottom w:val="0"/>
      <w:divBdr>
        <w:top w:val="none" w:sz="0" w:space="0" w:color="auto"/>
        <w:left w:val="none" w:sz="0" w:space="0" w:color="auto"/>
        <w:bottom w:val="none" w:sz="0" w:space="0" w:color="auto"/>
        <w:right w:val="none" w:sz="0" w:space="0" w:color="auto"/>
      </w:divBdr>
      <w:divsChild>
        <w:div w:id="79254744">
          <w:marLeft w:val="0"/>
          <w:marRight w:val="0"/>
          <w:marTop w:val="0"/>
          <w:marBottom w:val="0"/>
          <w:divBdr>
            <w:top w:val="none" w:sz="0" w:space="0" w:color="auto"/>
            <w:left w:val="none" w:sz="0" w:space="0" w:color="auto"/>
            <w:bottom w:val="none" w:sz="0" w:space="0" w:color="auto"/>
            <w:right w:val="none" w:sz="0" w:space="0" w:color="auto"/>
          </w:divBdr>
        </w:div>
      </w:divsChild>
    </w:div>
    <w:div w:id="165483503">
      <w:bodyDiv w:val="1"/>
      <w:marLeft w:val="0"/>
      <w:marRight w:val="0"/>
      <w:marTop w:val="0"/>
      <w:marBottom w:val="0"/>
      <w:divBdr>
        <w:top w:val="none" w:sz="0" w:space="0" w:color="auto"/>
        <w:left w:val="none" w:sz="0" w:space="0" w:color="auto"/>
        <w:bottom w:val="none" w:sz="0" w:space="0" w:color="auto"/>
        <w:right w:val="none" w:sz="0" w:space="0" w:color="auto"/>
      </w:divBdr>
    </w:div>
    <w:div w:id="185143747">
      <w:bodyDiv w:val="1"/>
      <w:marLeft w:val="0"/>
      <w:marRight w:val="0"/>
      <w:marTop w:val="0"/>
      <w:marBottom w:val="0"/>
      <w:divBdr>
        <w:top w:val="none" w:sz="0" w:space="0" w:color="auto"/>
        <w:left w:val="none" w:sz="0" w:space="0" w:color="auto"/>
        <w:bottom w:val="none" w:sz="0" w:space="0" w:color="auto"/>
        <w:right w:val="none" w:sz="0" w:space="0" w:color="auto"/>
      </w:divBdr>
    </w:div>
    <w:div w:id="698549514">
      <w:bodyDiv w:val="1"/>
      <w:marLeft w:val="0"/>
      <w:marRight w:val="0"/>
      <w:marTop w:val="0"/>
      <w:marBottom w:val="0"/>
      <w:divBdr>
        <w:top w:val="none" w:sz="0" w:space="0" w:color="auto"/>
        <w:left w:val="none" w:sz="0" w:space="0" w:color="auto"/>
        <w:bottom w:val="none" w:sz="0" w:space="0" w:color="auto"/>
        <w:right w:val="none" w:sz="0" w:space="0" w:color="auto"/>
      </w:divBdr>
    </w:div>
    <w:div w:id="712582713">
      <w:bodyDiv w:val="1"/>
      <w:marLeft w:val="0"/>
      <w:marRight w:val="0"/>
      <w:marTop w:val="0"/>
      <w:marBottom w:val="0"/>
      <w:divBdr>
        <w:top w:val="none" w:sz="0" w:space="0" w:color="auto"/>
        <w:left w:val="none" w:sz="0" w:space="0" w:color="auto"/>
        <w:bottom w:val="none" w:sz="0" w:space="0" w:color="auto"/>
        <w:right w:val="none" w:sz="0" w:space="0" w:color="auto"/>
      </w:divBdr>
      <w:divsChild>
        <w:div w:id="891963432">
          <w:marLeft w:val="0"/>
          <w:marRight w:val="0"/>
          <w:marTop w:val="0"/>
          <w:marBottom w:val="0"/>
          <w:divBdr>
            <w:top w:val="none" w:sz="0" w:space="0" w:color="auto"/>
            <w:left w:val="none" w:sz="0" w:space="0" w:color="auto"/>
            <w:bottom w:val="none" w:sz="0" w:space="0" w:color="auto"/>
            <w:right w:val="none" w:sz="0" w:space="0" w:color="auto"/>
          </w:divBdr>
        </w:div>
        <w:div w:id="1006831845">
          <w:marLeft w:val="0"/>
          <w:marRight w:val="0"/>
          <w:marTop w:val="0"/>
          <w:marBottom w:val="0"/>
          <w:divBdr>
            <w:top w:val="none" w:sz="0" w:space="0" w:color="auto"/>
            <w:left w:val="none" w:sz="0" w:space="0" w:color="auto"/>
            <w:bottom w:val="none" w:sz="0" w:space="0" w:color="auto"/>
            <w:right w:val="none" w:sz="0" w:space="0" w:color="auto"/>
          </w:divBdr>
        </w:div>
        <w:div w:id="1190485425">
          <w:marLeft w:val="0"/>
          <w:marRight w:val="0"/>
          <w:marTop w:val="0"/>
          <w:marBottom w:val="0"/>
          <w:divBdr>
            <w:top w:val="none" w:sz="0" w:space="0" w:color="auto"/>
            <w:left w:val="none" w:sz="0" w:space="0" w:color="auto"/>
            <w:bottom w:val="none" w:sz="0" w:space="0" w:color="auto"/>
            <w:right w:val="none" w:sz="0" w:space="0" w:color="auto"/>
          </w:divBdr>
        </w:div>
        <w:div w:id="1793593293">
          <w:marLeft w:val="0"/>
          <w:marRight w:val="0"/>
          <w:marTop w:val="0"/>
          <w:marBottom w:val="0"/>
          <w:divBdr>
            <w:top w:val="none" w:sz="0" w:space="0" w:color="auto"/>
            <w:left w:val="none" w:sz="0" w:space="0" w:color="auto"/>
            <w:bottom w:val="none" w:sz="0" w:space="0" w:color="auto"/>
            <w:right w:val="none" w:sz="0" w:space="0" w:color="auto"/>
          </w:divBdr>
        </w:div>
        <w:div w:id="1058241950">
          <w:marLeft w:val="0"/>
          <w:marRight w:val="0"/>
          <w:marTop w:val="0"/>
          <w:marBottom w:val="0"/>
          <w:divBdr>
            <w:top w:val="none" w:sz="0" w:space="0" w:color="auto"/>
            <w:left w:val="none" w:sz="0" w:space="0" w:color="auto"/>
            <w:bottom w:val="none" w:sz="0" w:space="0" w:color="auto"/>
            <w:right w:val="none" w:sz="0" w:space="0" w:color="auto"/>
          </w:divBdr>
        </w:div>
        <w:div w:id="1052535213">
          <w:marLeft w:val="0"/>
          <w:marRight w:val="0"/>
          <w:marTop w:val="0"/>
          <w:marBottom w:val="0"/>
          <w:divBdr>
            <w:top w:val="none" w:sz="0" w:space="0" w:color="auto"/>
            <w:left w:val="none" w:sz="0" w:space="0" w:color="auto"/>
            <w:bottom w:val="none" w:sz="0" w:space="0" w:color="auto"/>
            <w:right w:val="none" w:sz="0" w:space="0" w:color="auto"/>
          </w:divBdr>
        </w:div>
        <w:div w:id="739448222">
          <w:marLeft w:val="0"/>
          <w:marRight w:val="0"/>
          <w:marTop w:val="0"/>
          <w:marBottom w:val="0"/>
          <w:divBdr>
            <w:top w:val="none" w:sz="0" w:space="0" w:color="auto"/>
            <w:left w:val="none" w:sz="0" w:space="0" w:color="auto"/>
            <w:bottom w:val="none" w:sz="0" w:space="0" w:color="auto"/>
            <w:right w:val="none" w:sz="0" w:space="0" w:color="auto"/>
          </w:divBdr>
        </w:div>
        <w:div w:id="1755129753">
          <w:marLeft w:val="0"/>
          <w:marRight w:val="0"/>
          <w:marTop w:val="0"/>
          <w:marBottom w:val="0"/>
          <w:divBdr>
            <w:top w:val="none" w:sz="0" w:space="0" w:color="auto"/>
            <w:left w:val="none" w:sz="0" w:space="0" w:color="auto"/>
            <w:bottom w:val="none" w:sz="0" w:space="0" w:color="auto"/>
            <w:right w:val="none" w:sz="0" w:space="0" w:color="auto"/>
          </w:divBdr>
        </w:div>
        <w:div w:id="759057920">
          <w:marLeft w:val="0"/>
          <w:marRight w:val="0"/>
          <w:marTop w:val="0"/>
          <w:marBottom w:val="0"/>
          <w:divBdr>
            <w:top w:val="none" w:sz="0" w:space="0" w:color="auto"/>
            <w:left w:val="none" w:sz="0" w:space="0" w:color="auto"/>
            <w:bottom w:val="none" w:sz="0" w:space="0" w:color="auto"/>
            <w:right w:val="none" w:sz="0" w:space="0" w:color="auto"/>
          </w:divBdr>
        </w:div>
        <w:div w:id="1910917769">
          <w:marLeft w:val="0"/>
          <w:marRight w:val="0"/>
          <w:marTop w:val="0"/>
          <w:marBottom w:val="0"/>
          <w:divBdr>
            <w:top w:val="none" w:sz="0" w:space="0" w:color="auto"/>
            <w:left w:val="none" w:sz="0" w:space="0" w:color="auto"/>
            <w:bottom w:val="none" w:sz="0" w:space="0" w:color="auto"/>
            <w:right w:val="none" w:sz="0" w:space="0" w:color="auto"/>
          </w:divBdr>
        </w:div>
        <w:div w:id="251668874">
          <w:marLeft w:val="0"/>
          <w:marRight w:val="0"/>
          <w:marTop w:val="0"/>
          <w:marBottom w:val="0"/>
          <w:divBdr>
            <w:top w:val="none" w:sz="0" w:space="0" w:color="auto"/>
            <w:left w:val="none" w:sz="0" w:space="0" w:color="auto"/>
            <w:bottom w:val="none" w:sz="0" w:space="0" w:color="auto"/>
            <w:right w:val="none" w:sz="0" w:space="0" w:color="auto"/>
          </w:divBdr>
        </w:div>
        <w:div w:id="892156616">
          <w:marLeft w:val="0"/>
          <w:marRight w:val="0"/>
          <w:marTop w:val="0"/>
          <w:marBottom w:val="0"/>
          <w:divBdr>
            <w:top w:val="none" w:sz="0" w:space="0" w:color="auto"/>
            <w:left w:val="none" w:sz="0" w:space="0" w:color="auto"/>
            <w:bottom w:val="none" w:sz="0" w:space="0" w:color="auto"/>
            <w:right w:val="none" w:sz="0" w:space="0" w:color="auto"/>
          </w:divBdr>
        </w:div>
      </w:divsChild>
    </w:div>
    <w:div w:id="1125781160">
      <w:bodyDiv w:val="1"/>
      <w:marLeft w:val="0"/>
      <w:marRight w:val="0"/>
      <w:marTop w:val="0"/>
      <w:marBottom w:val="0"/>
      <w:divBdr>
        <w:top w:val="none" w:sz="0" w:space="0" w:color="auto"/>
        <w:left w:val="none" w:sz="0" w:space="0" w:color="auto"/>
        <w:bottom w:val="none" w:sz="0" w:space="0" w:color="auto"/>
        <w:right w:val="none" w:sz="0" w:space="0" w:color="auto"/>
      </w:divBdr>
    </w:div>
    <w:div w:id="1184200274">
      <w:bodyDiv w:val="1"/>
      <w:marLeft w:val="0"/>
      <w:marRight w:val="0"/>
      <w:marTop w:val="0"/>
      <w:marBottom w:val="0"/>
      <w:divBdr>
        <w:top w:val="none" w:sz="0" w:space="0" w:color="auto"/>
        <w:left w:val="none" w:sz="0" w:space="0" w:color="auto"/>
        <w:bottom w:val="none" w:sz="0" w:space="0" w:color="auto"/>
        <w:right w:val="none" w:sz="0" w:space="0" w:color="auto"/>
      </w:divBdr>
    </w:div>
    <w:div w:id="1583299870">
      <w:bodyDiv w:val="1"/>
      <w:marLeft w:val="0"/>
      <w:marRight w:val="0"/>
      <w:marTop w:val="0"/>
      <w:marBottom w:val="0"/>
      <w:divBdr>
        <w:top w:val="none" w:sz="0" w:space="0" w:color="auto"/>
        <w:left w:val="none" w:sz="0" w:space="0" w:color="auto"/>
        <w:bottom w:val="none" w:sz="0" w:space="0" w:color="auto"/>
        <w:right w:val="none" w:sz="0" w:space="0" w:color="auto"/>
      </w:divBdr>
    </w:div>
    <w:div w:id="1597834142">
      <w:bodyDiv w:val="1"/>
      <w:marLeft w:val="0"/>
      <w:marRight w:val="0"/>
      <w:marTop w:val="0"/>
      <w:marBottom w:val="0"/>
      <w:divBdr>
        <w:top w:val="none" w:sz="0" w:space="0" w:color="auto"/>
        <w:left w:val="none" w:sz="0" w:space="0" w:color="auto"/>
        <w:bottom w:val="none" w:sz="0" w:space="0" w:color="auto"/>
        <w:right w:val="none" w:sz="0" w:space="0" w:color="auto"/>
      </w:divBdr>
    </w:div>
    <w:div w:id="1606301472">
      <w:bodyDiv w:val="1"/>
      <w:marLeft w:val="0"/>
      <w:marRight w:val="0"/>
      <w:marTop w:val="0"/>
      <w:marBottom w:val="0"/>
      <w:divBdr>
        <w:top w:val="none" w:sz="0" w:space="0" w:color="auto"/>
        <w:left w:val="none" w:sz="0" w:space="0" w:color="auto"/>
        <w:bottom w:val="none" w:sz="0" w:space="0" w:color="auto"/>
        <w:right w:val="none" w:sz="0" w:space="0" w:color="auto"/>
      </w:divBdr>
    </w:div>
    <w:div w:id="1804692741">
      <w:bodyDiv w:val="1"/>
      <w:marLeft w:val="0"/>
      <w:marRight w:val="0"/>
      <w:marTop w:val="0"/>
      <w:marBottom w:val="0"/>
      <w:divBdr>
        <w:top w:val="none" w:sz="0" w:space="0" w:color="auto"/>
        <w:left w:val="none" w:sz="0" w:space="0" w:color="auto"/>
        <w:bottom w:val="none" w:sz="0" w:space="0" w:color="auto"/>
        <w:right w:val="none" w:sz="0" w:space="0" w:color="auto"/>
      </w:divBdr>
    </w:div>
    <w:div w:id="2047949573">
      <w:bodyDiv w:val="1"/>
      <w:marLeft w:val="0"/>
      <w:marRight w:val="0"/>
      <w:marTop w:val="0"/>
      <w:marBottom w:val="0"/>
      <w:divBdr>
        <w:top w:val="none" w:sz="0" w:space="0" w:color="auto"/>
        <w:left w:val="none" w:sz="0" w:space="0" w:color="auto"/>
        <w:bottom w:val="none" w:sz="0" w:space="0" w:color="auto"/>
        <w:right w:val="none" w:sz="0" w:space="0" w:color="auto"/>
      </w:divBdr>
    </w:div>
    <w:div w:id="2056466292">
      <w:bodyDiv w:val="1"/>
      <w:marLeft w:val="0"/>
      <w:marRight w:val="0"/>
      <w:marTop w:val="0"/>
      <w:marBottom w:val="0"/>
      <w:divBdr>
        <w:top w:val="none" w:sz="0" w:space="0" w:color="auto"/>
        <w:left w:val="none" w:sz="0" w:space="0" w:color="auto"/>
        <w:bottom w:val="none" w:sz="0" w:space="0" w:color="auto"/>
        <w:right w:val="none" w:sz="0" w:space="0" w:color="auto"/>
      </w:divBdr>
    </w:div>
    <w:div w:id="209061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1E28F0-9E6A-4188-96DC-53906A4B8DB9}"/>
</file>

<file path=customXml/itemProps2.xml><?xml version="1.0" encoding="utf-8"?>
<ds:datastoreItem xmlns:ds="http://schemas.openxmlformats.org/officeDocument/2006/customXml" ds:itemID="{4DE95DBD-70E9-48D5-9E11-E9C6BE2AB17E}"/>
</file>

<file path=customXml/itemProps3.xml><?xml version="1.0" encoding="utf-8"?>
<ds:datastoreItem xmlns:ds="http://schemas.openxmlformats.org/officeDocument/2006/customXml" ds:itemID="{1AE0A2A8-C477-493F-AEB7-B5514A062BD3}"/>
</file>

<file path=customXml/itemProps4.xml><?xml version="1.0" encoding="utf-8"?>
<ds:datastoreItem xmlns:ds="http://schemas.openxmlformats.org/officeDocument/2006/customXml" ds:itemID="{71E1B0FD-4FED-4324-9D12-9BA7C5A10FBA}"/>
</file>

<file path=docProps/app.xml><?xml version="1.0" encoding="utf-8"?>
<Properties xmlns="http://schemas.openxmlformats.org/officeDocument/2006/extended-properties" xmlns:vt="http://schemas.openxmlformats.org/officeDocument/2006/docPropsVTypes">
  <Template>Normal</Template>
  <TotalTime>40</TotalTime>
  <Pages>1</Pages>
  <Words>2946</Words>
  <Characters>15615</Characters>
  <Application>Microsoft Office Word</Application>
  <DocSecurity>0</DocSecurity>
  <Lines>130</Lines>
  <Paragraphs>37</Paragraphs>
  <ScaleCrop>false</ScaleCrop>
  <HeadingPairs>
    <vt:vector size="2" baseType="variant">
      <vt:variant>
        <vt:lpstr>Tittel</vt:lpstr>
      </vt:variant>
      <vt:variant>
        <vt:i4>1</vt:i4>
      </vt:variant>
    </vt:vector>
  </HeadingPairs>
  <TitlesOfParts>
    <vt:vector size="1" baseType="lpstr">
      <vt:lpstr/>
    </vt:vector>
  </TitlesOfParts>
  <Company>DSS</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Brandt Synnøve</dc:creator>
  <cp:keywords/>
  <dc:description/>
  <cp:lastModifiedBy>Brandt Synnøve</cp:lastModifiedBy>
  <cp:revision>4</cp:revision>
  <cp:lastPrinted>2018-05-16T13:21:00Z</cp:lastPrinted>
  <dcterms:created xsi:type="dcterms:W3CDTF">2018-05-23T07:49:00Z</dcterms:created>
  <dcterms:modified xsi:type="dcterms:W3CDTF">2018-05-28T09:46:00Z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y fmtid="{D5CDD505-2E9C-101B-9397-08002B2CF9AE}" pid="4" name="DssFunksjon">
    <vt:lpwstr>3;#Arbeid i internasjonale r�d, organisasjoner mv|683a0970-d194-4911-a2c0-377318a59419</vt:lpwstr>
  </property>
  <property fmtid="{D5CDD505-2E9C-101B-9397-08002B2CF9AE}" pid="5" name="DssAvdeling">
    <vt:lpwstr>2;#Familie- og oppvekstavdelingen|013a14dc-f8c1-4b94-b7ca-6c7a573759b7</vt:lpwstr>
  </property>
  <property fmtid="{D5CDD505-2E9C-101B-9397-08002B2CF9AE}" pid="6" name="DssDepartement">
    <vt:lpwstr>1;#Barne- og likestillingsdepartementet|36380755-76f1-44ac-8830-e9818c9d7ec6</vt:lpwstr>
  </property>
  <property fmtid="{D5CDD505-2E9C-101B-9397-08002B2CF9AE}" pid="7" name="DssEmneord">
    <vt:lpwstr/>
  </property>
  <property fmtid="{D5CDD505-2E9C-101B-9397-08002B2CF9AE}" pid="8" name="DssDokumenttype">
    <vt:lpwstr/>
  </property>
  <property fmtid="{D5CDD505-2E9C-101B-9397-08002B2CF9AE}" pid="9" name="DssRomtype">
    <vt:lpwstr/>
  </property>
</Properties>
</file>