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4ABAD6" w14:textId="62B95665" w:rsidR="00FB6029" w:rsidRDefault="00FB6029" w:rsidP="00FB6029">
      <w:pPr>
        <w:keepNext/>
        <w:keepLines/>
        <w:spacing w:before="480" w:after="120"/>
        <w:jc w:val="center"/>
        <w:outlineLvl w:val="0"/>
        <w:rPr>
          <w:rFonts w:ascii="Times New Roman" w:eastAsia="Calibri" w:hAnsi="Times New Roman" w:cs="Times New Roman"/>
          <w:b/>
          <w:sz w:val="24"/>
          <w:szCs w:val="24"/>
          <w:lang w:eastAsia="en-GB"/>
        </w:rPr>
      </w:pPr>
      <w:bookmarkStart w:id="0" w:name="_Toc52609173"/>
      <w:r>
        <w:rPr>
          <w:rFonts w:ascii="Times New Roman" w:eastAsia="Calibri" w:hAnsi="Times New Roman" w:cs="Times New Roman"/>
          <w:b/>
          <w:sz w:val="24"/>
          <w:szCs w:val="24"/>
          <w:lang w:eastAsia="en-GB"/>
        </w:rPr>
        <w:t xml:space="preserve">Appendix </w:t>
      </w:r>
      <w:r w:rsidR="004943C8">
        <w:rPr>
          <w:rFonts w:ascii="Times New Roman" w:eastAsia="Calibri" w:hAnsi="Times New Roman" w:cs="Times New Roman"/>
          <w:b/>
          <w:sz w:val="24"/>
          <w:szCs w:val="24"/>
          <w:lang w:eastAsia="en-GB"/>
        </w:rPr>
        <w:t>A</w:t>
      </w:r>
    </w:p>
    <w:p w14:paraId="6A48406A" w14:textId="36DDCE93" w:rsidR="00FB6029" w:rsidRPr="00FB6029" w:rsidRDefault="00FB6029" w:rsidP="00FB6029">
      <w:pPr>
        <w:keepNext/>
        <w:keepLines/>
        <w:spacing w:before="480" w:after="120"/>
        <w:outlineLvl w:val="0"/>
        <w:rPr>
          <w:rFonts w:ascii="Times New Roman" w:eastAsia="Calibri" w:hAnsi="Times New Roman" w:cs="Times New Roman"/>
          <w:b/>
          <w:sz w:val="24"/>
          <w:szCs w:val="24"/>
          <w:lang w:eastAsia="en-GB"/>
        </w:rPr>
      </w:pPr>
      <w:r w:rsidRPr="00FB6029">
        <w:rPr>
          <w:rFonts w:ascii="Times New Roman" w:eastAsia="Calibri" w:hAnsi="Times New Roman" w:cs="Times New Roman"/>
          <w:b/>
          <w:sz w:val="24"/>
          <w:szCs w:val="24"/>
          <w:lang w:eastAsia="en-GB"/>
        </w:rPr>
        <w:t>International and Regional Frameworks</w:t>
      </w:r>
      <w:bookmarkEnd w:id="0"/>
    </w:p>
    <w:p w14:paraId="70DC0CFA" w14:textId="77777777" w:rsidR="00FB6029" w:rsidRPr="00FB6029" w:rsidRDefault="00FB6029" w:rsidP="00FB6029">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eastAsia="en-GB"/>
        </w:rPr>
      </w:pPr>
      <w:r w:rsidRPr="00FB6029">
        <w:rPr>
          <w:rFonts w:ascii="Times New Roman" w:eastAsia="Times New Roman" w:hAnsi="Times New Roman" w:cs="Times New Roman"/>
          <w:color w:val="000000"/>
          <w:sz w:val="24"/>
          <w:szCs w:val="24"/>
          <w:lang w:eastAsia="en-GB"/>
        </w:rPr>
        <w:t>South Africa has acceded to several international treaties since its democratic status. It has signed the International Covenant on Economic, Social and Cultural Rights (ICESCR) in 1994 and ratified in 2015 and has ratified the CEDAW in 1995, the African Charter on Human and People’s Rights (African Charter) in 1996, and the International Covenant on Civil and Political Rights (ICCPR) in 1998</w:t>
      </w:r>
    </w:p>
    <w:p w14:paraId="44EAD74B" w14:textId="77777777" w:rsidR="00FB6029" w:rsidRPr="00FB6029" w:rsidRDefault="00FB6029" w:rsidP="00FB6029">
      <w:pPr>
        <w:spacing w:line="360" w:lineRule="auto"/>
        <w:jc w:val="both"/>
        <w:rPr>
          <w:rFonts w:ascii="Times New Roman" w:eastAsia="Times New Roman" w:hAnsi="Times New Roman" w:cs="Times New Roman"/>
          <w:sz w:val="24"/>
          <w:szCs w:val="24"/>
          <w:lang w:eastAsia="en-GB"/>
        </w:rPr>
      </w:pPr>
      <w:r w:rsidRPr="00FB6029">
        <w:rPr>
          <w:rFonts w:ascii="Times New Roman" w:eastAsia="Times New Roman" w:hAnsi="Times New Roman" w:cs="Times New Roman"/>
          <w:sz w:val="24"/>
          <w:szCs w:val="24"/>
          <w:lang w:eastAsia="en-GB"/>
        </w:rPr>
        <w:t>At a regional level, the African Charter on Human and Peoples’ Rights (African Charter) sets out a duty to all States to ensure equality and dignity for all persons. Stating all persons are equal before the law;</w:t>
      </w:r>
      <w:r w:rsidRPr="00FB6029">
        <w:rPr>
          <w:rFonts w:ascii="Calibri" w:eastAsia="Calibri" w:hAnsi="Calibri" w:cs="Calibri"/>
          <w:vertAlign w:val="superscript"/>
          <w:lang w:eastAsia="en-GB"/>
        </w:rPr>
        <w:footnoteReference w:id="1"/>
      </w:r>
      <w:r w:rsidRPr="00FB6029">
        <w:rPr>
          <w:rFonts w:ascii="Times New Roman" w:eastAsia="Times New Roman" w:hAnsi="Times New Roman" w:cs="Times New Roman"/>
          <w:sz w:val="24"/>
          <w:szCs w:val="24"/>
          <w:lang w:eastAsia="en-GB"/>
        </w:rPr>
        <w:t xml:space="preserve"> it provides for the enjoyment of rights without any distinction of race, ethnicity, sex or religion,</w:t>
      </w:r>
      <w:r w:rsidRPr="00FB6029">
        <w:rPr>
          <w:rFonts w:ascii="Calibri" w:eastAsia="Calibri" w:hAnsi="Calibri" w:cs="Calibri"/>
          <w:vertAlign w:val="superscript"/>
          <w:lang w:eastAsia="en-GB"/>
        </w:rPr>
        <w:footnoteReference w:id="2"/>
      </w:r>
      <w:r w:rsidRPr="00FB6029">
        <w:rPr>
          <w:rFonts w:ascii="Times New Roman" w:eastAsia="Times New Roman" w:hAnsi="Times New Roman" w:cs="Times New Roman"/>
          <w:sz w:val="24"/>
          <w:szCs w:val="24"/>
          <w:lang w:eastAsia="en-GB"/>
        </w:rPr>
        <w:t xml:space="preserve"> and it guarantees freedom of conscience, profession and free practice of religion.</w:t>
      </w:r>
      <w:r w:rsidRPr="00FB6029">
        <w:rPr>
          <w:rFonts w:ascii="Calibri" w:eastAsia="Calibri" w:hAnsi="Calibri" w:cs="Calibri"/>
          <w:vertAlign w:val="superscript"/>
          <w:lang w:eastAsia="en-GB"/>
        </w:rPr>
        <w:footnoteReference w:id="3"/>
      </w:r>
      <w:r w:rsidRPr="00FB6029">
        <w:rPr>
          <w:rFonts w:ascii="Times New Roman" w:eastAsia="Times New Roman" w:hAnsi="Times New Roman" w:cs="Times New Roman"/>
          <w:sz w:val="24"/>
          <w:szCs w:val="24"/>
          <w:lang w:eastAsia="en-GB"/>
        </w:rPr>
        <w:t xml:space="preserve">  It further protects cultural life and traditional values,</w:t>
      </w:r>
      <w:r w:rsidRPr="00FB6029">
        <w:rPr>
          <w:rFonts w:ascii="Calibri" w:eastAsia="Calibri" w:hAnsi="Calibri" w:cs="Calibri"/>
          <w:vertAlign w:val="superscript"/>
          <w:lang w:eastAsia="en-GB"/>
        </w:rPr>
        <w:footnoteReference w:id="4"/>
      </w:r>
      <w:r w:rsidRPr="00FB6029">
        <w:rPr>
          <w:rFonts w:ascii="Times New Roman" w:eastAsia="Times New Roman" w:hAnsi="Times New Roman" w:cs="Times New Roman"/>
          <w:sz w:val="24"/>
          <w:szCs w:val="24"/>
          <w:lang w:eastAsia="en-GB"/>
        </w:rPr>
        <w:t xml:space="preserve"> and seeks to eliminate all discrimination against women as stipulated in CEDAW and other international declarations and conventions.</w:t>
      </w:r>
      <w:r w:rsidRPr="00FB6029">
        <w:rPr>
          <w:rFonts w:ascii="Calibri" w:eastAsia="Calibri" w:hAnsi="Calibri" w:cs="Calibri"/>
          <w:vertAlign w:val="superscript"/>
          <w:lang w:eastAsia="en-GB"/>
        </w:rPr>
        <w:footnoteReference w:id="5"/>
      </w:r>
    </w:p>
    <w:p w14:paraId="0052377C" w14:textId="376853C7" w:rsidR="00FB6029" w:rsidRDefault="00FB6029" w:rsidP="00FB6029">
      <w:pPr>
        <w:spacing w:line="360" w:lineRule="auto"/>
        <w:jc w:val="both"/>
        <w:rPr>
          <w:rFonts w:ascii="Times New Roman" w:eastAsia="Times New Roman" w:hAnsi="Times New Roman" w:cs="Times New Roman"/>
          <w:sz w:val="24"/>
          <w:szCs w:val="24"/>
          <w:lang w:eastAsia="en-GB"/>
        </w:rPr>
      </w:pPr>
      <w:r w:rsidRPr="00FB6029">
        <w:rPr>
          <w:rFonts w:ascii="Times New Roman" w:eastAsia="Times New Roman" w:hAnsi="Times New Roman" w:cs="Times New Roman"/>
          <w:sz w:val="24"/>
          <w:szCs w:val="24"/>
          <w:lang w:eastAsia="en-GB"/>
        </w:rPr>
        <w:t>South Africa is one of fifteen nations that have ratified the Maputo Protocol, formally called the Protocol to the African Charter on Human and Peoples’ Rights on the Rights of Women in Africa. The Maputo Protocol was adopted by the African Union in July 2003 and came into force on 25 November 2005. The Protocol speaks to the protection of women in the context of religious marriages.</w:t>
      </w:r>
      <w:r w:rsidRPr="00FB6029">
        <w:rPr>
          <w:rFonts w:ascii="Calibri" w:eastAsia="Calibri" w:hAnsi="Calibri" w:cs="Calibri"/>
          <w:vertAlign w:val="superscript"/>
          <w:lang w:eastAsia="en-GB"/>
        </w:rPr>
        <w:footnoteReference w:id="6"/>
      </w:r>
      <w:r w:rsidRPr="00FB6029">
        <w:rPr>
          <w:rFonts w:ascii="Times New Roman" w:eastAsia="Times New Roman" w:hAnsi="Times New Roman" w:cs="Times New Roman"/>
          <w:sz w:val="24"/>
          <w:szCs w:val="24"/>
          <w:lang w:eastAsia="en-GB"/>
        </w:rPr>
        <w:t xml:space="preserve"> It further states that women should be consulted and involved in all matters regarding cultural policies.</w:t>
      </w:r>
      <w:r w:rsidRPr="00FB6029">
        <w:rPr>
          <w:rFonts w:ascii="Calibri" w:eastAsia="Calibri" w:hAnsi="Calibri" w:cs="Calibri"/>
          <w:vertAlign w:val="superscript"/>
          <w:lang w:eastAsia="en-GB"/>
        </w:rPr>
        <w:footnoteReference w:id="7"/>
      </w:r>
      <w:r w:rsidRPr="00FB6029">
        <w:rPr>
          <w:rFonts w:ascii="Times New Roman" w:eastAsia="Times New Roman" w:hAnsi="Times New Roman" w:cs="Times New Roman"/>
          <w:sz w:val="24"/>
          <w:szCs w:val="24"/>
          <w:lang w:eastAsia="en-GB"/>
        </w:rPr>
        <w:t xml:space="preserve"> The Protocol is explicit that women are to be involved in matters concerning their marriages regardless of race, religion and ethnicity.</w:t>
      </w:r>
    </w:p>
    <w:p w14:paraId="3862B9BC" w14:textId="2495F65C" w:rsidR="004943C8" w:rsidRDefault="004943C8" w:rsidP="00FB6029">
      <w:pPr>
        <w:spacing w:line="360" w:lineRule="auto"/>
        <w:jc w:val="both"/>
        <w:rPr>
          <w:rFonts w:ascii="Times New Roman" w:eastAsia="Times New Roman" w:hAnsi="Times New Roman" w:cs="Times New Roman"/>
          <w:sz w:val="24"/>
          <w:szCs w:val="24"/>
          <w:lang w:eastAsia="en-GB"/>
        </w:rPr>
      </w:pPr>
    </w:p>
    <w:p w14:paraId="69A56BF5" w14:textId="77777777" w:rsidR="004943C8" w:rsidRDefault="004943C8" w:rsidP="00FB6029">
      <w:pPr>
        <w:spacing w:line="360" w:lineRule="auto"/>
        <w:jc w:val="both"/>
        <w:rPr>
          <w:rFonts w:ascii="Times New Roman" w:eastAsia="Times New Roman" w:hAnsi="Times New Roman" w:cs="Times New Roman"/>
          <w:b/>
          <w:sz w:val="24"/>
          <w:szCs w:val="24"/>
          <w:lang w:eastAsia="en-GB"/>
        </w:rPr>
      </w:pPr>
    </w:p>
    <w:p w14:paraId="2818F559" w14:textId="52142392" w:rsidR="004943C8" w:rsidRPr="004943C8" w:rsidRDefault="004943C8" w:rsidP="00FB6029">
      <w:pPr>
        <w:spacing w:line="360" w:lineRule="auto"/>
        <w:jc w:val="both"/>
        <w:rPr>
          <w:rFonts w:ascii="Times New Roman" w:eastAsia="Times New Roman" w:hAnsi="Times New Roman" w:cs="Times New Roman"/>
          <w:b/>
          <w:sz w:val="24"/>
          <w:szCs w:val="24"/>
          <w:lang w:eastAsia="en-GB"/>
        </w:rPr>
      </w:pPr>
      <w:r w:rsidRPr="004943C8">
        <w:rPr>
          <w:rFonts w:ascii="Times New Roman" w:eastAsia="Times New Roman" w:hAnsi="Times New Roman" w:cs="Times New Roman"/>
          <w:b/>
          <w:sz w:val="24"/>
          <w:szCs w:val="24"/>
          <w:lang w:eastAsia="en-GB"/>
        </w:rPr>
        <w:lastRenderedPageBreak/>
        <w:t xml:space="preserve">Domestic Legal Frameworks </w:t>
      </w:r>
    </w:p>
    <w:p w14:paraId="504DC755" w14:textId="77777777" w:rsidR="004943C8" w:rsidRPr="004943C8" w:rsidRDefault="004943C8" w:rsidP="004943C8">
      <w:pPr>
        <w:spacing w:line="360" w:lineRule="auto"/>
        <w:jc w:val="both"/>
        <w:rPr>
          <w:rFonts w:ascii="Times New Roman" w:eastAsia="Times New Roman" w:hAnsi="Times New Roman" w:cs="Times New Roman"/>
          <w:sz w:val="24"/>
          <w:szCs w:val="24"/>
          <w:lang w:eastAsia="en-GB"/>
        </w:rPr>
      </w:pPr>
      <w:r w:rsidRPr="004943C8">
        <w:rPr>
          <w:rFonts w:ascii="Times New Roman" w:eastAsia="Times New Roman" w:hAnsi="Times New Roman" w:cs="Times New Roman"/>
          <w:sz w:val="24"/>
          <w:szCs w:val="24"/>
          <w:lang w:eastAsia="en-GB"/>
        </w:rPr>
        <w:t xml:space="preserve">Domestically, the South African constitutional framework forms a firm basis for recognition. This includes, firstly, South Africa’s obligation to consider international law as stated in Section 39(1)(b) of the Constitution. </w:t>
      </w:r>
    </w:p>
    <w:p w14:paraId="52E4E6D0" w14:textId="77777777" w:rsidR="004943C8" w:rsidRPr="004943C8" w:rsidRDefault="004943C8" w:rsidP="004943C8">
      <w:pPr>
        <w:spacing w:line="240" w:lineRule="auto"/>
        <w:jc w:val="both"/>
        <w:rPr>
          <w:rFonts w:ascii="Times New Roman" w:eastAsia="Times New Roman" w:hAnsi="Times New Roman" w:cs="Times New Roman"/>
          <w:lang w:eastAsia="en-GB"/>
        </w:rPr>
      </w:pPr>
      <w:r w:rsidRPr="004943C8">
        <w:rPr>
          <w:rFonts w:ascii="Times New Roman" w:eastAsia="Times New Roman" w:hAnsi="Times New Roman" w:cs="Times New Roman"/>
          <w:lang w:eastAsia="en-GB"/>
        </w:rPr>
        <w:t>“When interpreting the Bill of Rights, a court, tribunal or forum—</w:t>
      </w:r>
    </w:p>
    <w:p w14:paraId="327798B9" w14:textId="77777777" w:rsidR="004943C8" w:rsidRPr="004943C8" w:rsidRDefault="004943C8" w:rsidP="004943C8">
      <w:pPr>
        <w:spacing w:line="240" w:lineRule="auto"/>
        <w:jc w:val="both"/>
        <w:rPr>
          <w:rFonts w:ascii="Times New Roman" w:eastAsia="Times New Roman" w:hAnsi="Times New Roman" w:cs="Times New Roman"/>
          <w:lang w:eastAsia="en-GB"/>
        </w:rPr>
      </w:pPr>
      <w:r w:rsidRPr="004943C8">
        <w:rPr>
          <w:rFonts w:ascii="Times New Roman" w:eastAsia="Times New Roman" w:hAnsi="Times New Roman" w:cs="Times New Roman"/>
          <w:lang w:eastAsia="en-GB"/>
        </w:rPr>
        <w:tab/>
        <w:t>…</w:t>
      </w:r>
    </w:p>
    <w:p w14:paraId="312ABEE9" w14:textId="77777777" w:rsidR="004943C8" w:rsidRPr="004943C8" w:rsidRDefault="004943C8" w:rsidP="004943C8">
      <w:pPr>
        <w:spacing w:line="240" w:lineRule="auto"/>
        <w:jc w:val="both"/>
        <w:rPr>
          <w:rFonts w:ascii="Times New Roman" w:eastAsia="Times New Roman" w:hAnsi="Times New Roman" w:cs="Times New Roman"/>
          <w:lang w:eastAsia="en-GB"/>
        </w:rPr>
      </w:pPr>
      <w:r w:rsidRPr="004943C8">
        <w:rPr>
          <w:rFonts w:ascii="Times New Roman" w:eastAsia="Times New Roman" w:hAnsi="Times New Roman" w:cs="Times New Roman"/>
          <w:lang w:eastAsia="en-GB"/>
        </w:rPr>
        <w:tab/>
        <w:t>(b) must consider international law.</w:t>
      </w:r>
    </w:p>
    <w:p w14:paraId="4FEAB1FB" w14:textId="77777777" w:rsidR="004943C8" w:rsidRPr="004943C8" w:rsidRDefault="004943C8" w:rsidP="004943C8">
      <w:pPr>
        <w:spacing w:line="240" w:lineRule="auto"/>
        <w:jc w:val="both"/>
        <w:rPr>
          <w:rFonts w:ascii="Times New Roman" w:eastAsia="Times New Roman" w:hAnsi="Times New Roman" w:cs="Times New Roman"/>
          <w:lang w:eastAsia="en-GB"/>
        </w:rPr>
      </w:pPr>
      <w:r w:rsidRPr="004943C8">
        <w:rPr>
          <w:rFonts w:ascii="Times New Roman" w:eastAsia="Times New Roman" w:hAnsi="Times New Roman" w:cs="Times New Roman"/>
          <w:lang w:eastAsia="en-GB"/>
        </w:rPr>
        <w:tab/>
        <w:t>…”</w:t>
      </w:r>
    </w:p>
    <w:p w14:paraId="51AD9DDE" w14:textId="77777777" w:rsidR="004943C8" w:rsidRPr="004943C8" w:rsidRDefault="004943C8" w:rsidP="004943C8">
      <w:pPr>
        <w:spacing w:line="360" w:lineRule="auto"/>
        <w:jc w:val="both"/>
        <w:rPr>
          <w:rFonts w:ascii="Times New Roman" w:eastAsia="Times New Roman" w:hAnsi="Times New Roman" w:cs="Times New Roman"/>
          <w:sz w:val="24"/>
          <w:szCs w:val="24"/>
          <w:lang w:eastAsia="en-GB"/>
        </w:rPr>
      </w:pPr>
      <w:bookmarkStart w:id="1" w:name="_GoBack"/>
      <w:bookmarkEnd w:id="1"/>
      <w:r w:rsidRPr="004943C8">
        <w:rPr>
          <w:rFonts w:ascii="Times New Roman" w:eastAsia="Times New Roman" w:hAnsi="Times New Roman" w:cs="Times New Roman"/>
          <w:sz w:val="24"/>
          <w:szCs w:val="24"/>
          <w:lang w:eastAsia="en-GB"/>
        </w:rPr>
        <w:t>The Constitution provides for equality between religion, sexes, nationality, ethnicity and other groups listed in section 9(1)(a).</w:t>
      </w:r>
      <w:r w:rsidRPr="004943C8">
        <w:rPr>
          <w:rFonts w:ascii="Times New Roman" w:eastAsia="Times New Roman" w:hAnsi="Times New Roman" w:cs="Times New Roman"/>
          <w:sz w:val="24"/>
          <w:szCs w:val="24"/>
          <w:vertAlign w:val="superscript"/>
          <w:lang w:eastAsia="en-GB"/>
        </w:rPr>
        <w:footnoteReference w:id="8"/>
      </w:r>
      <w:r w:rsidRPr="004943C8">
        <w:rPr>
          <w:rFonts w:ascii="Times New Roman" w:eastAsia="Times New Roman" w:hAnsi="Times New Roman" w:cs="Times New Roman"/>
          <w:sz w:val="24"/>
          <w:szCs w:val="24"/>
          <w:lang w:eastAsia="en-GB"/>
        </w:rPr>
        <w:t xml:space="preserve"> The Constitutional Court has adopted a substantive interpretation of equality.</w:t>
      </w:r>
      <w:r w:rsidRPr="004943C8">
        <w:rPr>
          <w:rFonts w:ascii="Times New Roman" w:eastAsia="Times New Roman" w:hAnsi="Times New Roman" w:cs="Times New Roman"/>
          <w:sz w:val="24"/>
          <w:szCs w:val="24"/>
          <w:vertAlign w:val="superscript"/>
          <w:lang w:eastAsia="en-GB"/>
        </w:rPr>
        <w:footnoteReference w:id="9"/>
      </w:r>
      <w:r w:rsidRPr="004943C8">
        <w:rPr>
          <w:rFonts w:ascii="Times New Roman" w:eastAsia="Times New Roman" w:hAnsi="Times New Roman" w:cs="Times New Roman"/>
          <w:sz w:val="24"/>
          <w:szCs w:val="24"/>
          <w:lang w:eastAsia="en-GB"/>
        </w:rPr>
        <w:t xml:space="preserve"> </w:t>
      </w:r>
    </w:p>
    <w:p w14:paraId="0C8E2804" w14:textId="77777777" w:rsidR="004943C8" w:rsidRPr="004943C8" w:rsidRDefault="004943C8" w:rsidP="004943C8">
      <w:pPr>
        <w:spacing w:line="360" w:lineRule="auto"/>
        <w:jc w:val="both"/>
        <w:rPr>
          <w:rFonts w:ascii="Times New Roman" w:eastAsia="Times New Roman" w:hAnsi="Times New Roman" w:cs="Times New Roman"/>
          <w:sz w:val="24"/>
          <w:szCs w:val="24"/>
          <w:lang w:eastAsia="en-GB"/>
        </w:rPr>
      </w:pPr>
      <w:r w:rsidRPr="004943C8">
        <w:rPr>
          <w:rFonts w:ascii="Times New Roman" w:eastAsia="Times New Roman" w:hAnsi="Times New Roman" w:cs="Times New Roman"/>
          <w:sz w:val="24"/>
          <w:szCs w:val="24"/>
          <w:lang w:eastAsia="en-GB"/>
        </w:rPr>
        <w:t>Section 15 of the Constitution provides for the freedom of religion, belief and culture. More particularly, section 15(3), applicable in this context, states:</w:t>
      </w:r>
    </w:p>
    <w:p w14:paraId="44A1D72D" w14:textId="77777777" w:rsidR="004943C8" w:rsidRPr="004943C8" w:rsidRDefault="004943C8" w:rsidP="004943C8">
      <w:pPr>
        <w:spacing w:line="240" w:lineRule="auto"/>
        <w:ind w:firstLine="720"/>
        <w:jc w:val="both"/>
        <w:rPr>
          <w:rFonts w:ascii="Times New Roman" w:eastAsia="Times New Roman" w:hAnsi="Times New Roman" w:cs="Times New Roman"/>
          <w:lang w:eastAsia="en-GB"/>
        </w:rPr>
      </w:pPr>
      <w:r w:rsidRPr="004943C8">
        <w:rPr>
          <w:rFonts w:ascii="Times New Roman" w:eastAsia="Times New Roman" w:hAnsi="Times New Roman" w:cs="Times New Roman"/>
          <w:lang w:eastAsia="en-GB"/>
        </w:rPr>
        <w:t>“3(a) This section does not prevent legislation recognising—</w:t>
      </w:r>
    </w:p>
    <w:p w14:paraId="0FC8BC42" w14:textId="77777777" w:rsidR="004943C8" w:rsidRPr="004943C8" w:rsidRDefault="004943C8" w:rsidP="004943C8">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lang w:eastAsia="en-GB"/>
        </w:rPr>
      </w:pPr>
      <w:r w:rsidRPr="004943C8">
        <w:rPr>
          <w:rFonts w:ascii="Times New Roman" w:eastAsia="Times New Roman" w:hAnsi="Times New Roman" w:cs="Times New Roman"/>
          <w:color w:val="000000"/>
          <w:lang w:eastAsia="en-GB"/>
        </w:rPr>
        <w:t>marriages concluded under any tradition, or a system of religious, personal or family law; or</w:t>
      </w:r>
    </w:p>
    <w:p w14:paraId="22EADA77" w14:textId="77777777" w:rsidR="004943C8" w:rsidRPr="004943C8" w:rsidRDefault="004943C8" w:rsidP="004943C8">
      <w:pPr>
        <w:numPr>
          <w:ilvl w:val="0"/>
          <w:numId w:val="1"/>
        </w:numPr>
        <w:pBdr>
          <w:top w:val="nil"/>
          <w:left w:val="nil"/>
          <w:bottom w:val="nil"/>
          <w:right w:val="nil"/>
          <w:between w:val="nil"/>
        </w:pBdr>
        <w:spacing w:line="240" w:lineRule="auto"/>
        <w:jc w:val="both"/>
        <w:rPr>
          <w:rFonts w:ascii="Times New Roman" w:eastAsia="Times New Roman" w:hAnsi="Times New Roman" w:cs="Times New Roman"/>
          <w:color w:val="000000"/>
          <w:lang w:eastAsia="en-GB"/>
        </w:rPr>
      </w:pPr>
      <w:r w:rsidRPr="004943C8">
        <w:rPr>
          <w:rFonts w:ascii="Times New Roman" w:eastAsia="Times New Roman" w:hAnsi="Times New Roman" w:cs="Times New Roman"/>
          <w:color w:val="000000"/>
          <w:lang w:eastAsia="en-GB"/>
        </w:rPr>
        <w:t>(ii) systems of personal and family law under any tradition, or adhered to by persons professing a particular religion.</w:t>
      </w:r>
    </w:p>
    <w:p w14:paraId="26CBBA55" w14:textId="77777777" w:rsidR="004943C8" w:rsidRPr="004943C8" w:rsidRDefault="004943C8" w:rsidP="004943C8">
      <w:pPr>
        <w:spacing w:line="240" w:lineRule="auto"/>
        <w:ind w:left="720"/>
        <w:jc w:val="both"/>
        <w:rPr>
          <w:rFonts w:ascii="Times New Roman" w:eastAsia="Times New Roman" w:hAnsi="Times New Roman" w:cs="Times New Roman"/>
          <w:lang w:eastAsia="en-GB"/>
        </w:rPr>
      </w:pPr>
      <w:r w:rsidRPr="004943C8">
        <w:rPr>
          <w:rFonts w:ascii="Times New Roman" w:eastAsia="Times New Roman" w:hAnsi="Times New Roman" w:cs="Times New Roman"/>
          <w:lang w:eastAsia="en-GB"/>
        </w:rPr>
        <w:t>(b) Recognition in terms of paragraph (a) must be consistent with this section and the other provisions of the Constitution.”</w:t>
      </w:r>
    </w:p>
    <w:p w14:paraId="70B82412" w14:textId="77777777" w:rsidR="004943C8" w:rsidRPr="004943C8" w:rsidRDefault="004943C8" w:rsidP="004943C8">
      <w:pPr>
        <w:spacing w:line="240" w:lineRule="auto"/>
        <w:ind w:left="720"/>
        <w:jc w:val="both"/>
        <w:rPr>
          <w:rFonts w:ascii="Times New Roman" w:eastAsia="Times New Roman" w:hAnsi="Times New Roman" w:cs="Times New Roman"/>
          <w:sz w:val="24"/>
          <w:szCs w:val="24"/>
          <w:lang w:eastAsia="en-GB"/>
        </w:rPr>
      </w:pPr>
    </w:p>
    <w:p w14:paraId="634CB488" w14:textId="77777777" w:rsidR="004943C8" w:rsidRPr="004943C8" w:rsidRDefault="004943C8" w:rsidP="004943C8">
      <w:pPr>
        <w:spacing w:line="360" w:lineRule="auto"/>
        <w:jc w:val="both"/>
        <w:rPr>
          <w:rFonts w:ascii="Times New Roman" w:eastAsia="Times New Roman" w:hAnsi="Times New Roman" w:cs="Times New Roman"/>
          <w:sz w:val="24"/>
          <w:szCs w:val="24"/>
          <w:lang w:eastAsia="en-GB"/>
        </w:rPr>
      </w:pPr>
      <w:r w:rsidRPr="004943C8">
        <w:rPr>
          <w:rFonts w:ascii="Times New Roman" w:eastAsia="Times New Roman" w:hAnsi="Times New Roman" w:cs="Times New Roman"/>
          <w:sz w:val="24"/>
          <w:szCs w:val="24"/>
          <w:lang w:eastAsia="en-GB"/>
        </w:rPr>
        <w:t xml:space="preserve">Section 3(b) is an internal limitation that the legislation can only be passed if it is consistent with the Constitution. </w:t>
      </w:r>
    </w:p>
    <w:p w14:paraId="7794BFFE" w14:textId="77777777" w:rsidR="004943C8" w:rsidRPr="00FB6029" w:rsidRDefault="004943C8" w:rsidP="00FB6029">
      <w:pPr>
        <w:spacing w:line="360" w:lineRule="auto"/>
        <w:jc w:val="both"/>
        <w:rPr>
          <w:rFonts w:ascii="Times New Roman" w:eastAsia="Times New Roman" w:hAnsi="Times New Roman" w:cs="Times New Roman"/>
          <w:sz w:val="24"/>
          <w:szCs w:val="24"/>
          <w:lang w:eastAsia="en-GB"/>
        </w:rPr>
      </w:pPr>
    </w:p>
    <w:p w14:paraId="6D273E5A" w14:textId="77777777" w:rsidR="00FB6029" w:rsidRPr="00FB6029" w:rsidRDefault="00FB6029" w:rsidP="00FB6029">
      <w:pPr>
        <w:spacing w:line="360" w:lineRule="auto"/>
        <w:jc w:val="both"/>
        <w:rPr>
          <w:rFonts w:ascii="Arial" w:eastAsia="Arial" w:hAnsi="Arial" w:cs="Arial"/>
          <w:color w:val="000000"/>
          <w:lang w:eastAsia="en-GB"/>
        </w:rPr>
      </w:pPr>
    </w:p>
    <w:p w14:paraId="11EAF12B" w14:textId="77777777" w:rsidR="00FB6029" w:rsidRDefault="00FB6029"/>
    <w:sectPr w:rsidR="00FB6029" w:rsidSect="00093A46">
      <w:headerReference w:type="default" r:id="rId7"/>
      <w:footerReference w:type="default" r:id="rId8"/>
      <w:pgSz w:w="11906" w:h="16838"/>
      <w:pgMar w:top="1440" w:right="1440" w:bottom="1440" w:left="1440" w:header="708" w:footer="708" w:gutter="0"/>
      <w:pgNumType w:fmt="lowerRoman"/>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8C5234" w14:textId="77777777" w:rsidR="000C46D3" w:rsidRDefault="000C46D3" w:rsidP="00FB6029">
      <w:pPr>
        <w:spacing w:after="0" w:line="240" w:lineRule="auto"/>
      </w:pPr>
      <w:r>
        <w:separator/>
      </w:r>
    </w:p>
  </w:endnote>
  <w:endnote w:type="continuationSeparator" w:id="0">
    <w:p w14:paraId="090F100D" w14:textId="77777777" w:rsidR="000C46D3" w:rsidRDefault="000C46D3" w:rsidP="00FB60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5466125"/>
      <w:docPartObj>
        <w:docPartGallery w:val="Page Numbers (Bottom of Page)"/>
        <w:docPartUnique/>
      </w:docPartObj>
    </w:sdtPr>
    <w:sdtEndPr>
      <w:rPr>
        <w:noProof/>
      </w:rPr>
    </w:sdtEndPr>
    <w:sdtContent>
      <w:p w14:paraId="159B503A" w14:textId="1C7B5042" w:rsidR="0019689F" w:rsidRDefault="006733D5">
        <w:pPr>
          <w:pStyle w:val="Footer"/>
          <w:jc w:val="center"/>
        </w:pPr>
        <w:r>
          <w:fldChar w:fldCharType="begin"/>
        </w:r>
        <w:r>
          <w:instrText xml:space="preserve"> PAGE   \* MERGEFORMAT </w:instrText>
        </w:r>
        <w:r>
          <w:fldChar w:fldCharType="separate"/>
        </w:r>
        <w:r w:rsidR="004943C8">
          <w:rPr>
            <w:noProof/>
          </w:rPr>
          <w:t>ii</w:t>
        </w:r>
        <w:r>
          <w:rPr>
            <w:noProof/>
          </w:rPr>
          <w:fldChar w:fldCharType="end"/>
        </w:r>
      </w:p>
    </w:sdtContent>
  </w:sdt>
  <w:p w14:paraId="02618E7A" w14:textId="77777777" w:rsidR="0019689F" w:rsidRDefault="000C46D3" w:rsidP="00C10CF8">
    <w:pPr>
      <w:pBdr>
        <w:top w:val="nil"/>
        <w:left w:val="nil"/>
        <w:bottom w:val="nil"/>
        <w:right w:val="nil"/>
        <w:between w:val="nil"/>
      </w:pBdr>
      <w:tabs>
        <w:tab w:val="center" w:pos="4513"/>
        <w:tab w:val="right" w:pos="9026"/>
      </w:tabs>
      <w:spacing w:after="0" w:line="240" w:lineRule="auto"/>
      <w:jc w:val="center"/>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A5C35A" w14:textId="77777777" w:rsidR="000C46D3" w:rsidRDefault="000C46D3" w:rsidP="00FB6029">
      <w:pPr>
        <w:spacing w:after="0" w:line="240" w:lineRule="auto"/>
      </w:pPr>
      <w:r>
        <w:separator/>
      </w:r>
    </w:p>
  </w:footnote>
  <w:footnote w:type="continuationSeparator" w:id="0">
    <w:p w14:paraId="334BD5AD" w14:textId="77777777" w:rsidR="000C46D3" w:rsidRDefault="000C46D3" w:rsidP="00FB6029">
      <w:pPr>
        <w:spacing w:after="0" w:line="240" w:lineRule="auto"/>
      </w:pPr>
      <w:r>
        <w:continuationSeparator/>
      </w:r>
    </w:p>
  </w:footnote>
  <w:footnote w:id="1">
    <w:p w14:paraId="158FE648" w14:textId="77777777" w:rsidR="00FB6029" w:rsidRDefault="00FB6029" w:rsidP="00FB6029">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Article 2 of the African Charter.</w:t>
      </w:r>
    </w:p>
  </w:footnote>
  <w:footnote w:id="2">
    <w:p w14:paraId="4C820317" w14:textId="77777777" w:rsidR="00FB6029" w:rsidRDefault="00FB6029" w:rsidP="00FB6029">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Article 3 of the African Charter.</w:t>
      </w:r>
    </w:p>
  </w:footnote>
  <w:footnote w:id="3">
    <w:p w14:paraId="32BD6645" w14:textId="77777777" w:rsidR="00FB6029" w:rsidRDefault="00FB6029" w:rsidP="00FB6029">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Article 8 of the African Charter.</w:t>
      </w:r>
    </w:p>
  </w:footnote>
  <w:footnote w:id="4">
    <w:p w14:paraId="27092189" w14:textId="77777777" w:rsidR="00FB6029" w:rsidRDefault="00FB6029" w:rsidP="00FB6029">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Article 17(2) and (3) of the African Charter.</w:t>
      </w:r>
    </w:p>
  </w:footnote>
  <w:footnote w:id="5">
    <w:p w14:paraId="24584EA7" w14:textId="77777777" w:rsidR="00FB6029" w:rsidRDefault="00FB6029" w:rsidP="00FB602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rPr>
        <w:t>Article 18(3) of the African Charter.</w:t>
      </w:r>
    </w:p>
  </w:footnote>
  <w:footnote w:id="6">
    <w:p w14:paraId="6ACE13E3" w14:textId="77777777" w:rsidR="00FB6029" w:rsidRDefault="00FB6029" w:rsidP="00FB6029">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rPr>
        <w:t>Article 6 of the Protocol ensures equality in marriages and calls for the protection of all polygamous marriages. Article 7 states that “States Parties shall enact appropriate legislation to ensure that women and men enjoy the same rights in case of separation, divorce or annulment of marriage.”</w:t>
      </w:r>
    </w:p>
  </w:footnote>
  <w:footnote w:id="7">
    <w:p w14:paraId="7EDDE6A5" w14:textId="77777777" w:rsidR="00FB6029" w:rsidRDefault="00FB6029" w:rsidP="00FB6029">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rPr>
        <w:t xml:space="preserve">Article 17 of the Maputo Protocol. </w:t>
      </w:r>
    </w:p>
  </w:footnote>
  <w:footnote w:id="8">
    <w:p w14:paraId="10B6B820" w14:textId="77777777" w:rsidR="004943C8" w:rsidRDefault="004943C8" w:rsidP="004943C8">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Section 9 of the Constitution provides for the right to equality. Section 9 can be accessed </w:t>
      </w:r>
      <w:hyperlink r:id="rId1" w:anchor="9" w:history="1">
        <w:r w:rsidRPr="00EC7144">
          <w:rPr>
            <w:rStyle w:val="Hyperlink1"/>
            <w:rFonts w:ascii="Times New Roman" w:eastAsia="Times New Roman" w:hAnsi="Times New Roman" w:cs="Times New Roman"/>
            <w:sz w:val="20"/>
            <w:szCs w:val="20"/>
          </w:rPr>
          <w:t>here.</w:t>
        </w:r>
      </w:hyperlink>
    </w:p>
    <w:p w14:paraId="4CC25A9F" w14:textId="77777777" w:rsidR="004943C8" w:rsidRDefault="004943C8" w:rsidP="004943C8">
      <w:pPr>
        <w:pBdr>
          <w:top w:val="nil"/>
          <w:left w:val="nil"/>
          <w:bottom w:val="nil"/>
          <w:right w:val="nil"/>
          <w:between w:val="nil"/>
        </w:pBdr>
        <w:spacing w:after="0" w:line="240" w:lineRule="auto"/>
        <w:ind w:left="1440"/>
        <w:jc w:val="both"/>
        <w:rPr>
          <w:rFonts w:ascii="Times New Roman" w:eastAsia="Times New Roman" w:hAnsi="Times New Roman" w:cs="Times New Roman"/>
          <w:color w:val="000000"/>
          <w:sz w:val="20"/>
          <w:szCs w:val="20"/>
        </w:rPr>
      </w:pPr>
    </w:p>
  </w:footnote>
  <w:footnote w:id="9">
    <w:p w14:paraId="571B6C0A" w14:textId="77777777" w:rsidR="004943C8" w:rsidRDefault="004943C8" w:rsidP="004943C8">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The Constitutional Court discussed substantive equality in the matters of </w:t>
      </w:r>
      <w:proofErr w:type="spellStart"/>
      <w:r>
        <w:rPr>
          <w:rFonts w:ascii="Times New Roman" w:eastAsia="Times New Roman" w:hAnsi="Times New Roman" w:cs="Times New Roman"/>
          <w:i/>
          <w:color w:val="000000"/>
          <w:sz w:val="20"/>
          <w:szCs w:val="20"/>
        </w:rPr>
        <w:t>Bhe</w:t>
      </w:r>
      <w:proofErr w:type="spellEnd"/>
      <w:r>
        <w:rPr>
          <w:rFonts w:ascii="Times New Roman" w:eastAsia="Times New Roman" w:hAnsi="Times New Roman" w:cs="Times New Roman"/>
          <w:i/>
          <w:color w:val="000000"/>
          <w:sz w:val="20"/>
          <w:szCs w:val="20"/>
        </w:rPr>
        <w:t xml:space="preserve"> and Others v </w:t>
      </w:r>
      <w:proofErr w:type="spellStart"/>
      <w:r>
        <w:rPr>
          <w:rFonts w:ascii="Times New Roman" w:eastAsia="Times New Roman" w:hAnsi="Times New Roman" w:cs="Times New Roman"/>
          <w:i/>
          <w:color w:val="000000"/>
          <w:sz w:val="20"/>
          <w:szCs w:val="20"/>
        </w:rPr>
        <w:t>Khayelitsha</w:t>
      </w:r>
      <w:proofErr w:type="spellEnd"/>
      <w:r>
        <w:rPr>
          <w:rFonts w:ascii="Times New Roman" w:eastAsia="Times New Roman" w:hAnsi="Times New Roman" w:cs="Times New Roman"/>
          <w:i/>
          <w:color w:val="000000"/>
          <w:sz w:val="20"/>
          <w:szCs w:val="20"/>
        </w:rPr>
        <w:t xml:space="preserve"> Magistrate and Others</w:t>
      </w:r>
      <w:r>
        <w:rPr>
          <w:rFonts w:ascii="Times New Roman" w:eastAsia="Times New Roman" w:hAnsi="Times New Roman" w:cs="Times New Roman"/>
          <w:color w:val="000000"/>
          <w:sz w:val="20"/>
          <w:szCs w:val="20"/>
        </w:rPr>
        <w:t xml:space="preserve"> </w:t>
      </w:r>
      <w:hyperlink r:id="rId2" w:history="1">
        <w:r w:rsidRPr="00EC7144">
          <w:rPr>
            <w:rStyle w:val="Hyperlink1"/>
            <w:rFonts w:ascii="Times New Roman" w:eastAsia="Times New Roman" w:hAnsi="Times New Roman" w:cs="Times New Roman"/>
            <w:sz w:val="20"/>
            <w:szCs w:val="20"/>
          </w:rPr>
          <w:t>2005 (1) SA 580 (CC)</w:t>
        </w:r>
      </w:hyperlink>
      <w:r>
        <w:rPr>
          <w:rFonts w:ascii="Times New Roman" w:eastAsia="Times New Roman" w:hAnsi="Times New Roman" w:cs="Times New Roman"/>
          <w:color w:val="000000"/>
          <w:sz w:val="20"/>
          <w:szCs w:val="20"/>
        </w:rPr>
        <w:t xml:space="preserve"> at para 50 and </w:t>
      </w:r>
      <w:r>
        <w:rPr>
          <w:rFonts w:ascii="Times New Roman" w:eastAsia="Times New Roman" w:hAnsi="Times New Roman" w:cs="Times New Roman"/>
          <w:i/>
          <w:color w:val="000000"/>
          <w:sz w:val="20"/>
          <w:szCs w:val="20"/>
        </w:rPr>
        <w:t>Daniels v Campbell and Others</w:t>
      </w:r>
      <w:r>
        <w:rPr>
          <w:rFonts w:ascii="Times New Roman" w:eastAsia="Times New Roman" w:hAnsi="Times New Roman" w:cs="Times New Roman"/>
          <w:color w:val="000000"/>
          <w:sz w:val="20"/>
          <w:szCs w:val="20"/>
        </w:rPr>
        <w:t xml:space="preserve"> </w:t>
      </w:r>
      <w:hyperlink r:id="rId3" w:history="1">
        <w:r w:rsidRPr="00EC7144">
          <w:rPr>
            <w:rStyle w:val="Hyperlink1"/>
            <w:rFonts w:ascii="Times New Roman" w:eastAsia="Times New Roman" w:hAnsi="Times New Roman" w:cs="Times New Roman"/>
            <w:sz w:val="20"/>
            <w:szCs w:val="20"/>
          </w:rPr>
          <w:t>2004 (5) SA 331 (CC)</w:t>
        </w:r>
      </w:hyperlink>
      <w:r>
        <w:rPr>
          <w:rFonts w:ascii="Times New Roman" w:eastAsia="Times New Roman" w:hAnsi="Times New Roman" w:cs="Times New Roman"/>
          <w:color w:val="000000"/>
          <w:sz w:val="20"/>
          <w:szCs w:val="20"/>
        </w:rPr>
        <w:t xml:space="preserve"> at para 22.</w:t>
      </w:r>
    </w:p>
    <w:p w14:paraId="520C9326" w14:textId="77777777" w:rsidR="004943C8" w:rsidRDefault="004943C8" w:rsidP="004943C8">
      <w:pPr>
        <w:pBdr>
          <w:top w:val="nil"/>
          <w:left w:val="nil"/>
          <w:bottom w:val="nil"/>
          <w:right w:val="nil"/>
          <w:between w:val="nil"/>
        </w:pBdr>
        <w:spacing w:after="0" w:line="240" w:lineRule="auto"/>
        <w:ind w:left="720"/>
        <w:jc w:val="both"/>
        <w:rPr>
          <w:rFonts w:ascii="Times New Roman" w:eastAsia="Times New Roman" w:hAnsi="Times New Roman" w:cs="Times New Roman"/>
          <w:color w:val="000000"/>
          <w:sz w:val="20"/>
          <w:szCs w:val="20"/>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E63976" w14:textId="1192C991" w:rsidR="0019689F" w:rsidRPr="00E70BEB" w:rsidRDefault="006733D5">
    <w:pPr>
      <w:pStyle w:val="Header"/>
      <w:rPr>
        <w:rFonts w:ascii="Times New Roman" w:hAnsi="Times New Roman" w:cs="Times New Roman"/>
        <w:b/>
        <w:bCs/>
        <w:sz w:val="24"/>
        <w:szCs w:val="24"/>
      </w:rPr>
    </w:pPr>
    <w:r>
      <w:tab/>
    </w: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E02575A"/>
    <w:multiLevelType w:val="multilevel"/>
    <w:tmpl w:val="ADA4006C"/>
    <w:lvl w:ilvl="0">
      <w:start w:val="1"/>
      <w:numFmt w:val="lowerRoman"/>
      <w:lvlText w:val="(%1)"/>
      <w:lvlJc w:val="left"/>
      <w:pPr>
        <w:ind w:left="2160" w:hanging="72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029"/>
    <w:rsid w:val="000C46D3"/>
    <w:rsid w:val="004943C8"/>
    <w:rsid w:val="006733D5"/>
    <w:rsid w:val="00FB6029"/>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8CAD9"/>
  <w15:chartTrackingRefBased/>
  <w15:docId w15:val="{C907C18F-F670-4A8A-82A9-E6817C6EA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B6029"/>
    <w:pPr>
      <w:tabs>
        <w:tab w:val="center" w:pos="4513"/>
        <w:tab w:val="right" w:pos="9026"/>
      </w:tabs>
      <w:spacing w:after="0" w:line="240" w:lineRule="auto"/>
    </w:pPr>
    <w:rPr>
      <w:rFonts w:ascii="Calibri" w:eastAsia="Calibri" w:hAnsi="Calibri" w:cs="Calibri"/>
      <w:lang w:eastAsia="en-GB"/>
    </w:rPr>
  </w:style>
  <w:style w:type="character" w:customStyle="1" w:styleId="HeaderChar">
    <w:name w:val="Header Char"/>
    <w:basedOn w:val="DefaultParagraphFont"/>
    <w:link w:val="Header"/>
    <w:uiPriority w:val="99"/>
    <w:rsid w:val="00FB6029"/>
    <w:rPr>
      <w:rFonts w:ascii="Calibri" w:eastAsia="Calibri" w:hAnsi="Calibri" w:cs="Calibri"/>
      <w:lang w:eastAsia="en-GB"/>
    </w:rPr>
  </w:style>
  <w:style w:type="paragraph" w:styleId="Footer">
    <w:name w:val="footer"/>
    <w:basedOn w:val="Normal"/>
    <w:link w:val="FooterChar"/>
    <w:uiPriority w:val="99"/>
    <w:unhideWhenUsed/>
    <w:rsid w:val="00FB6029"/>
    <w:pPr>
      <w:tabs>
        <w:tab w:val="center" w:pos="4513"/>
        <w:tab w:val="right" w:pos="9026"/>
      </w:tabs>
      <w:spacing w:after="0" w:line="240" w:lineRule="auto"/>
    </w:pPr>
    <w:rPr>
      <w:rFonts w:ascii="Calibri" w:eastAsia="Calibri" w:hAnsi="Calibri" w:cs="Calibri"/>
      <w:lang w:eastAsia="en-GB"/>
    </w:rPr>
  </w:style>
  <w:style w:type="character" w:customStyle="1" w:styleId="FooterChar">
    <w:name w:val="Footer Char"/>
    <w:basedOn w:val="DefaultParagraphFont"/>
    <w:link w:val="Footer"/>
    <w:uiPriority w:val="99"/>
    <w:rsid w:val="00FB6029"/>
    <w:rPr>
      <w:rFonts w:ascii="Calibri" w:eastAsia="Calibri" w:hAnsi="Calibri" w:cs="Calibri"/>
      <w:lang w:eastAsia="en-GB"/>
    </w:rPr>
  </w:style>
  <w:style w:type="character" w:customStyle="1" w:styleId="Hyperlink1">
    <w:name w:val="Hyperlink1"/>
    <w:basedOn w:val="DefaultParagraphFont"/>
    <w:uiPriority w:val="99"/>
    <w:unhideWhenUsed/>
    <w:rsid w:val="004943C8"/>
    <w:rPr>
      <w:color w:val="0000FF"/>
      <w:u w:val="single"/>
    </w:rPr>
  </w:style>
  <w:style w:type="character" w:styleId="Hyperlink">
    <w:name w:val="Hyperlink"/>
    <w:basedOn w:val="DefaultParagraphFont"/>
    <w:uiPriority w:val="99"/>
    <w:semiHidden/>
    <w:unhideWhenUsed/>
    <w:rsid w:val="004943C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saflii.org/za/cases/ZACC/2004/14.html" TargetMode="External"/><Relationship Id="rId2" Type="http://schemas.openxmlformats.org/officeDocument/2006/relationships/hyperlink" Target="http://www.saflii.org/za/cases/ZACC/2004/17.html" TargetMode="External"/><Relationship Id="rId1" Type="http://schemas.openxmlformats.org/officeDocument/2006/relationships/hyperlink" Target="https://www.gov.za/documents/constitution/chapter-2-bill-r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EC2726-BEAE-46F4-A122-6F1B27F9FC5D}"/>
</file>

<file path=customXml/itemProps2.xml><?xml version="1.0" encoding="utf-8"?>
<ds:datastoreItem xmlns:ds="http://schemas.openxmlformats.org/officeDocument/2006/customXml" ds:itemID="{6FB4CB8F-8240-4363-8888-7DE002636B20}"/>
</file>

<file path=customXml/itemProps3.xml><?xml version="1.0" encoding="utf-8"?>
<ds:datastoreItem xmlns:ds="http://schemas.openxmlformats.org/officeDocument/2006/customXml" ds:itemID="{13CB18D0-0E2A-4898-BA75-0A3CC0C280E0}"/>
</file>

<file path=docProps/app.xml><?xml version="1.0" encoding="utf-8"?>
<Properties xmlns="http://schemas.openxmlformats.org/officeDocument/2006/extended-properties" xmlns:vt="http://schemas.openxmlformats.org/officeDocument/2006/docPropsVTypes">
  <Template>Normal</Template>
  <TotalTime>0</TotalTime>
  <Pages>2</Pages>
  <Words>438</Words>
  <Characters>2498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Sulaiman Sujee</dc:creator>
  <cp:keywords/>
  <dc:description/>
  <cp:lastModifiedBy>zeenatsujee@outlook.com</cp:lastModifiedBy>
  <cp:revision>2</cp:revision>
  <dcterms:created xsi:type="dcterms:W3CDTF">2021-09-08T16:58:00Z</dcterms:created>
  <dcterms:modified xsi:type="dcterms:W3CDTF">2021-09-08T16:58:00Z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