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D175AA" w14:textId="72A5D0BD" w:rsidR="00775E39" w:rsidRDefault="00775E39" w:rsidP="000422DC">
      <w:pPr>
        <w:spacing w:line="276" w:lineRule="auto"/>
        <w:jc w:val="both"/>
        <w:rPr>
          <w:b/>
          <w:bCs/>
        </w:rPr>
      </w:pPr>
      <w:bookmarkStart w:id="0" w:name="_GoBack"/>
      <w:bookmarkEnd w:id="0"/>
      <w:r>
        <w:rPr>
          <w:b/>
          <w:bCs/>
        </w:rPr>
        <w:t>Submission from The Rights Practice</w:t>
      </w:r>
    </w:p>
    <w:p w14:paraId="5E45E615" w14:textId="1F8CF90C" w:rsidR="00775E39" w:rsidRDefault="00775E39" w:rsidP="000422DC">
      <w:pPr>
        <w:spacing w:line="276" w:lineRule="auto"/>
        <w:jc w:val="both"/>
        <w:rPr>
          <w:b/>
          <w:bCs/>
        </w:rPr>
      </w:pPr>
      <w:r>
        <w:rPr>
          <w:b/>
          <w:bCs/>
        </w:rPr>
        <w:t>For Adoption of List of Issues</w:t>
      </w:r>
    </w:p>
    <w:p w14:paraId="7E3B0637" w14:textId="2A06B17E" w:rsidR="00775E39" w:rsidRDefault="00792451" w:rsidP="000422DC">
      <w:pPr>
        <w:spacing w:line="276" w:lineRule="auto"/>
        <w:jc w:val="both"/>
        <w:rPr>
          <w:b/>
          <w:bCs/>
        </w:rPr>
      </w:pPr>
      <w:r>
        <w:rPr>
          <w:b/>
          <w:bCs/>
        </w:rPr>
        <w:t>68 Pre-</w:t>
      </w:r>
      <w:r w:rsidR="00775E39">
        <w:rPr>
          <w:b/>
          <w:bCs/>
        </w:rPr>
        <w:t>Session</w:t>
      </w:r>
      <w:r>
        <w:rPr>
          <w:b/>
          <w:bCs/>
        </w:rPr>
        <w:t>al Working Group (08 March 2021 – 12 March 2021)</w:t>
      </w:r>
    </w:p>
    <w:p w14:paraId="68600367" w14:textId="6C25F477" w:rsidR="00775E39" w:rsidRDefault="00792451" w:rsidP="000422DC">
      <w:pPr>
        <w:spacing w:line="276" w:lineRule="auto"/>
        <w:jc w:val="both"/>
        <w:rPr>
          <w:b/>
          <w:bCs/>
        </w:rPr>
      </w:pPr>
      <w:r>
        <w:rPr>
          <w:b/>
          <w:bCs/>
        </w:rPr>
        <w:t xml:space="preserve">CESCR - </w:t>
      </w:r>
      <w:r w:rsidR="00775E39">
        <w:rPr>
          <w:b/>
          <w:bCs/>
        </w:rPr>
        <w:t xml:space="preserve">International Covenant on </w:t>
      </w:r>
      <w:r w:rsidR="006E658E">
        <w:rPr>
          <w:b/>
          <w:bCs/>
        </w:rPr>
        <w:t>Economic, Social and Cultural</w:t>
      </w:r>
      <w:r w:rsidR="00775E39">
        <w:rPr>
          <w:b/>
          <w:bCs/>
        </w:rPr>
        <w:t xml:space="preserve"> Rights </w:t>
      </w:r>
    </w:p>
    <w:p w14:paraId="59BF5FB4" w14:textId="33147735" w:rsidR="00775E39" w:rsidRDefault="00775E39" w:rsidP="000422DC">
      <w:pPr>
        <w:spacing w:line="276" w:lineRule="auto"/>
        <w:jc w:val="both"/>
        <w:rPr>
          <w:b/>
          <w:bCs/>
        </w:rPr>
      </w:pPr>
      <w:r>
        <w:rPr>
          <w:b/>
          <w:bCs/>
        </w:rPr>
        <w:t>December 2020</w:t>
      </w:r>
    </w:p>
    <w:p w14:paraId="06D5FDFC" w14:textId="77777777" w:rsidR="00775E39" w:rsidRDefault="00775E39" w:rsidP="000422DC">
      <w:pPr>
        <w:spacing w:line="276" w:lineRule="auto"/>
        <w:jc w:val="both"/>
        <w:rPr>
          <w:b/>
          <w:bCs/>
        </w:rPr>
      </w:pPr>
    </w:p>
    <w:p w14:paraId="15DCA33C" w14:textId="78A14F61" w:rsidR="00775E39" w:rsidRDefault="00775E39" w:rsidP="000422DC">
      <w:pPr>
        <w:pStyle w:val="ListParagraph"/>
        <w:numPr>
          <w:ilvl w:val="0"/>
          <w:numId w:val="2"/>
        </w:numPr>
        <w:spacing w:line="276" w:lineRule="auto"/>
        <w:jc w:val="both"/>
        <w:rPr>
          <w:bCs/>
        </w:rPr>
      </w:pPr>
      <w:r>
        <w:rPr>
          <w:bCs/>
        </w:rPr>
        <w:t xml:space="preserve">The Rights Practice welcomes the </w:t>
      </w:r>
      <w:r w:rsidR="00792451">
        <w:rPr>
          <w:bCs/>
        </w:rPr>
        <w:t>opportunity</w:t>
      </w:r>
      <w:r>
        <w:rPr>
          <w:bCs/>
        </w:rPr>
        <w:t xml:space="preserve"> to make a submission to </w:t>
      </w:r>
      <w:r w:rsidR="00792451">
        <w:rPr>
          <w:bCs/>
        </w:rPr>
        <w:t>the pre-sessional</w:t>
      </w:r>
      <w:r>
        <w:rPr>
          <w:bCs/>
        </w:rPr>
        <w:t xml:space="preserve"> </w:t>
      </w:r>
      <w:r w:rsidR="00792451">
        <w:rPr>
          <w:bCs/>
        </w:rPr>
        <w:t>working group on the</w:t>
      </w:r>
      <w:r>
        <w:rPr>
          <w:bCs/>
        </w:rPr>
        <w:t xml:space="preserve"> list of issues</w:t>
      </w:r>
      <w:r w:rsidR="006E658E">
        <w:rPr>
          <w:bCs/>
        </w:rPr>
        <w:t xml:space="preserve"> for China’s review by the Committee on Economic, Social</w:t>
      </w:r>
      <w:r w:rsidR="00792451">
        <w:rPr>
          <w:bCs/>
        </w:rPr>
        <w:t xml:space="preserve"> and</w:t>
      </w:r>
      <w:r w:rsidR="006E658E">
        <w:rPr>
          <w:bCs/>
        </w:rPr>
        <w:t xml:space="preserve"> Cultural Rights</w:t>
      </w:r>
      <w:r w:rsidR="00792451">
        <w:rPr>
          <w:bCs/>
        </w:rPr>
        <w:t>.</w:t>
      </w:r>
      <w:r w:rsidR="006E658E">
        <w:rPr>
          <w:bCs/>
        </w:rPr>
        <w:t xml:space="preserve"> </w:t>
      </w:r>
      <w:r w:rsidR="004D5E86">
        <w:rPr>
          <w:bCs/>
        </w:rPr>
        <w:t>The Rights Practice (</w:t>
      </w:r>
      <w:hyperlink r:id="rId8" w:history="1">
        <w:r w:rsidR="004D5E86" w:rsidRPr="001014C3">
          <w:rPr>
            <w:rStyle w:val="Hyperlink"/>
            <w:bCs/>
          </w:rPr>
          <w:t>www.rights-practice.org</w:t>
        </w:r>
      </w:hyperlink>
      <w:r w:rsidR="004D5E86">
        <w:rPr>
          <w:bCs/>
        </w:rPr>
        <w:t xml:space="preserve">) is a UK </w:t>
      </w:r>
      <w:r w:rsidR="00EA7674">
        <w:rPr>
          <w:bCs/>
        </w:rPr>
        <w:t>registered charity. The organisation supports those working for human rights, particularly in China.</w:t>
      </w:r>
    </w:p>
    <w:p w14:paraId="52473D79" w14:textId="77777777" w:rsidR="004C74D1" w:rsidRDefault="004C74D1" w:rsidP="000422DC">
      <w:pPr>
        <w:pStyle w:val="ListParagraph"/>
        <w:spacing w:line="276" w:lineRule="auto"/>
        <w:ind w:left="360"/>
        <w:jc w:val="both"/>
        <w:rPr>
          <w:bCs/>
        </w:rPr>
      </w:pPr>
    </w:p>
    <w:p w14:paraId="40DA08DE" w14:textId="0B704725" w:rsidR="006E658E" w:rsidRDefault="006E658E" w:rsidP="000422DC">
      <w:pPr>
        <w:pStyle w:val="ListParagraph"/>
        <w:numPr>
          <w:ilvl w:val="0"/>
          <w:numId w:val="2"/>
        </w:numPr>
        <w:spacing w:line="276" w:lineRule="auto"/>
        <w:jc w:val="both"/>
        <w:rPr>
          <w:bCs/>
        </w:rPr>
      </w:pPr>
      <w:r>
        <w:rPr>
          <w:bCs/>
        </w:rPr>
        <w:t xml:space="preserve">We have not attempted to provide a comprehensive submission </w:t>
      </w:r>
      <w:r w:rsidR="00792451">
        <w:rPr>
          <w:bCs/>
        </w:rPr>
        <w:t>addressing</w:t>
      </w:r>
      <w:r>
        <w:rPr>
          <w:bCs/>
        </w:rPr>
        <w:t xml:space="preserve"> all articles. We focus on aspects of the Convention where we have experience </w:t>
      </w:r>
      <w:r w:rsidR="009B5C8C">
        <w:rPr>
          <w:bCs/>
        </w:rPr>
        <w:t xml:space="preserve">or information to bring to the attention of the Committee. </w:t>
      </w:r>
      <w:r w:rsidR="001860D1">
        <w:rPr>
          <w:bCs/>
        </w:rPr>
        <w:t xml:space="preserve">The reduction of poverty in China </w:t>
      </w:r>
      <w:r w:rsidR="00792451">
        <w:rPr>
          <w:bCs/>
        </w:rPr>
        <w:t>has been</w:t>
      </w:r>
      <w:r w:rsidR="001860D1">
        <w:rPr>
          <w:bCs/>
        </w:rPr>
        <w:t xml:space="preserve"> a significant achievement and </w:t>
      </w:r>
      <w:r w:rsidR="00632633">
        <w:rPr>
          <w:bCs/>
        </w:rPr>
        <w:t xml:space="preserve">many </w:t>
      </w:r>
      <w:r w:rsidR="001860D1">
        <w:rPr>
          <w:bCs/>
        </w:rPr>
        <w:t>millions of Chinese people have benefitted from rising incomes</w:t>
      </w:r>
      <w:r w:rsidR="00792451">
        <w:rPr>
          <w:bCs/>
        </w:rPr>
        <w:t xml:space="preserve"> and the improved quality of life that brings</w:t>
      </w:r>
      <w:r w:rsidR="001860D1">
        <w:rPr>
          <w:bCs/>
        </w:rPr>
        <w:t xml:space="preserve">. The </w:t>
      </w:r>
      <w:r w:rsidR="001860D1" w:rsidRPr="007A07BB">
        <w:rPr>
          <w:b/>
          <w:bCs/>
        </w:rPr>
        <w:t xml:space="preserve">challenge that China </w:t>
      </w:r>
      <w:r w:rsidR="00632633" w:rsidRPr="007A07BB">
        <w:rPr>
          <w:b/>
          <w:bCs/>
        </w:rPr>
        <w:t xml:space="preserve">now </w:t>
      </w:r>
      <w:r w:rsidR="001860D1" w:rsidRPr="007A07BB">
        <w:rPr>
          <w:b/>
          <w:bCs/>
        </w:rPr>
        <w:t xml:space="preserve">needs to address with some urgency is the systemic and often politically-motivated discrimination </w:t>
      </w:r>
      <w:r w:rsidR="001860D1">
        <w:rPr>
          <w:bCs/>
        </w:rPr>
        <w:t>which</w:t>
      </w:r>
      <w:r w:rsidR="00632633">
        <w:rPr>
          <w:bCs/>
        </w:rPr>
        <w:t xml:space="preserve"> leaves many other citizens vulnerable to violations of their basic rights.</w:t>
      </w:r>
      <w:r w:rsidR="001860D1">
        <w:rPr>
          <w:bCs/>
        </w:rPr>
        <w:t xml:space="preserve">  We draw particular attention to the</w:t>
      </w:r>
      <w:r w:rsidR="00792451">
        <w:rPr>
          <w:bCs/>
        </w:rPr>
        <w:t xml:space="preserve">, often, </w:t>
      </w:r>
      <w:r w:rsidR="001860D1">
        <w:rPr>
          <w:bCs/>
        </w:rPr>
        <w:t xml:space="preserve">intersecting forms of discrimination experienced by three communities in China in their enjoyment of economic, social and cultural rights (ESCR): Uyghur and other ethnic Turkic Muslims in the Xinjiang Uyghur Autonomous Region (XUAR), migrant workers and their families, and human rights defenders and their families. </w:t>
      </w:r>
      <w:r w:rsidR="007F0432">
        <w:rPr>
          <w:bCs/>
        </w:rPr>
        <w:t>These and other marginalised communities in China, such as Tibetans, have not benefitted equally from the relaxation of restrictions on residency and employment, since the 1990s, enjoyed by the urban population.</w:t>
      </w:r>
      <w:r w:rsidR="00792451">
        <w:rPr>
          <w:bCs/>
        </w:rPr>
        <w:t xml:space="preserve"> Moreover, against a backdrop of increased repression, gross imbalances of power and a new determination by the authorities to impose political and cultural uniformity on a diverse population, these communities are particularly vulnerable. </w:t>
      </w:r>
    </w:p>
    <w:p w14:paraId="4179B9D2" w14:textId="77777777" w:rsidR="008E5121" w:rsidRDefault="008E5121" w:rsidP="000422DC">
      <w:pPr>
        <w:pStyle w:val="ListParagraph"/>
        <w:spacing w:line="276" w:lineRule="auto"/>
        <w:ind w:left="360"/>
        <w:jc w:val="both"/>
        <w:rPr>
          <w:bCs/>
        </w:rPr>
      </w:pPr>
    </w:p>
    <w:p w14:paraId="0D76901B" w14:textId="5E2273A8" w:rsidR="00EA7674" w:rsidRPr="008E5121" w:rsidRDefault="00EA7674" w:rsidP="000422DC">
      <w:pPr>
        <w:pStyle w:val="ListParagraph"/>
        <w:spacing w:line="276" w:lineRule="auto"/>
        <w:ind w:left="360"/>
        <w:jc w:val="both"/>
        <w:rPr>
          <w:b/>
          <w:bCs/>
        </w:rPr>
      </w:pPr>
      <w:r w:rsidRPr="008E5121">
        <w:rPr>
          <w:b/>
          <w:bCs/>
        </w:rPr>
        <w:t xml:space="preserve">Article 2 </w:t>
      </w:r>
    </w:p>
    <w:p w14:paraId="6343F103" w14:textId="6D660B6A" w:rsidR="004C74D1" w:rsidRDefault="005114C9" w:rsidP="000422DC">
      <w:pPr>
        <w:pStyle w:val="ListParagraph"/>
        <w:numPr>
          <w:ilvl w:val="0"/>
          <w:numId w:val="2"/>
        </w:numPr>
        <w:spacing w:line="276" w:lineRule="auto"/>
        <w:jc w:val="both"/>
        <w:rPr>
          <w:bCs/>
        </w:rPr>
      </w:pPr>
      <w:r w:rsidRPr="005114C9">
        <w:rPr>
          <w:bCs/>
          <w:u w:val="single"/>
        </w:rPr>
        <w:t>Non-discrimination</w:t>
      </w:r>
      <w:r>
        <w:rPr>
          <w:bCs/>
        </w:rPr>
        <w:t xml:space="preserve">. </w:t>
      </w:r>
      <w:r w:rsidRPr="005114C9">
        <w:rPr>
          <w:bCs/>
        </w:rPr>
        <w:t>Laws in</w:t>
      </w:r>
      <w:r>
        <w:rPr>
          <w:bCs/>
        </w:rPr>
        <w:t>troduced by</w:t>
      </w:r>
      <w:r w:rsidRPr="005114C9">
        <w:rPr>
          <w:bCs/>
        </w:rPr>
        <w:t xml:space="preserve"> China to protect certain categories of persons (e.g. women, persons with disabilities, children) do not obviate the need for comprehensive non-discrimination legislation.</w:t>
      </w:r>
      <w:r>
        <w:rPr>
          <w:bCs/>
        </w:rPr>
        <w:t xml:space="preserve"> </w:t>
      </w:r>
      <w:r w:rsidR="007938EF">
        <w:rPr>
          <w:bCs/>
        </w:rPr>
        <w:t>Existing legislation is limited in scope and cannot accommodate evolving understandings of the right to equality and non-discrimination. Moreover, t</w:t>
      </w:r>
      <w:r w:rsidR="00C01EEB">
        <w:rPr>
          <w:bCs/>
        </w:rPr>
        <w:t>here is no specific legislation</w:t>
      </w:r>
      <w:r w:rsidR="007938EF">
        <w:rPr>
          <w:bCs/>
        </w:rPr>
        <w:t xml:space="preserve"> </w:t>
      </w:r>
      <w:r w:rsidR="00C01EEB">
        <w:rPr>
          <w:bCs/>
        </w:rPr>
        <w:t>to prevent</w:t>
      </w:r>
      <w:r w:rsidR="007938EF">
        <w:rPr>
          <w:bCs/>
        </w:rPr>
        <w:t>, for example,</w:t>
      </w:r>
      <w:r w:rsidR="00C01EEB">
        <w:rPr>
          <w:bCs/>
        </w:rPr>
        <w:t xml:space="preserve"> discrimination on grounds of race or ethnicity, religion, or political or other opinion. Indeed, paragraph 30 of the State Party Report, responding to paragraph 38 of the Concluding Observations, suggests that political opinion is a valid reason for not treating human rights defenders equally before the law.</w:t>
      </w:r>
      <w:r w:rsidR="007938EF">
        <w:rPr>
          <w:bCs/>
        </w:rPr>
        <w:t xml:space="preserve"> </w:t>
      </w:r>
      <w:r w:rsidR="00C01EEB" w:rsidRPr="007938EF">
        <w:rPr>
          <w:bCs/>
        </w:rPr>
        <w:t>China should be asked to provide further details o</w:t>
      </w:r>
      <w:r w:rsidR="007938EF">
        <w:rPr>
          <w:bCs/>
        </w:rPr>
        <w:t>f</w:t>
      </w:r>
      <w:r w:rsidR="00C01EEB" w:rsidRPr="007938EF">
        <w:rPr>
          <w:bCs/>
        </w:rPr>
        <w:t xml:space="preserve"> </w:t>
      </w:r>
      <w:r w:rsidR="007938EF">
        <w:rPr>
          <w:bCs/>
        </w:rPr>
        <w:t>which characteristics are not protected under Chinese law. The continuing persecution</w:t>
      </w:r>
      <w:r w:rsidR="004C74D1">
        <w:rPr>
          <w:bCs/>
        </w:rPr>
        <w:t>, including arbitrary detention, forced labour and surveillance,</w:t>
      </w:r>
      <w:r w:rsidR="007938EF">
        <w:rPr>
          <w:bCs/>
        </w:rPr>
        <w:t xml:space="preserve"> of human rights defenders, religious believers and Uyghurs and other Turkic Muslims in the Xinjiang Uyghur Autonomous Region </w:t>
      </w:r>
      <w:r w:rsidR="004C74D1">
        <w:rPr>
          <w:bCs/>
        </w:rPr>
        <w:t>is</w:t>
      </w:r>
      <w:r w:rsidR="007938EF">
        <w:rPr>
          <w:bCs/>
        </w:rPr>
        <w:t xml:space="preserve"> evidence that </w:t>
      </w:r>
      <w:r w:rsidR="004C74D1">
        <w:rPr>
          <w:bCs/>
        </w:rPr>
        <w:t>these</w:t>
      </w:r>
      <w:r w:rsidR="007938EF">
        <w:rPr>
          <w:bCs/>
        </w:rPr>
        <w:t xml:space="preserve"> </w:t>
      </w:r>
      <w:r w:rsidR="004C74D1">
        <w:rPr>
          <w:bCs/>
        </w:rPr>
        <w:t>Chinese citizens do not enjoy equal rights to work, to family life, to health, to education and to cultural life.</w:t>
      </w:r>
      <w:r w:rsidR="00E53D78">
        <w:rPr>
          <w:bCs/>
        </w:rPr>
        <w:t xml:space="preserve"> The continued lack of disaggregated data on all areas of economic, social and cultural rights (ESCR) makes it impossible for the Chinese state, </w:t>
      </w:r>
      <w:r w:rsidR="00E53D78">
        <w:rPr>
          <w:bCs/>
        </w:rPr>
        <w:lastRenderedPageBreak/>
        <w:t xml:space="preserve">civil society organisations, researchers and the international community to monitor non-discrimination in the enjoyment of ESCR. </w:t>
      </w:r>
    </w:p>
    <w:p w14:paraId="6317F845" w14:textId="2728CCC2" w:rsidR="005114C9" w:rsidRPr="007938EF" w:rsidRDefault="007938EF" w:rsidP="000422DC">
      <w:pPr>
        <w:pStyle w:val="ListParagraph"/>
        <w:spacing w:line="276" w:lineRule="auto"/>
        <w:ind w:left="360"/>
        <w:jc w:val="both"/>
        <w:rPr>
          <w:bCs/>
        </w:rPr>
      </w:pPr>
      <w:r>
        <w:rPr>
          <w:bCs/>
        </w:rPr>
        <w:t xml:space="preserve"> </w:t>
      </w:r>
      <w:r w:rsidRPr="007938EF">
        <w:rPr>
          <w:bCs/>
        </w:rPr>
        <w:t xml:space="preserve"> </w:t>
      </w:r>
    </w:p>
    <w:p w14:paraId="5F45A2C1" w14:textId="1DF01322" w:rsidR="008E5121" w:rsidRDefault="004C74D1" w:rsidP="000422DC">
      <w:pPr>
        <w:pStyle w:val="ListParagraph"/>
        <w:numPr>
          <w:ilvl w:val="0"/>
          <w:numId w:val="2"/>
        </w:numPr>
        <w:spacing w:line="276" w:lineRule="auto"/>
        <w:jc w:val="both"/>
        <w:rPr>
          <w:bCs/>
        </w:rPr>
      </w:pPr>
      <w:r w:rsidRPr="004C74D1">
        <w:rPr>
          <w:bCs/>
          <w:u w:val="single"/>
        </w:rPr>
        <w:t>International cooperation</w:t>
      </w:r>
      <w:r>
        <w:rPr>
          <w:bCs/>
        </w:rPr>
        <w:t xml:space="preserve">. </w:t>
      </w:r>
      <w:r w:rsidR="008E5121">
        <w:rPr>
          <w:bCs/>
        </w:rPr>
        <w:t xml:space="preserve">In 2017, the Overseas NGO Management Law came into effect. As a result of onerous registration and reporting requirements, including intrusive monitoring by the police, a large number of overseas NGOs are no longer active in China. As a result, Chinese civil society has reduced access to international experience and good practice in the implementation of ESCR. How many overseas NGOs working on ESCR are registered in China and what is the Chinese government’s view on the benefits of international cooperation </w:t>
      </w:r>
      <w:r w:rsidR="005114C9">
        <w:rPr>
          <w:bCs/>
        </w:rPr>
        <w:t>among independent civil society organisations?</w:t>
      </w:r>
    </w:p>
    <w:p w14:paraId="0C6C57A0" w14:textId="77777777" w:rsidR="001A4370" w:rsidRDefault="001A4370" w:rsidP="000422DC">
      <w:pPr>
        <w:pStyle w:val="ListParagraph"/>
        <w:spacing w:line="276" w:lineRule="auto"/>
        <w:ind w:left="360"/>
        <w:jc w:val="both"/>
        <w:rPr>
          <w:b/>
          <w:bCs/>
        </w:rPr>
      </w:pPr>
    </w:p>
    <w:p w14:paraId="3BBAFD15" w14:textId="415246A1" w:rsidR="004C74D1" w:rsidRPr="004C74D1" w:rsidRDefault="00D56263" w:rsidP="000422DC">
      <w:pPr>
        <w:pStyle w:val="ListParagraph"/>
        <w:spacing w:line="276" w:lineRule="auto"/>
        <w:ind w:left="360"/>
        <w:jc w:val="both"/>
        <w:rPr>
          <w:b/>
          <w:bCs/>
        </w:rPr>
      </w:pPr>
      <w:r w:rsidRPr="004C74D1">
        <w:rPr>
          <w:b/>
          <w:bCs/>
        </w:rPr>
        <w:t xml:space="preserve">Article 6 </w:t>
      </w:r>
    </w:p>
    <w:p w14:paraId="74F94171" w14:textId="3668DBAB" w:rsidR="00755B59" w:rsidRDefault="00D06010" w:rsidP="000422DC">
      <w:pPr>
        <w:pStyle w:val="ListParagraph"/>
        <w:numPr>
          <w:ilvl w:val="0"/>
          <w:numId w:val="2"/>
        </w:numPr>
        <w:spacing w:line="276" w:lineRule="auto"/>
        <w:jc w:val="both"/>
        <w:rPr>
          <w:bCs/>
        </w:rPr>
      </w:pPr>
      <w:r>
        <w:rPr>
          <w:bCs/>
          <w:u w:val="single"/>
        </w:rPr>
        <w:t>XUAR</w:t>
      </w:r>
      <w:r w:rsidR="00D56263" w:rsidRPr="004C74D1">
        <w:rPr>
          <w:bCs/>
        </w:rPr>
        <w:t xml:space="preserve">. </w:t>
      </w:r>
      <w:r w:rsidR="004C74D1">
        <w:rPr>
          <w:bCs/>
        </w:rPr>
        <w:t xml:space="preserve">The right to work </w:t>
      </w:r>
      <w:r>
        <w:rPr>
          <w:bCs/>
        </w:rPr>
        <w:t>is qualified by the requirement that work should be freely chosen or accepted. The Committee will undoubtedly receive several submissions on the use of forced labour in XUAR. China seeks to justify both so-called vocational education and training centres and the establishment of factories in the region in terms of poverty alleviation as well as national security. Against a background of widescale arbitrary detention in camps or prison and the deployment of other repressive measures in the region, it is not possible for Uyghurs and other minorities to freely consent to work offered to them by officials or others working on behalf of the state. Reports indicate that women may be particularly targeted for new factory work. As our recent report</w:t>
      </w:r>
      <w:r w:rsidR="00C743E1">
        <w:rPr>
          <w:bCs/>
        </w:rPr>
        <w:t>, “Invisible Pain”,</w:t>
      </w:r>
      <w:r>
        <w:rPr>
          <w:bCs/>
        </w:rPr>
        <w:t xml:space="preserve"> on gender-based violence in the Xinjiang region reveals</w:t>
      </w:r>
      <w:r w:rsidR="000422DC">
        <w:rPr>
          <w:bCs/>
        </w:rPr>
        <w:t>,</w:t>
      </w:r>
      <w:r>
        <w:rPr>
          <w:bCs/>
        </w:rPr>
        <w:t xml:space="preserve"> women are likely to be particularly vulnerable to </w:t>
      </w:r>
      <w:r w:rsidR="00C743E1">
        <w:rPr>
          <w:bCs/>
        </w:rPr>
        <w:t xml:space="preserve">the fear and </w:t>
      </w:r>
      <w:r>
        <w:rPr>
          <w:bCs/>
        </w:rPr>
        <w:t>threat of violence.</w:t>
      </w:r>
      <w:r w:rsidR="00792451">
        <w:rPr>
          <w:rStyle w:val="FootnoteReference"/>
          <w:bCs/>
        </w:rPr>
        <w:footnoteReference w:id="1"/>
      </w:r>
      <w:r w:rsidR="003D0C95">
        <w:rPr>
          <w:bCs/>
        </w:rPr>
        <w:t xml:space="preserve"> The State Party report refers (paragraphs 55 and 56) to vocational training, but no reference is made to the so-called vocational education and training centres in the XUAR. Given what is now known about these centres, questions should be asked about the voluntariness of vocational training throughout China, particularly in ethnic minority regions or among socially vulnerable communities such as former drug users or sex workers.</w:t>
      </w:r>
    </w:p>
    <w:p w14:paraId="71FD0711" w14:textId="77777777" w:rsidR="001A4370" w:rsidRPr="004C74D1" w:rsidRDefault="001A4370" w:rsidP="000422DC">
      <w:pPr>
        <w:pStyle w:val="ListParagraph"/>
        <w:spacing w:line="276" w:lineRule="auto"/>
        <w:ind w:left="360"/>
        <w:jc w:val="both"/>
        <w:rPr>
          <w:bCs/>
        </w:rPr>
      </w:pPr>
    </w:p>
    <w:p w14:paraId="3A32B207" w14:textId="65EFD5B0" w:rsidR="004C74D1" w:rsidRPr="00D06010" w:rsidRDefault="00EA7674" w:rsidP="000422DC">
      <w:pPr>
        <w:pStyle w:val="ListParagraph"/>
        <w:numPr>
          <w:ilvl w:val="0"/>
          <w:numId w:val="2"/>
        </w:numPr>
        <w:spacing w:line="276" w:lineRule="auto"/>
        <w:jc w:val="both"/>
        <w:rPr>
          <w:bCs/>
          <w:u w:val="single"/>
        </w:rPr>
      </w:pPr>
      <w:r w:rsidRPr="00D06010">
        <w:rPr>
          <w:bCs/>
          <w:u w:val="single"/>
        </w:rPr>
        <w:t>Legal profession</w:t>
      </w:r>
      <w:r w:rsidR="00D06010" w:rsidRPr="00C743E1">
        <w:rPr>
          <w:bCs/>
        </w:rPr>
        <w:t>.</w:t>
      </w:r>
      <w:r w:rsidR="00D06010">
        <w:rPr>
          <w:bCs/>
        </w:rPr>
        <w:t xml:space="preserve"> The Basic </w:t>
      </w:r>
      <w:r w:rsidR="004C74D1">
        <w:t>Principles on the Role of Lawyers</w:t>
      </w:r>
      <w:r w:rsidR="001A4370">
        <w:rPr>
          <w:rStyle w:val="FootnoteReference"/>
        </w:rPr>
        <w:footnoteReference w:id="2"/>
      </w:r>
      <w:r w:rsidR="004C74D1">
        <w:t xml:space="preserve"> </w:t>
      </w:r>
      <w:r w:rsidR="001A4370">
        <w:t xml:space="preserve">underline the requirement that there should be no discrimination with respect to entry or continued practice in the legal profession, including political or other opinion. The Rights Practice has monitored countless examples of lawyers whose license to practice has been withdrawn. In most cases no clear reason is given, but the lawyers concerned generally believe it is because of their legal activism on rights issues, including rights under this covenant. </w:t>
      </w:r>
      <w:r w:rsidR="00C743E1">
        <w:t xml:space="preserve">ESC rights, established in Chinese law, cannot be adequately protected where lawyers committed to human rights are excluded from practicing law. </w:t>
      </w:r>
      <w:r w:rsidR="001A4370">
        <w:t>Lawyer Chang Weiping, currently in ‘residential surveillance in a designated location’</w:t>
      </w:r>
      <w:r w:rsidR="00A97338">
        <w:t>,</w:t>
      </w:r>
      <w:r w:rsidR="003D0C95">
        <w:rPr>
          <w:rStyle w:val="FootnoteReference"/>
        </w:rPr>
        <w:footnoteReference w:id="3"/>
      </w:r>
      <w:r w:rsidR="00A97338">
        <w:t xml:space="preserve"> </w:t>
      </w:r>
      <w:r w:rsidR="001A4370">
        <w:t>apparently for revealing the use of torture when previously detained, is just one of the most recent examples.</w:t>
      </w:r>
      <w:r w:rsidR="003D0C95">
        <w:rPr>
          <w:rStyle w:val="FootnoteReference"/>
        </w:rPr>
        <w:footnoteReference w:id="4"/>
      </w:r>
      <w:r w:rsidR="001A4370">
        <w:t xml:space="preserve"> In paragraph 30 of the State Party report, referred to above, China appears to acknowledge that opinions may be grounds to </w:t>
      </w:r>
      <w:r w:rsidR="00A97338">
        <w:t>prevent</w:t>
      </w:r>
      <w:r w:rsidR="001A4370">
        <w:t xml:space="preserve"> lawyers continu</w:t>
      </w:r>
      <w:r w:rsidR="00A97338">
        <w:t>ing</w:t>
      </w:r>
      <w:r w:rsidR="001A4370">
        <w:t xml:space="preserve"> in their profession. </w:t>
      </w:r>
    </w:p>
    <w:p w14:paraId="499A2964" w14:textId="77777777" w:rsidR="004C74D1" w:rsidRDefault="004C74D1" w:rsidP="000422DC">
      <w:pPr>
        <w:pStyle w:val="ListParagraph"/>
        <w:spacing w:line="276" w:lineRule="auto"/>
        <w:ind w:left="360"/>
        <w:jc w:val="both"/>
        <w:rPr>
          <w:bCs/>
        </w:rPr>
      </w:pPr>
    </w:p>
    <w:p w14:paraId="1D364189" w14:textId="5718FFD5" w:rsidR="00E53D78" w:rsidRPr="00E53D78" w:rsidRDefault="00EA7674" w:rsidP="000422DC">
      <w:pPr>
        <w:pStyle w:val="ListParagraph"/>
        <w:spacing w:line="276" w:lineRule="auto"/>
        <w:ind w:left="360"/>
        <w:jc w:val="both"/>
        <w:rPr>
          <w:b/>
          <w:bCs/>
        </w:rPr>
      </w:pPr>
      <w:r w:rsidRPr="00E53D78">
        <w:rPr>
          <w:b/>
          <w:bCs/>
        </w:rPr>
        <w:lastRenderedPageBreak/>
        <w:t>Article</w:t>
      </w:r>
      <w:r w:rsidR="00E53D78" w:rsidRPr="00E53D78">
        <w:rPr>
          <w:b/>
          <w:bCs/>
        </w:rPr>
        <w:t>s</w:t>
      </w:r>
      <w:r w:rsidRPr="00E53D78">
        <w:rPr>
          <w:b/>
          <w:bCs/>
        </w:rPr>
        <w:t xml:space="preserve"> </w:t>
      </w:r>
      <w:r w:rsidR="00E53D78" w:rsidRPr="00E53D78">
        <w:rPr>
          <w:b/>
          <w:bCs/>
        </w:rPr>
        <w:t xml:space="preserve">7 and </w:t>
      </w:r>
      <w:r w:rsidRPr="00E53D78">
        <w:rPr>
          <w:b/>
          <w:bCs/>
        </w:rPr>
        <w:t xml:space="preserve">9 </w:t>
      </w:r>
    </w:p>
    <w:p w14:paraId="7A2DEA56" w14:textId="206E95FF" w:rsidR="00E53D78" w:rsidRPr="00A97338" w:rsidRDefault="0058514C" w:rsidP="00A97338">
      <w:pPr>
        <w:pStyle w:val="ListParagraph"/>
        <w:numPr>
          <w:ilvl w:val="0"/>
          <w:numId w:val="2"/>
        </w:numPr>
        <w:spacing w:line="276" w:lineRule="auto"/>
        <w:jc w:val="both"/>
        <w:rPr>
          <w:rFonts w:asciiTheme="minorHAnsi" w:hAnsiTheme="minorHAnsi" w:cstheme="minorHAnsi"/>
          <w:color w:val="0070C0"/>
        </w:rPr>
      </w:pPr>
      <w:r w:rsidRPr="0058514C">
        <w:rPr>
          <w:bCs/>
          <w:color w:val="000000" w:themeColor="text1"/>
          <w:u w:val="single"/>
        </w:rPr>
        <w:t>Migrant workers</w:t>
      </w:r>
      <w:r w:rsidRPr="0058514C">
        <w:rPr>
          <w:bCs/>
          <w:color w:val="000000" w:themeColor="text1"/>
        </w:rPr>
        <w:t xml:space="preserve">. The rights to just and favourable conditions at work and to social security </w:t>
      </w:r>
      <w:r w:rsidRPr="0058514C">
        <w:rPr>
          <w:bCs/>
        </w:rPr>
        <w:t xml:space="preserve">remain out of reach of many workers in China, but particularly migrant workers who lack the appropriate household registration. </w:t>
      </w:r>
      <w:r w:rsidRPr="0058514C">
        <w:rPr>
          <w:bCs/>
          <w:color w:val="000000" w:themeColor="text1"/>
        </w:rPr>
        <w:t xml:space="preserve">Despite </w:t>
      </w:r>
      <w:r w:rsidRPr="0058514C">
        <w:rPr>
          <w:rFonts w:asciiTheme="minorHAnsi" w:hAnsiTheme="minorHAnsi" w:cstheme="minorHAnsi"/>
          <w:color w:val="000000" w:themeColor="text1"/>
        </w:rPr>
        <w:t>moves to reform the household registration system (</w:t>
      </w:r>
      <w:r w:rsidRPr="0058514C">
        <w:rPr>
          <w:rFonts w:asciiTheme="minorHAnsi" w:hAnsiTheme="minorHAnsi" w:cstheme="minorHAnsi"/>
          <w:i/>
          <w:color w:val="000000" w:themeColor="text1"/>
        </w:rPr>
        <w:t>hukou</w:t>
      </w:r>
      <w:r w:rsidRPr="0058514C">
        <w:rPr>
          <w:rFonts w:asciiTheme="minorHAnsi" w:hAnsiTheme="minorHAnsi" w:cstheme="minorHAnsi"/>
          <w:color w:val="000000" w:themeColor="text1"/>
        </w:rPr>
        <w:t xml:space="preserve">) set out in the State Council’s 2015 </w:t>
      </w:r>
      <w:r w:rsidRPr="0058514C">
        <w:rPr>
          <w:rStyle w:val="apple-converted-space"/>
          <w:rFonts w:asciiTheme="minorHAnsi" w:eastAsia="Microsoft YaHei" w:hAnsiTheme="minorHAnsi" w:cstheme="minorHAnsi"/>
          <w:color w:val="000000" w:themeColor="text1"/>
        </w:rPr>
        <w:t>Interim Regulation on Residence Permits</w:t>
      </w:r>
      <w:r w:rsidRPr="0058514C">
        <w:rPr>
          <w:rStyle w:val="FootnoteReference"/>
          <w:rFonts w:asciiTheme="minorHAnsi" w:eastAsia="Microsoft YaHei" w:hAnsiTheme="minorHAnsi" w:cstheme="minorHAnsi"/>
          <w:color w:val="000000" w:themeColor="text1"/>
          <w:lang w:val="en-US"/>
        </w:rPr>
        <w:footnoteReference w:id="5"/>
      </w:r>
      <w:r w:rsidRPr="0058514C">
        <w:rPr>
          <w:rFonts w:asciiTheme="minorHAnsi" w:hAnsiTheme="minorHAnsi" w:cstheme="minorHAnsi"/>
          <w:color w:val="000000" w:themeColor="text1"/>
        </w:rPr>
        <w:t>, the hukou system still discriminates against migrant workers, particularly those in low paid and vulnerable groups, and denies them access to basic public services including education, medical care and social security.</w:t>
      </w:r>
      <w:r w:rsidR="000422DC">
        <w:rPr>
          <w:rFonts w:asciiTheme="minorHAnsi" w:hAnsiTheme="minorHAnsi" w:cstheme="minorHAnsi"/>
          <w:color w:val="000000" w:themeColor="text1"/>
        </w:rPr>
        <w:t xml:space="preserve"> </w:t>
      </w:r>
    </w:p>
    <w:p w14:paraId="62836EEB" w14:textId="77777777" w:rsidR="00E53D78" w:rsidRDefault="00E53D78" w:rsidP="001860D1">
      <w:pPr>
        <w:pStyle w:val="ListParagraph"/>
        <w:spacing w:line="276" w:lineRule="auto"/>
        <w:ind w:left="360"/>
        <w:jc w:val="both"/>
        <w:rPr>
          <w:bCs/>
        </w:rPr>
      </w:pPr>
    </w:p>
    <w:p w14:paraId="208E9E1E" w14:textId="77777777" w:rsidR="001860D1" w:rsidRPr="001860D1" w:rsidRDefault="00EA7674" w:rsidP="001860D1">
      <w:pPr>
        <w:pStyle w:val="ListParagraph"/>
        <w:spacing w:line="276" w:lineRule="auto"/>
        <w:ind w:left="360"/>
        <w:jc w:val="both"/>
        <w:rPr>
          <w:b/>
          <w:bCs/>
        </w:rPr>
      </w:pPr>
      <w:r w:rsidRPr="001860D1">
        <w:rPr>
          <w:b/>
          <w:bCs/>
        </w:rPr>
        <w:t>Article</w:t>
      </w:r>
      <w:r w:rsidR="00267E93" w:rsidRPr="001860D1">
        <w:rPr>
          <w:b/>
          <w:bCs/>
        </w:rPr>
        <w:t>s</w:t>
      </w:r>
      <w:r w:rsidRPr="001860D1">
        <w:rPr>
          <w:b/>
          <w:bCs/>
        </w:rPr>
        <w:t xml:space="preserve"> 10</w:t>
      </w:r>
      <w:r w:rsidR="00267E93" w:rsidRPr="001860D1">
        <w:rPr>
          <w:b/>
          <w:bCs/>
        </w:rPr>
        <w:t xml:space="preserve"> and 1</w:t>
      </w:r>
      <w:r w:rsidR="001860D1" w:rsidRPr="001860D1">
        <w:rPr>
          <w:b/>
          <w:bCs/>
        </w:rPr>
        <w:t>3</w:t>
      </w:r>
    </w:p>
    <w:p w14:paraId="1C074342" w14:textId="751B601F" w:rsidR="000422DC" w:rsidRPr="007F0432" w:rsidRDefault="00632633" w:rsidP="007F0432">
      <w:pPr>
        <w:pStyle w:val="ListParagraph"/>
        <w:numPr>
          <w:ilvl w:val="0"/>
          <w:numId w:val="2"/>
        </w:numPr>
        <w:spacing w:line="276" w:lineRule="auto"/>
        <w:jc w:val="both"/>
        <w:rPr>
          <w:bCs/>
        </w:rPr>
      </w:pPr>
      <w:r>
        <w:rPr>
          <w:bCs/>
        </w:rPr>
        <w:t>Many m</w:t>
      </w:r>
      <w:r w:rsidR="001860D1">
        <w:rPr>
          <w:bCs/>
        </w:rPr>
        <w:t xml:space="preserve">arginalised and vulnerable social groups in China do not enjoy full </w:t>
      </w:r>
      <w:r w:rsidR="00EA7674">
        <w:rPr>
          <w:bCs/>
        </w:rPr>
        <w:t>right</w:t>
      </w:r>
      <w:r w:rsidR="001860D1">
        <w:rPr>
          <w:bCs/>
        </w:rPr>
        <w:t>s</w:t>
      </w:r>
      <w:r w:rsidR="00EA7674">
        <w:rPr>
          <w:bCs/>
        </w:rPr>
        <w:t xml:space="preserve"> to family life</w:t>
      </w:r>
      <w:r w:rsidR="001860D1">
        <w:rPr>
          <w:bCs/>
        </w:rPr>
        <w:t xml:space="preserve"> and education</w:t>
      </w:r>
      <w:r>
        <w:rPr>
          <w:bCs/>
        </w:rPr>
        <w:t xml:space="preserve"> due to restrictions placed on their place of residence or work</w:t>
      </w:r>
      <w:r w:rsidR="001860D1">
        <w:rPr>
          <w:bCs/>
        </w:rPr>
        <w:t xml:space="preserve">. </w:t>
      </w:r>
      <w:r>
        <w:rPr>
          <w:bCs/>
        </w:rPr>
        <w:t xml:space="preserve">Household registration and the extensive use of surveillance are used to control where </w:t>
      </w:r>
      <w:r w:rsidR="007F0432">
        <w:rPr>
          <w:bCs/>
        </w:rPr>
        <w:t xml:space="preserve">many </w:t>
      </w:r>
      <w:r>
        <w:rPr>
          <w:bCs/>
        </w:rPr>
        <w:t xml:space="preserve">people can live and work. </w:t>
      </w:r>
      <w:r w:rsidR="007F0432">
        <w:rPr>
          <w:bCs/>
        </w:rPr>
        <w:t xml:space="preserve">This impacts on family life and children’s access to quality education. </w:t>
      </w:r>
      <w:r w:rsidR="00B5698B">
        <w:rPr>
          <w:bCs/>
        </w:rPr>
        <w:t>In the XUAR</w:t>
      </w:r>
      <w:r w:rsidR="00A97338">
        <w:rPr>
          <w:bCs/>
        </w:rPr>
        <w:t>,</w:t>
      </w:r>
      <w:r w:rsidR="00B5698B">
        <w:rPr>
          <w:bCs/>
        </w:rPr>
        <w:t xml:space="preserve"> the detention of hundreds of thousands of Uyghurs </w:t>
      </w:r>
      <w:r w:rsidR="003C46B4">
        <w:rPr>
          <w:bCs/>
        </w:rPr>
        <w:t>has led to large numbers of ‘state-orphaned’ children.</w:t>
      </w:r>
    </w:p>
    <w:p w14:paraId="04150F38" w14:textId="51E3BFAD" w:rsidR="005210AD" w:rsidRDefault="000422DC" w:rsidP="005210AD">
      <w:pPr>
        <w:pStyle w:val="A"/>
        <w:numPr>
          <w:ilvl w:val="0"/>
          <w:numId w:val="2"/>
        </w:numPr>
        <w:spacing w:line="276" w:lineRule="auto"/>
        <w:jc w:val="both"/>
        <w:rPr>
          <w:rStyle w:val="apple-converted-space"/>
          <w:rFonts w:asciiTheme="minorHAnsi" w:eastAsia="Microsoft YaHei" w:hAnsiTheme="minorHAnsi" w:cstheme="minorHAnsi"/>
          <w:color w:val="000000" w:themeColor="text1"/>
          <w:lang w:eastAsia="zh-TW"/>
        </w:rPr>
      </w:pPr>
      <w:r w:rsidRPr="000422DC">
        <w:rPr>
          <w:rFonts w:asciiTheme="minorHAnsi" w:hAnsiTheme="minorHAnsi"/>
          <w:bCs/>
          <w:color w:val="000000" w:themeColor="text1"/>
          <w:u w:val="single"/>
        </w:rPr>
        <w:t>Migrant workers</w:t>
      </w:r>
      <w:r w:rsidRPr="000422DC">
        <w:rPr>
          <w:rFonts w:asciiTheme="minorHAnsi" w:hAnsiTheme="minorHAnsi"/>
          <w:bCs/>
          <w:color w:val="000000" w:themeColor="text1"/>
        </w:rPr>
        <w:t xml:space="preserve">. </w:t>
      </w:r>
      <w:r w:rsidRPr="000422DC">
        <w:rPr>
          <w:rStyle w:val="apple-converted-space"/>
          <w:rFonts w:asciiTheme="minorHAnsi" w:eastAsia="Microsoft YaHei" w:hAnsiTheme="minorHAnsi" w:cstheme="minorHAnsi"/>
          <w:color w:val="000000" w:themeColor="text1"/>
          <w:lang w:eastAsia="zh-TW"/>
        </w:rPr>
        <w:t>At the end of 2019, there were 236 million rural-to-urban migrants in China, some 28% of the urban population.  Of these, 98.7 million are children</w:t>
      </w:r>
      <w:r>
        <w:rPr>
          <w:rStyle w:val="apple-converted-space"/>
          <w:rFonts w:asciiTheme="minorHAnsi" w:eastAsia="Microsoft YaHei" w:hAnsiTheme="minorHAnsi" w:cstheme="minorHAnsi"/>
          <w:color w:val="000000" w:themeColor="text1"/>
          <w:lang w:eastAsia="zh-TW"/>
        </w:rPr>
        <w:t>:</w:t>
      </w:r>
      <w:r w:rsidRPr="000422DC">
        <w:rPr>
          <w:rStyle w:val="apple-converted-space"/>
          <w:rFonts w:asciiTheme="minorHAnsi" w:eastAsia="Microsoft YaHei" w:hAnsiTheme="minorHAnsi" w:cstheme="minorHAnsi"/>
          <w:color w:val="000000" w:themeColor="text1"/>
          <w:lang w:eastAsia="zh-TW"/>
        </w:rPr>
        <w:t xml:space="preserve"> 36% of the entire child</w:t>
      </w:r>
      <w:r>
        <w:rPr>
          <w:rStyle w:val="apple-converted-space"/>
          <w:rFonts w:asciiTheme="minorHAnsi" w:eastAsia="Microsoft YaHei" w:hAnsiTheme="minorHAnsi" w:cstheme="minorHAnsi"/>
          <w:color w:val="000000" w:themeColor="text1"/>
          <w:lang w:eastAsia="zh-TW"/>
        </w:rPr>
        <w:t xml:space="preserve"> </w:t>
      </w:r>
      <w:r w:rsidRPr="000422DC">
        <w:rPr>
          <w:rStyle w:val="apple-converted-space"/>
          <w:rFonts w:asciiTheme="minorHAnsi" w:eastAsia="Microsoft YaHei" w:hAnsiTheme="minorHAnsi" w:cstheme="minorHAnsi"/>
          <w:color w:val="000000" w:themeColor="text1"/>
          <w:lang w:eastAsia="zh-TW"/>
        </w:rPr>
        <w:t xml:space="preserve">population in China. In 2019, only one third of these children live together with their migrant families. The systemic root of such </w:t>
      </w:r>
      <w:r w:rsidRPr="000422DC">
        <w:rPr>
          <w:rStyle w:val="apple-converted-space"/>
          <w:rFonts w:asciiTheme="minorHAnsi" w:eastAsia="Microsoft YaHei" w:hAnsiTheme="minorHAnsi" w:cstheme="minorHAnsi"/>
          <w:color w:val="000000" w:themeColor="text1"/>
        </w:rPr>
        <w:t>separation, in particular the separation between children in compulsory education and their migrant parents, is the Household Registration System</w:t>
      </w:r>
      <w:r>
        <w:rPr>
          <w:rStyle w:val="apple-converted-space"/>
          <w:rFonts w:asciiTheme="minorHAnsi" w:eastAsia="Microsoft YaHei" w:hAnsiTheme="minorHAnsi" w:cstheme="minorHAnsi"/>
          <w:color w:val="000000" w:themeColor="text1"/>
        </w:rPr>
        <w:t>.</w:t>
      </w:r>
      <w:r w:rsidRPr="000422DC">
        <w:rPr>
          <w:rStyle w:val="apple-converted-space"/>
          <w:rFonts w:asciiTheme="minorHAnsi" w:eastAsia="Microsoft YaHei" w:hAnsiTheme="minorHAnsi" w:cstheme="minorHAnsi"/>
          <w:color w:val="000000" w:themeColor="text1"/>
        </w:rPr>
        <w:t xml:space="preserve"> </w:t>
      </w:r>
      <w:r>
        <w:rPr>
          <w:rStyle w:val="apple-converted-space"/>
          <w:rFonts w:asciiTheme="minorHAnsi" w:eastAsia="Microsoft YaHei" w:hAnsiTheme="minorHAnsi" w:cstheme="minorHAnsi"/>
          <w:color w:val="000000" w:themeColor="text1"/>
        </w:rPr>
        <w:t xml:space="preserve">Under the </w:t>
      </w:r>
      <w:r w:rsidRPr="000422DC">
        <w:rPr>
          <w:rStyle w:val="apple-converted-space"/>
          <w:rFonts w:asciiTheme="minorHAnsi" w:eastAsia="Microsoft YaHei" w:hAnsiTheme="minorHAnsi" w:cstheme="minorHAnsi"/>
          <w:i/>
          <w:color w:val="000000" w:themeColor="text1"/>
        </w:rPr>
        <w:t>Hukou</w:t>
      </w:r>
      <w:r w:rsidRPr="000422DC">
        <w:rPr>
          <w:rStyle w:val="apple-converted-space"/>
          <w:rFonts w:asciiTheme="minorHAnsi" w:eastAsia="Microsoft YaHei" w:hAnsiTheme="minorHAnsi" w:cstheme="minorHAnsi"/>
          <w:color w:val="000000" w:themeColor="text1"/>
        </w:rPr>
        <w:t xml:space="preserve"> </w:t>
      </w:r>
      <w:r w:rsidR="00A97338">
        <w:rPr>
          <w:rStyle w:val="apple-converted-space"/>
          <w:rFonts w:asciiTheme="minorHAnsi" w:eastAsia="Microsoft YaHei" w:hAnsiTheme="minorHAnsi" w:cstheme="minorHAnsi"/>
          <w:color w:val="000000" w:themeColor="text1"/>
        </w:rPr>
        <w:t>s</w:t>
      </w:r>
      <w:r w:rsidRPr="000422DC">
        <w:rPr>
          <w:rStyle w:val="apple-converted-space"/>
          <w:rFonts w:asciiTheme="minorHAnsi" w:eastAsia="Microsoft YaHei" w:hAnsiTheme="minorHAnsi" w:cstheme="minorHAnsi"/>
          <w:color w:val="000000" w:themeColor="text1"/>
        </w:rPr>
        <w:t>ystem citizens’ rights</w:t>
      </w:r>
      <w:r>
        <w:rPr>
          <w:rStyle w:val="apple-converted-space"/>
          <w:rFonts w:asciiTheme="minorHAnsi" w:eastAsia="Microsoft YaHei" w:hAnsiTheme="minorHAnsi" w:cstheme="minorHAnsi"/>
          <w:color w:val="000000" w:themeColor="text1"/>
        </w:rPr>
        <w:t xml:space="preserve"> to a number of economic and social rights are associated</w:t>
      </w:r>
      <w:r w:rsidRPr="000422DC">
        <w:rPr>
          <w:rStyle w:val="apple-converted-space"/>
          <w:rFonts w:asciiTheme="minorHAnsi" w:eastAsia="Microsoft YaHei" w:hAnsiTheme="minorHAnsi" w:cstheme="minorHAnsi"/>
          <w:color w:val="000000" w:themeColor="text1"/>
        </w:rPr>
        <w:t xml:space="preserve"> with their registered place of residence</w:t>
      </w:r>
      <w:r>
        <w:rPr>
          <w:rStyle w:val="apple-converted-space"/>
          <w:rFonts w:asciiTheme="minorHAnsi" w:eastAsia="Microsoft YaHei" w:hAnsiTheme="minorHAnsi" w:cstheme="minorHAnsi"/>
          <w:color w:val="000000" w:themeColor="text1"/>
        </w:rPr>
        <w:t>.</w:t>
      </w:r>
      <w:r w:rsidRPr="000422DC">
        <w:rPr>
          <w:rStyle w:val="apple-converted-space"/>
          <w:rFonts w:asciiTheme="minorHAnsi" w:eastAsia="Microsoft YaHei" w:hAnsiTheme="minorHAnsi" w:cstheme="minorHAnsi"/>
          <w:color w:val="000000" w:themeColor="text1"/>
        </w:rPr>
        <w:t xml:space="preserve"> </w:t>
      </w:r>
      <w:r>
        <w:rPr>
          <w:rStyle w:val="apple-converted-space"/>
          <w:rFonts w:asciiTheme="minorHAnsi" w:eastAsia="Microsoft YaHei" w:hAnsiTheme="minorHAnsi" w:cstheme="minorHAnsi"/>
          <w:color w:val="000000" w:themeColor="text1"/>
        </w:rPr>
        <w:t>Public schools restrict</w:t>
      </w:r>
      <w:r w:rsidRPr="000422DC">
        <w:rPr>
          <w:rStyle w:val="apple-converted-space"/>
          <w:rFonts w:asciiTheme="minorHAnsi" w:eastAsia="Microsoft YaHei" w:hAnsiTheme="minorHAnsi" w:cstheme="minorHAnsi"/>
          <w:color w:val="000000" w:themeColor="text1"/>
        </w:rPr>
        <w:t xml:space="preserve"> access to </w:t>
      </w:r>
      <w:r>
        <w:rPr>
          <w:rStyle w:val="apple-converted-space"/>
          <w:rFonts w:asciiTheme="minorHAnsi" w:eastAsia="Microsoft YaHei" w:hAnsiTheme="minorHAnsi" w:cstheme="minorHAnsi"/>
          <w:color w:val="000000" w:themeColor="text1"/>
        </w:rPr>
        <w:t>education</w:t>
      </w:r>
      <w:r w:rsidRPr="000422DC">
        <w:rPr>
          <w:rStyle w:val="apple-converted-space"/>
          <w:rFonts w:asciiTheme="minorHAnsi" w:eastAsia="Microsoft YaHei" w:hAnsiTheme="minorHAnsi" w:cstheme="minorHAnsi"/>
          <w:color w:val="000000" w:themeColor="text1"/>
        </w:rPr>
        <w:t xml:space="preserve"> </w:t>
      </w:r>
      <w:r>
        <w:rPr>
          <w:rStyle w:val="apple-converted-space"/>
          <w:rFonts w:asciiTheme="minorHAnsi" w:eastAsia="Microsoft YaHei" w:hAnsiTheme="minorHAnsi" w:cstheme="minorHAnsi"/>
          <w:color w:val="000000" w:themeColor="text1"/>
        </w:rPr>
        <w:t>where</w:t>
      </w:r>
      <w:r w:rsidRPr="000422DC">
        <w:rPr>
          <w:rStyle w:val="apple-converted-space"/>
          <w:rFonts w:asciiTheme="minorHAnsi" w:eastAsia="Microsoft YaHei" w:hAnsiTheme="minorHAnsi" w:cstheme="minorHAnsi"/>
          <w:color w:val="000000" w:themeColor="text1"/>
        </w:rPr>
        <w:t xml:space="preserve"> children </w:t>
      </w:r>
      <w:r>
        <w:rPr>
          <w:rStyle w:val="apple-converted-space"/>
          <w:rFonts w:asciiTheme="minorHAnsi" w:eastAsia="Microsoft YaHei" w:hAnsiTheme="minorHAnsi" w:cstheme="minorHAnsi"/>
          <w:color w:val="000000" w:themeColor="text1"/>
        </w:rPr>
        <w:t xml:space="preserve">do not have a </w:t>
      </w:r>
      <w:r w:rsidRPr="000422DC">
        <w:rPr>
          <w:rStyle w:val="apple-converted-space"/>
          <w:rFonts w:asciiTheme="minorHAnsi" w:eastAsia="Microsoft YaHei" w:hAnsiTheme="minorHAnsi" w:cstheme="minorHAnsi"/>
          <w:color w:val="000000" w:themeColor="text1"/>
        </w:rPr>
        <w:t xml:space="preserve">local </w:t>
      </w:r>
      <w:r w:rsidRPr="000422DC">
        <w:rPr>
          <w:rStyle w:val="apple-converted-space"/>
          <w:rFonts w:asciiTheme="minorHAnsi" w:eastAsia="Microsoft YaHei" w:hAnsiTheme="minorHAnsi" w:cstheme="minorHAnsi"/>
          <w:i/>
          <w:color w:val="000000" w:themeColor="text1"/>
        </w:rPr>
        <w:t>hukou</w:t>
      </w:r>
      <w:r w:rsidRPr="000422DC">
        <w:rPr>
          <w:rStyle w:val="apple-converted-space"/>
          <w:rFonts w:asciiTheme="minorHAnsi" w:eastAsia="Microsoft YaHei" w:hAnsiTheme="minorHAnsi" w:cstheme="minorHAnsi"/>
          <w:color w:val="000000" w:themeColor="text1"/>
        </w:rPr>
        <w:t>.</w:t>
      </w:r>
      <w:r w:rsidRPr="000422DC">
        <w:rPr>
          <w:rStyle w:val="apple-converted-space"/>
          <w:rFonts w:asciiTheme="minorHAnsi" w:eastAsia="Microsoft YaHei" w:hAnsiTheme="minorHAnsi" w:cstheme="minorHAnsi"/>
          <w:color w:val="000000" w:themeColor="text1"/>
          <w:lang w:eastAsia="zh-TW"/>
        </w:rPr>
        <w:t xml:space="preserve">  Migrant families </w:t>
      </w:r>
      <w:r>
        <w:rPr>
          <w:rStyle w:val="apple-converted-space"/>
          <w:rFonts w:asciiTheme="minorHAnsi" w:eastAsia="Microsoft YaHei" w:hAnsiTheme="minorHAnsi" w:cstheme="minorHAnsi"/>
          <w:color w:val="000000" w:themeColor="text1"/>
          <w:lang w:eastAsia="zh-TW"/>
        </w:rPr>
        <w:t xml:space="preserve">that </w:t>
      </w:r>
      <w:r w:rsidRPr="000422DC">
        <w:rPr>
          <w:rStyle w:val="apple-converted-space"/>
          <w:rFonts w:asciiTheme="minorHAnsi" w:eastAsia="Microsoft YaHei" w:hAnsiTheme="minorHAnsi" w:cstheme="minorHAnsi"/>
          <w:color w:val="000000" w:themeColor="text1"/>
          <w:lang w:eastAsia="zh-TW"/>
        </w:rPr>
        <w:t>are unable to secure school places are forced to send their children back to the location of the</w:t>
      </w:r>
      <w:r>
        <w:rPr>
          <w:rStyle w:val="apple-converted-space"/>
          <w:rFonts w:asciiTheme="minorHAnsi" w:eastAsia="Microsoft YaHei" w:hAnsiTheme="minorHAnsi" w:cstheme="minorHAnsi"/>
          <w:color w:val="000000" w:themeColor="text1"/>
          <w:lang w:eastAsia="zh-TW"/>
        </w:rPr>
        <w:t>ir</w:t>
      </w:r>
      <w:r w:rsidRPr="000422DC">
        <w:rPr>
          <w:rStyle w:val="apple-converted-space"/>
          <w:rFonts w:asciiTheme="minorHAnsi" w:eastAsia="Microsoft YaHei" w:hAnsiTheme="minorHAnsi" w:cstheme="minorHAnsi"/>
          <w:color w:val="000000" w:themeColor="text1"/>
          <w:lang w:eastAsia="zh-TW"/>
        </w:rPr>
        <w:t xml:space="preserve"> </w:t>
      </w:r>
      <w:r w:rsidRPr="000422DC">
        <w:rPr>
          <w:rStyle w:val="apple-converted-space"/>
          <w:rFonts w:asciiTheme="minorHAnsi" w:eastAsia="Microsoft YaHei" w:hAnsiTheme="minorHAnsi" w:cstheme="minorHAnsi"/>
          <w:i/>
          <w:iCs/>
          <w:color w:val="000000" w:themeColor="text1"/>
          <w:lang w:eastAsia="zh-TW"/>
        </w:rPr>
        <w:t xml:space="preserve">hukou </w:t>
      </w:r>
      <w:r w:rsidRPr="000422DC">
        <w:rPr>
          <w:rStyle w:val="apple-converted-space"/>
          <w:rFonts w:asciiTheme="minorHAnsi" w:eastAsia="Microsoft YaHei" w:hAnsiTheme="minorHAnsi" w:cstheme="minorHAnsi"/>
          <w:color w:val="000000" w:themeColor="text1"/>
          <w:lang w:eastAsia="zh-TW"/>
        </w:rPr>
        <w:t>in order to find a school place.</w:t>
      </w:r>
      <w:r>
        <w:rPr>
          <w:rStyle w:val="apple-converted-space"/>
          <w:rFonts w:asciiTheme="minorHAnsi" w:eastAsia="Microsoft YaHei" w:hAnsiTheme="minorHAnsi" w:cstheme="minorHAnsi"/>
          <w:color w:val="000000" w:themeColor="text1"/>
          <w:lang w:eastAsia="zh-TW"/>
        </w:rPr>
        <w:t xml:space="preserve"> Paragraph </w:t>
      </w:r>
      <w:r w:rsidR="00267E93">
        <w:rPr>
          <w:rStyle w:val="apple-converted-space"/>
          <w:rFonts w:asciiTheme="minorHAnsi" w:eastAsia="Microsoft YaHei" w:hAnsiTheme="minorHAnsi" w:cstheme="minorHAnsi"/>
          <w:color w:val="000000" w:themeColor="text1"/>
          <w:lang w:eastAsia="zh-TW"/>
        </w:rPr>
        <w:t xml:space="preserve">29 of the State Party report explains that government policy promotes the return of migrant workers and the education of their children in rural areas. One element of the policy also appears to be more institutional care for children in rural areas. Although the authorities appear to be addressing some of the needs of so-called ’left-behind’ children, the policy approach discriminates against the children of migrant workers denying them access to the better schools in urban areas. This has serious consequences for </w:t>
      </w:r>
      <w:r w:rsidR="00A97338">
        <w:rPr>
          <w:rStyle w:val="apple-converted-space"/>
          <w:rFonts w:asciiTheme="minorHAnsi" w:eastAsia="Microsoft YaHei" w:hAnsiTheme="minorHAnsi" w:cstheme="minorHAnsi"/>
          <w:color w:val="000000" w:themeColor="text1"/>
          <w:lang w:eastAsia="zh-TW"/>
        </w:rPr>
        <w:t xml:space="preserve">rural-based </w:t>
      </w:r>
      <w:r w:rsidR="00267E93">
        <w:rPr>
          <w:rStyle w:val="apple-converted-space"/>
          <w:rFonts w:asciiTheme="minorHAnsi" w:eastAsia="Microsoft YaHei" w:hAnsiTheme="minorHAnsi" w:cstheme="minorHAnsi"/>
          <w:color w:val="000000" w:themeColor="text1"/>
          <w:lang w:eastAsia="zh-TW"/>
        </w:rPr>
        <w:t xml:space="preserve">secondary school students who will be disadvantaged in university entrance exams. </w:t>
      </w:r>
    </w:p>
    <w:p w14:paraId="045731EA" w14:textId="77777777" w:rsidR="005210AD" w:rsidRDefault="005210AD" w:rsidP="005210AD">
      <w:pPr>
        <w:pStyle w:val="A"/>
        <w:spacing w:line="276" w:lineRule="auto"/>
        <w:ind w:left="360"/>
        <w:jc w:val="both"/>
        <w:rPr>
          <w:rStyle w:val="apple-converted-space"/>
          <w:rFonts w:asciiTheme="minorHAnsi" w:eastAsia="Microsoft YaHei" w:hAnsiTheme="minorHAnsi" w:cstheme="minorHAnsi"/>
          <w:color w:val="000000" w:themeColor="text1"/>
          <w:lang w:eastAsia="zh-TW"/>
        </w:rPr>
      </w:pPr>
    </w:p>
    <w:p w14:paraId="6C1EF27A" w14:textId="7A492A34" w:rsidR="005210AD" w:rsidRPr="005210AD" w:rsidRDefault="007F0432" w:rsidP="005210AD">
      <w:pPr>
        <w:pStyle w:val="A"/>
        <w:numPr>
          <w:ilvl w:val="0"/>
          <w:numId w:val="2"/>
        </w:numPr>
        <w:spacing w:line="276" w:lineRule="auto"/>
        <w:jc w:val="both"/>
        <w:rPr>
          <w:rFonts w:asciiTheme="minorHAnsi" w:eastAsia="Microsoft YaHei" w:hAnsiTheme="minorHAnsi" w:cstheme="minorHAnsi"/>
          <w:color w:val="000000" w:themeColor="text1"/>
          <w:lang w:eastAsia="zh-TW"/>
        </w:rPr>
      </w:pPr>
      <w:r w:rsidRPr="005210AD">
        <w:rPr>
          <w:rFonts w:asciiTheme="minorHAnsi" w:hAnsiTheme="minorHAnsi"/>
          <w:bCs/>
          <w:u w:val="single"/>
        </w:rPr>
        <w:t>Uyghurs</w:t>
      </w:r>
      <w:r w:rsidRPr="005210AD">
        <w:rPr>
          <w:rFonts w:asciiTheme="minorHAnsi" w:hAnsiTheme="minorHAnsi"/>
          <w:bCs/>
        </w:rPr>
        <w:t>.</w:t>
      </w:r>
      <w:r w:rsidRPr="005210AD">
        <w:rPr>
          <w:rFonts w:asciiTheme="minorHAnsi" w:hAnsiTheme="minorHAnsi"/>
          <w:b/>
          <w:bCs/>
        </w:rPr>
        <w:t xml:space="preserve"> </w:t>
      </w:r>
      <w:r w:rsidRPr="005210AD">
        <w:rPr>
          <w:rFonts w:asciiTheme="minorHAnsi" w:hAnsiTheme="minorHAnsi"/>
        </w:rPr>
        <w:t>The largescale and arbitrary detentions taking place in the Xinjiang Uyghur Autonomous Region have caused family separations and resulted in children being sent to state orphanages and boarding schools</w:t>
      </w:r>
      <w:r w:rsidRPr="005210AD">
        <w:rPr>
          <w:rStyle w:val="FootnoteReference"/>
          <w:rFonts w:asciiTheme="minorHAnsi" w:hAnsiTheme="minorHAnsi"/>
        </w:rPr>
        <w:footnoteReference w:id="6"/>
      </w:r>
      <w:r w:rsidRPr="005210AD">
        <w:rPr>
          <w:rFonts w:asciiTheme="minorHAnsi" w:hAnsiTheme="minorHAnsi"/>
        </w:rPr>
        <w:t>. This not only undermines the right of children to grow up in a family, but places them at risk of abuse and mental distress</w:t>
      </w:r>
      <w:r w:rsidRPr="005210AD">
        <w:rPr>
          <w:rStyle w:val="FootnoteReference"/>
          <w:rFonts w:asciiTheme="minorHAnsi" w:hAnsiTheme="minorHAnsi"/>
        </w:rPr>
        <w:footnoteReference w:id="7"/>
      </w:r>
      <w:r w:rsidRPr="005210AD">
        <w:rPr>
          <w:rFonts w:asciiTheme="minorHAnsi" w:hAnsiTheme="minorHAnsi"/>
        </w:rPr>
        <w:t xml:space="preserve">. </w:t>
      </w:r>
      <w:r w:rsidR="00B5698B" w:rsidRPr="005210AD">
        <w:rPr>
          <w:rFonts w:asciiTheme="minorHAnsi" w:hAnsiTheme="minorHAnsi"/>
        </w:rPr>
        <w:t xml:space="preserve">There are concerns that orphanages and boarding schools are not only intended to care for children whose parents have been detained, but to mould Uyghur children into model Chinese citizens thus also undermining their rights to take part in the cultural life of their community.  </w:t>
      </w:r>
      <w:r w:rsidR="005210AD">
        <w:rPr>
          <w:rFonts w:asciiTheme="minorHAnsi" w:hAnsiTheme="minorHAnsi"/>
        </w:rPr>
        <w:t>Mother-</w:t>
      </w:r>
      <w:r w:rsidR="005210AD">
        <w:rPr>
          <w:rFonts w:asciiTheme="minorHAnsi" w:hAnsiTheme="minorHAnsi"/>
          <w:bCs/>
        </w:rPr>
        <w:t xml:space="preserve">tongue education is being replaced by education in Chinese. </w:t>
      </w:r>
      <w:r w:rsidR="00B5698B" w:rsidRPr="005210AD">
        <w:rPr>
          <w:rFonts w:asciiTheme="minorHAnsi" w:hAnsiTheme="minorHAnsi"/>
          <w:bCs/>
        </w:rPr>
        <w:t xml:space="preserve">In the case of </w:t>
      </w:r>
      <w:r w:rsidRPr="005210AD">
        <w:rPr>
          <w:rFonts w:asciiTheme="minorHAnsi" w:hAnsiTheme="minorHAnsi"/>
          <w:bCs/>
        </w:rPr>
        <w:t>Meripet</w:t>
      </w:r>
      <w:r w:rsidRPr="005210AD">
        <w:rPr>
          <w:rFonts w:asciiTheme="minorHAnsi" w:hAnsiTheme="minorHAnsi"/>
        </w:rPr>
        <w:t xml:space="preserve"> and her husband</w:t>
      </w:r>
      <w:r w:rsidR="00B5698B" w:rsidRPr="005210AD">
        <w:rPr>
          <w:rFonts w:asciiTheme="minorHAnsi" w:hAnsiTheme="minorHAnsi"/>
        </w:rPr>
        <w:t xml:space="preserve"> who</w:t>
      </w:r>
      <w:r w:rsidRPr="005210AD">
        <w:rPr>
          <w:rFonts w:asciiTheme="minorHAnsi" w:hAnsiTheme="minorHAnsi"/>
        </w:rPr>
        <w:t xml:space="preserve"> live in exile in Turkey, their four </w:t>
      </w:r>
      <w:r w:rsidRPr="005210AD">
        <w:rPr>
          <w:rFonts w:asciiTheme="minorHAnsi" w:hAnsiTheme="minorHAnsi"/>
        </w:rPr>
        <w:lastRenderedPageBreak/>
        <w:t xml:space="preserve">children </w:t>
      </w:r>
      <w:r w:rsidR="00B5698B" w:rsidRPr="005210AD">
        <w:rPr>
          <w:rFonts w:asciiTheme="minorHAnsi" w:hAnsiTheme="minorHAnsi"/>
        </w:rPr>
        <w:t>we</w:t>
      </w:r>
      <w:r w:rsidRPr="005210AD">
        <w:rPr>
          <w:rFonts w:asciiTheme="minorHAnsi" w:hAnsiTheme="minorHAnsi"/>
        </w:rPr>
        <w:t xml:space="preserve">re placed in </w:t>
      </w:r>
      <w:r w:rsidR="00B5698B" w:rsidRPr="005210AD">
        <w:rPr>
          <w:rFonts w:asciiTheme="minorHAnsi" w:hAnsiTheme="minorHAnsi"/>
        </w:rPr>
        <w:t xml:space="preserve">an </w:t>
      </w:r>
      <w:r w:rsidRPr="005210AD">
        <w:rPr>
          <w:rFonts w:asciiTheme="minorHAnsi" w:hAnsiTheme="minorHAnsi"/>
        </w:rPr>
        <w:t xml:space="preserve">orphanage after </w:t>
      </w:r>
      <w:r w:rsidR="00B5698B" w:rsidRPr="005210AD">
        <w:rPr>
          <w:rFonts w:asciiTheme="minorHAnsi" w:hAnsiTheme="minorHAnsi"/>
        </w:rPr>
        <w:t>Meripet’s</w:t>
      </w:r>
      <w:r w:rsidRPr="005210AD">
        <w:rPr>
          <w:rFonts w:asciiTheme="minorHAnsi" w:hAnsiTheme="minorHAnsi"/>
        </w:rPr>
        <w:t xml:space="preserve"> mother in law was taken prisoner.</w:t>
      </w:r>
      <w:r w:rsidR="00B5698B" w:rsidRPr="005210AD">
        <w:rPr>
          <w:rStyle w:val="FootnoteReference"/>
          <w:rFonts w:asciiTheme="minorHAnsi" w:hAnsiTheme="minorHAnsi"/>
        </w:rPr>
        <w:footnoteReference w:id="8"/>
      </w:r>
      <w:r w:rsidR="00B5698B" w:rsidRPr="005210AD">
        <w:rPr>
          <w:rFonts w:asciiTheme="minorHAnsi" w:hAnsiTheme="minorHAnsi"/>
        </w:rPr>
        <w:t xml:space="preserve"> </w:t>
      </w:r>
      <w:r w:rsidRPr="005210AD">
        <w:rPr>
          <w:rFonts w:asciiTheme="minorHAnsi" w:hAnsiTheme="minorHAnsi"/>
          <w:bCs/>
        </w:rPr>
        <w:t>Abdurahman Tohti</w:t>
      </w:r>
      <w:r w:rsidRPr="005210AD">
        <w:rPr>
          <w:rFonts w:asciiTheme="minorHAnsi" w:hAnsiTheme="minorHAnsi"/>
        </w:rPr>
        <w:t xml:space="preserve">, who lost contact with his wife for 2 years after she and their two children had returned to China, suddenly </w:t>
      </w:r>
      <w:r w:rsidR="00B5698B" w:rsidRPr="005210AD">
        <w:rPr>
          <w:rFonts w:asciiTheme="minorHAnsi" w:hAnsiTheme="minorHAnsi"/>
        </w:rPr>
        <w:t>saw a</w:t>
      </w:r>
      <w:r w:rsidRPr="005210AD">
        <w:rPr>
          <w:rFonts w:asciiTheme="minorHAnsi" w:hAnsiTheme="minorHAnsi"/>
        </w:rPr>
        <w:t xml:space="preserve"> video of his four-year-old son Abduleziz which appear</w:t>
      </w:r>
      <w:r w:rsidR="00B5698B" w:rsidRPr="005210AD">
        <w:rPr>
          <w:rFonts w:asciiTheme="minorHAnsi" w:hAnsiTheme="minorHAnsi"/>
        </w:rPr>
        <w:t>ed</w:t>
      </w:r>
      <w:r w:rsidRPr="005210AD">
        <w:rPr>
          <w:rFonts w:asciiTheme="minorHAnsi" w:hAnsiTheme="minorHAnsi"/>
        </w:rPr>
        <w:t xml:space="preserve"> to</w:t>
      </w:r>
      <w:r w:rsidR="00B5698B" w:rsidRPr="005210AD">
        <w:rPr>
          <w:rFonts w:asciiTheme="minorHAnsi" w:hAnsiTheme="minorHAnsi"/>
        </w:rPr>
        <w:t xml:space="preserve"> have</w:t>
      </w:r>
      <w:r w:rsidRPr="005210AD">
        <w:rPr>
          <w:rFonts w:asciiTheme="minorHAnsi" w:hAnsiTheme="minorHAnsi"/>
        </w:rPr>
        <w:t xml:space="preserve"> be</w:t>
      </w:r>
      <w:r w:rsidR="00B5698B" w:rsidRPr="005210AD">
        <w:rPr>
          <w:rFonts w:asciiTheme="minorHAnsi" w:hAnsiTheme="minorHAnsi"/>
        </w:rPr>
        <w:t>en</w:t>
      </w:r>
      <w:r w:rsidRPr="005210AD">
        <w:rPr>
          <w:rFonts w:asciiTheme="minorHAnsi" w:hAnsiTheme="minorHAnsi"/>
        </w:rPr>
        <w:t xml:space="preserve"> filmed in a state facility.</w:t>
      </w:r>
      <w:r w:rsidR="00B5698B" w:rsidRPr="005210AD">
        <w:rPr>
          <w:rStyle w:val="FootnoteReference"/>
          <w:rFonts w:asciiTheme="minorHAnsi" w:hAnsiTheme="minorHAnsi"/>
        </w:rPr>
        <w:footnoteReference w:id="9"/>
      </w:r>
      <w:r w:rsidRPr="005210AD">
        <w:rPr>
          <w:rFonts w:asciiTheme="minorHAnsi" w:hAnsiTheme="minorHAnsi"/>
        </w:rPr>
        <w:t xml:space="preserve"> </w:t>
      </w:r>
      <w:r w:rsidR="003C46B4" w:rsidRPr="005210AD">
        <w:rPr>
          <w:rFonts w:asciiTheme="minorHAnsi" w:hAnsiTheme="minorHAnsi"/>
        </w:rPr>
        <w:t>The rapid expansion of orphanages in XUAR is an issue of enormous concern.</w:t>
      </w:r>
      <w:r w:rsidR="005210AD" w:rsidRPr="005210AD">
        <w:rPr>
          <w:rFonts w:asciiTheme="minorHAnsi" w:hAnsiTheme="minorHAnsi"/>
        </w:rPr>
        <w:t xml:space="preserve"> </w:t>
      </w:r>
    </w:p>
    <w:p w14:paraId="63E4FEB4" w14:textId="77777777" w:rsidR="005210AD" w:rsidRPr="005210AD" w:rsidRDefault="005210AD" w:rsidP="005210AD">
      <w:pPr>
        <w:pStyle w:val="A"/>
        <w:spacing w:line="276" w:lineRule="auto"/>
        <w:ind w:left="360"/>
        <w:jc w:val="both"/>
        <w:rPr>
          <w:rFonts w:asciiTheme="minorHAnsi" w:eastAsia="Microsoft YaHei" w:hAnsiTheme="minorHAnsi" w:cstheme="minorHAnsi"/>
          <w:color w:val="000000" w:themeColor="text1"/>
          <w:lang w:eastAsia="zh-TW"/>
        </w:rPr>
      </w:pPr>
    </w:p>
    <w:p w14:paraId="5859F20B" w14:textId="6692C0DB" w:rsidR="005210AD" w:rsidRPr="005210AD" w:rsidRDefault="003C46B4" w:rsidP="005210AD">
      <w:pPr>
        <w:pStyle w:val="A"/>
        <w:numPr>
          <w:ilvl w:val="0"/>
          <w:numId w:val="2"/>
        </w:numPr>
        <w:spacing w:line="276" w:lineRule="auto"/>
        <w:jc w:val="both"/>
        <w:rPr>
          <w:rFonts w:asciiTheme="minorHAnsi" w:eastAsia="Microsoft YaHei" w:hAnsiTheme="minorHAnsi" w:cstheme="minorHAnsi"/>
          <w:color w:val="000000" w:themeColor="text1"/>
          <w:lang w:eastAsia="zh-TW"/>
        </w:rPr>
      </w:pPr>
      <w:r w:rsidRPr="005210AD">
        <w:rPr>
          <w:rFonts w:asciiTheme="minorHAnsi" w:hAnsiTheme="minorHAnsi"/>
          <w:u w:val="single"/>
        </w:rPr>
        <w:t>Human Rights Defenders</w:t>
      </w:r>
      <w:r w:rsidRPr="005210AD">
        <w:rPr>
          <w:rFonts w:asciiTheme="minorHAnsi" w:hAnsiTheme="minorHAnsi"/>
        </w:rPr>
        <w:t>. There continue to be reports of children of HRDs who are denied education as a result of their parent’s activism. In the case of Wang Quanzhang, his son had to drop out of school twice due to the mounting pressure that the police put on nearby schools, including an order from police to all the kindergartens in the district not to accept their son in 2016</w:t>
      </w:r>
      <w:r w:rsidR="005210AD" w:rsidRPr="005210AD">
        <w:rPr>
          <w:rFonts w:asciiTheme="minorHAnsi" w:hAnsiTheme="minorHAnsi"/>
        </w:rPr>
        <w:t>,</w:t>
      </w:r>
      <w:r w:rsidRPr="005210AD">
        <w:rPr>
          <w:rFonts w:asciiTheme="minorHAnsi" w:hAnsiTheme="minorHAnsi"/>
        </w:rPr>
        <w:t xml:space="preserve"> following Wang’s detention as part of the ‘709’ crack</w:t>
      </w:r>
      <w:r w:rsidR="005210AD" w:rsidRPr="005210AD">
        <w:rPr>
          <w:rFonts w:asciiTheme="minorHAnsi" w:hAnsiTheme="minorHAnsi"/>
        </w:rPr>
        <w:t>down on human rights lawyers</w:t>
      </w:r>
      <w:r w:rsidRPr="005210AD">
        <w:rPr>
          <w:rFonts w:asciiTheme="minorHAnsi" w:hAnsiTheme="minorHAnsi"/>
        </w:rPr>
        <w:t xml:space="preserve">. </w:t>
      </w:r>
      <w:r w:rsidR="005210AD" w:rsidRPr="005210AD">
        <w:rPr>
          <w:rFonts w:asciiTheme="minorHAnsi" w:hAnsiTheme="minorHAnsi"/>
        </w:rPr>
        <w:t>His</w:t>
      </w:r>
      <w:r w:rsidRPr="005210AD">
        <w:rPr>
          <w:rFonts w:asciiTheme="minorHAnsi" w:hAnsiTheme="minorHAnsi"/>
        </w:rPr>
        <w:t xml:space="preserve"> six-year-old son was expelled from primary school in 2019. Wang’s wife was also routinely subjected to police harassment.</w:t>
      </w:r>
      <w:r w:rsidRPr="005210AD">
        <w:rPr>
          <w:rStyle w:val="FootnoteReference"/>
          <w:rFonts w:asciiTheme="minorHAnsi" w:hAnsiTheme="minorHAnsi"/>
        </w:rPr>
        <w:footnoteReference w:id="10"/>
      </w:r>
      <w:r w:rsidRPr="005210AD">
        <w:rPr>
          <w:rFonts w:asciiTheme="minorHAnsi" w:hAnsiTheme="minorHAnsi"/>
        </w:rPr>
        <w:t xml:space="preserve">  </w:t>
      </w:r>
    </w:p>
    <w:p w14:paraId="655B3F36" w14:textId="77777777" w:rsidR="005210AD" w:rsidRDefault="005210AD" w:rsidP="005210AD">
      <w:pPr>
        <w:pStyle w:val="A"/>
        <w:spacing w:line="276" w:lineRule="auto"/>
        <w:ind w:left="360"/>
        <w:jc w:val="both"/>
        <w:rPr>
          <w:rFonts w:asciiTheme="minorHAnsi" w:hAnsiTheme="minorHAnsi"/>
          <w:b/>
          <w:bCs/>
        </w:rPr>
      </w:pPr>
    </w:p>
    <w:p w14:paraId="6F76BD23" w14:textId="48A92C53" w:rsidR="005210AD" w:rsidRPr="00D56263" w:rsidRDefault="005210AD" w:rsidP="00D56263">
      <w:pPr>
        <w:pStyle w:val="A"/>
        <w:spacing w:line="276" w:lineRule="auto"/>
        <w:ind w:left="360"/>
        <w:jc w:val="both"/>
        <w:rPr>
          <w:rFonts w:asciiTheme="minorHAnsi" w:hAnsiTheme="minorHAnsi"/>
          <w:b/>
          <w:bCs/>
        </w:rPr>
      </w:pPr>
      <w:r w:rsidRPr="00D56263">
        <w:rPr>
          <w:rFonts w:asciiTheme="minorHAnsi" w:hAnsiTheme="minorHAnsi"/>
          <w:b/>
          <w:bCs/>
        </w:rPr>
        <w:t xml:space="preserve">Article 12 </w:t>
      </w:r>
    </w:p>
    <w:p w14:paraId="51820D7E" w14:textId="643FC954" w:rsidR="00D56263" w:rsidRPr="00103715" w:rsidRDefault="005210AD" w:rsidP="00D56263">
      <w:pPr>
        <w:pStyle w:val="A"/>
        <w:numPr>
          <w:ilvl w:val="0"/>
          <w:numId w:val="2"/>
        </w:numPr>
        <w:spacing w:line="276" w:lineRule="auto"/>
        <w:jc w:val="both"/>
        <w:rPr>
          <w:rFonts w:asciiTheme="minorHAnsi" w:eastAsia="Microsoft YaHei" w:hAnsiTheme="minorHAnsi" w:cstheme="minorHAnsi"/>
          <w:color w:val="000000" w:themeColor="text1"/>
          <w:lang w:eastAsia="zh-TW"/>
        </w:rPr>
      </w:pPr>
      <w:r w:rsidRPr="00103715">
        <w:rPr>
          <w:rFonts w:asciiTheme="minorHAnsi" w:hAnsiTheme="minorHAnsi"/>
          <w:bCs/>
        </w:rPr>
        <w:t xml:space="preserve">There is huge inequality in the enjoyment of the right to health in China. </w:t>
      </w:r>
      <w:r w:rsidR="00D56263" w:rsidRPr="00103715">
        <w:rPr>
          <w:rFonts w:asciiTheme="minorHAnsi" w:hAnsiTheme="minorHAnsi"/>
          <w:bCs/>
        </w:rPr>
        <w:t>Inequalities are experienced through restricted access to health care due to poverty or lack of insurance. Migrant workers and village residents are particularly vulnerable. Human rights defenders and Uyghurs face particular difficulties in enjoying the right to health as a result of the use of detention.</w:t>
      </w:r>
      <w:r w:rsidR="00103715" w:rsidRPr="00103715">
        <w:rPr>
          <w:rFonts w:asciiTheme="minorHAnsi" w:hAnsiTheme="minorHAnsi"/>
          <w:bCs/>
        </w:rPr>
        <w:t xml:space="preserve"> </w:t>
      </w:r>
      <w:r w:rsidR="00103715" w:rsidRPr="00103715">
        <w:rPr>
          <w:rFonts w:asciiTheme="minorHAnsi" w:hAnsiTheme="minorHAnsi"/>
        </w:rPr>
        <w:t>Civil society organisations that should help to ensure the right to health for all may themselves face persecution. Changsha Funeng sought to prevent discrimination and ensure equality in line with Chinese law by using the courts to strengthen protections for individuals living with disabilities and with HIV/AIDS and other communicable diseases. Three of the staff are currently in detention and have reportedly been tried in secret.</w:t>
      </w:r>
      <w:r w:rsidR="00103715">
        <w:rPr>
          <w:rStyle w:val="FootnoteReference"/>
          <w:rFonts w:asciiTheme="minorHAnsi" w:hAnsiTheme="minorHAnsi"/>
        </w:rPr>
        <w:footnoteReference w:id="11"/>
      </w:r>
    </w:p>
    <w:p w14:paraId="7E1B756D" w14:textId="77777777" w:rsidR="00103715" w:rsidRPr="00103715" w:rsidRDefault="00103715" w:rsidP="00103715">
      <w:pPr>
        <w:pStyle w:val="A"/>
        <w:spacing w:line="276" w:lineRule="auto"/>
        <w:ind w:left="360"/>
        <w:jc w:val="both"/>
        <w:rPr>
          <w:rFonts w:asciiTheme="minorHAnsi" w:eastAsia="Microsoft YaHei" w:hAnsiTheme="minorHAnsi" w:cstheme="minorHAnsi"/>
          <w:color w:val="000000" w:themeColor="text1"/>
          <w:lang w:eastAsia="zh-TW"/>
        </w:rPr>
      </w:pPr>
    </w:p>
    <w:p w14:paraId="518CA0FF" w14:textId="293D2D6F" w:rsidR="001E728C" w:rsidRDefault="00D56263" w:rsidP="001E728C">
      <w:pPr>
        <w:pStyle w:val="A"/>
        <w:numPr>
          <w:ilvl w:val="0"/>
          <w:numId w:val="2"/>
        </w:numPr>
        <w:spacing w:line="276" w:lineRule="auto"/>
        <w:jc w:val="both"/>
        <w:rPr>
          <w:rFonts w:asciiTheme="minorHAnsi" w:hAnsiTheme="minorHAnsi"/>
        </w:rPr>
      </w:pPr>
      <w:r w:rsidRPr="00D56263">
        <w:rPr>
          <w:rFonts w:asciiTheme="minorHAnsi" w:eastAsia="Microsoft YaHei" w:hAnsiTheme="minorHAnsi" w:cstheme="minorHAnsi"/>
          <w:color w:val="000000" w:themeColor="text1"/>
          <w:u w:val="single"/>
          <w:lang w:eastAsia="zh-TW"/>
        </w:rPr>
        <w:t>Human Rights Defenders</w:t>
      </w:r>
      <w:r w:rsidRPr="00D56263">
        <w:rPr>
          <w:rFonts w:asciiTheme="minorHAnsi" w:eastAsia="Microsoft YaHei" w:hAnsiTheme="minorHAnsi" w:cstheme="minorHAnsi"/>
          <w:color w:val="000000" w:themeColor="text1"/>
          <w:lang w:eastAsia="zh-TW"/>
        </w:rPr>
        <w:t xml:space="preserve">. </w:t>
      </w:r>
      <w:r w:rsidRPr="001E728C">
        <w:rPr>
          <w:rFonts w:asciiTheme="minorHAnsi" w:eastAsia="Microsoft YaHei" w:hAnsiTheme="minorHAnsi" w:cstheme="minorHAnsi"/>
          <w:color w:val="000000" w:themeColor="text1"/>
          <w:lang w:eastAsia="zh-TW"/>
        </w:rPr>
        <w:t xml:space="preserve">There are numerous disturbing reports that HRDs have been </w:t>
      </w:r>
      <w:r w:rsidRPr="001E728C">
        <w:rPr>
          <w:rFonts w:asciiTheme="minorHAnsi" w:hAnsiTheme="minorHAnsi"/>
        </w:rPr>
        <w:t xml:space="preserve">denied access to appropriate medical treatment, and subjected to forced medication. The Nelson Mandela Rules are clear that prisoners should enjoy the same standards of health care that are available in the community, and should have access to necessary health-care services free of charge without discrimination on the grounds of their legal status. </w:t>
      </w:r>
      <w:r w:rsidR="001E728C">
        <w:rPr>
          <w:rFonts w:asciiTheme="minorHAnsi" w:hAnsiTheme="minorHAnsi"/>
        </w:rPr>
        <w:t xml:space="preserve">In all of the cases we have seen there is a lack of adequate and timely information on the health status of detainees and their needs for medical care. Two of the ‘709’ lawyers, </w:t>
      </w:r>
      <w:r w:rsidR="001E728C" w:rsidRPr="001E728C">
        <w:rPr>
          <w:rFonts w:asciiTheme="minorHAnsi" w:hAnsiTheme="minorHAnsi"/>
          <w:bCs/>
        </w:rPr>
        <w:t>Wang Quanzhang</w:t>
      </w:r>
      <w:r w:rsidR="00103715">
        <w:rPr>
          <w:rStyle w:val="FootnoteReference"/>
          <w:rFonts w:asciiTheme="minorHAnsi" w:hAnsiTheme="minorHAnsi"/>
          <w:bCs/>
        </w:rPr>
        <w:footnoteReference w:id="12"/>
      </w:r>
      <w:r w:rsidR="001E728C" w:rsidRPr="001E728C">
        <w:rPr>
          <w:rFonts w:asciiTheme="minorHAnsi" w:hAnsiTheme="minorHAnsi"/>
          <w:bCs/>
        </w:rPr>
        <w:t xml:space="preserve"> and Li Heping</w:t>
      </w:r>
      <w:r w:rsidR="00103715">
        <w:rPr>
          <w:rStyle w:val="FootnoteReference"/>
          <w:rFonts w:asciiTheme="minorHAnsi" w:hAnsiTheme="minorHAnsi"/>
          <w:bCs/>
        </w:rPr>
        <w:footnoteReference w:id="13"/>
      </w:r>
      <w:r w:rsidR="001E728C" w:rsidRPr="001E728C">
        <w:rPr>
          <w:rFonts w:asciiTheme="minorHAnsi" w:hAnsiTheme="minorHAnsi"/>
          <w:b/>
          <w:bCs/>
        </w:rPr>
        <w:t xml:space="preserve"> </w:t>
      </w:r>
      <w:r w:rsidR="001E728C" w:rsidRPr="00103715">
        <w:rPr>
          <w:rFonts w:asciiTheme="minorHAnsi" w:hAnsiTheme="minorHAnsi"/>
          <w:bCs/>
        </w:rPr>
        <w:t xml:space="preserve">were </w:t>
      </w:r>
      <w:r w:rsidR="00103715" w:rsidRPr="00103715">
        <w:rPr>
          <w:rFonts w:asciiTheme="minorHAnsi" w:hAnsiTheme="minorHAnsi"/>
        </w:rPr>
        <w:t>f</w:t>
      </w:r>
      <w:r w:rsidR="001E728C" w:rsidRPr="00103715">
        <w:rPr>
          <w:rFonts w:asciiTheme="minorHAnsi" w:hAnsiTheme="minorHAnsi"/>
        </w:rPr>
        <w:t>orc</w:t>
      </w:r>
      <w:r w:rsidR="00103715" w:rsidRPr="00103715">
        <w:rPr>
          <w:rFonts w:asciiTheme="minorHAnsi" w:hAnsiTheme="minorHAnsi"/>
        </w:rPr>
        <w:t xml:space="preserve">ibly </w:t>
      </w:r>
      <w:r w:rsidR="001E728C" w:rsidRPr="00103715">
        <w:rPr>
          <w:rFonts w:asciiTheme="minorHAnsi" w:hAnsiTheme="minorHAnsi"/>
        </w:rPr>
        <w:t>medicat</w:t>
      </w:r>
      <w:r w:rsidR="00103715" w:rsidRPr="00103715">
        <w:rPr>
          <w:rFonts w:asciiTheme="minorHAnsi" w:hAnsiTheme="minorHAnsi"/>
        </w:rPr>
        <w:t>ed. In the absence of a demonstrated medical need and</w:t>
      </w:r>
      <w:r w:rsidR="001E728C" w:rsidRPr="00103715">
        <w:rPr>
          <w:rFonts w:asciiTheme="minorHAnsi" w:hAnsiTheme="minorHAnsi"/>
          <w:bCs/>
        </w:rPr>
        <w:t xml:space="preserve"> informed consent</w:t>
      </w:r>
      <w:r w:rsidR="00A97338">
        <w:rPr>
          <w:rFonts w:asciiTheme="minorHAnsi" w:hAnsiTheme="minorHAnsi"/>
          <w:bCs/>
        </w:rPr>
        <w:t>,</w:t>
      </w:r>
      <w:r w:rsidR="00103715">
        <w:rPr>
          <w:rFonts w:asciiTheme="minorHAnsi" w:hAnsiTheme="minorHAnsi"/>
          <w:bCs/>
        </w:rPr>
        <w:t xml:space="preserve"> medication while deprived of their liberty may amount to torture or ill treatment</w:t>
      </w:r>
      <w:r w:rsidR="001E728C" w:rsidRPr="00103715">
        <w:rPr>
          <w:rFonts w:asciiTheme="minorHAnsi" w:hAnsiTheme="minorHAnsi"/>
          <w:bCs/>
        </w:rPr>
        <w:t xml:space="preserve">. </w:t>
      </w:r>
    </w:p>
    <w:p w14:paraId="693C73D8" w14:textId="77777777" w:rsidR="001E728C" w:rsidRPr="001E728C" w:rsidRDefault="001E728C" w:rsidP="001E728C">
      <w:pPr>
        <w:pStyle w:val="A"/>
        <w:spacing w:line="276" w:lineRule="auto"/>
        <w:jc w:val="both"/>
        <w:rPr>
          <w:rFonts w:asciiTheme="minorHAnsi" w:hAnsiTheme="minorHAnsi"/>
        </w:rPr>
      </w:pPr>
    </w:p>
    <w:p w14:paraId="5CAE3B54" w14:textId="39156021" w:rsidR="001E728C" w:rsidRDefault="00D56263" w:rsidP="001E728C">
      <w:pPr>
        <w:pStyle w:val="A"/>
        <w:numPr>
          <w:ilvl w:val="0"/>
          <w:numId w:val="2"/>
        </w:numPr>
        <w:spacing w:line="276" w:lineRule="auto"/>
        <w:jc w:val="both"/>
        <w:rPr>
          <w:rFonts w:asciiTheme="minorHAnsi" w:hAnsiTheme="minorHAnsi"/>
        </w:rPr>
      </w:pPr>
      <w:r w:rsidRPr="001E728C">
        <w:rPr>
          <w:rFonts w:asciiTheme="minorHAnsi" w:hAnsiTheme="minorHAnsi"/>
        </w:rPr>
        <w:t xml:space="preserve">In the case of Huang Qi, </w:t>
      </w:r>
      <w:r w:rsidR="001E728C" w:rsidRPr="001E728C">
        <w:rPr>
          <w:rFonts w:asciiTheme="minorHAnsi" w:hAnsiTheme="minorHAnsi"/>
        </w:rPr>
        <w:t xml:space="preserve">founder and director of Sichuan-based human rights website “64 Tianwang”, </w:t>
      </w:r>
      <w:r w:rsidRPr="001E728C">
        <w:rPr>
          <w:rFonts w:asciiTheme="minorHAnsi" w:hAnsiTheme="minorHAnsi"/>
        </w:rPr>
        <w:t xml:space="preserve">Huang told his lawyer that Sichuan authorities had purposely understated the dire state of his health and had tried to cover up his actual condition. </w:t>
      </w:r>
      <w:r w:rsidR="001E728C">
        <w:rPr>
          <w:rFonts w:asciiTheme="minorHAnsi" w:hAnsiTheme="minorHAnsi"/>
        </w:rPr>
        <w:t>“</w:t>
      </w:r>
      <w:r w:rsidRPr="001E728C">
        <w:rPr>
          <w:rFonts w:asciiTheme="minorHAnsi" w:hAnsiTheme="minorHAnsi"/>
        </w:rPr>
        <w:t xml:space="preserve">Authorities have repeatedly rejected applications for release on medical bail despite Huang’s heath condition continuing to </w:t>
      </w:r>
      <w:r w:rsidRPr="001E728C">
        <w:rPr>
          <w:rFonts w:asciiTheme="minorHAnsi" w:hAnsiTheme="minorHAnsi"/>
        </w:rPr>
        <w:lastRenderedPageBreak/>
        <w:t>deteriorate.”</w:t>
      </w:r>
      <w:r w:rsidR="001E728C">
        <w:rPr>
          <w:rStyle w:val="FootnoteReference"/>
          <w:rFonts w:asciiTheme="minorHAnsi" w:hAnsiTheme="minorHAnsi"/>
        </w:rPr>
        <w:footnoteReference w:id="14"/>
      </w:r>
      <w:r w:rsidRPr="001E728C">
        <w:rPr>
          <w:rFonts w:asciiTheme="minorHAnsi" w:hAnsiTheme="minorHAnsi"/>
        </w:rPr>
        <w:t xml:space="preserve"> </w:t>
      </w:r>
      <w:r w:rsidR="001E728C" w:rsidRPr="001E728C">
        <w:rPr>
          <w:rFonts w:asciiTheme="minorHAnsi" w:hAnsiTheme="minorHAnsi"/>
        </w:rPr>
        <w:t xml:space="preserve">In a September 2020 update, </w:t>
      </w:r>
      <w:r w:rsidRPr="001E728C">
        <w:rPr>
          <w:rFonts w:asciiTheme="minorHAnsi" w:hAnsiTheme="minorHAnsi"/>
        </w:rPr>
        <w:t xml:space="preserve">Huang Qi, was finally able to talk to his mother on 17 September 2020, the first time since he was detained more than four years ago. It is reported that his health had deteriorated and that he appears to show symptoms of malnutrition. Known to suffer from serious health concerns, there are grave fears for his wellbeing. Sentenced to 12 years’ imprisonment following a secret trial in January 2019, </w:t>
      </w:r>
      <w:r w:rsidR="001E728C">
        <w:rPr>
          <w:rFonts w:asciiTheme="minorHAnsi" w:hAnsiTheme="minorHAnsi"/>
        </w:rPr>
        <w:t xml:space="preserve">Amnesty International declared that </w:t>
      </w:r>
      <w:r w:rsidRPr="001E728C">
        <w:rPr>
          <w:rFonts w:asciiTheme="minorHAnsi" w:hAnsiTheme="minorHAnsi"/>
        </w:rPr>
        <w:t>Huang Qi is a prisoner of conscience who has been detained solely for exercising his human right to freedom of expression.”</w:t>
      </w:r>
      <w:r w:rsidR="001E728C">
        <w:rPr>
          <w:rStyle w:val="FootnoteReference"/>
          <w:rFonts w:asciiTheme="minorHAnsi" w:hAnsiTheme="minorHAnsi"/>
        </w:rPr>
        <w:footnoteReference w:id="15"/>
      </w:r>
    </w:p>
    <w:p w14:paraId="5A42DEF6" w14:textId="77777777" w:rsidR="001E728C" w:rsidRPr="001E728C" w:rsidRDefault="001E728C" w:rsidP="001E728C">
      <w:pPr>
        <w:pStyle w:val="A"/>
        <w:spacing w:line="276" w:lineRule="auto"/>
        <w:jc w:val="both"/>
        <w:rPr>
          <w:rFonts w:asciiTheme="minorHAnsi" w:hAnsiTheme="minorHAnsi"/>
        </w:rPr>
      </w:pPr>
    </w:p>
    <w:p w14:paraId="4D2455EF" w14:textId="474E7366" w:rsidR="00103715" w:rsidRDefault="001E728C" w:rsidP="00B724CB">
      <w:pPr>
        <w:pStyle w:val="A"/>
        <w:numPr>
          <w:ilvl w:val="0"/>
          <w:numId w:val="2"/>
        </w:numPr>
        <w:spacing w:line="276" w:lineRule="auto"/>
        <w:jc w:val="both"/>
        <w:rPr>
          <w:rFonts w:asciiTheme="minorHAnsi" w:hAnsiTheme="minorHAnsi"/>
        </w:rPr>
      </w:pPr>
      <w:r>
        <w:rPr>
          <w:rFonts w:asciiTheme="minorHAnsi" w:hAnsiTheme="minorHAnsi"/>
        </w:rPr>
        <w:t>S</w:t>
      </w:r>
      <w:r w:rsidR="00D56263" w:rsidRPr="001E728C">
        <w:rPr>
          <w:rFonts w:asciiTheme="minorHAnsi" w:hAnsiTheme="minorHAnsi"/>
        </w:rPr>
        <w:t>everal human rights defenders and ethnic and religious minorities have died in detention in recent years due to a lack of prompt medical treatment, including Liu Xiaobo, Cao Shunli, Yang Tongyan, Tenzin Delek Rinpoche, and Nurmuhemmet Tohti</w:t>
      </w:r>
      <w:r w:rsidR="00103715">
        <w:rPr>
          <w:rFonts w:asciiTheme="minorHAnsi" w:hAnsiTheme="minorHAnsi"/>
        </w:rPr>
        <w:t>.</w:t>
      </w:r>
      <w:r w:rsidR="00D56263" w:rsidRPr="001E728C">
        <w:rPr>
          <w:rFonts w:asciiTheme="minorHAnsi" w:hAnsiTheme="minorHAnsi"/>
          <w:b/>
          <w:bCs/>
        </w:rPr>
        <w:t xml:space="preserve"> </w:t>
      </w:r>
      <w:r w:rsidR="00103715" w:rsidRPr="00103715">
        <w:rPr>
          <w:rFonts w:asciiTheme="minorHAnsi" w:hAnsiTheme="minorHAnsi"/>
          <w:bCs/>
        </w:rPr>
        <w:t xml:space="preserve">Activist </w:t>
      </w:r>
      <w:r w:rsidR="00D56263" w:rsidRPr="00103715">
        <w:rPr>
          <w:rFonts w:asciiTheme="minorHAnsi" w:hAnsiTheme="minorHAnsi"/>
          <w:bCs/>
        </w:rPr>
        <w:t>Ji Sizun</w:t>
      </w:r>
      <w:r w:rsidR="00D56263" w:rsidRPr="001E728C">
        <w:rPr>
          <w:rFonts w:asciiTheme="minorHAnsi" w:hAnsiTheme="minorHAnsi"/>
        </w:rPr>
        <w:t xml:space="preserve"> </w:t>
      </w:r>
      <w:r w:rsidR="00103715">
        <w:rPr>
          <w:rFonts w:asciiTheme="minorHAnsi" w:hAnsiTheme="minorHAnsi"/>
        </w:rPr>
        <w:t xml:space="preserve">died on </w:t>
      </w:r>
      <w:r w:rsidR="00D56263" w:rsidRPr="001E728C">
        <w:rPr>
          <w:rFonts w:asciiTheme="minorHAnsi" w:hAnsiTheme="minorHAnsi"/>
        </w:rPr>
        <w:t xml:space="preserve">10 July 2019 </w:t>
      </w:r>
      <w:r w:rsidR="00103715">
        <w:rPr>
          <w:rFonts w:asciiTheme="minorHAnsi" w:hAnsiTheme="minorHAnsi"/>
        </w:rPr>
        <w:t xml:space="preserve">after being </w:t>
      </w:r>
      <w:r w:rsidR="00D56263" w:rsidRPr="001E728C">
        <w:rPr>
          <w:rFonts w:asciiTheme="minorHAnsi" w:hAnsiTheme="minorHAnsi"/>
        </w:rPr>
        <w:t>deprived of proper medical treatment</w:t>
      </w:r>
      <w:r w:rsidR="00103715">
        <w:rPr>
          <w:rFonts w:asciiTheme="minorHAnsi" w:hAnsiTheme="minorHAnsi"/>
        </w:rPr>
        <w:t>.</w:t>
      </w:r>
      <w:r w:rsidR="00103715">
        <w:rPr>
          <w:rStyle w:val="FootnoteReference"/>
          <w:rFonts w:asciiTheme="minorHAnsi" w:hAnsiTheme="minorHAnsi"/>
        </w:rPr>
        <w:footnoteReference w:id="16"/>
      </w:r>
      <w:r w:rsidR="00D56263" w:rsidRPr="001E728C">
        <w:rPr>
          <w:rFonts w:asciiTheme="minorHAnsi" w:hAnsiTheme="minorHAnsi"/>
        </w:rPr>
        <w:t xml:space="preserve"> </w:t>
      </w:r>
    </w:p>
    <w:p w14:paraId="27ADDB82" w14:textId="77777777" w:rsidR="00B724CB" w:rsidRPr="00B724CB" w:rsidRDefault="00B724CB" w:rsidP="00B724CB">
      <w:pPr>
        <w:pStyle w:val="A"/>
        <w:spacing w:line="276" w:lineRule="auto"/>
        <w:jc w:val="both"/>
        <w:rPr>
          <w:rFonts w:asciiTheme="minorHAnsi" w:hAnsiTheme="minorHAnsi"/>
        </w:rPr>
      </w:pPr>
    </w:p>
    <w:p w14:paraId="1035ED26" w14:textId="7206A532" w:rsidR="00B724CB" w:rsidRDefault="00103715" w:rsidP="00B724CB">
      <w:pPr>
        <w:pStyle w:val="A"/>
        <w:numPr>
          <w:ilvl w:val="0"/>
          <w:numId w:val="2"/>
        </w:numPr>
        <w:spacing w:line="276" w:lineRule="auto"/>
        <w:jc w:val="both"/>
        <w:rPr>
          <w:rFonts w:asciiTheme="minorHAnsi" w:hAnsiTheme="minorHAnsi"/>
        </w:rPr>
      </w:pPr>
      <w:r w:rsidRPr="00103715">
        <w:rPr>
          <w:rFonts w:asciiTheme="minorHAnsi" w:hAnsiTheme="minorHAnsi"/>
          <w:u w:val="single"/>
          <w:lang w:val="en-GB"/>
        </w:rPr>
        <w:t>Uyghurs</w:t>
      </w:r>
      <w:r>
        <w:rPr>
          <w:rFonts w:asciiTheme="minorHAnsi" w:hAnsiTheme="minorHAnsi"/>
          <w:lang w:val="en-GB"/>
        </w:rPr>
        <w:t xml:space="preserve">. </w:t>
      </w:r>
      <w:r w:rsidR="00D56263" w:rsidRPr="001E728C">
        <w:rPr>
          <w:rFonts w:asciiTheme="minorHAnsi" w:hAnsiTheme="minorHAnsi"/>
        </w:rPr>
        <w:t xml:space="preserve"> </w:t>
      </w:r>
      <w:r>
        <w:rPr>
          <w:rFonts w:asciiTheme="minorHAnsi" w:hAnsiTheme="minorHAnsi"/>
        </w:rPr>
        <w:t>There are also</w:t>
      </w:r>
      <w:r w:rsidR="00B724CB">
        <w:rPr>
          <w:rFonts w:asciiTheme="minorHAnsi" w:hAnsiTheme="minorHAnsi"/>
        </w:rPr>
        <w:t xml:space="preserve"> numerous reports </w:t>
      </w:r>
      <w:r w:rsidR="009B5C8C" w:rsidRPr="00B724CB">
        <w:rPr>
          <w:rFonts w:asciiTheme="minorHAnsi" w:hAnsiTheme="minorHAnsi"/>
        </w:rPr>
        <w:t xml:space="preserve">that </w:t>
      </w:r>
      <w:r w:rsidR="00B724CB">
        <w:rPr>
          <w:rFonts w:asciiTheme="minorHAnsi" w:hAnsiTheme="minorHAnsi"/>
        </w:rPr>
        <w:t xml:space="preserve">Uyghur and other </w:t>
      </w:r>
      <w:r w:rsidR="009B5C8C" w:rsidRPr="00B724CB">
        <w:rPr>
          <w:rFonts w:asciiTheme="minorHAnsi" w:hAnsiTheme="minorHAnsi"/>
        </w:rPr>
        <w:t xml:space="preserve">detainees in the </w:t>
      </w:r>
      <w:r w:rsidR="00B724CB">
        <w:rPr>
          <w:rFonts w:asciiTheme="minorHAnsi" w:hAnsiTheme="minorHAnsi"/>
        </w:rPr>
        <w:t xml:space="preserve">XUAR </w:t>
      </w:r>
      <w:r w:rsidR="009B5C8C" w:rsidRPr="00B724CB">
        <w:rPr>
          <w:rFonts w:asciiTheme="minorHAnsi" w:hAnsiTheme="minorHAnsi"/>
        </w:rPr>
        <w:t>camps do</w:t>
      </w:r>
      <w:r w:rsidR="00B724CB">
        <w:rPr>
          <w:rFonts w:asciiTheme="minorHAnsi" w:hAnsiTheme="minorHAnsi"/>
        </w:rPr>
        <w:t xml:space="preserve"> not</w:t>
      </w:r>
      <w:r w:rsidR="009B5C8C" w:rsidRPr="00B724CB">
        <w:rPr>
          <w:rFonts w:asciiTheme="minorHAnsi" w:hAnsiTheme="minorHAnsi"/>
        </w:rPr>
        <w:t xml:space="preserve"> receive adequate health care and are denied treatment</w:t>
      </w:r>
      <w:r w:rsidR="00B724CB">
        <w:rPr>
          <w:rFonts w:asciiTheme="minorHAnsi" w:hAnsiTheme="minorHAnsi"/>
        </w:rPr>
        <w:t>.</w:t>
      </w:r>
      <w:r w:rsidR="009B5C8C" w:rsidRPr="00B724CB">
        <w:rPr>
          <w:rStyle w:val="FootnoteReference"/>
          <w:rFonts w:asciiTheme="minorHAnsi" w:hAnsiTheme="minorHAnsi"/>
        </w:rPr>
        <w:footnoteReference w:id="17"/>
      </w:r>
      <w:r w:rsidR="009B5C8C" w:rsidRPr="00B724CB">
        <w:rPr>
          <w:rFonts w:asciiTheme="minorHAnsi" w:hAnsiTheme="minorHAnsi"/>
        </w:rPr>
        <w:t xml:space="preserve"> </w:t>
      </w:r>
      <w:r w:rsidR="00B724CB">
        <w:rPr>
          <w:rFonts w:asciiTheme="minorHAnsi" w:hAnsiTheme="minorHAnsi"/>
        </w:rPr>
        <w:t>T</w:t>
      </w:r>
      <w:r w:rsidR="009B5C8C" w:rsidRPr="00B724CB">
        <w:rPr>
          <w:rFonts w:asciiTheme="minorHAnsi" w:hAnsiTheme="minorHAnsi"/>
        </w:rPr>
        <w:t>here are also report of deaths</w:t>
      </w:r>
      <w:r w:rsidR="00B724CB">
        <w:rPr>
          <w:rFonts w:asciiTheme="minorHAnsi" w:hAnsiTheme="minorHAnsi"/>
        </w:rPr>
        <w:t xml:space="preserve"> </w:t>
      </w:r>
      <w:r w:rsidR="009B5C8C" w:rsidRPr="00B724CB">
        <w:rPr>
          <w:rFonts w:asciiTheme="minorHAnsi" w:hAnsiTheme="minorHAnsi"/>
        </w:rPr>
        <w:t>in the camps.</w:t>
      </w:r>
      <w:r w:rsidR="00B724CB" w:rsidRPr="00B724CB">
        <w:rPr>
          <w:rStyle w:val="FootnoteReference"/>
          <w:rFonts w:asciiTheme="minorHAnsi" w:hAnsiTheme="minorHAnsi"/>
        </w:rPr>
        <w:footnoteReference w:id="18"/>
      </w:r>
      <w:r w:rsidR="00B724CB">
        <w:rPr>
          <w:rFonts w:asciiTheme="minorHAnsi" w:hAnsiTheme="minorHAnsi"/>
        </w:rPr>
        <w:t xml:space="preserve"> </w:t>
      </w:r>
      <w:r w:rsidR="009B5C8C" w:rsidRPr="00B724CB">
        <w:rPr>
          <w:rFonts w:asciiTheme="minorHAnsi" w:hAnsiTheme="minorHAnsi"/>
        </w:rPr>
        <w:t xml:space="preserve">Prominent Uyghur writer, </w:t>
      </w:r>
      <w:r w:rsidR="009B5C8C" w:rsidRPr="00B724CB">
        <w:rPr>
          <w:rFonts w:asciiTheme="minorHAnsi" w:hAnsiTheme="minorHAnsi"/>
          <w:bCs/>
        </w:rPr>
        <w:t>Nurmuhemmet Tohti</w:t>
      </w:r>
      <w:r w:rsidR="009B5C8C" w:rsidRPr="00B724CB">
        <w:rPr>
          <w:rFonts w:asciiTheme="minorHAnsi" w:hAnsiTheme="minorHAnsi"/>
        </w:rPr>
        <w:t>, died after being de</w:t>
      </w:r>
      <w:r w:rsidR="00B724CB">
        <w:rPr>
          <w:rFonts w:asciiTheme="minorHAnsi" w:hAnsiTheme="minorHAnsi"/>
        </w:rPr>
        <w:t xml:space="preserve">nied </w:t>
      </w:r>
      <w:r w:rsidR="009B5C8C" w:rsidRPr="00B724CB">
        <w:rPr>
          <w:rFonts w:asciiTheme="minorHAnsi" w:hAnsiTheme="minorHAnsi"/>
        </w:rPr>
        <w:t xml:space="preserve">treatment for diabetes while </w:t>
      </w:r>
      <w:r w:rsidR="00B724CB">
        <w:rPr>
          <w:rFonts w:asciiTheme="minorHAnsi" w:hAnsiTheme="minorHAnsi"/>
        </w:rPr>
        <w:t xml:space="preserve">detained in a </w:t>
      </w:r>
      <w:r w:rsidR="009B5C8C" w:rsidRPr="00B724CB">
        <w:rPr>
          <w:rFonts w:asciiTheme="minorHAnsi" w:hAnsiTheme="minorHAnsi"/>
        </w:rPr>
        <w:t>camp.</w:t>
      </w:r>
      <w:r w:rsidR="00B724CB">
        <w:rPr>
          <w:rStyle w:val="FootnoteReference"/>
          <w:rFonts w:asciiTheme="minorHAnsi" w:hAnsiTheme="minorHAnsi"/>
        </w:rPr>
        <w:footnoteReference w:id="19"/>
      </w:r>
      <w:r w:rsidR="00B724CB">
        <w:rPr>
          <w:rFonts w:asciiTheme="minorHAnsi" w:hAnsiTheme="minorHAnsi"/>
        </w:rPr>
        <w:t xml:space="preserve"> Our report, “Invisible Pain”, on gender-based violence in XUAR lists a number of reported incidents of rape in the camps which are likely to leave women needing both physical and mental health care.</w:t>
      </w:r>
      <w:r w:rsidR="00B724CB">
        <w:rPr>
          <w:rStyle w:val="FootnoteReference"/>
          <w:rFonts w:asciiTheme="minorHAnsi" w:hAnsiTheme="minorHAnsi"/>
        </w:rPr>
        <w:footnoteReference w:id="20"/>
      </w:r>
      <w:r w:rsidR="00B724CB">
        <w:rPr>
          <w:rFonts w:asciiTheme="minorHAnsi" w:hAnsiTheme="minorHAnsi"/>
        </w:rPr>
        <w:t xml:space="preserve"> Neither of </w:t>
      </w:r>
      <w:r w:rsidR="00A97338">
        <w:rPr>
          <w:rFonts w:asciiTheme="minorHAnsi" w:hAnsiTheme="minorHAnsi"/>
        </w:rPr>
        <w:t>these</w:t>
      </w:r>
      <w:r w:rsidR="00B724CB">
        <w:rPr>
          <w:rFonts w:asciiTheme="minorHAnsi" w:hAnsiTheme="minorHAnsi"/>
        </w:rPr>
        <w:t xml:space="preserve"> </w:t>
      </w:r>
      <w:r w:rsidR="00A97338">
        <w:rPr>
          <w:rFonts w:asciiTheme="minorHAnsi" w:hAnsiTheme="minorHAnsi"/>
        </w:rPr>
        <w:t>is</w:t>
      </w:r>
      <w:r w:rsidR="00B724CB">
        <w:rPr>
          <w:rFonts w:asciiTheme="minorHAnsi" w:hAnsiTheme="minorHAnsi"/>
        </w:rPr>
        <w:t xml:space="preserve"> likely to have been provided to any adequate standard.</w:t>
      </w:r>
    </w:p>
    <w:p w14:paraId="3554F085" w14:textId="77777777" w:rsidR="00B724CB" w:rsidRPr="00B724CB" w:rsidRDefault="00B724CB" w:rsidP="00B724CB">
      <w:pPr>
        <w:pStyle w:val="A"/>
        <w:spacing w:line="276" w:lineRule="auto"/>
        <w:jc w:val="both"/>
        <w:rPr>
          <w:rFonts w:asciiTheme="minorHAnsi" w:hAnsiTheme="minorHAnsi"/>
        </w:rPr>
      </w:pPr>
    </w:p>
    <w:p w14:paraId="16CEA252" w14:textId="3CE4400D" w:rsidR="00B724CB" w:rsidRDefault="00B724CB" w:rsidP="00B724CB">
      <w:pPr>
        <w:pStyle w:val="A"/>
        <w:numPr>
          <w:ilvl w:val="0"/>
          <w:numId w:val="2"/>
        </w:numPr>
        <w:spacing w:line="276" w:lineRule="auto"/>
        <w:jc w:val="both"/>
        <w:rPr>
          <w:rFonts w:asciiTheme="minorHAnsi" w:hAnsiTheme="minorHAnsi"/>
        </w:rPr>
      </w:pPr>
      <w:r>
        <w:rPr>
          <w:rFonts w:asciiTheme="minorHAnsi" w:hAnsiTheme="minorHAnsi"/>
        </w:rPr>
        <w:t>While coercive family planning procedures have largely disappeared elsewhere in China with revisions to the family planning regulations, there are a significant number of reports of Uyghur and Kazakh women being f</w:t>
      </w:r>
      <w:r w:rsidR="00792451">
        <w:rPr>
          <w:rFonts w:asciiTheme="minorHAnsi" w:hAnsiTheme="minorHAnsi"/>
        </w:rPr>
        <w:t>orced to undergo abortions and sterilization. A number of cases are referenced in our report, “Invisible Pain”.</w:t>
      </w:r>
      <w:r w:rsidR="00792451">
        <w:rPr>
          <w:rStyle w:val="FootnoteReference"/>
          <w:rFonts w:asciiTheme="minorHAnsi" w:hAnsiTheme="minorHAnsi"/>
        </w:rPr>
        <w:footnoteReference w:id="21"/>
      </w:r>
    </w:p>
    <w:p w14:paraId="2B666EA9" w14:textId="77777777" w:rsidR="00B724CB" w:rsidRDefault="00B724CB" w:rsidP="00B724CB">
      <w:pPr>
        <w:pStyle w:val="ListParagraph"/>
        <w:rPr>
          <w:rFonts w:asciiTheme="minorHAnsi" w:hAnsiTheme="minorHAnsi"/>
        </w:rPr>
      </w:pPr>
    </w:p>
    <w:p w14:paraId="7102F045" w14:textId="77777777" w:rsidR="00755B59" w:rsidRDefault="00755B59" w:rsidP="000422DC">
      <w:pPr>
        <w:spacing w:line="276" w:lineRule="auto"/>
        <w:ind w:left="360"/>
        <w:jc w:val="both"/>
      </w:pPr>
    </w:p>
    <w:p w14:paraId="18C88DDD" w14:textId="77777777" w:rsidR="00755B59" w:rsidRDefault="00755B59" w:rsidP="000422DC">
      <w:pPr>
        <w:spacing w:line="276" w:lineRule="auto"/>
        <w:jc w:val="both"/>
      </w:pPr>
    </w:p>
    <w:sectPr w:rsidR="00755B59">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18A26B" w14:textId="77777777" w:rsidR="00B048E8" w:rsidRDefault="00B048E8">
      <w:pPr>
        <w:spacing w:after="0" w:line="240" w:lineRule="auto"/>
      </w:pPr>
      <w:r>
        <w:separator/>
      </w:r>
    </w:p>
  </w:endnote>
  <w:endnote w:type="continuationSeparator" w:id="0">
    <w:p w14:paraId="1C513636" w14:textId="77777777" w:rsidR="00B048E8" w:rsidRDefault="00B048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PMingLiU">
    <w:altName w:val="Microsoft JhengHei"/>
    <w:panose1 w:val="02010601000101010101"/>
    <w:charset w:val="88"/>
    <w:family w:val="roman"/>
    <w:pitch w:val="variable"/>
    <w:sig w:usb0="A00002FF" w:usb1="28CFFCFA" w:usb2="00000016" w:usb3="00000000" w:csb0="0010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998653420"/>
      <w:docPartObj>
        <w:docPartGallery w:val="Page Numbers (Bottom of Page)"/>
        <w:docPartUnique/>
      </w:docPartObj>
    </w:sdtPr>
    <w:sdtEndPr>
      <w:rPr>
        <w:rStyle w:val="PageNumber"/>
      </w:rPr>
    </w:sdtEndPr>
    <w:sdtContent>
      <w:p w14:paraId="782073C0" w14:textId="3C70E741" w:rsidR="00D56263" w:rsidRDefault="00D56263" w:rsidP="00D5626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5617DB6" w14:textId="77777777" w:rsidR="00D56263" w:rsidRDefault="00D56263" w:rsidP="008E512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5340923"/>
      <w:docPartObj>
        <w:docPartGallery w:val="Page Numbers (Bottom of Page)"/>
        <w:docPartUnique/>
      </w:docPartObj>
    </w:sdtPr>
    <w:sdtEndPr>
      <w:rPr>
        <w:rStyle w:val="PageNumber"/>
        <w:sz w:val="20"/>
        <w:szCs w:val="20"/>
      </w:rPr>
    </w:sdtEndPr>
    <w:sdtContent>
      <w:p w14:paraId="2713FB4D" w14:textId="5C042767" w:rsidR="00D56263" w:rsidRPr="00A97338" w:rsidRDefault="00D56263" w:rsidP="00D56263">
        <w:pPr>
          <w:pStyle w:val="Footer"/>
          <w:framePr w:wrap="none" w:vAnchor="text" w:hAnchor="margin" w:xAlign="right" w:y="1"/>
          <w:rPr>
            <w:rStyle w:val="PageNumber"/>
            <w:sz w:val="20"/>
            <w:szCs w:val="20"/>
          </w:rPr>
        </w:pPr>
        <w:r w:rsidRPr="00A97338">
          <w:rPr>
            <w:rStyle w:val="PageNumber"/>
            <w:sz w:val="20"/>
            <w:szCs w:val="20"/>
          </w:rPr>
          <w:fldChar w:fldCharType="begin"/>
        </w:r>
        <w:r w:rsidRPr="00A97338">
          <w:rPr>
            <w:rStyle w:val="PageNumber"/>
            <w:sz w:val="20"/>
            <w:szCs w:val="20"/>
          </w:rPr>
          <w:instrText xml:space="preserve"> PAGE </w:instrText>
        </w:r>
        <w:r w:rsidRPr="00A97338">
          <w:rPr>
            <w:rStyle w:val="PageNumber"/>
            <w:sz w:val="20"/>
            <w:szCs w:val="20"/>
          </w:rPr>
          <w:fldChar w:fldCharType="separate"/>
        </w:r>
        <w:r w:rsidR="0007339F">
          <w:rPr>
            <w:rStyle w:val="PageNumber"/>
            <w:noProof/>
            <w:sz w:val="20"/>
            <w:szCs w:val="20"/>
          </w:rPr>
          <w:t>1</w:t>
        </w:r>
        <w:r w:rsidRPr="00A97338">
          <w:rPr>
            <w:rStyle w:val="PageNumber"/>
            <w:sz w:val="20"/>
            <w:szCs w:val="20"/>
          </w:rPr>
          <w:fldChar w:fldCharType="end"/>
        </w:r>
      </w:p>
    </w:sdtContent>
  </w:sdt>
  <w:p w14:paraId="3C1C5C76" w14:textId="77777777" w:rsidR="00D56263" w:rsidRDefault="00D56263" w:rsidP="008E512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CC1F35" w14:textId="77777777" w:rsidR="00B048E8" w:rsidRDefault="00B048E8">
      <w:pPr>
        <w:spacing w:after="0" w:line="240" w:lineRule="auto"/>
      </w:pPr>
      <w:r>
        <w:separator/>
      </w:r>
    </w:p>
  </w:footnote>
  <w:footnote w:type="continuationSeparator" w:id="0">
    <w:p w14:paraId="3C43FEC8" w14:textId="77777777" w:rsidR="00B048E8" w:rsidRDefault="00B048E8">
      <w:pPr>
        <w:spacing w:after="0" w:line="240" w:lineRule="auto"/>
      </w:pPr>
      <w:r>
        <w:continuationSeparator/>
      </w:r>
    </w:p>
  </w:footnote>
  <w:footnote w:id="1">
    <w:p w14:paraId="2B1A1B5A" w14:textId="31BDCDAE" w:rsidR="00792451" w:rsidRDefault="00792451">
      <w:pPr>
        <w:pStyle w:val="FootnoteText"/>
      </w:pPr>
      <w:r>
        <w:rPr>
          <w:rStyle w:val="FootnoteReference"/>
        </w:rPr>
        <w:footnoteRef/>
      </w:r>
      <w:r>
        <w:t xml:space="preserve"> </w:t>
      </w:r>
      <w:hyperlink r:id="rId1" w:history="1">
        <w:r w:rsidRPr="001014C3">
          <w:rPr>
            <w:rStyle w:val="Hyperlink"/>
          </w:rPr>
          <w:t>https://www.rights-practice.org/news/invisible-pain</w:t>
        </w:r>
      </w:hyperlink>
      <w:r>
        <w:t xml:space="preserve"> </w:t>
      </w:r>
    </w:p>
  </w:footnote>
  <w:footnote w:id="2">
    <w:p w14:paraId="51FACE00" w14:textId="26BB5E0E" w:rsidR="00D56263" w:rsidRDefault="00D56263">
      <w:pPr>
        <w:pStyle w:val="FootnoteText"/>
      </w:pPr>
      <w:r>
        <w:rPr>
          <w:rStyle w:val="FootnoteReference"/>
        </w:rPr>
        <w:footnoteRef/>
      </w:r>
      <w:r>
        <w:t xml:space="preserve"> </w:t>
      </w:r>
      <w:hyperlink r:id="rId2" w:history="1">
        <w:r w:rsidRPr="001014C3">
          <w:rPr>
            <w:rStyle w:val="Hyperlink"/>
          </w:rPr>
          <w:t>https://www.ohchr.org/en/professionalinterest/pages/roleoflawyers.aspx</w:t>
        </w:r>
      </w:hyperlink>
    </w:p>
  </w:footnote>
  <w:footnote w:id="3">
    <w:p w14:paraId="04EFB514" w14:textId="3E37D825" w:rsidR="003D0C95" w:rsidRDefault="003D0C95">
      <w:pPr>
        <w:pStyle w:val="FootnoteText"/>
      </w:pPr>
      <w:r>
        <w:rPr>
          <w:rStyle w:val="FootnoteReference"/>
        </w:rPr>
        <w:footnoteRef/>
      </w:r>
      <w:r>
        <w:t xml:space="preserve"> </w:t>
      </w:r>
      <w:hyperlink r:id="rId3" w:history="1">
        <w:r w:rsidRPr="001014C3">
          <w:rPr>
            <w:rStyle w:val="Hyperlink"/>
          </w:rPr>
          <w:t>https://spcommreports.ohchr.org/TMResultsBase/DownLoadPublicCommunicationFile?gId=23997</w:t>
        </w:r>
      </w:hyperlink>
      <w:r>
        <w:t xml:space="preserve"> </w:t>
      </w:r>
    </w:p>
  </w:footnote>
  <w:footnote w:id="4">
    <w:p w14:paraId="33F104E1" w14:textId="0D235EAB" w:rsidR="003D0C95" w:rsidRDefault="003D0C95">
      <w:pPr>
        <w:pStyle w:val="FootnoteText"/>
      </w:pPr>
      <w:r>
        <w:rPr>
          <w:rStyle w:val="FootnoteReference"/>
        </w:rPr>
        <w:footnoteRef/>
      </w:r>
      <w:r>
        <w:t xml:space="preserve"> </w:t>
      </w:r>
      <w:hyperlink r:id="rId4" w:history="1">
        <w:r w:rsidRPr="001014C3">
          <w:rPr>
            <w:rStyle w:val="Hyperlink"/>
          </w:rPr>
          <w:t>https://www.amnesty.org/en/documents/asa17/3333/2020/en/</w:t>
        </w:r>
      </w:hyperlink>
      <w:r>
        <w:t xml:space="preserve"> </w:t>
      </w:r>
    </w:p>
  </w:footnote>
  <w:footnote w:id="5">
    <w:p w14:paraId="2DC19B06" w14:textId="77777777" w:rsidR="00D56263" w:rsidRDefault="00D56263" w:rsidP="0058514C">
      <w:pPr>
        <w:pStyle w:val="FootnoteText"/>
      </w:pPr>
      <w:r>
        <w:rPr>
          <w:rStyle w:val="FootnoteReference"/>
        </w:rPr>
        <w:footnoteRef/>
      </w:r>
      <w:r>
        <w:t xml:space="preserve"> </w:t>
      </w:r>
      <w:hyperlink r:id="rId5" w:history="1">
        <w:r w:rsidRPr="00EE78F9">
          <w:rPr>
            <w:rStyle w:val="Hyperlink"/>
            <w:rFonts w:asciiTheme="minorHAnsi" w:hAnsiTheme="minorHAnsi" w:cstheme="minorHAnsi"/>
            <w:color w:val="0070C0"/>
          </w:rPr>
          <w:t>http://www.gov.cn/zhengce/content/2015-12/12/content_10398.htm</w:t>
        </w:r>
      </w:hyperlink>
    </w:p>
  </w:footnote>
  <w:footnote w:id="6">
    <w:p w14:paraId="282F833B" w14:textId="77777777" w:rsidR="00D56263" w:rsidRPr="004365F1" w:rsidRDefault="00D56263" w:rsidP="007F0432">
      <w:pPr>
        <w:pStyle w:val="FootnoteText"/>
        <w:rPr>
          <w:szCs w:val="18"/>
        </w:rPr>
      </w:pPr>
      <w:r w:rsidRPr="004365F1">
        <w:rPr>
          <w:rStyle w:val="FootnoteReference"/>
          <w:szCs w:val="18"/>
        </w:rPr>
        <w:footnoteRef/>
      </w:r>
      <w:r w:rsidRPr="004365F1">
        <w:rPr>
          <w:szCs w:val="18"/>
        </w:rPr>
        <w:t xml:space="preserve"> Zenz, Adrian. ‘Parent-Child Separation in Yarkand County, Kashgar’. Medium, 19 Oct. 2020, </w:t>
      </w:r>
      <w:hyperlink r:id="rId6" w:history="1">
        <w:r w:rsidRPr="004365F1">
          <w:rPr>
            <w:rStyle w:val="Hyperlink"/>
            <w:szCs w:val="18"/>
          </w:rPr>
          <w:t>https://adrianzenz.medium.com/story-45d07b25bcad</w:t>
        </w:r>
      </w:hyperlink>
    </w:p>
  </w:footnote>
  <w:footnote w:id="7">
    <w:p w14:paraId="41CA45E0" w14:textId="77777777" w:rsidR="00D56263" w:rsidRPr="004365F1" w:rsidRDefault="00D56263" w:rsidP="007F0432">
      <w:pPr>
        <w:pStyle w:val="FootnoteText"/>
        <w:rPr>
          <w:szCs w:val="18"/>
        </w:rPr>
      </w:pPr>
      <w:r w:rsidRPr="004365F1">
        <w:rPr>
          <w:rStyle w:val="FootnoteReference"/>
          <w:szCs w:val="18"/>
        </w:rPr>
        <w:footnoteRef/>
      </w:r>
      <w:r w:rsidRPr="004365F1">
        <w:rPr>
          <w:szCs w:val="18"/>
        </w:rPr>
        <w:t xml:space="preserve"> State Council Information Office (SCIO) in Beijing published a notice that required all left-behind children in Xinjiang to be in state care </w:t>
      </w:r>
      <w:hyperlink r:id="rId7" w:history="1">
        <w:r w:rsidRPr="004365F1">
          <w:rPr>
            <w:rStyle w:val="Hyperlink"/>
            <w:szCs w:val="18"/>
          </w:rPr>
          <w:t>https://archive.fo/AMJxJ</w:t>
        </w:r>
      </w:hyperlink>
      <w:r w:rsidRPr="004365F1">
        <w:rPr>
          <w:szCs w:val="18"/>
        </w:rPr>
        <w:t>(In Chinese)</w:t>
      </w:r>
    </w:p>
  </w:footnote>
  <w:footnote w:id="8">
    <w:p w14:paraId="3B43DB6E" w14:textId="317935BE" w:rsidR="00D56263" w:rsidRDefault="00D56263">
      <w:pPr>
        <w:pStyle w:val="FootnoteText"/>
      </w:pPr>
      <w:r>
        <w:rPr>
          <w:rStyle w:val="FootnoteReference"/>
        </w:rPr>
        <w:footnoteRef/>
      </w:r>
      <w:r>
        <w:t xml:space="preserve"> </w:t>
      </w:r>
      <w:hyperlink r:id="rId8" w:history="1">
        <w:r w:rsidRPr="00E91413">
          <w:rPr>
            <w:rStyle w:val="Hyperlink"/>
          </w:rPr>
          <w:t>https://apnews.com/article/903a97b7c62a47b98553b6f422827dd7</w:t>
        </w:r>
      </w:hyperlink>
    </w:p>
  </w:footnote>
  <w:footnote w:id="9">
    <w:p w14:paraId="0E53A59C" w14:textId="2F77809B" w:rsidR="00D56263" w:rsidRDefault="00D56263">
      <w:pPr>
        <w:pStyle w:val="FootnoteText"/>
      </w:pPr>
      <w:r>
        <w:rPr>
          <w:rStyle w:val="FootnoteReference"/>
        </w:rPr>
        <w:footnoteRef/>
      </w:r>
      <w:r>
        <w:t xml:space="preserve"> </w:t>
      </w:r>
      <w:hyperlink r:id="rId9" w:history="1">
        <w:r w:rsidRPr="0005655E">
          <w:rPr>
            <w:rStyle w:val="Hyperlink"/>
          </w:rPr>
          <w:t>https://www.businessinsider.com.au/mans-family-vanished-saw-son-2-years-later-in-china-propaganda-video-2019-2</w:t>
        </w:r>
      </w:hyperlink>
    </w:p>
  </w:footnote>
  <w:footnote w:id="10">
    <w:p w14:paraId="737F357D" w14:textId="2F05A055" w:rsidR="00D56263" w:rsidRPr="00D56263" w:rsidRDefault="00D56263" w:rsidP="001E728C">
      <w:pPr>
        <w:pStyle w:val="FootnoteText"/>
        <w:contextualSpacing/>
        <w:rPr>
          <w:szCs w:val="18"/>
        </w:rPr>
      </w:pPr>
      <w:r w:rsidRPr="00D56263">
        <w:rPr>
          <w:rStyle w:val="FootnoteReference"/>
          <w:szCs w:val="18"/>
        </w:rPr>
        <w:footnoteRef/>
      </w:r>
      <w:r w:rsidRPr="00D56263">
        <w:rPr>
          <w:szCs w:val="18"/>
        </w:rPr>
        <w:t xml:space="preserve"> </w:t>
      </w:r>
      <w:hyperlink r:id="rId10" w:history="1">
        <w:r w:rsidRPr="00D56263">
          <w:rPr>
            <w:rStyle w:val="Hyperlink"/>
            <w:szCs w:val="18"/>
          </w:rPr>
          <w:t>https://www.rights-practice.org/news/joint-statement-concerning-wang-quanzhang</w:t>
        </w:r>
      </w:hyperlink>
    </w:p>
  </w:footnote>
  <w:footnote w:id="11">
    <w:p w14:paraId="3B2A7D95" w14:textId="2660A251" w:rsidR="00103715" w:rsidRDefault="00103715">
      <w:pPr>
        <w:pStyle w:val="FootnoteText"/>
      </w:pPr>
      <w:r>
        <w:rPr>
          <w:rStyle w:val="FootnoteReference"/>
        </w:rPr>
        <w:footnoteRef/>
      </w:r>
      <w:r>
        <w:t xml:space="preserve"> </w:t>
      </w:r>
      <w:r w:rsidRPr="00103715">
        <w:t>https://www.rights-practice.org/news/an-open-letter-to-chinese-officials-on-the-status-of-the-changsha-funeng-3</w:t>
      </w:r>
    </w:p>
  </w:footnote>
  <w:footnote w:id="12">
    <w:p w14:paraId="25ED4801" w14:textId="30A377B6" w:rsidR="00103715" w:rsidRDefault="00103715">
      <w:pPr>
        <w:pStyle w:val="FootnoteText"/>
      </w:pPr>
      <w:r>
        <w:rPr>
          <w:rStyle w:val="FootnoteReference"/>
        </w:rPr>
        <w:footnoteRef/>
      </w:r>
      <w:r>
        <w:t xml:space="preserve"> </w:t>
      </w:r>
      <w:hyperlink r:id="rId11" w:history="1">
        <w:r w:rsidRPr="001E728C">
          <w:rPr>
            <w:rStyle w:val="Hyperlink"/>
            <w:rFonts w:asciiTheme="minorHAnsi" w:hAnsiTheme="minorHAnsi"/>
          </w:rPr>
          <w:t>https://www.rights-practice.org/news/joint-statement-concerning-wang-quanzhang</w:t>
        </w:r>
      </w:hyperlink>
      <w:r w:rsidRPr="001E728C">
        <w:rPr>
          <w:rStyle w:val="Hyperlink"/>
          <w:rFonts w:asciiTheme="minorHAnsi" w:hAnsiTheme="minorHAnsi"/>
        </w:rPr>
        <w:t>.</w:t>
      </w:r>
    </w:p>
  </w:footnote>
  <w:footnote w:id="13">
    <w:p w14:paraId="162D73B2" w14:textId="28808284" w:rsidR="00103715" w:rsidRDefault="00103715">
      <w:pPr>
        <w:pStyle w:val="FootnoteText"/>
      </w:pPr>
      <w:r>
        <w:rPr>
          <w:rStyle w:val="FootnoteReference"/>
        </w:rPr>
        <w:footnoteRef/>
      </w:r>
      <w:r>
        <w:t xml:space="preserve"> </w:t>
      </w:r>
      <w:r w:rsidRPr="00103715">
        <w:t>https://www.bbc.co.uk/news/blogs-china-blog-39893359</w:t>
      </w:r>
    </w:p>
  </w:footnote>
  <w:footnote w:id="14">
    <w:p w14:paraId="4F0C5E1C" w14:textId="5EA083FD" w:rsidR="001E728C" w:rsidRDefault="001E728C">
      <w:pPr>
        <w:pStyle w:val="FootnoteText"/>
      </w:pPr>
      <w:r>
        <w:rPr>
          <w:rStyle w:val="FootnoteReference"/>
        </w:rPr>
        <w:footnoteRef/>
      </w:r>
      <w:r>
        <w:t xml:space="preserve"> </w:t>
      </w:r>
      <w:hyperlink r:id="rId12" w:history="1">
        <w:r w:rsidRPr="001014C3">
          <w:rPr>
            <w:rStyle w:val="Hyperlink"/>
          </w:rPr>
          <w:t>https://www.rights-practice.org/news/release-huang-qi (5</w:t>
        </w:r>
      </w:hyperlink>
      <w:r>
        <w:t xml:space="preserve"> November 2018)</w:t>
      </w:r>
    </w:p>
  </w:footnote>
  <w:footnote w:id="15">
    <w:p w14:paraId="6EE58A86" w14:textId="583D53D9" w:rsidR="001E728C" w:rsidRDefault="001E728C" w:rsidP="001E728C">
      <w:pPr>
        <w:pStyle w:val="FootnoteText"/>
        <w:contextualSpacing/>
      </w:pPr>
      <w:r>
        <w:rPr>
          <w:rStyle w:val="FootnoteReference"/>
        </w:rPr>
        <w:footnoteRef/>
      </w:r>
      <w:r>
        <w:t xml:space="preserve"> </w:t>
      </w:r>
      <w:hyperlink r:id="rId13" w:history="1">
        <w:r w:rsidRPr="001014C3">
          <w:rPr>
            <w:rStyle w:val="Hyperlink"/>
            <w:szCs w:val="18"/>
          </w:rPr>
          <w:t>https://www.amnesty.org/en/documents/asa17/3107/2020/en/</w:t>
        </w:r>
      </w:hyperlink>
      <w:r w:rsidRPr="00D56263">
        <w:rPr>
          <w:szCs w:val="18"/>
        </w:rPr>
        <w:t xml:space="preserve"> (24 Sept 2020 update)</w:t>
      </w:r>
    </w:p>
  </w:footnote>
  <w:footnote w:id="16">
    <w:p w14:paraId="228545D0" w14:textId="7DF88FDB" w:rsidR="00103715" w:rsidRDefault="00103715">
      <w:pPr>
        <w:pStyle w:val="FootnoteText"/>
      </w:pPr>
      <w:r>
        <w:rPr>
          <w:rStyle w:val="FootnoteReference"/>
        </w:rPr>
        <w:footnoteRef/>
      </w:r>
      <w:r>
        <w:t xml:space="preserve"> </w:t>
      </w:r>
      <w:hyperlink r:id="rId14" w:history="1">
        <w:r w:rsidRPr="001E728C">
          <w:rPr>
            <w:rStyle w:val="Hyperlink"/>
            <w:rFonts w:asciiTheme="minorHAnsi" w:hAnsiTheme="minorHAnsi"/>
          </w:rPr>
          <w:t>https://www.nchrd.org/2019/07/china-end-deaths-in-extrajudicial-detention-torture-by-deprived-medical-treatment/</w:t>
        </w:r>
      </w:hyperlink>
    </w:p>
  </w:footnote>
  <w:footnote w:id="17">
    <w:p w14:paraId="4172E61D" w14:textId="77777777" w:rsidR="00D56263" w:rsidRPr="009B5C8C" w:rsidRDefault="00D56263" w:rsidP="009B5C8C">
      <w:pPr>
        <w:pStyle w:val="FootnoteText"/>
        <w:rPr>
          <w:szCs w:val="18"/>
          <w:lang w:val="de-DE"/>
        </w:rPr>
      </w:pPr>
      <w:r w:rsidRPr="00C75E1C">
        <w:rPr>
          <w:rStyle w:val="FootnoteReference"/>
          <w:szCs w:val="18"/>
        </w:rPr>
        <w:footnoteRef/>
      </w:r>
      <w:r w:rsidRPr="00C75E1C">
        <w:rPr>
          <w:szCs w:val="18"/>
        </w:rPr>
        <w:t xml:space="preserve"> Confessions of a Xinjiang Camp Teacher. </w:t>
      </w:r>
      <w:r w:rsidRPr="009B5C8C">
        <w:rPr>
          <w:szCs w:val="18"/>
          <w:lang w:val="de-DE"/>
        </w:rPr>
        <w:t xml:space="preserve">18 Aug. 2020. </w:t>
      </w:r>
      <w:hyperlink r:id="rId15" w:history="1">
        <w:r w:rsidRPr="009B5C8C">
          <w:rPr>
            <w:rStyle w:val="Hyperlink"/>
            <w:szCs w:val="18"/>
            <w:lang w:val="de-DE"/>
          </w:rPr>
          <w:t>https://thediplomat.com/2020/08/confessions-of-a-xinjiang-camp-teacher/</w:t>
        </w:r>
      </w:hyperlink>
    </w:p>
  </w:footnote>
  <w:footnote w:id="18">
    <w:p w14:paraId="5B239F5F" w14:textId="77777777" w:rsidR="00B724CB" w:rsidRPr="00B724CB" w:rsidRDefault="00B724CB" w:rsidP="00B724CB">
      <w:pPr>
        <w:pStyle w:val="FootnoteText"/>
        <w:rPr>
          <w:rFonts w:asciiTheme="minorHAnsi" w:hAnsiTheme="minorHAnsi"/>
          <w:szCs w:val="18"/>
        </w:rPr>
      </w:pPr>
      <w:r w:rsidRPr="00C75E1C">
        <w:rPr>
          <w:rStyle w:val="FootnoteReference"/>
          <w:szCs w:val="18"/>
        </w:rPr>
        <w:footnoteRef/>
      </w:r>
      <w:r w:rsidRPr="00C75E1C">
        <w:rPr>
          <w:szCs w:val="18"/>
        </w:rPr>
        <w:t xml:space="preserve"> China, Eva Dou in Beijing, Jeremy Page in Almaty, Kazakhstan and Josh Chin in Turpan. ‘China’s Uighur Camps Swell as Beijing Widens the Dragnet’. Wall Street Journal, 17 Aug. 2018, </w:t>
      </w:r>
      <w:hyperlink r:id="rId16" w:history="1">
        <w:r w:rsidRPr="00B724CB">
          <w:rPr>
            <w:rStyle w:val="Hyperlink"/>
            <w:rFonts w:asciiTheme="minorHAnsi" w:hAnsiTheme="minorHAnsi"/>
            <w:szCs w:val="18"/>
          </w:rPr>
          <w:t>https://www.wsj.com/articles/chinas-uighur-camps-swell-as-beijing-widens-the-dragnet-1534534894</w:t>
        </w:r>
      </w:hyperlink>
    </w:p>
  </w:footnote>
  <w:footnote w:id="19">
    <w:p w14:paraId="0E7C87B9" w14:textId="7779F116" w:rsidR="00B724CB" w:rsidRPr="00B724CB" w:rsidRDefault="00B724CB" w:rsidP="00B724CB">
      <w:pPr>
        <w:pStyle w:val="A"/>
        <w:spacing w:line="276" w:lineRule="auto"/>
        <w:jc w:val="both"/>
        <w:rPr>
          <w:rFonts w:asciiTheme="minorHAnsi" w:hAnsiTheme="minorHAnsi"/>
          <w:sz w:val="18"/>
          <w:szCs w:val="18"/>
        </w:rPr>
      </w:pPr>
      <w:r w:rsidRPr="00B724CB">
        <w:rPr>
          <w:rStyle w:val="FootnoteReference"/>
          <w:rFonts w:asciiTheme="minorHAnsi" w:hAnsiTheme="minorHAnsi"/>
          <w:sz w:val="18"/>
          <w:szCs w:val="18"/>
        </w:rPr>
        <w:footnoteRef/>
      </w:r>
      <w:r w:rsidRPr="00B724CB">
        <w:rPr>
          <w:rFonts w:asciiTheme="minorHAnsi" w:hAnsiTheme="minorHAnsi"/>
          <w:sz w:val="18"/>
          <w:szCs w:val="18"/>
        </w:rPr>
        <w:t xml:space="preserve"> </w:t>
      </w:r>
      <w:hyperlink r:id="rId17" w:history="1">
        <w:r w:rsidRPr="00B724CB">
          <w:rPr>
            <w:rStyle w:val="Hyperlink"/>
            <w:rFonts w:asciiTheme="minorHAnsi" w:hAnsiTheme="minorHAnsi"/>
            <w:sz w:val="18"/>
            <w:szCs w:val="18"/>
          </w:rPr>
          <w:t>https://www.rfa.org/english/news/uyghur/writer-06172019105544.html</w:t>
        </w:r>
      </w:hyperlink>
    </w:p>
  </w:footnote>
  <w:footnote w:id="20">
    <w:p w14:paraId="66FFC454" w14:textId="49EF03FF" w:rsidR="00B724CB" w:rsidRDefault="00B724CB">
      <w:pPr>
        <w:pStyle w:val="FootnoteText"/>
      </w:pPr>
      <w:r>
        <w:rPr>
          <w:rStyle w:val="FootnoteReference"/>
        </w:rPr>
        <w:footnoteRef/>
      </w:r>
      <w:r>
        <w:t xml:space="preserve"> </w:t>
      </w:r>
      <w:r w:rsidRPr="00B724CB">
        <w:t>https://www.rights-practice.org/news/invisible-pain</w:t>
      </w:r>
    </w:p>
  </w:footnote>
  <w:footnote w:id="21">
    <w:p w14:paraId="1B7A0EE3" w14:textId="33468719" w:rsidR="00792451" w:rsidRDefault="00792451">
      <w:pPr>
        <w:pStyle w:val="FootnoteText"/>
      </w:pPr>
      <w:r>
        <w:rPr>
          <w:rStyle w:val="FootnoteReference"/>
        </w:rPr>
        <w:footnoteRef/>
      </w:r>
      <w:r>
        <w:t xml:space="preserve"> Ibid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FA24CB"/>
    <w:multiLevelType w:val="hybridMultilevel"/>
    <w:tmpl w:val="2FB8F346"/>
    <w:lvl w:ilvl="0" w:tplc="71E84902">
      <w:start w:val="1"/>
      <w:numFmt w:val="decimal"/>
      <w:lvlText w:val="%1."/>
      <w:lvlJc w:val="left"/>
      <w:pPr>
        <w:ind w:left="360" w:hanging="360"/>
      </w:pPr>
      <w:rPr>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5FC00E6F"/>
    <w:multiLevelType w:val="hybridMultilevel"/>
    <w:tmpl w:val="BE94C512"/>
    <w:lvl w:ilvl="0" w:tplc="C84ED73A">
      <w:start w:val="1"/>
      <w:numFmt w:val="bullet"/>
      <w:lvlText w:val="-"/>
      <w:lvlJc w:val="left"/>
      <w:pPr>
        <w:ind w:left="720" w:hanging="360"/>
      </w:pPr>
      <w:rPr>
        <w:rFonts w:ascii="Calibri" w:eastAsia="Calibri" w:hAnsi="Calibri" w:cs="Calibri" w:hint="default"/>
      </w:rPr>
    </w:lvl>
    <w:lvl w:ilvl="1" w:tplc="6FC2F5A8">
      <w:start w:val="1"/>
      <w:numFmt w:val="bullet"/>
      <w:lvlText w:val="o"/>
      <w:lvlJc w:val="left"/>
      <w:pPr>
        <w:ind w:left="1440" w:hanging="360"/>
      </w:pPr>
      <w:rPr>
        <w:rFonts w:ascii="Courier New" w:hAnsi="Courier New" w:cs="Courier New" w:hint="default"/>
      </w:rPr>
    </w:lvl>
    <w:lvl w:ilvl="2" w:tplc="C7E416C6">
      <w:start w:val="1"/>
      <w:numFmt w:val="bullet"/>
      <w:lvlText w:val=""/>
      <w:lvlJc w:val="left"/>
      <w:pPr>
        <w:ind w:left="2160" w:hanging="360"/>
      </w:pPr>
      <w:rPr>
        <w:rFonts w:ascii="Wingdings" w:hAnsi="Wingdings" w:hint="default"/>
      </w:rPr>
    </w:lvl>
    <w:lvl w:ilvl="3" w:tplc="FAE2700A">
      <w:start w:val="1"/>
      <w:numFmt w:val="bullet"/>
      <w:lvlText w:val=""/>
      <w:lvlJc w:val="left"/>
      <w:pPr>
        <w:ind w:left="2880" w:hanging="360"/>
      </w:pPr>
      <w:rPr>
        <w:rFonts w:ascii="Symbol" w:hAnsi="Symbol" w:hint="default"/>
      </w:rPr>
    </w:lvl>
    <w:lvl w:ilvl="4" w:tplc="D074ACBA">
      <w:start w:val="1"/>
      <w:numFmt w:val="bullet"/>
      <w:lvlText w:val="o"/>
      <w:lvlJc w:val="left"/>
      <w:pPr>
        <w:ind w:left="3600" w:hanging="360"/>
      </w:pPr>
      <w:rPr>
        <w:rFonts w:ascii="Courier New" w:hAnsi="Courier New" w:cs="Courier New" w:hint="default"/>
      </w:rPr>
    </w:lvl>
    <w:lvl w:ilvl="5" w:tplc="F45C0A42">
      <w:start w:val="1"/>
      <w:numFmt w:val="bullet"/>
      <w:lvlText w:val=""/>
      <w:lvlJc w:val="left"/>
      <w:pPr>
        <w:ind w:left="4320" w:hanging="360"/>
      </w:pPr>
      <w:rPr>
        <w:rFonts w:ascii="Wingdings" w:hAnsi="Wingdings" w:hint="default"/>
      </w:rPr>
    </w:lvl>
    <w:lvl w:ilvl="6" w:tplc="0B04D816">
      <w:start w:val="1"/>
      <w:numFmt w:val="bullet"/>
      <w:lvlText w:val=""/>
      <w:lvlJc w:val="left"/>
      <w:pPr>
        <w:ind w:left="5040" w:hanging="360"/>
      </w:pPr>
      <w:rPr>
        <w:rFonts w:ascii="Symbol" w:hAnsi="Symbol" w:hint="default"/>
      </w:rPr>
    </w:lvl>
    <w:lvl w:ilvl="7" w:tplc="42565844">
      <w:start w:val="1"/>
      <w:numFmt w:val="bullet"/>
      <w:lvlText w:val="o"/>
      <w:lvlJc w:val="left"/>
      <w:pPr>
        <w:ind w:left="5760" w:hanging="360"/>
      </w:pPr>
      <w:rPr>
        <w:rFonts w:ascii="Courier New" w:hAnsi="Courier New" w:cs="Courier New" w:hint="default"/>
      </w:rPr>
    </w:lvl>
    <w:lvl w:ilvl="8" w:tplc="87C4FD2E">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5B59"/>
    <w:rsid w:val="000422DC"/>
    <w:rsid w:val="0007339F"/>
    <w:rsid w:val="00103715"/>
    <w:rsid w:val="001860D1"/>
    <w:rsid w:val="001A4370"/>
    <w:rsid w:val="001E728C"/>
    <w:rsid w:val="00267E93"/>
    <w:rsid w:val="003C46B4"/>
    <w:rsid w:val="003D0C95"/>
    <w:rsid w:val="004C74D1"/>
    <w:rsid w:val="004D5E86"/>
    <w:rsid w:val="005114C9"/>
    <w:rsid w:val="005210AD"/>
    <w:rsid w:val="0058514C"/>
    <w:rsid w:val="00632633"/>
    <w:rsid w:val="006E658E"/>
    <w:rsid w:val="0073177E"/>
    <w:rsid w:val="00755B59"/>
    <w:rsid w:val="00775E39"/>
    <w:rsid w:val="00792451"/>
    <w:rsid w:val="007938EF"/>
    <w:rsid w:val="007A07BB"/>
    <w:rsid w:val="007F0432"/>
    <w:rsid w:val="008E5121"/>
    <w:rsid w:val="009B5C8C"/>
    <w:rsid w:val="00A97338"/>
    <w:rsid w:val="00B048E8"/>
    <w:rsid w:val="00B5698B"/>
    <w:rsid w:val="00B724CB"/>
    <w:rsid w:val="00C01EEB"/>
    <w:rsid w:val="00C743E1"/>
    <w:rsid w:val="00D06010"/>
    <w:rsid w:val="00D56263"/>
    <w:rsid w:val="00E53D78"/>
    <w:rsid w:val="00E6656F"/>
    <w:rsid w:val="00EA76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52AFD"/>
  <w15:docId w15:val="{5FAA75AC-6FBC-8A46-8C4A-9417AE368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Calibri"/>
        <w:sz w:val="22"/>
        <w:szCs w:val="22"/>
        <w:lang w:val="en-GB" w:eastAsia="zh-CN"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20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after="20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after="20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after="20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after="20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after="20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after="20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after="2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after="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Header">
    <w:name w:val="header"/>
    <w:basedOn w:val="Normal"/>
    <w:link w:val="HeaderChar"/>
    <w:uiPriority w:val="99"/>
    <w:unhideWhenUsed/>
    <w:pPr>
      <w:tabs>
        <w:tab w:val="center" w:pos="7143"/>
        <w:tab w:val="right" w:pos="14287"/>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7143"/>
        <w:tab w:val="right" w:pos="14287"/>
      </w:tabs>
      <w:spacing w:after="0" w:line="240" w:lineRule="auto"/>
    </w:pPr>
  </w:style>
  <w:style w:type="character" w:customStyle="1" w:styleId="FooterChar">
    <w:name w:val="Footer Char"/>
    <w:basedOn w:val="DefaultParagraphFont"/>
    <w:link w:val="Footer"/>
    <w:uiPriority w:val="99"/>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Light">
    <w:name w:val="Grid Table Light"/>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styleId="GridTable1Light-Accent1">
    <w:name w:val="Grid Table 1 Light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styleId="GridTable1Light-Accent2">
    <w:name w:val="Grid Table 1 Light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styleId="GridTable1Light-Accent3">
    <w:name w:val="Grid Table 1 Light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styleId="GridTable1Light-Accent4">
    <w:name w:val="Grid Table 1 Light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styleId="GridTable1Light-Accent5">
    <w:name w:val="Grid Table 1 Light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styleId="GridTable1Light-Accent6">
    <w:name w:val="Grid Table 1 Light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ridTable2-Accent1">
    <w:name w:val="Grid Table 2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ridTable2-Accent2">
    <w:name w:val="Grid Table 2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ridTable2-Accent3">
    <w:name w:val="Grid Table 2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ridTable2-Accent4">
    <w:name w:val="Grid Table 2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ridTable2-Accent5">
    <w:name w:val="Grid Table 2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ridTable2-Accent6">
    <w:name w:val="Grid Table 2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ridTable3-Accent1">
    <w:name w:val="Grid Table 3 Accent 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styleId="GridTable3-Accent2">
    <w:name w:val="Grid Table 3 Accent 2"/>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ridTable3-Accent3">
    <w:name w:val="Grid Table 3 Accent 3"/>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ridTable3-Accent4">
    <w:name w:val="Grid Table 3 Accent 4"/>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ridTable3-Accent5">
    <w:name w:val="Grid Table 3 Accent 5"/>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ridTable3-Accent6">
    <w:name w:val="Grid Table 3 Accent 6"/>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styleId="GridTable4-Accent1">
    <w:name w:val="Grid Table 4 Accent 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styleId="GridTable4-Accent2">
    <w:name w:val="Grid Table 4 Accent 2"/>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styleId="GridTable4-Accent3">
    <w:name w:val="Grid Table 4 Accent 3"/>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styleId="GridTable4-Accent4">
    <w:name w:val="Grid Table 4 Accent 4"/>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styleId="GridTable4-Accent5">
    <w:name w:val="Grid Table 4 Accent 5"/>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styleId="GridTable4-Accent6">
    <w:name w:val="Grid Table 4 Accent 6"/>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styleId="GridTable5Dark-Accent2">
    <w:name w:val="Grid Table 5 Dark Accent 2"/>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styleId="GridTable5Dark-Accent3">
    <w:name w:val="Grid Table 5 Dark Accent 3"/>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styleId="GridTable5Dark-Accent5">
    <w:name w:val="Grid Table 5 Dark Accent 5"/>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styleId="GridTable5Dark-Accent6">
    <w:name w:val="Grid Table 5 Dark Accent 6"/>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styleId="GridTable6Colorful-Accent1">
    <w:name w:val="Grid Table 6 Colorful Accent 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ridTable6Colorful-Accent2">
    <w:name w:val="Grid Table 6 Colorful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ridTable6Colorful-Accent3">
    <w:name w:val="Grid Table 6 Colorful Accent 3"/>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ridTable6Colorful-Accent4">
    <w:name w:val="Grid Table 6 Colorful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ridTable6Colorful-Accent5">
    <w:name w:val="Grid Table 6 Colorful Accent 5"/>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ridTable6Colorful-Accent6">
    <w:name w:val="Grid Table 6 Colorful Accent 6"/>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styleId="GridTable7Colorful-Accent1">
    <w:name w:val="Grid Table 7 Colorful Accent 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styleId="GridTable7Colorful-Accent2">
    <w:name w:val="Grid Table 7 Colorful Accent 2"/>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styleId="GridTable7Colorful-Accent3">
    <w:name w:val="Grid Table 7 Colorful Accent 3"/>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styleId="GridTable7Colorful-Accent4">
    <w:name w:val="Grid Table 7 Colorful Accent 4"/>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styleId="GridTable7Colorful-Accent5">
    <w:name w:val="Grid Table 7 Colorful Accent 5"/>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styleId="GridTable7Colorful-Accent6">
    <w:name w:val="Grid Table 7 Colorful Accent 6"/>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styleId="ListTable1Light-Accent1">
    <w:name w:val="List Table 1 Light Accent 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styleId="ListTable1Light-Accent2">
    <w:name w:val="List Table 1 Light Accent 2"/>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styleId="ListTable1Light-Accent3">
    <w:name w:val="List Table 1 Light Accent 3"/>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styleId="ListTable1Light-Accent4">
    <w:name w:val="List Table 1 Light Accent 4"/>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styleId="ListTable1Light-Accent5">
    <w:name w:val="List Table 1 Light Accent 5"/>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styleId="ListTable1Light-Accent6">
    <w:name w:val="List Table 1 Light Accent 6"/>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Table2-Accent1">
    <w:name w:val="List Table 2 Accent 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Table2-Accent2">
    <w:name w:val="List Table 2 Accent 2"/>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Table2-Accent3">
    <w:name w:val="List Table 2 Accent 3"/>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Table2-Accent4">
    <w:name w:val="List Table 2 Accent 4"/>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Table2-Accent5">
    <w:name w:val="List Table 2 Accent 5"/>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Table2-Accent6">
    <w:name w:val="List Table 2 Accent 6"/>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styleId="ListTable3-Accent1">
    <w:name w:val="List Table 3 Accent 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styleId="ListTable3-Accent2">
    <w:name w:val="List Table 3 Accent 2"/>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styleId="ListTable3-Accent3">
    <w:name w:val="List Table 3 Accent 3"/>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styleId="ListTable3-Accent4">
    <w:name w:val="List Table 3 Accent 4"/>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styleId="ListTable3-Accent5">
    <w:name w:val="List Table 3 Accent 5"/>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styleId="ListTable3-Accent6">
    <w:name w:val="List Table 3 Accent 6"/>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styleId="ListTable4-Accent1">
    <w:name w:val="List Table 4 Accent 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styleId="ListTable4-Accent2">
    <w:name w:val="List Table 4 Accent 2"/>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styleId="ListTable4-Accent3">
    <w:name w:val="List Table 4 Accent 3"/>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styleId="ListTable4-Accent4">
    <w:name w:val="List Table 4 Accent 4"/>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styleId="ListTable4-Accent5">
    <w:name w:val="List Table 4 Accent 5"/>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styleId="ListTable4-Accent6">
    <w:name w:val="List Table 4 Accent 6"/>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styleId="ListTable5Dark-Accent1">
    <w:name w:val="List Table 5 Dark Accent 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styleId="ListTable5Dark-Accent2">
    <w:name w:val="List Table 5 Dark Accent 2"/>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styleId="ListTable5Dark-Accent3">
    <w:name w:val="List Table 5 Dark Accent 3"/>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styleId="ListTable5Dark-Accent4">
    <w:name w:val="List Table 5 Dark Accent 4"/>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styleId="ListTable5Dark-Accent5">
    <w:name w:val="List Table 5 Dark Accent 5"/>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styleId="ListTable5Dark-Accent6">
    <w:name w:val="List Table 5 Dark Accent 6"/>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styleId="ListTable6Colorful-Accent1">
    <w:name w:val="List Table 6 Colorful Accent 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Table6Colorful-Accent2">
    <w:name w:val="List Table 6 Colorful Accent 2"/>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Table6Colorful-Accent3">
    <w:name w:val="List Table 6 Colorful Accent 3"/>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Table6Colorful-Accent4">
    <w:name w:val="List Table 6 Colorful Accent 4"/>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Table6Colorful-Accent5">
    <w:name w:val="List Table 6 Colorful Accent 5"/>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Table6Colorful-Accent6">
    <w:name w:val="List Table 6 Colorful Accent 6"/>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styleId="ListTable7Colorful-Accent1">
    <w:name w:val="List Table 7 Colorful Accent 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styleId="ListTable7Colorful-Accent2">
    <w:name w:val="List Table 7 Colorful Accent 2"/>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styleId="ListTable7Colorful-Accent3">
    <w:name w:val="List Table 7 Colorful Accent 3"/>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styleId="ListTable7Colorful-Accent4">
    <w:name w:val="List Table 7 Colorful Accent 4"/>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styleId="ListTable7Colorful-Accent5">
    <w:name w:val="List Table 7 Colorful Accent 5"/>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styleId="ListTable7Colorful-Accent6">
    <w:name w:val="List Table 7 Colorful Accent 6"/>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e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eNormal"/>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eNormal"/>
    <w:uiPriority w:val="99"/>
    <w:pPr>
      <w:spacing w:after="0" w:line="240" w:lineRule="auto"/>
    </w:pPr>
    <w:rPr>
      <w:color w:val="404040"/>
      <w:sz w:val="20"/>
      <w:szCs w:val="2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eNormal"/>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eNormal"/>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eNormal"/>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eNormal"/>
    <w:uiPriority w:val="99"/>
    <w:pPr>
      <w:spacing w:after="0" w:line="240" w:lineRule="auto"/>
    </w:pPr>
    <w:rPr>
      <w:color w:val="404040"/>
      <w:sz w:val="20"/>
      <w:szCs w:val="2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eNormal"/>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FootnoteText">
    <w:name w:val="footnote text"/>
    <w:basedOn w:val="Normal"/>
    <w:link w:val="FootnoteTextChar"/>
    <w:uiPriority w:val="99"/>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character" w:styleId="Hyperlink">
    <w:name w:val="Hyperlink"/>
    <w:basedOn w:val="DefaultParagraphFont"/>
    <w:uiPriority w:val="99"/>
    <w:unhideWhenUsed/>
    <w:rPr>
      <w:color w:val="0563C1" w:themeColor="hyperlink"/>
      <w:u w:val="single"/>
    </w:rPr>
  </w:style>
  <w:style w:type="character" w:customStyle="1" w:styleId="UnresolvedMention">
    <w:name w:val="Unresolved Mention"/>
    <w:basedOn w:val="DefaultParagraphFont"/>
    <w:uiPriority w:val="99"/>
    <w:semiHidden/>
    <w:unhideWhenUsed/>
    <w:rPr>
      <w:color w:val="605E5C"/>
      <w:shd w:val="clear" w:color="auto" w:fill="E1DFDD"/>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semiHidden/>
    <w:unhideWhenUsed/>
    <w:rsid w:val="009B5C8C"/>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line="240" w:lineRule="auto"/>
    </w:pPr>
    <w:rPr>
      <w:rFonts w:ascii="Times New Roman" w:eastAsia="Times New Roman" w:hAnsi="Times New Roman" w:cs="Times New Roman"/>
      <w:sz w:val="24"/>
      <w:szCs w:val="24"/>
      <w:lang w:bidi="ug-CN"/>
    </w:rPr>
  </w:style>
  <w:style w:type="character" w:customStyle="1" w:styleId="apple-converted-space">
    <w:name w:val="apple-converted-space"/>
    <w:rsid w:val="009B5C8C"/>
    <w:rPr>
      <w:lang w:val="en-US"/>
    </w:rPr>
  </w:style>
  <w:style w:type="paragraph" w:customStyle="1" w:styleId="A">
    <w:name w:val="默认 A"/>
    <w:rsid w:val="004D5E86"/>
    <w:pPr>
      <w:pBdr>
        <w:top w:val="nil"/>
        <w:left w:val="nil"/>
        <w:bottom w:val="nil"/>
        <w:right w:val="nil"/>
        <w:between w:val="nil"/>
        <w:bar w:val="nil"/>
      </w:pBdr>
      <w:spacing w:after="0" w:line="240" w:lineRule="auto"/>
    </w:pPr>
    <w:rPr>
      <w:rFonts w:ascii="Arial Unicode MS" w:eastAsia="PMingLiU" w:hAnsi="Arial Unicode MS" w:cs="Arial Unicode MS"/>
      <w:color w:val="000000"/>
      <w:u w:color="000000"/>
      <w:bdr w:val="nil"/>
      <w:lang w:val="en-US"/>
    </w:rPr>
  </w:style>
  <w:style w:type="character" w:styleId="PageNumber">
    <w:name w:val="page number"/>
    <w:basedOn w:val="DefaultParagraphFont"/>
    <w:uiPriority w:val="99"/>
    <w:semiHidden/>
    <w:unhideWhenUsed/>
    <w:rsid w:val="008E5121"/>
  </w:style>
  <w:style w:type="character" w:styleId="FollowedHyperlink">
    <w:name w:val="FollowedHyperlink"/>
    <w:basedOn w:val="DefaultParagraphFont"/>
    <w:uiPriority w:val="99"/>
    <w:semiHidden/>
    <w:unhideWhenUsed/>
    <w:rsid w:val="00D5626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ights-practice.org"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apnews.com/article/903a97b7c62a47b98553b6f422827dd7" TargetMode="External"/><Relationship Id="rId13" Type="http://schemas.openxmlformats.org/officeDocument/2006/relationships/hyperlink" Target="https://www.amnesty.org/en/documents/asa17/3107/2020/en/" TargetMode="External"/><Relationship Id="rId3" Type="http://schemas.openxmlformats.org/officeDocument/2006/relationships/hyperlink" Target="https://spcommreports.ohchr.org/TMResultsBase/DownLoadPublicCommunicationFile?gId=23997" TargetMode="External"/><Relationship Id="rId7" Type="http://schemas.openxmlformats.org/officeDocument/2006/relationships/hyperlink" Target="https://archive.fo/AMJxJ" TargetMode="External"/><Relationship Id="rId12" Type="http://schemas.openxmlformats.org/officeDocument/2006/relationships/hyperlink" Target="https://www.rights-practice.org/news/release-huang-qi%20(5" TargetMode="External"/><Relationship Id="rId17" Type="http://schemas.openxmlformats.org/officeDocument/2006/relationships/hyperlink" Target="https://www.rfa.org/english/news/uyghur/writer-06172019105544.html" TargetMode="External"/><Relationship Id="rId2" Type="http://schemas.openxmlformats.org/officeDocument/2006/relationships/hyperlink" Target="https://www.ohchr.org/en/professionalinterest/pages/roleoflawyers.aspx" TargetMode="External"/><Relationship Id="rId16" Type="http://schemas.openxmlformats.org/officeDocument/2006/relationships/hyperlink" Target="https://www.wsj.com/articles/chinas-uighur-camps-swell-as-beijing-widens-the-dragnet-1534534894" TargetMode="External"/><Relationship Id="rId1" Type="http://schemas.openxmlformats.org/officeDocument/2006/relationships/hyperlink" Target="https://www.rights-practice.org/news/invisible-pain" TargetMode="External"/><Relationship Id="rId6" Type="http://schemas.openxmlformats.org/officeDocument/2006/relationships/hyperlink" Target="https://adrianzenz.medium.com/story-45d07b25bcad" TargetMode="External"/><Relationship Id="rId11" Type="http://schemas.openxmlformats.org/officeDocument/2006/relationships/hyperlink" Target="https://www.rights-practice.org/news/joint-statement-concerning-wang-quanzhang" TargetMode="External"/><Relationship Id="rId5" Type="http://schemas.openxmlformats.org/officeDocument/2006/relationships/hyperlink" Target="http://www.gov.cn/zhengce/content/2015-12/12/content_10398.htm" TargetMode="External"/><Relationship Id="rId15" Type="http://schemas.openxmlformats.org/officeDocument/2006/relationships/hyperlink" Target="https://thediplomat.com/2020/08/confessions-of-a-xinjiang-camp-teacher/" TargetMode="External"/><Relationship Id="rId10" Type="http://schemas.openxmlformats.org/officeDocument/2006/relationships/hyperlink" Target="https://www.rights-practice.org/news/joint-statement-concerning-wang-quanzhang" TargetMode="External"/><Relationship Id="rId4" Type="http://schemas.openxmlformats.org/officeDocument/2006/relationships/hyperlink" Target="https://www.amnesty.org/en/documents/asa17/3333/2020/en/" TargetMode="External"/><Relationship Id="rId9" Type="http://schemas.openxmlformats.org/officeDocument/2006/relationships/hyperlink" Target="https://www.businessinsider.com.au/mans-family-vanished-saw-son-2-years-later-in-china-propaganda-video-2019-2" TargetMode="External"/><Relationship Id="rId14" Type="http://schemas.openxmlformats.org/officeDocument/2006/relationships/hyperlink" Target="https://www.nchrd.org/2019/07/china-end-deaths-in-extrajudicial-detention-torture-by-deprived-medical-trea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93EEC5-3B39-4F70-93B8-F88E60E763B0}">
  <ds:schemaRefs>
    <ds:schemaRef ds:uri="http://schemas.openxmlformats.org/officeDocument/2006/bibliography"/>
  </ds:schemaRefs>
</ds:datastoreItem>
</file>

<file path=customXml/itemProps2.xml><?xml version="1.0" encoding="utf-8"?>
<ds:datastoreItem xmlns:ds="http://schemas.openxmlformats.org/officeDocument/2006/customXml" ds:itemID="{BA72A58B-E7ED-4889-88C4-D36A7CF11122}"/>
</file>

<file path=customXml/itemProps3.xml><?xml version="1.0" encoding="utf-8"?>
<ds:datastoreItem xmlns:ds="http://schemas.openxmlformats.org/officeDocument/2006/customXml" ds:itemID="{B19B4DE9-2158-48BB-988A-C2A2C2E568C6}"/>
</file>

<file path=customXml/itemProps4.xml><?xml version="1.0" encoding="utf-8"?>
<ds:datastoreItem xmlns:ds="http://schemas.openxmlformats.org/officeDocument/2006/customXml" ds:itemID="{5A021677-256E-4A67-99FC-B76C33BA599B}"/>
</file>

<file path=docProps/app.xml><?xml version="1.0" encoding="utf-8"?>
<Properties xmlns="http://schemas.openxmlformats.org/officeDocument/2006/extended-properties" xmlns:vt="http://schemas.openxmlformats.org/officeDocument/2006/docPropsVTypes">
  <Template>Normal.dotm</Template>
  <TotalTime>1</TotalTime>
  <Pages>5</Pages>
  <Words>2202</Words>
  <Characters>12555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Imogen Rogerson Costello</dc:creator>
  <cp:keywords/>
  <dc:description/>
  <cp:lastModifiedBy>REYNAUD Céline</cp:lastModifiedBy>
  <cp:revision>2</cp:revision>
  <dcterms:created xsi:type="dcterms:W3CDTF">2020-12-21T14:00:00Z</dcterms:created>
  <dcterms:modified xsi:type="dcterms:W3CDTF">2020-12-21T14:00:00Z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