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DF343" w14:textId="77777777" w:rsidR="00626361" w:rsidRDefault="00626361" w:rsidP="00120688">
      <w:pPr>
        <w:keepNext/>
        <w:keepLines/>
        <w:snapToGrid w:val="0"/>
        <w:spacing w:line="240" w:lineRule="auto"/>
        <w:outlineLvl w:val="0"/>
        <w:rPr>
          <w:rFonts w:ascii="Times New Roman" w:eastAsiaTheme="majorEastAsia" w:hAnsi="Times New Roman" w:cs="Times New Roman"/>
          <w:b/>
          <w:bCs/>
          <w:kern w:val="24"/>
          <w:sz w:val="24"/>
          <w:szCs w:val="24"/>
          <w:lang w:val="en-US" w:bidi="ar-SA"/>
          <w14:ligatures w14:val="none"/>
        </w:rPr>
      </w:pPr>
    </w:p>
    <w:p w14:paraId="40A69D3B" w14:textId="77777777" w:rsidR="0053288C" w:rsidRDefault="0053288C" w:rsidP="0053288C">
      <w:pPr>
        <w:jc w:val="center"/>
        <w:rPr>
          <w:rFonts w:ascii="Times New Roman" w:hAnsi="Times New Roman" w:cs="Times New Roman"/>
          <w:sz w:val="24"/>
          <w:szCs w:val="24"/>
        </w:rPr>
      </w:pPr>
      <w:r w:rsidRPr="00046088">
        <w:rPr>
          <w:rFonts w:ascii="Times New Roman" w:hAnsi="Times New Roman" w:cs="Times New Roman"/>
          <w:b/>
          <w:bCs/>
          <w:noProof/>
          <w:sz w:val="24"/>
          <w:szCs w:val="24"/>
        </w:rPr>
        <w:drawing>
          <wp:inline distT="0" distB="0" distL="0" distR="0" wp14:anchorId="61362F1A" wp14:editId="76B9F4F9">
            <wp:extent cx="1576154" cy="22302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HR-arabic-logo-A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1172" cy="2237362"/>
                    </a:xfrm>
                    <a:prstGeom prst="rect">
                      <a:avLst/>
                    </a:prstGeom>
                  </pic:spPr>
                </pic:pic>
              </a:graphicData>
            </a:graphic>
          </wp:inline>
        </w:drawing>
      </w:r>
    </w:p>
    <w:p w14:paraId="52EAA4D8" w14:textId="77777777" w:rsidR="0053288C" w:rsidRDefault="0053288C" w:rsidP="0053288C">
      <w:pPr>
        <w:jc w:val="center"/>
        <w:rPr>
          <w:rFonts w:ascii="Times New Roman" w:hAnsi="Times New Roman" w:cs="Times New Roman"/>
          <w:b/>
          <w:bCs/>
          <w:sz w:val="24"/>
          <w:szCs w:val="24"/>
        </w:rPr>
      </w:pPr>
      <w:r w:rsidRPr="00BF6957">
        <w:rPr>
          <w:rFonts w:ascii="Times New Roman" w:hAnsi="Times New Roman" w:cs="Times New Roman"/>
          <w:b/>
          <w:bCs/>
          <w:sz w:val="24"/>
          <w:szCs w:val="24"/>
        </w:rPr>
        <w:t>Independent Commission for Human Rights (ICHR)</w:t>
      </w:r>
    </w:p>
    <w:p w14:paraId="0EC2C618" w14:textId="77777777" w:rsidR="0053288C" w:rsidRDefault="0053288C" w:rsidP="0053288C">
      <w:pPr>
        <w:jc w:val="both"/>
        <w:rPr>
          <w:rFonts w:ascii="Times New Roman" w:hAnsi="Times New Roman" w:cs="Times New Roman"/>
          <w:sz w:val="24"/>
          <w:szCs w:val="24"/>
        </w:rPr>
      </w:pPr>
    </w:p>
    <w:p w14:paraId="3247537C" w14:textId="77777777" w:rsidR="00626361" w:rsidRDefault="00626361" w:rsidP="00626361">
      <w:pPr>
        <w:jc w:val="both"/>
        <w:rPr>
          <w:rFonts w:cs="Times New Roman"/>
          <w:sz w:val="24"/>
          <w:szCs w:val="24"/>
        </w:rPr>
      </w:pPr>
    </w:p>
    <w:p w14:paraId="48456AB5" w14:textId="445C6493" w:rsidR="006621CC" w:rsidRPr="0053288C" w:rsidRDefault="00626361" w:rsidP="006621CC">
      <w:pPr>
        <w:pStyle w:val="Title"/>
        <w:bidi w:val="0"/>
        <w:jc w:val="center"/>
        <w:rPr>
          <w:rFonts w:asciiTheme="majorBidi" w:hAnsiTheme="majorBidi"/>
          <w:b/>
          <w:bCs/>
          <w:sz w:val="28"/>
          <w:szCs w:val="28"/>
        </w:rPr>
      </w:pPr>
      <w:r w:rsidRPr="0053288C">
        <w:rPr>
          <w:rFonts w:asciiTheme="majorBidi" w:hAnsiTheme="majorBidi"/>
          <w:b/>
          <w:bCs/>
          <w:sz w:val="28"/>
          <w:szCs w:val="28"/>
        </w:rPr>
        <w:t xml:space="preserve">Shadow Report </w:t>
      </w:r>
      <w:r w:rsidR="00080635">
        <w:rPr>
          <w:rFonts w:asciiTheme="majorBidi" w:hAnsiTheme="majorBidi"/>
          <w:b/>
          <w:bCs/>
          <w:sz w:val="28"/>
          <w:szCs w:val="28"/>
        </w:rPr>
        <w:t>Submitted by</w:t>
      </w:r>
      <w:r w:rsidRPr="0053288C">
        <w:rPr>
          <w:rFonts w:asciiTheme="majorBidi" w:hAnsiTheme="majorBidi"/>
          <w:b/>
          <w:bCs/>
          <w:sz w:val="28"/>
          <w:szCs w:val="28"/>
        </w:rPr>
        <w:t xml:space="preserve"> the Independent Commission for Human Rights (ICHR) to the Human Rights Committee on the First Periodic Review of the State of Palestine</w:t>
      </w:r>
    </w:p>
    <w:p w14:paraId="70E09E6E" w14:textId="0A51BC86" w:rsidR="00626361" w:rsidRDefault="00B13D95" w:rsidP="004F40D1">
      <w:pPr>
        <w:pStyle w:val="Title"/>
        <w:bidi w:val="0"/>
        <w:jc w:val="center"/>
        <w:rPr>
          <w:rFonts w:asciiTheme="majorBidi" w:hAnsiTheme="majorBidi"/>
          <w:b/>
          <w:bCs/>
          <w:sz w:val="28"/>
          <w:szCs w:val="28"/>
        </w:rPr>
      </w:pPr>
      <w:r w:rsidRPr="004F40D1">
        <w:rPr>
          <w:rFonts w:asciiTheme="majorBidi" w:hAnsiTheme="majorBidi"/>
          <w:b/>
          <w:bCs/>
          <w:sz w:val="28"/>
          <w:szCs w:val="28"/>
        </w:rPr>
        <w:t xml:space="preserve">Session # </w:t>
      </w:r>
      <w:r w:rsidR="004F40D1" w:rsidRPr="004F40D1">
        <w:rPr>
          <w:rFonts w:asciiTheme="majorBidi" w:hAnsiTheme="majorBidi"/>
          <w:b/>
          <w:bCs/>
          <w:sz w:val="28"/>
          <w:szCs w:val="28"/>
        </w:rPr>
        <w:t>138</w:t>
      </w:r>
      <w:r w:rsidRPr="004F40D1">
        <w:rPr>
          <w:rFonts w:asciiTheme="majorBidi" w:hAnsiTheme="majorBidi"/>
          <w:b/>
          <w:bCs/>
          <w:sz w:val="28"/>
          <w:szCs w:val="28"/>
        </w:rPr>
        <w:t xml:space="preserve"> (</w:t>
      </w:r>
      <w:r w:rsidR="004F40D1" w:rsidRPr="004F40D1">
        <w:rPr>
          <w:rFonts w:asciiTheme="majorBidi" w:hAnsiTheme="majorBidi"/>
          <w:b/>
          <w:bCs/>
          <w:sz w:val="28"/>
          <w:szCs w:val="28"/>
        </w:rPr>
        <w:t>27 June</w:t>
      </w:r>
      <w:r w:rsidRPr="004F40D1">
        <w:rPr>
          <w:rFonts w:asciiTheme="majorBidi" w:hAnsiTheme="majorBidi"/>
          <w:b/>
          <w:bCs/>
          <w:sz w:val="28"/>
          <w:szCs w:val="28"/>
        </w:rPr>
        <w:t>-</w:t>
      </w:r>
      <w:r w:rsidR="004F40D1" w:rsidRPr="004F40D1">
        <w:rPr>
          <w:rFonts w:asciiTheme="majorBidi" w:hAnsiTheme="majorBidi"/>
          <w:b/>
          <w:bCs/>
          <w:sz w:val="28"/>
          <w:szCs w:val="28"/>
        </w:rPr>
        <w:t>28</w:t>
      </w:r>
      <w:r w:rsidRPr="004F40D1">
        <w:rPr>
          <w:rFonts w:asciiTheme="majorBidi" w:hAnsiTheme="majorBidi"/>
          <w:b/>
          <w:bCs/>
          <w:sz w:val="28"/>
          <w:szCs w:val="28"/>
        </w:rPr>
        <w:t xml:space="preserve"> July </w:t>
      </w:r>
      <w:r w:rsidR="004F40D1" w:rsidRPr="004F40D1">
        <w:rPr>
          <w:rFonts w:asciiTheme="majorBidi" w:hAnsiTheme="majorBidi"/>
          <w:b/>
          <w:bCs/>
          <w:sz w:val="28"/>
          <w:szCs w:val="28"/>
        </w:rPr>
        <w:t>2023</w:t>
      </w:r>
      <w:r w:rsidRPr="004F40D1">
        <w:rPr>
          <w:rFonts w:asciiTheme="majorBidi" w:hAnsiTheme="majorBidi"/>
          <w:b/>
          <w:bCs/>
          <w:sz w:val="28"/>
          <w:szCs w:val="28"/>
        </w:rPr>
        <w:t>)</w:t>
      </w:r>
    </w:p>
    <w:p w14:paraId="7CBA113B" w14:textId="0933F940" w:rsidR="004F40D1" w:rsidRDefault="004F40D1" w:rsidP="004F40D1">
      <w:pPr>
        <w:rPr>
          <w:lang w:val="en-US" w:bidi="ar-SA"/>
        </w:rPr>
      </w:pPr>
    </w:p>
    <w:p w14:paraId="29EDC69F" w14:textId="21E98859" w:rsidR="004F40D1" w:rsidRDefault="004F40D1" w:rsidP="004F40D1">
      <w:pPr>
        <w:rPr>
          <w:lang w:val="en-US" w:bidi="ar-SA"/>
        </w:rPr>
      </w:pPr>
    </w:p>
    <w:p w14:paraId="172075DB" w14:textId="53561CE3" w:rsidR="004F40D1" w:rsidRDefault="004F40D1" w:rsidP="004F40D1">
      <w:pPr>
        <w:rPr>
          <w:lang w:val="en-US" w:bidi="ar-SA"/>
        </w:rPr>
      </w:pPr>
    </w:p>
    <w:p w14:paraId="299F1180" w14:textId="566F1797" w:rsidR="004F40D1" w:rsidRDefault="004F40D1" w:rsidP="004F40D1">
      <w:pPr>
        <w:rPr>
          <w:lang w:val="en-US" w:bidi="ar-SA"/>
        </w:rPr>
      </w:pPr>
    </w:p>
    <w:p w14:paraId="7EE8EF9E" w14:textId="493D7297" w:rsidR="004F40D1" w:rsidRDefault="004F40D1" w:rsidP="004F40D1">
      <w:pPr>
        <w:rPr>
          <w:lang w:val="en-US" w:bidi="ar-SA"/>
        </w:rPr>
      </w:pPr>
    </w:p>
    <w:p w14:paraId="5561DDCD" w14:textId="2686DE3C" w:rsidR="004F40D1" w:rsidRDefault="004F40D1" w:rsidP="004F40D1">
      <w:pPr>
        <w:rPr>
          <w:lang w:val="en-US" w:bidi="ar-SA"/>
        </w:rPr>
      </w:pPr>
    </w:p>
    <w:p w14:paraId="1F0878B1" w14:textId="7937EF91" w:rsidR="004F40D1" w:rsidRPr="004F40D1" w:rsidRDefault="004F40D1" w:rsidP="004F40D1">
      <w:pPr>
        <w:jc w:val="center"/>
        <w:rPr>
          <w:lang w:val="en-US" w:bidi="ar-SA"/>
        </w:rPr>
      </w:pPr>
      <w:r>
        <w:rPr>
          <w:lang w:val="en-US" w:bidi="ar-SA"/>
        </w:rPr>
        <w:t>2023</w:t>
      </w:r>
    </w:p>
    <w:p w14:paraId="2F334BF5" w14:textId="77777777" w:rsidR="004F40D1" w:rsidRDefault="004F40D1" w:rsidP="004F40D1">
      <w:pPr>
        <w:jc w:val="center"/>
        <w:rPr>
          <w:rFonts w:cs="Times New Roman"/>
          <w:sz w:val="24"/>
          <w:szCs w:val="24"/>
        </w:rPr>
      </w:pPr>
    </w:p>
    <w:p w14:paraId="653FAC0C" w14:textId="56B8468A" w:rsidR="00626361" w:rsidRDefault="00626361" w:rsidP="00626361">
      <w:pPr>
        <w:jc w:val="both"/>
        <w:rPr>
          <w:rFonts w:eastAsia="Times New Roman" w:cs="Times New Roman"/>
          <w:kern w:val="24"/>
          <w:sz w:val="24"/>
          <w:szCs w:val="24"/>
        </w:rPr>
      </w:pPr>
    </w:p>
    <w:p w14:paraId="7676F179" w14:textId="56F7F050" w:rsidR="00626361" w:rsidRDefault="00626361" w:rsidP="00626361">
      <w:pPr>
        <w:jc w:val="both"/>
        <w:rPr>
          <w:rFonts w:eastAsia="Times New Roman" w:cs="Times New Roman"/>
          <w:kern w:val="24"/>
          <w:sz w:val="24"/>
          <w:szCs w:val="24"/>
          <w:rtl/>
        </w:rPr>
      </w:pPr>
    </w:p>
    <w:p w14:paraId="00CB10A5" w14:textId="094A4CC8" w:rsidR="0053288C" w:rsidRDefault="0053288C" w:rsidP="00626361">
      <w:pPr>
        <w:jc w:val="both"/>
        <w:rPr>
          <w:rFonts w:eastAsia="Times New Roman" w:cs="Times New Roman"/>
          <w:kern w:val="24"/>
          <w:sz w:val="24"/>
          <w:szCs w:val="24"/>
          <w:rtl/>
        </w:rPr>
      </w:pPr>
    </w:p>
    <w:p w14:paraId="02704909" w14:textId="28AE9BFA" w:rsidR="0053288C" w:rsidRDefault="0053288C" w:rsidP="00626361">
      <w:pPr>
        <w:jc w:val="both"/>
        <w:rPr>
          <w:rFonts w:eastAsia="Times New Roman" w:cs="Times New Roman"/>
          <w:kern w:val="24"/>
          <w:sz w:val="24"/>
          <w:szCs w:val="24"/>
          <w:rtl/>
        </w:rPr>
      </w:pPr>
    </w:p>
    <w:sdt>
      <w:sdtPr>
        <w:rPr>
          <w:rFonts w:ascii="Times New Roman" w:eastAsiaTheme="minorHAnsi" w:hAnsi="Times New Roman" w:cs="Times New Roman"/>
          <w:snapToGrid w:val="0"/>
          <w:color w:val="auto"/>
          <w:kern w:val="24"/>
          <w:sz w:val="24"/>
          <w:szCs w:val="24"/>
          <w:lang w:val="en-GB" w:bidi="ar-JO"/>
          <w14:ligatures w14:val="standardContextual"/>
        </w:rPr>
        <w:id w:val="-1372462803"/>
        <w:docPartObj>
          <w:docPartGallery w:val="Table of Contents"/>
          <w:docPartUnique/>
        </w:docPartObj>
      </w:sdtPr>
      <w:sdtEndPr>
        <w:rPr>
          <w:rFonts w:asciiTheme="minorHAnsi" w:hAnsiTheme="minorHAnsi"/>
          <w:kern w:val="2"/>
        </w:rPr>
      </w:sdtEndPr>
      <w:sdtContent>
        <w:p w14:paraId="2E8043F8" w14:textId="77777777" w:rsidR="00626361" w:rsidRDefault="00626361" w:rsidP="00626361">
          <w:pPr>
            <w:pStyle w:val="TOCHeading"/>
            <w:spacing w:before="0" w:after="200" w:line="276" w:lineRule="auto"/>
            <w:rPr>
              <w:rFonts w:ascii="Times New Roman" w:eastAsiaTheme="minorHAnsi" w:hAnsi="Times New Roman" w:cs="Times New Roman"/>
              <w:snapToGrid w:val="0"/>
              <w:color w:val="auto"/>
              <w:kern w:val="24"/>
              <w:sz w:val="24"/>
              <w:szCs w:val="24"/>
              <w:lang w:val="en-GB" w:bidi="ar-JO"/>
            </w:rPr>
          </w:pPr>
        </w:p>
        <w:p w14:paraId="09BC5FBB" w14:textId="77777777" w:rsidR="00626361" w:rsidRDefault="00626361" w:rsidP="00626361">
          <w:pPr>
            <w:pStyle w:val="TOCHeading"/>
            <w:spacing w:before="0" w:after="200" w:line="276" w:lineRule="auto"/>
            <w:rPr>
              <w:rFonts w:ascii="Times New Roman" w:hAnsi="Times New Roman" w:cs="Times New Roman"/>
              <w:b/>
              <w:bCs/>
              <w:color w:val="auto"/>
              <w:sz w:val="24"/>
              <w:szCs w:val="24"/>
              <w:lang w:val="en-GB"/>
            </w:rPr>
          </w:pPr>
          <w:r>
            <w:rPr>
              <w:rFonts w:ascii="Times New Roman" w:hAnsi="Times New Roman" w:cs="Times New Roman"/>
              <w:b/>
              <w:bCs/>
              <w:color w:val="auto"/>
              <w:sz w:val="24"/>
              <w:szCs w:val="24"/>
              <w:lang w:val="en-GB"/>
            </w:rPr>
            <w:t>Table of Contents</w:t>
          </w:r>
          <w:bookmarkStart w:id="0" w:name="_GoBack"/>
          <w:bookmarkEnd w:id="0"/>
        </w:p>
        <w:p w14:paraId="6D7CAFB3" w14:textId="59BFF160" w:rsidR="00336A35" w:rsidRDefault="00626361">
          <w:pPr>
            <w:pStyle w:val="TOC1"/>
            <w:tabs>
              <w:tab w:val="right" w:leader="dot" w:pos="9350"/>
            </w:tabs>
            <w:rPr>
              <w:rFonts w:eastAsiaTheme="minorEastAsia"/>
              <w:noProof/>
              <w:lang w:val="en-US" w:bidi="ar-SA"/>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TOC \o "1-3" \h \z \u </w:instrText>
          </w:r>
          <w:r>
            <w:rPr>
              <w:rFonts w:ascii="Times New Roman" w:hAnsi="Times New Roman" w:cs="Times New Roman"/>
              <w:noProof/>
              <w:sz w:val="24"/>
              <w:szCs w:val="24"/>
            </w:rPr>
            <w:fldChar w:fldCharType="separate"/>
          </w:r>
          <w:hyperlink w:anchor="_Toc136254536" w:history="1">
            <w:r w:rsidR="00336A35" w:rsidRPr="00F96CC8">
              <w:rPr>
                <w:rStyle w:val="Hyperlink"/>
                <w:rFonts w:ascii="Times New Roman" w:hAnsi="Times New Roman" w:cs="Times New Roman"/>
                <w:b/>
                <w:bCs/>
                <w:noProof/>
              </w:rPr>
              <w:t>ICHR Profile</w:t>
            </w:r>
            <w:r w:rsidR="00336A35">
              <w:rPr>
                <w:noProof/>
                <w:webHidden/>
              </w:rPr>
              <w:tab/>
            </w:r>
            <w:r w:rsidR="00336A35">
              <w:rPr>
                <w:noProof/>
                <w:webHidden/>
              </w:rPr>
              <w:fldChar w:fldCharType="begin"/>
            </w:r>
            <w:r w:rsidR="00336A35">
              <w:rPr>
                <w:noProof/>
                <w:webHidden/>
              </w:rPr>
              <w:instrText xml:space="preserve"> PAGEREF _Toc136254536 \h </w:instrText>
            </w:r>
            <w:r w:rsidR="00336A35">
              <w:rPr>
                <w:noProof/>
                <w:webHidden/>
              </w:rPr>
            </w:r>
            <w:r w:rsidR="00336A35">
              <w:rPr>
                <w:noProof/>
                <w:webHidden/>
              </w:rPr>
              <w:fldChar w:fldCharType="separate"/>
            </w:r>
            <w:r w:rsidR="00336A35">
              <w:rPr>
                <w:noProof/>
                <w:webHidden/>
              </w:rPr>
              <w:t>3</w:t>
            </w:r>
            <w:r w:rsidR="00336A35">
              <w:rPr>
                <w:noProof/>
                <w:webHidden/>
              </w:rPr>
              <w:fldChar w:fldCharType="end"/>
            </w:r>
          </w:hyperlink>
        </w:p>
        <w:p w14:paraId="636D5CB6" w14:textId="5DB95E8D" w:rsidR="00336A35" w:rsidRDefault="00336A35">
          <w:pPr>
            <w:pStyle w:val="TOC1"/>
            <w:tabs>
              <w:tab w:val="right" w:leader="dot" w:pos="9350"/>
            </w:tabs>
            <w:rPr>
              <w:rFonts w:eastAsiaTheme="minorEastAsia"/>
              <w:noProof/>
              <w:lang w:val="en-US" w:bidi="ar-SA"/>
            </w:rPr>
          </w:pPr>
          <w:hyperlink w:anchor="_Toc136254537" w:history="1">
            <w:r w:rsidRPr="00F96CC8">
              <w:rPr>
                <w:rStyle w:val="Hyperlink"/>
                <w:rFonts w:ascii="Times New Roman" w:eastAsiaTheme="majorEastAsia" w:hAnsi="Times New Roman" w:cs="Times New Roman"/>
                <w:b/>
                <w:bCs/>
                <w:noProof/>
                <w:kern w:val="24"/>
                <w:lang w:val="en-US"/>
              </w:rPr>
              <w:t>Introduction</w:t>
            </w:r>
            <w:r>
              <w:rPr>
                <w:noProof/>
                <w:webHidden/>
              </w:rPr>
              <w:tab/>
            </w:r>
            <w:r>
              <w:rPr>
                <w:noProof/>
                <w:webHidden/>
              </w:rPr>
              <w:fldChar w:fldCharType="begin"/>
            </w:r>
            <w:r>
              <w:rPr>
                <w:noProof/>
                <w:webHidden/>
              </w:rPr>
              <w:instrText xml:space="preserve"> PAGEREF _Toc136254537 \h </w:instrText>
            </w:r>
            <w:r>
              <w:rPr>
                <w:noProof/>
                <w:webHidden/>
              </w:rPr>
            </w:r>
            <w:r>
              <w:rPr>
                <w:noProof/>
                <w:webHidden/>
              </w:rPr>
              <w:fldChar w:fldCharType="separate"/>
            </w:r>
            <w:r>
              <w:rPr>
                <w:noProof/>
                <w:webHidden/>
              </w:rPr>
              <w:t>4</w:t>
            </w:r>
            <w:r>
              <w:rPr>
                <w:noProof/>
                <w:webHidden/>
              </w:rPr>
              <w:fldChar w:fldCharType="end"/>
            </w:r>
          </w:hyperlink>
        </w:p>
        <w:p w14:paraId="758AA787" w14:textId="0D17F617" w:rsidR="00336A35" w:rsidRDefault="00336A35">
          <w:pPr>
            <w:pStyle w:val="TOC1"/>
            <w:tabs>
              <w:tab w:val="left" w:pos="440"/>
              <w:tab w:val="right" w:leader="dot" w:pos="9350"/>
            </w:tabs>
            <w:rPr>
              <w:rFonts w:eastAsiaTheme="minorEastAsia"/>
              <w:noProof/>
              <w:lang w:val="en-US" w:bidi="ar-SA"/>
            </w:rPr>
          </w:pPr>
          <w:hyperlink w:anchor="_Toc136254538" w:history="1">
            <w:r w:rsidRPr="00F96CC8">
              <w:rPr>
                <w:rStyle w:val="Hyperlink"/>
                <w:rFonts w:ascii="Times New Roman" w:eastAsiaTheme="majorEastAsia" w:hAnsi="Times New Roman" w:cs="Times New Roman"/>
                <w:b/>
                <w:bCs/>
                <w:noProof/>
                <w:kern w:val="24"/>
                <w:lang w:val="en-US"/>
              </w:rPr>
              <w:t>1.</w:t>
            </w:r>
            <w:r>
              <w:rPr>
                <w:rFonts w:eastAsiaTheme="minorEastAsia"/>
                <w:noProof/>
                <w:lang w:val="en-US" w:bidi="ar-SA"/>
              </w:rPr>
              <w:tab/>
            </w:r>
            <w:r w:rsidRPr="00F96CC8">
              <w:rPr>
                <w:rStyle w:val="Hyperlink"/>
                <w:rFonts w:ascii="Times New Roman" w:eastAsiaTheme="majorEastAsia" w:hAnsi="Times New Roman" w:cs="Times New Roman"/>
                <w:b/>
                <w:bCs/>
                <w:noProof/>
                <w:kern w:val="24"/>
                <w:lang w:val="en-US"/>
              </w:rPr>
              <w:t>General Implementation Measures</w:t>
            </w:r>
            <w:r>
              <w:rPr>
                <w:noProof/>
                <w:webHidden/>
              </w:rPr>
              <w:tab/>
            </w:r>
            <w:r>
              <w:rPr>
                <w:noProof/>
                <w:webHidden/>
              </w:rPr>
              <w:fldChar w:fldCharType="begin"/>
            </w:r>
            <w:r>
              <w:rPr>
                <w:noProof/>
                <w:webHidden/>
              </w:rPr>
              <w:instrText xml:space="preserve"> PAGEREF _Toc136254538 \h </w:instrText>
            </w:r>
            <w:r>
              <w:rPr>
                <w:noProof/>
                <w:webHidden/>
              </w:rPr>
            </w:r>
            <w:r>
              <w:rPr>
                <w:noProof/>
                <w:webHidden/>
              </w:rPr>
              <w:fldChar w:fldCharType="separate"/>
            </w:r>
            <w:r>
              <w:rPr>
                <w:noProof/>
                <w:webHidden/>
              </w:rPr>
              <w:t>4</w:t>
            </w:r>
            <w:r>
              <w:rPr>
                <w:noProof/>
                <w:webHidden/>
              </w:rPr>
              <w:fldChar w:fldCharType="end"/>
            </w:r>
          </w:hyperlink>
        </w:p>
        <w:p w14:paraId="6349D815" w14:textId="1428D8A1" w:rsidR="00336A35" w:rsidRDefault="00336A35">
          <w:pPr>
            <w:pStyle w:val="TOC1"/>
            <w:tabs>
              <w:tab w:val="left" w:pos="440"/>
              <w:tab w:val="right" w:leader="dot" w:pos="9350"/>
            </w:tabs>
            <w:rPr>
              <w:rFonts w:eastAsiaTheme="minorEastAsia"/>
              <w:noProof/>
              <w:lang w:val="en-US" w:bidi="ar-SA"/>
            </w:rPr>
          </w:pPr>
          <w:hyperlink w:anchor="_Toc136254539" w:history="1">
            <w:r w:rsidRPr="00F96CC8">
              <w:rPr>
                <w:rStyle w:val="Hyperlink"/>
                <w:rFonts w:ascii="Times New Roman" w:eastAsiaTheme="majorEastAsia" w:hAnsi="Times New Roman" w:cs="Times New Roman"/>
                <w:b/>
                <w:bCs/>
                <w:noProof/>
                <w:kern w:val="24"/>
                <w:lang w:val="en-US"/>
              </w:rPr>
              <w:t>2.</w:t>
            </w:r>
            <w:r>
              <w:rPr>
                <w:rFonts w:eastAsiaTheme="minorEastAsia"/>
                <w:noProof/>
                <w:lang w:val="en-US" w:bidi="ar-SA"/>
              </w:rPr>
              <w:tab/>
            </w:r>
            <w:r w:rsidRPr="00F96CC8">
              <w:rPr>
                <w:rStyle w:val="Hyperlink"/>
                <w:rFonts w:ascii="Times New Roman" w:eastAsiaTheme="majorEastAsia" w:hAnsi="Times New Roman" w:cs="Times New Roman"/>
                <w:b/>
                <w:bCs/>
                <w:noProof/>
                <w:kern w:val="24"/>
                <w:lang w:val="en-US"/>
              </w:rPr>
              <w:t>Discrimination based on Sex</w:t>
            </w:r>
            <w:r>
              <w:rPr>
                <w:noProof/>
                <w:webHidden/>
              </w:rPr>
              <w:tab/>
            </w:r>
            <w:r>
              <w:rPr>
                <w:noProof/>
                <w:webHidden/>
              </w:rPr>
              <w:fldChar w:fldCharType="begin"/>
            </w:r>
            <w:r>
              <w:rPr>
                <w:noProof/>
                <w:webHidden/>
              </w:rPr>
              <w:instrText xml:space="preserve"> PAGEREF _Toc136254539 \h </w:instrText>
            </w:r>
            <w:r>
              <w:rPr>
                <w:noProof/>
                <w:webHidden/>
              </w:rPr>
            </w:r>
            <w:r>
              <w:rPr>
                <w:noProof/>
                <w:webHidden/>
              </w:rPr>
              <w:fldChar w:fldCharType="separate"/>
            </w:r>
            <w:r>
              <w:rPr>
                <w:noProof/>
                <w:webHidden/>
              </w:rPr>
              <w:t>6</w:t>
            </w:r>
            <w:r>
              <w:rPr>
                <w:noProof/>
                <w:webHidden/>
              </w:rPr>
              <w:fldChar w:fldCharType="end"/>
            </w:r>
          </w:hyperlink>
        </w:p>
        <w:p w14:paraId="22F38927" w14:textId="681C8BEB" w:rsidR="00336A35" w:rsidRDefault="00336A35">
          <w:pPr>
            <w:pStyle w:val="TOC1"/>
            <w:tabs>
              <w:tab w:val="left" w:pos="440"/>
              <w:tab w:val="right" w:leader="dot" w:pos="9350"/>
            </w:tabs>
            <w:rPr>
              <w:rFonts w:eastAsiaTheme="minorEastAsia"/>
              <w:noProof/>
              <w:lang w:val="en-US" w:bidi="ar-SA"/>
            </w:rPr>
          </w:pPr>
          <w:hyperlink w:anchor="_Toc136254540" w:history="1">
            <w:r w:rsidRPr="00F96CC8">
              <w:rPr>
                <w:rStyle w:val="Hyperlink"/>
                <w:rFonts w:ascii="Times New Roman" w:hAnsi="Times New Roman" w:cs="Times New Roman"/>
                <w:b/>
                <w:bCs/>
                <w:noProof/>
              </w:rPr>
              <w:t>3.</w:t>
            </w:r>
            <w:r>
              <w:rPr>
                <w:rFonts w:eastAsiaTheme="minorEastAsia"/>
                <w:noProof/>
                <w:lang w:val="en-US" w:bidi="ar-SA"/>
              </w:rPr>
              <w:tab/>
            </w:r>
            <w:r w:rsidRPr="00F96CC8">
              <w:rPr>
                <w:rStyle w:val="Hyperlink"/>
                <w:rFonts w:ascii="Times New Roman" w:hAnsi="Times New Roman" w:cs="Times New Roman"/>
                <w:b/>
                <w:bCs/>
                <w:noProof/>
              </w:rPr>
              <w:t xml:space="preserve">Right </w:t>
            </w:r>
            <w:r w:rsidRPr="00F96CC8">
              <w:rPr>
                <w:rStyle w:val="Hyperlink"/>
                <w:rFonts w:ascii="Times New Roman" w:eastAsiaTheme="majorEastAsia" w:hAnsi="Times New Roman" w:cs="Times New Roman"/>
                <w:b/>
                <w:bCs/>
                <w:noProof/>
                <w:kern w:val="24"/>
                <w:lang w:val="en-US"/>
              </w:rPr>
              <w:t>to</w:t>
            </w:r>
            <w:r w:rsidRPr="00F96CC8">
              <w:rPr>
                <w:rStyle w:val="Hyperlink"/>
                <w:rFonts w:ascii="Times New Roman" w:hAnsi="Times New Roman" w:cs="Times New Roman"/>
                <w:b/>
                <w:bCs/>
                <w:noProof/>
              </w:rPr>
              <w:t xml:space="preserve"> Life</w:t>
            </w:r>
            <w:r>
              <w:rPr>
                <w:noProof/>
                <w:webHidden/>
              </w:rPr>
              <w:tab/>
            </w:r>
            <w:r>
              <w:rPr>
                <w:noProof/>
                <w:webHidden/>
              </w:rPr>
              <w:fldChar w:fldCharType="begin"/>
            </w:r>
            <w:r>
              <w:rPr>
                <w:noProof/>
                <w:webHidden/>
              </w:rPr>
              <w:instrText xml:space="preserve"> PAGEREF _Toc136254540 \h </w:instrText>
            </w:r>
            <w:r>
              <w:rPr>
                <w:noProof/>
                <w:webHidden/>
              </w:rPr>
            </w:r>
            <w:r>
              <w:rPr>
                <w:noProof/>
                <w:webHidden/>
              </w:rPr>
              <w:fldChar w:fldCharType="separate"/>
            </w:r>
            <w:r>
              <w:rPr>
                <w:noProof/>
                <w:webHidden/>
              </w:rPr>
              <w:t>6</w:t>
            </w:r>
            <w:r>
              <w:rPr>
                <w:noProof/>
                <w:webHidden/>
              </w:rPr>
              <w:fldChar w:fldCharType="end"/>
            </w:r>
          </w:hyperlink>
        </w:p>
        <w:p w14:paraId="73E169BE" w14:textId="32EF90ED" w:rsidR="00336A35" w:rsidRDefault="00336A35">
          <w:pPr>
            <w:pStyle w:val="TOC1"/>
            <w:tabs>
              <w:tab w:val="left" w:pos="440"/>
              <w:tab w:val="right" w:leader="dot" w:pos="9350"/>
            </w:tabs>
            <w:rPr>
              <w:rFonts w:eastAsiaTheme="minorEastAsia"/>
              <w:noProof/>
              <w:lang w:val="en-US" w:bidi="ar-SA"/>
            </w:rPr>
          </w:pPr>
          <w:hyperlink w:anchor="_Toc136254541" w:history="1">
            <w:r w:rsidRPr="00F96CC8">
              <w:rPr>
                <w:rStyle w:val="Hyperlink"/>
                <w:rFonts w:ascii="Times New Roman" w:hAnsi="Times New Roman" w:cs="Times New Roman"/>
                <w:b/>
                <w:bCs/>
                <w:noProof/>
              </w:rPr>
              <w:t>4.</w:t>
            </w:r>
            <w:r>
              <w:rPr>
                <w:rFonts w:eastAsiaTheme="minorEastAsia"/>
                <w:noProof/>
                <w:lang w:val="en-US" w:bidi="ar-SA"/>
              </w:rPr>
              <w:tab/>
            </w:r>
            <w:r w:rsidRPr="00F96CC8">
              <w:rPr>
                <w:rStyle w:val="Hyperlink"/>
                <w:rFonts w:ascii="Times New Roman" w:hAnsi="Times New Roman" w:cs="Times New Roman"/>
                <w:b/>
                <w:bCs/>
                <w:noProof/>
              </w:rPr>
              <w:t>Right to Physical Integrity</w:t>
            </w:r>
            <w:r>
              <w:rPr>
                <w:noProof/>
                <w:webHidden/>
              </w:rPr>
              <w:tab/>
            </w:r>
            <w:r>
              <w:rPr>
                <w:noProof/>
                <w:webHidden/>
              </w:rPr>
              <w:fldChar w:fldCharType="begin"/>
            </w:r>
            <w:r>
              <w:rPr>
                <w:noProof/>
                <w:webHidden/>
              </w:rPr>
              <w:instrText xml:space="preserve"> PAGEREF _Toc136254541 \h </w:instrText>
            </w:r>
            <w:r>
              <w:rPr>
                <w:noProof/>
                <w:webHidden/>
              </w:rPr>
            </w:r>
            <w:r>
              <w:rPr>
                <w:noProof/>
                <w:webHidden/>
              </w:rPr>
              <w:fldChar w:fldCharType="separate"/>
            </w:r>
            <w:r>
              <w:rPr>
                <w:noProof/>
                <w:webHidden/>
              </w:rPr>
              <w:t>7</w:t>
            </w:r>
            <w:r>
              <w:rPr>
                <w:noProof/>
                <w:webHidden/>
              </w:rPr>
              <w:fldChar w:fldCharType="end"/>
            </w:r>
          </w:hyperlink>
        </w:p>
        <w:p w14:paraId="29A2904A" w14:textId="175BF86B" w:rsidR="00336A35" w:rsidRDefault="00336A35">
          <w:pPr>
            <w:pStyle w:val="TOC1"/>
            <w:tabs>
              <w:tab w:val="left" w:pos="440"/>
              <w:tab w:val="right" w:leader="dot" w:pos="9350"/>
            </w:tabs>
            <w:rPr>
              <w:rFonts w:eastAsiaTheme="minorEastAsia"/>
              <w:noProof/>
              <w:lang w:val="en-US" w:bidi="ar-SA"/>
            </w:rPr>
          </w:pPr>
          <w:hyperlink w:anchor="_Toc136254542" w:history="1">
            <w:r w:rsidRPr="00F96CC8">
              <w:rPr>
                <w:rStyle w:val="Hyperlink"/>
                <w:rFonts w:ascii="Times New Roman" w:hAnsi="Times New Roman" w:cs="Times New Roman"/>
                <w:b/>
                <w:bCs/>
                <w:noProof/>
              </w:rPr>
              <w:t>5.</w:t>
            </w:r>
            <w:r>
              <w:rPr>
                <w:rFonts w:eastAsiaTheme="minorEastAsia"/>
                <w:noProof/>
                <w:lang w:val="en-US" w:bidi="ar-SA"/>
              </w:rPr>
              <w:tab/>
            </w:r>
            <w:r w:rsidRPr="00F96CC8">
              <w:rPr>
                <w:rStyle w:val="Hyperlink"/>
                <w:rFonts w:ascii="Times New Roman" w:hAnsi="Times New Roman" w:cs="Times New Roman"/>
                <w:b/>
                <w:bCs/>
                <w:noProof/>
              </w:rPr>
              <w:t>Right to Liberty and Security of Person</w:t>
            </w:r>
            <w:r>
              <w:rPr>
                <w:noProof/>
                <w:webHidden/>
              </w:rPr>
              <w:tab/>
            </w:r>
            <w:r>
              <w:rPr>
                <w:noProof/>
                <w:webHidden/>
              </w:rPr>
              <w:fldChar w:fldCharType="begin"/>
            </w:r>
            <w:r>
              <w:rPr>
                <w:noProof/>
                <w:webHidden/>
              </w:rPr>
              <w:instrText xml:space="preserve"> PAGEREF _Toc136254542 \h </w:instrText>
            </w:r>
            <w:r>
              <w:rPr>
                <w:noProof/>
                <w:webHidden/>
              </w:rPr>
            </w:r>
            <w:r>
              <w:rPr>
                <w:noProof/>
                <w:webHidden/>
              </w:rPr>
              <w:fldChar w:fldCharType="separate"/>
            </w:r>
            <w:r>
              <w:rPr>
                <w:noProof/>
                <w:webHidden/>
              </w:rPr>
              <w:t>8</w:t>
            </w:r>
            <w:r>
              <w:rPr>
                <w:noProof/>
                <w:webHidden/>
              </w:rPr>
              <w:fldChar w:fldCharType="end"/>
            </w:r>
          </w:hyperlink>
        </w:p>
        <w:p w14:paraId="5C8640DF" w14:textId="313A9745" w:rsidR="00336A35" w:rsidRDefault="00336A35">
          <w:pPr>
            <w:pStyle w:val="TOC1"/>
            <w:tabs>
              <w:tab w:val="left" w:pos="440"/>
              <w:tab w:val="right" w:leader="dot" w:pos="9350"/>
            </w:tabs>
            <w:rPr>
              <w:rFonts w:eastAsiaTheme="minorEastAsia"/>
              <w:noProof/>
              <w:lang w:val="en-US" w:bidi="ar-SA"/>
            </w:rPr>
          </w:pPr>
          <w:hyperlink w:anchor="_Toc136254543" w:history="1">
            <w:r w:rsidRPr="00F96CC8">
              <w:rPr>
                <w:rStyle w:val="Hyperlink"/>
                <w:rFonts w:ascii="Times New Roman" w:hAnsi="Times New Roman" w:cs="Times New Roman"/>
                <w:b/>
                <w:bCs/>
                <w:noProof/>
              </w:rPr>
              <w:t>6.</w:t>
            </w:r>
            <w:r>
              <w:rPr>
                <w:rFonts w:eastAsiaTheme="minorEastAsia"/>
                <w:noProof/>
                <w:lang w:val="en-US" w:bidi="ar-SA"/>
              </w:rPr>
              <w:tab/>
            </w:r>
            <w:r w:rsidRPr="00F96CC8">
              <w:rPr>
                <w:rStyle w:val="Hyperlink"/>
                <w:rFonts w:ascii="Times New Roman" w:hAnsi="Times New Roman" w:cs="Times New Roman"/>
                <w:b/>
                <w:bCs/>
                <w:noProof/>
              </w:rPr>
              <w:t>Imprisonment due to Failure to Fulfil a Contractual Obligation</w:t>
            </w:r>
            <w:r>
              <w:rPr>
                <w:noProof/>
                <w:webHidden/>
              </w:rPr>
              <w:tab/>
            </w:r>
            <w:r>
              <w:rPr>
                <w:noProof/>
                <w:webHidden/>
              </w:rPr>
              <w:fldChar w:fldCharType="begin"/>
            </w:r>
            <w:r>
              <w:rPr>
                <w:noProof/>
                <w:webHidden/>
              </w:rPr>
              <w:instrText xml:space="preserve"> PAGEREF _Toc136254543 \h </w:instrText>
            </w:r>
            <w:r>
              <w:rPr>
                <w:noProof/>
                <w:webHidden/>
              </w:rPr>
            </w:r>
            <w:r>
              <w:rPr>
                <w:noProof/>
                <w:webHidden/>
              </w:rPr>
              <w:fldChar w:fldCharType="separate"/>
            </w:r>
            <w:r>
              <w:rPr>
                <w:noProof/>
                <w:webHidden/>
              </w:rPr>
              <w:t>10</w:t>
            </w:r>
            <w:r>
              <w:rPr>
                <w:noProof/>
                <w:webHidden/>
              </w:rPr>
              <w:fldChar w:fldCharType="end"/>
            </w:r>
          </w:hyperlink>
        </w:p>
        <w:p w14:paraId="25738A9F" w14:textId="72DDC893" w:rsidR="00336A35" w:rsidRDefault="00336A35">
          <w:pPr>
            <w:pStyle w:val="TOC1"/>
            <w:tabs>
              <w:tab w:val="left" w:pos="440"/>
              <w:tab w:val="right" w:leader="dot" w:pos="9350"/>
            </w:tabs>
            <w:rPr>
              <w:rFonts w:eastAsiaTheme="minorEastAsia"/>
              <w:noProof/>
              <w:lang w:val="en-US" w:bidi="ar-SA"/>
            </w:rPr>
          </w:pPr>
          <w:hyperlink w:anchor="_Toc136254544" w:history="1">
            <w:r w:rsidRPr="00F96CC8">
              <w:rPr>
                <w:rStyle w:val="Hyperlink"/>
                <w:rFonts w:ascii="Times New Roman" w:hAnsi="Times New Roman" w:cs="Times New Roman"/>
                <w:b/>
                <w:bCs/>
                <w:noProof/>
              </w:rPr>
              <w:t>7.</w:t>
            </w:r>
            <w:r>
              <w:rPr>
                <w:rFonts w:eastAsiaTheme="minorEastAsia"/>
                <w:noProof/>
                <w:lang w:val="en-US" w:bidi="ar-SA"/>
              </w:rPr>
              <w:tab/>
            </w:r>
            <w:r w:rsidRPr="00F96CC8">
              <w:rPr>
                <w:rStyle w:val="Hyperlink"/>
                <w:rFonts w:ascii="Times New Roman" w:hAnsi="Times New Roman" w:cs="Times New Roman"/>
                <w:b/>
                <w:bCs/>
                <w:noProof/>
              </w:rPr>
              <w:t>Right to Freedom of Movement</w:t>
            </w:r>
            <w:r>
              <w:rPr>
                <w:noProof/>
                <w:webHidden/>
              </w:rPr>
              <w:tab/>
            </w:r>
            <w:r>
              <w:rPr>
                <w:noProof/>
                <w:webHidden/>
              </w:rPr>
              <w:fldChar w:fldCharType="begin"/>
            </w:r>
            <w:r>
              <w:rPr>
                <w:noProof/>
                <w:webHidden/>
              </w:rPr>
              <w:instrText xml:space="preserve"> PAGEREF _Toc136254544 \h </w:instrText>
            </w:r>
            <w:r>
              <w:rPr>
                <w:noProof/>
                <w:webHidden/>
              </w:rPr>
            </w:r>
            <w:r>
              <w:rPr>
                <w:noProof/>
                <w:webHidden/>
              </w:rPr>
              <w:fldChar w:fldCharType="separate"/>
            </w:r>
            <w:r>
              <w:rPr>
                <w:noProof/>
                <w:webHidden/>
              </w:rPr>
              <w:t>10</w:t>
            </w:r>
            <w:r>
              <w:rPr>
                <w:noProof/>
                <w:webHidden/>
              </w:rPr>
              <w:fldChar w:fldCharType="end"/>
            </w:r>
          </w:hyperlink>
        </w:p>
        <w:p w14:paraId="5C99C6E8" w14:textId="3B87389F" w:rsidR="00336A35" w:rsidRDefault="00336A35">
          <w:pPr>
            <w:pStyle w:val="TOC1"/>
            <w:tabs>
              <w:tab w:val="left" w:pos="440"/>
              <w:tab w:val="right" w:leader="dot" w:pos="9350"/>
            </w:tabs>
            <w:rPr>
              <w:rFonts w:eastAsiaTheme="minorEastAsia"/>
              <w:noProof/>
              <w:lang w:val="en-US" w:bidi="ar-SA"/>
            </w:rPr>
          </w:pPr>
          <w:hyperlink w:anchor="_Toc136254545" w:history="1">
            <w:r w:rsidRPr="00F96CC8">
              <w:rPr>
                <w:rStyle w:val="Hyperlink"/>
                <w:rFonts w:ascii="Times New Roman" w:hAnsi="Times New Roman" w:cs="Times New Roman"/>
                <w:b/>
                <w:bCs/>
                <w:noProof/>
              </w:rPr>
              <w:t>8.</w:t>
            </w:r>
            <w:r>
              <w:rPr>
                <w:rFonts w:eastAsiaTheme="minorEastAsia"/>
                <w:noProof/>
                <w:lang w:val="en-US" w:bidi="ar-SA"/>
              </w:rPr>
              <w:tab/>
            </w:r>
            <w:r w:rsidRPr="00F96CC8">
              <w:rPr>
                <w:rStyle w:val="Hyperlink"/>
                <w:rFonts w:ascii="Times New Roman" w:hAnsi="Times New Roman" w:cs="Times New Roman"/>
                <w:b/>
                <w:bCs/>
                <w:noProof/>
              </w:rPr>
              <w:t>Right to Fair Trial</w:t>
            </w:r>
            <w:r>
              <w:rPr>
                <w:noProof/>
                <w:webHidden/>
              </w:rPr>
              <w:tab/>
            </w:r>
            <w:r>
              <w:rPr>
                <w:noProof/>
                <w:webHidden/>
              </w:rPr>
              <w:fldChar w:fldCharType="begin"/>
            </w:r>
            <w:r>
              <w:rPr>
                <w:noProof/>
                <w:webHidden/>
              </w:rPr>
              <w:instrText xml:space="preserve"> PAGEREF _Toc136254545 \h </w:instrText>
            </w:r>
            <w:r>
              <w:rPr>
                <w:noProof/>
                <w:webHidden/>
              </w:rPr>
            </w:r>
            <w:r>
              <w:rPr>
                <w:noProof/>
                <w:webHidden/>
              </w:rPr>
              <w:fldChar w:fldCharType="separate"/>
            </w:r>
            <w:r>
              <w:rPr>
                <w:noProof/>
                <w:webHidden/>
              </w:rPr>
              <w:t>11</w:t>
            </w:r>
            <w:r>
              <w:rPr>
                <w:noProof/>
                <w:webHidden/>
              </w:rPr>
              <w:fldChar w:fldCharType="end"/>
            </w:r>
          </w:hyperlink>
        </w:p>
        <w:p w14:paraId="1270A79F" w14:textId="0CFD3BE5" w:rsidR="00336A35" w:rsidRDefault="00336A35">
          <w:pPr>
            <w:pStyle w:val="TOC1"/>
            <w:tabs>
              <w:tab w:val="left" w:pos="440"/>
              <w:tab w:val="right" w:leader="dot" w:pos="9350"/>
            </w:tabs>
            <w:rPr>
              <w:rFonts w:eastAsiaTheme="minorEastAsia"/>
              <w:noProof/>
              <w:lang w:val="en-US" w:bidi="ar-SA"/>
            </w:rPr>
          </w:pPr>
          <w:hyperlink w:anchor="_Toc136254546" w:history="1">
            <w:r w:rsidRPr="00F96CC8">
              <w:rPr>
                <w:rStyle w:val="Hyperlink"/>
                <w:rFonts w:ascii="Times New Roman" w:hAnsi="Times New Roman" w:cs="Times New Roman"/>
                <w:b/>
                <w:bCs/>
                <w:noProof/>
              </w:rPr>
              <w:t>9.</w:t>
            </w:r>
            <w:r>
              <w:rPr>
                <w:rFonts w:eastAsiaTheme="minorEastAsia"/>
                <w:noProof/>
                <w:lang w:val="en-US" w:bidi="ar-SA"/>
              </w:rPr>
              <w:tab/>
            </w:r>
            <w:r w:rsidRPr="00F96CC8">
              <w:rPr>
                <w:rStyle w:val="Hyperlink"/>
                <w:rFonts w:ascii="Times New Roman" w:hAnsi="Times New Roman" w:cs="Times New Roman"/>
                <w:b/>
                <w:bCs/>
                <w:noProof/>
              </w:rPr>
              <w:t>Right to Privacy</w:t>
            </w:r>
            <w:r>
              <w:rPr>
                <w:noProof/>
                <w:webHidden/>
              </w:rPr>
              <w:tab/>
            </w:r>
            <w:r>
              <w:rPr>
                <w:noProof/>
                <w:webHidden/>
              </w:rPr>
              <w:fldChar w:fldCharType="begin"/>
            </w:r>
            <w:r>
              <w:rPr>
                <w:noProof/>
                <w:webHidden/>
              </w:rPr>
              <w:instrText xml:space="preserve"> PAGEREF _Toc136254546 \h </w:instrText>
            </w:r>
            <w:r>
              <w:rPr>
                <w:noProof/>
                <w:webHidden/>
              </w:rPr>
            </w:r>
            <w:r>
              <w:rPr>
                <w:noProof/>
                <w:webHidden/>
              </w:rPr>
              <w:fldChar w:fldCharType="separate"/>
            </w:r>
            <w:r>
              <w:rPr>
                <w:noProof/>
                <w:webHidden/>
              </w:rPr>
              <w:t>12</w:t>
            </w:r>
            <w:r>
              <w:rPr>
                <w:noProof/>
                <w:webHidden/>
              </w:rPr>
              <w:fldChar w:fldCharType="end"/>
            </w:r>
          </w:hyperlink>
        </w:p>
        <w:p w14:paraId="06DB437A" w14:textId="1E4810E8" w:rsidR="00336A35" w:rsidRDefault="00336A35">
          <w:pPr>
            <w:pStyle w:val="TOC1"/>
            <w:tabs>
              <w:tab w:val="left" w:pos="660"/>
              <w:tab w:val="right" w:leader="dot" w:pos="9350"/>
            </w:tabs>
            <w:rPr>
              <w:rFonts w:eastAsiaTheme="minorEastAsia"/>
              <w:noProof/>
              <w:lang w:val="en-US" w:bidi="ar-SA"/>
            </w:rPr>
          </w:pPr>
          <w:hyperlink w:anchor="_Toc136254547" w:history="1">
            <w:r w:rsidRPr="00F96CC8">
              <w:rPr>
                <w:rStyle w:val="Hyperlink"/>
                <w:rFonts w:ascii="Times New Roman" w:hAnsi="Times New Roman" w:cs="Times New Roman"/>
                <w:b/>
                <w:bCs/>
                <w:noProof/>
              </w:rPr>
              <w:t>10.</w:t>
            </w:r>
            <w:r>
              <w:rPr>
                <w:rFonts w:eastAsiaTheme="minorEastAsia"/>
                <w:noProof/>
                <w:lang w:val="en-US" w:bidi="ar-SA"/>
              </w:rPr>
              <w:tab/>
            </w:r>
            <w:r w:rsidRPr="00F96CC8">
              <w:rPr>
                <w:rStyle w:val="Hyperlink"/>
                <w:rFonts w:ascii="Times New Roman" w:hAnsi="Times New Roman" w:cs="Times New Roman"/>
                <w:b/>
                <w:bCs/>
                <w:noProof/>
              </w:rPr>
              <w:t>The Right to Freedom of Expression</w:t>
            </w:r>
            <w:r>
              <w:rPr>
                <w:noProof/>
                <w:webHidden/>
              </w:rPr>
              <w:tab/>
            </w:r>
            <w:r>
              <w:rPr>
                <w:noProof/>
                <w:webHidden/>
              </w:rPr>
              <w:fldChar w:fldCharType="begin"/>
            </w:r>
            <w:r>
              <w:rPr>
                <w:noProof/>
                <w:webHidden/>
              </w:rPr>
              <w:instrText xml:space="preserve"> PAGEREF _Toc136254547 \h </w:instrText>
            </w:r>
            <w:r>
              <w:rPr>
                <w:noProof/>
                <w:webHidden/>
              </w:rPr>
            </w:r>
            <w:r>
              <w:rPr>
                <w:noProof/>
                <w:webHidden/>
              </w:rPr>
              <w:fldChar w:fldCharType="separate"/>
            </w:r>
            <w:r>
              <w:rPr>
                <w:noProof/>
                <w:webHidden/>
              </w:rPr>
              <w:t>13</w:t>
            </w:r>
            <w:r>
              <w:rPr>
                <w:noProof/>
                <w:webHidden/>
              </w:rPr>
              <w:fldChar w:fldCharType="end"/>
            </w:r>
          </w:hyperlink>
        </w:p>
        <w:p w14:paraId="24B84217" w14:textId="6AB6C737" w:rsidR="00336A35" w:rsidRDefault="00336A35">
          <w:pPr>
            <w:pStyle w:val="TOC1"/>
            <w:tabs>
              <w:tab w:val="left" w:pos="660"/>
              <w:tab w:val="right" w:leader="dot" w:pos="9350"/>
            </w:tabs>
            <w:rPr>
              <w:rFonts w:eastAsiaTheme="minorEastAsia"/>
              <w:noProof/>
              <w:lang w:val="en-US" w:bidi="ar-SA"/>
            </w:rPr>
          </w:pPr>
          <w:hyperlink w:anchor="_Toc136254548" w:history="1">
            <w:r w:rsidRPr="00F96CC8">
              <w:rPr>
                <w:rStyle w:val="Hyperlink"/>
                <w:rFonts w:ascii="Times New Roman" w:eastAsiaTheme="majorEastAsia" w:hAnsi="Times New Roman" w:cs="Times New Roman"/>
                <w:b/>
                <w:bCs/>
                <w:noProof/>
                <w:kern w:val="24"/>
                <w:lang w:val="en-US"/>
              </w:rPr>
              <w:t>11.</w:t>
            </w:r>
            <w:r>
              <w:rPr>
                <w:rFonts w:eastAsiaTheme="minorEastAsia"/>
                <w:noProof/>
                <w:lang w:val="en-US" w:bidi="ar-SA"/>
              </w:rPr>
              <w:tab/>
            </w:r>
            <w:r w:rsidRPr="00F96CC8">
              <w:rPr>
                <w:rStyle w:val="Hyperlink"/>
                <w:rFonts w:ascii="Times New Roman" w:eastAsiaTheme="majorEastAsia" w:hAnsi="Times New Roman" w:cs="Times New Roman"/>
                <w:b/>
                <w:bCs/>
                <w:noProof/>
                <w:kern w:val="24"/>
                <w:lang w:val="en-US"/>
              </w:rPr>
              <w:t>Right to Freedom of Peaceful Assembly</w:t>
            </w:r>
            <w:r>
              <w:rPr>
                <w:noProof/>
                <w:webHidden/>
              </w:rPr>
              <w:tab/>
            </w:r>
            <w:r>
              <w:rPr>
                <w:noProof/>
                <w:webHidden/>
              </w:rPr>
              <w:fldChar w:fldCharType="begin"/>
            </w:r>
            <w:r>
              <w:rPr>
                <w:noProof/>
                <w:webHidden/>
              </w:rPr>
              <w:instrText xml:space="preserve"> PAGEREF _Toc136254548 \h </w:instrText>
            </w:r>
            <w:r>
              <w:rPr>
                <w:noProof/>
                <w:webHidden/>
              </w:rPr>
            </w:r>
            <w:r>
              <w:rPr>
                <w:noProof/>
                <w:webHidden/>
              </w:rPr>
              <w:fldChar w:fldCharType="separate"/>
            </w:r>
            <w:r>
              <w:rPr>
                <w:noProof/>
                <w:webHidden/>
              </w:rPr>
              <w:t>15</w:t>
            </w:r>
            <w:r>
              <w:rPr>
                <w:noProof/>
                <w:webHidden/>
              </w:rPr>
              <w:fldChar w:fldCharType="end"/>
            </w:r>
          </w:hyperlink>
        </w:p>
        <w:p w14:paraId="4BCC2A9F" w14:textId="372D3BA0" w:rsidR="00336A35" w:rsidRDefault="00336A35">
          <w:pPr>
            <w:pStyle w:val="TOC1"/>
            <w:tabs>
              <w:tab w:val="left" w:pos="660"/>
              <w:tab w:val="right" w:leader="dot" w:pos="9350"/>
            </w:tabs>
            <w:rPr>
              <w:rFonts w:eastAsiaTheme="minorEastAsia"/>
              <w:noProof/>
              <w:lang w:val="en-US" w:bidi="ar-SA"/>
            </w:rPr>
          </w:pPr>
          <w:hyperlink w:anchor="_Toc136254549" w:history="1">
            <w:r w:rsidRPr="00F96CC8">
              <w:rPr>
                <w:rStyle w:val="Hyperlink"/>
                <w:rFonts w:ascii="Times New Roman" w:hAnsi="Times New Roman" w:cs="Times New Roman"/>
                <w:b/>
                <w:bCs/>
                <w:noProof/>
              </w:rPr>
              <w:t>12.</w:t>
            </w:r>
            <w:r>
              <w:rPr>
                <w:rFonts w:eastAsiaTheme="minorEastAsia"/>
                <w:noProof/>
                <w:lang w:val="en-US" w:bidi="ar-SA"/>
              </w:rPr>
              <w:tab/>
            </w:r>
            <w:r w:rsidRPr="00F96CC8">
              <w:rPr>
                <w:rStyle w:val="Hyperlink"/>
                <w:rFonts w:ascii="Times New Roman" w:hAnsi="Times New Roman" w:cs="Times New Roman"/>
                <w:b/>
                <w:bCs/>
                <w:noProof/>
              </w:rPr>
              <w:t>Right to Freedom of Association and Right to Form or Join a Trade Union</w:t>
            </w:r>
            <w:r>
              <w:rPr>
                <w:noProof/>
                <w:webHidden/>
              </w:rPr>
              <w:tab/>
            </w:r>
            <w:r>
              <w:rPr>
                <w:noProof/>
                <w:webHidden/>
              </w:rPr>
              <w:fldChar w:fldCharType="begin"/>
            </w:r>
            <w:r>
              <w:rPr>
                <w:noProof/>
                <w:webHidden/>
              </w:rPr>
              <w:instrText xml:space="preserve"> PAGEREF _Toc136254549 \h </w:instrText>
            </w:r>
            <w:r>
              <w:rPr>
                <w:noProof/>
                <w:webHidden/>
              </w:rPr>
            </w:r>
            <w:r>
              <w:rPr>
                <w:noProof/>
                <w:webHidden/>
              </w:rPr>
              <w:fldChar w:fldCharType="separate"/>
            </w:r>
            <w:r>
              <w:rPr>
                <w:noProof/>
                <w:webHidden/>
              </w:rPr>
              <w:t>16</w:t>
            </w:r>
            <w:r>
              <w:rPr>
                <w:noProof/>
                <w:webHidden/>
              </w:rPr>
              <w:fldChar w:fldCharType="end"/>
            </w:r>
          </w:hyperlink>
        </w:p>
        <w:p w14:paraId="728BED6D" w14:textId="29BE3DB4" w:rsidR="00336A35" w:rsidRDefault="00336A35">
          <w:pPr>
            <w:pStyle w:val="TOC1"/>
            <w:tabs>
              <w:tab w:val="left" w:pos="660"/>
              <w:tab w:val="right" w:leader="dot" w:pos="9350"/>
            </w:tabs>
            <w:rPr>
              <w:rFonts w:eastAsiaTheme="minorEastAsia"/>
              <w:noProof/>
              <w:lang w:val="en-US" w:bidi="ar-SA"/>
            </w:rPr>
          </w:pPr>
          <w:hyperlink w:anchor="_Toc136254550" w:history="1">
            <w:r w:rsidRPr="00F96CC8">
              <w:rPr>
                <w:rStyle w:val="Hyperlink"/>
                <w:rFonts w:ascii="Times New Roman" w:eastAsiaTheme="majorEastAsia" w:hAnsi="Times New Roman" w:cs="Times New Roman"/>
                <w:b/>
                <w:bCs/>
                <w:noProof/>
                <w:kern w:val="24"/>
                <w:lang w:val="en-US"/>
              </w:rPr>
              <w:t>13.</w:t>
            </w:r>
            <w:r>
              <w:rPr>
                <w:rFonts w:eastAsiaTheme="minorEastAsia"/>
                <w:noProof/>
                <w:lang w:val="en-US" w:bidi="ar-SA"/>
              </w:rPr>
              <w:tab/>
            </w:r>
            <w:r w:rsidRPr="00F96CC8">
              <w:rPr>
                <w:rStyle w:val="Hyperlink"/>
                <w:rFonts w:ascii="Times New Roman" w:eastAsiaTheme="majorEastAsia" w:hAnsi="Times New Roman" w:cs="Times New Roman"/>
                <w:b/>
                <w:bCs/>
                <w:noProof/>
                <w:kern w:val="24"/>
                <w:lang w:val="en-US"/>
              </w:rPr>
              <w:t>Right of Equal Access to Public Service</w:t>
            </w:r>
            <w:r>
              <w:rPr>
                <w:noProof/>
                <w:webHidden/>
              </w:rPr>
              <w:tab/>
            </w:r>
            <w:r>
              <w:rPr>
                <w:noProof/>
                <w:webHidden/>
              </w:rPr>
              <w:fldChar w:fldCharType="begin"/>
            </w:r>
            <w:r>
              <w:rPr>
                <w:noProof/>
                <w:webHidden/>
              </w:rPr>
              <w:instrText xml:space="preserve"> PAGEREF _Toc136254550 \h </w:instrText>
            </w:r>
            <w:r>
              <w:rPr>
                <w:noProof/>
                <w:webHidden/>
              </w:rPr>
            </w:r>
            <w:r>
              <w:rPr>
                <w:noProof/>
                <w:webHidden/>
              </w:rPr>
              <w:fldChar w:fldCharType="separate"/>
            </w:r>
            <w:r>
              <w:rPr>
                <w:noProof/>
                <w:webHidden/>
              </w:rPr>
              <w:t>18</w:t>
            </w:r>
            <w:r>
              <w:rPr>
                <w:noProof/>
                <w:webHidden/>
              </w:rPr>
              <w:fldChar w:fldCharType="end"/>
            </w:r>
          </w:hyperlink>
        </w:p>
        <w:p w14:paraId="7D205C5D" w14:textId="58602527" w:rsidR="00336A35" w:rsidRDefault="00336A35">
          <w:pPr>
            <w:pStyle w:val="TOC1"/>
            <w:tabs>
              <w:tab w:val="left" w:pos="660"/>
              <w:tab w:val="right" w:leader="dot" w:pos="9350"/>
            </w:tabs>
            <w:rPr>
              <w:rFonts w:eastAsiaTheme="minorEastAsia"/>
              <w:noProof/>
              <w:lang w:val="en-US" w:bidi="ar-SA"/>
            </w:rPr>
          </w:pPr>
          <w:hyperlink w:anchor="_Toc136254551" w:history="1">
            <w:r w:rsidRPr="00F96CC8">
              <w:rPr>
                <w:rStyle w:val="Hyperlink"/>
                <w:rFonts w:ascii="Times New Roman" w:hAnsi="Times New Roman" w:cs="Times New Roman"/>
                <w:b/>
                <w:bCs/>
                <w:noProof/>
              </w:rPr>
              <w:t>14.</w:t>
            </w:r>
            <w:r>
              <w:rPr>
                <w:rFonts w:eastAsiaTheme="minorEastAsia"/>
                <w:noProof/>
                <w:lang w:val="en-US" w:bidi="ar-SA"/>
              </w:rPr>
              <w:tab/>
            </w:r>
            <w:r w:rsidRPr="00F96CC8">
              <w:rPr>
                <w:rStyle w:val="Hyperlink"/>
                <w:rFonts w:ascii="Times New Roman" w:hAnsi="Times New Roman" w:cs="Times New Roman"/>
                <w:b/>
                <w:bCs/>
                <w:noProof/>
              </w:rPr>
              <w:t xml:space="preserve">Right to </w:t>
            </w:r>
            <w:r w:rsidRPr="00F96CC8">
              <w:rPr>
                <w:rStyle w:val="Hyperlink"/>
                <w:rFonts w:ascii="Times New Roman" w:eastAsiaTheme="majorEastAsia" w:hAnsi="Times New Roman" w:cs="Times New Roman"/>
                <w:b/>
                <w:bCs/>
                <w:noProof/>
                <w:kern w:val="24"/>
                <w:lang w:val="en-US"/>
              </w:rPr>
              <w:t>Political</w:t>
            </w:r>
            <w:r w:rsidRPr="00F96CC8">
              <w:rPr>
                <w:rStyle w:val="Hyperlink"/>
                <w:rFonts w:ascii="Times New Roman" w:hAnsi="Times New Roman" w:cs="Times New Roman"/>
                <w:b/>
                <w:bCs/>
                <w:noProof/>
              </w:rPr>
              <w:t xml:space="preserve"> Participation (Local Elections)</w:t>
            </w:r>
            <w:r>
              <w:rPr>
                <w:noProof/>
                <w:webHidden/>
              </w:rPr>
              <w:tab/>
            </w:r>
            <w:r>
              <w:rPr>
                <w:noProof/>
                <w:webHidden/>
              </w:rPr>
              <w:fldChar w:fldCharType="begin"/>
            </w:r>
            <w:r>
              <w:rPr>
                <w:noProof/>
                <w:webHidden/>
              </w:rPr>
              <w:instrText xml:space="preserve"> PAGEREF _Toc136254551 \h </w:instrText>
            </w:r>
            <w:r>
              <w:rPr>
                <w:noProof/>
                <w:webHidden/>
              </w:rPr>
            </w:r>
            <w:r>
              <w:rPr>
                <w:noProof/>
                <w:webHidden/>
              </w:rPr>
              <w:fldChar w:fldCharType="separate"/>
            </w:r>
            <w:r>
              <w:rPr>
                <w:noProof/>
                <w:webHidden/>
              </w:rPr>
              <w:t>18</w:t>
            </w:r>
            <w:r>
              <w:rPr>
                <w:noProof/>
                <w:webHidden/>
              </w:rPr>
              <w:fldChar w:fldCharType="end"/>
            </w:r>
          </w:hyperlink>
        </w:p>
        <w:p w14:paraId="59F9B141" w14:textId="15F184B4" w:rsidR="00626361" w:rsidRDefault="00626361" w:rsidP="00626361">
          <w:pPr>
            <w:rPr>
              <w:rFonts w:ascii="Times New Roman" w:hAnsi="Times New Roman" w:cs="Simplified Arabic"/>
              <w:sz w:val="20"/>
              <w:szCs w:val="20"/>
            </w:rPr>
          </w:pPr>
          <w:r>
            <w:rPr>
              <w:rFonts w:ascii="Times New Roman" w:hAnsi="Times New Roman" w:cs="Times New Roman"/>
              <w:noProof/>
              <w:sz w:val="24"/>
              <w:szCs w:val="24"/>
            </w:rPr>
            <w:fldChar w:fldCharType="end"/>
          </w:r>
        </w:p>
      </w:sdtContent>
    </w:sdt>
    <w:p w14:paraId="65639856" w14:textId="59F5B54F" w:rsidR="00626361" w:rsidRDefault="00626361" w:rsidP="006621CC">
      <w:pPr>
        <w:jc w:val="both"/>
        <w:rPr>
          <w:rFonts w:cs="Times New Roman"/>
          <w:snapToGrid w:val="0"/>
          <w:sz w:val="24"/>
          <w:szCs w:val="24"/>
        </w:rPr>
      </w:pPr>
    </w:p>
    <w:p w14:paraId="42398731" w14:textId="51324BDF" w:rsidR="006621CC" w:rsidRDefault="006621CC" w:rsidP="006621CC">
      <w:pPr>
        <w:jc w:val="both"/>
        <w:rPr>
          <w:rFonts w:cs="Times New Roman"/>
          <w:sz w:val="24"/>
          <w:szCs w:val="24"/>
          <w:rtl/>
        </w:rPr>
      </w:pPr>
    </w:p>
    <w:p w14:paraId="11959709" w14:textId="32CFF2C3" w:rsidR="0053288C" w:rsidRDefault="0053288C" w:rsidP="006621CC">
      <w:pPr>
        <w:jc w:val="both"/>
        <w:rPr>
          <w:rFonts w:cs="Times New Roman"/>
          <w:sz w:val="24"/>
          <w:szCs w:val="24"/>
          <w:rtl/>
        </w:rPr>
      </w:pPr>
    </w:p>
    <w:p w14:paraId="6EA0E90C" w14:textId="2E1952C4" w:rsidR="0053288C" w:rsidRDefault="0053288C" w:rsidP="006621CC">
      <w:pPr>
        <w:jc w:val="both"/>
        <w:rPr>
          <w:rFonts w:cs="Times New Roman"/>
          <w:sz w:val="24"/>
          <w:szCs w:val="24"/>
          <w:rtl/>
        </w:rPr>
      </w:pPr>
    </w:p>
    <w:p w14:paraId="1C890824" w14:textId="77777777" w:rsidR="0053288C" w:rsidRDefault="0053288C" w:rsidP="006621CC">
      <w:pPr>
        <w:jc w:val="both"/>
        <w:rPr>
          <w:rFonts w:cs="Times New Roman"/>
          <w:sz w:val="24"/>
          <w:szCs w:val="24"/>
        </w:rPr>
      </w:pPr>
    </w:p>
    <w:p w14:paraId="23351EA1" w14:textId="47E4CDE5" w:rsidR="006621CC" w:rsidRDefault="006621CC" w:rsidP="006621CC">
      <w:pPr>
        <w:jc w:val="both"/>
        <w:rPr>
          <w:rFonts w:cs="Times New Roman"/>
          <w:sz w:val="24"/>
          <w:szCs w:val="24"/>
        </w:rPr>
      </w:pPr>
    </w:p>
    <w:p w14:paraId="2FBBA801" w14:textId="77777777" w:rsidR="006621CC" w:rsidRPr="006621CC" w:rsidRDefault="006621CC" w:rsidP="006621CC">
      <w:pPr>
        <w:jc w:val="both"/>
        <w:rPr>
          <w:rFonts w:cs="Times New Roman"/>
          <w:sz w:val="24"/>
          <w:szCs w:val="24"/>
        </w:rPr>
      </w:pPr>
    </w:p>
    <w:p w14:paraId="0ECCD0D4" w14:textId="77777777" w:rsidR="0053288C" w:rsidRPr="00046088" w:rsidRDefault="0053288C" w:rsidP="0053288C">
      <w:pPr>
        <w:pStyle w:val="Heading1"/>
        <w:pBdr>
          <w:top w:val="single" w:sz="4" w:space="1" w:color="auto"/>
          <w:left w:val="single" w:sz="4" w:space="4" w:color="auto"/>
          <w:bottom w:val="single" w:sz="4" w:space="1" w:color="auto"/>
          <w:right w:val="single" w:sz="4" w:space="4" w:color="auto"/>
        </w:pBdr>
        <w:shd w:val="clear" w:color="auto" w:fill="F2F2F2" w:themeFill="background1" w:themeFillShade="F2"/>
        <w:spacing w:before="0" w:after="200"/>
        <w:jc w:val="both"/>
        <w:rPr>
          <w:rFonts w:ascii="Times New Roman" w:hAnsi="Times New Roman" w:cs="Times New Roman"/>
          <w:b/>
          <w:bCs/>
          <w:color w:val="auto"/>
          <w:sz w:val="24"/>
          <w:szCs w:val="24"/>
        </w:rPr>
      </w:pPr>
      <w:bookmarkStart w:id="1" w:name="_Toc136254536"/>
      <w:r w:rsidRPr="00046088">
        <w:rPr>
          <w:rFonts w:ascii="Times New Roman" w:hAnsi="Times New Roman" w:cs="Times New Roman"/>
          <w:b/>
          <w:bCs/>
          <w:color w:val="auto"/>
          <w:sz w:val="24"/>
          <w:szCs w:val="24"/>
        </w:rPr>
        <w:lastRenderedPageBreak/>
        <w:t>ICHR Profile</w:t>
      </w:r>
      <w:bookmarkEnd w:id="1"/>
      <w:r w:rsidRPr="00046088">
        <w:rPr>
          <w:rFonts w:ascii="Times New Roman" w:hAnsi="Times New Roman" w:cs="Times New Roman"/>
          <w:b/>
          <w:bCs/>
          <w:color w:val="auto"/>
          <w:sz w:val="24"/>
          <w:szCs w:val="24"/>
        </w:rPr>
        <w:t xml:space="preserve"> </w:t>
      </w:r>
    </w:p>
    <w:p w14:paraId="62741201" w14:textId="1C79DD0F"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046088">
        <w:rPr>
          <w:rFonts w:ascii="Times New Roman" w:hAnsi="Times New Roman" w:cs="Times New Roman"/>
          <w:sz w:val="24"/>
          <w:szCs w:val="24"/>
        </w:rPr>
        <w:t xml:space="preserve">The Independent Commission for Human Rights (ICHR) is the Palestinian national human rights institution dedicated </w:t>
      </w:r>
      <w:r w:rsidR="00F62676">
        <w:rPr>
          <w:rFonts w:ascii="Times New Roman" w:hAnsi="Times New Roman" w:cs="Times New Roman"/>
          <w:sz w:val="24"/>
          <w:szCs w:val="24"/>
        </w:rPr>
        <w:t>to</w:t>
      </w:r>
      <w:r w:rsidRPr="00046088">
        <w:rPr>
          <w:rFonts w:ascii="Times New Roman" w:hAnsi="Times New Roman" w:cs="Times New Roman"/>
          <w:sz w:val="24"/>
          <w:szCs w:val="24"/>
        </w:rPr>
        <w:t xml:space="preserve"> the protection and promotion of human rights in Palestine. The ICHR was established </w:t>
      </w:r>
      <w:r w:rsidR="00F62676">
        <w:rPr>
          <w:rFonts w:ascii="Times New Roman" w:hAnsi="Times New Roman" w:cs="Times New Roman"/>
          <w:sz w:val="24"/>
          <w:szCs w:val="24"/>
        </w:rPr>
        <w:t>by</w:t>
      </w:r>
      <w:r w:rsidRPr="00046088">
        <w:rPr>
          <w:rFonts w:ascii="Times New Roman" w:hAnsi="Times New Roman" w:cs="Times New Roman"/>
          <w:sz w:val="24"/>
          <w:szCs w:val="24"/>
        </w:rPr>
        <w:t xml:space="preserve"> a Presidential Decree promulgated on 30 September 1993 and published in Issue 95 of 1995 in the Palestinian Official Gazette. Having initiated its functions in early 1994, the ICHR was later governed by Article 31 of the Palestinian Basic Law, which provides that “[a]n independent Commission for Human Rights shall be established by law, which shall specify its formation, duties, and mandate. The Commission shall submit its reports to the President of the National Authority and the Palestinian Legislative Council.” In consistence with the 1995 Presidential Decree and Article 31 of the Basic Law, the ICHR developed its statutes in a manner that ensures its independence and effective functions. </w:t>
      </w:r>
    </w:p>
    <w:p w14:paraId="19E3AB06" w14:textId="19A8F3BB"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046088">
        <w:rPr>
          <w:rFonts w:ascii="Times New Roman" w:hAnsi="Times New Roman" w:cs="Times New Roman"/>
          <w:sz w:val="24"/>
          <w:szCs w:val="24"/>
        </w:rPr>
        <w:t xml:space="preserve">The ICHR is a full member of the Global Alliance of National Human Rights Institutions (GANHRI). Thanks to its total commitment to the Principles relating to the Status of National Institutions (Paris Principles), most notably independence, the ICHR has maintained its A status since 2005. The ICHR is a member of the Arab Network for National Human Rights Institutions, serving as chair of the Network’s 2020 session. It is also a member of the Asia-Pacific Forum of Human Rights Institutions and </w:t>
      </w:r>
      <w:r w:rsidR="00FF53C9">
        <w:rPr>
          <w:rFonts w:ascii="Times New Roman" w:hAnsi="Times New Roman" w:cs="Times New Roman"/>
          <w:sz w:val="24"/>
          <w:szCs w:val="24"/>
        </w:rPr>
        <w:t xml:space="preserve">the </w:t>
      </w:r>
      <w:r w:rsidRPr="00046088">
        <w:rPr>
          <w:rFonts w:ascii="Times New Roman" w:hAnsi="Times New Roman" w:cs="Times New Roman"/>
          <w:sz w:val="24"/>
          <w:szCs w:val="24"/>
        </w:rPr>
        <w:t xml:space="preserve">Association of Mediterranean Ombudsmen.  </w:t>
      </w:r>
    </w:p>
    <w:p w14:paraId="4E24C5EB" w14:textId="77777777"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sidRPr="00046088">
        <w:rPr>
          <w:rFonts w:ascii="Times New Roman" w:hAnsi="Times New Roman" w:cs="Times New Roman"/>
          <w:b/>
          <w:bCs/>
          <w:sz w:val="24"/>
          <w:szCs w:val="24"/>
        </w:rPr>
        <w:t>Vision</w:t>
      </w:r>
    </w:p>
    <w:p w14:paraId="73C99FCF" w14:textId="6E7D80C1"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046088">
        <w:rPr>
          <w:rFonts w:ascii="Times New Roman" w:hAnsi="Times New Roman" w:cs="Times New Roman"/>
          <w:sz w:val="24"/>
          <w:szCs w:val="24"/>
        </w:rPr>
        <w:t xml:space="preserve">An independent State of Palestine, grounded in the rule of law, safeguards rights and public freedoms with </w:t>
      </w:r>
      <w:r w:rsidR="00FF53C9">
        <w:rPr>
          <w:rFonts w:ascii="Times New Roman" w:hAnsi="Times New Roman" w:cs="Times New Roman"/>
          <w:sz w:val="24"/>
          <w:szCs w:val="24"/>
        </w:rPr>
        <w:t>deep-rooted</w:t>
      </w:r>
      <w:r w:rsidRPr="00046088">
        <w:rPr>
          <w:rFonts w:ascii="Times New Roman" w:hAnsi="Times New Roman" w:cs="Times New Roman"/>
          <w:sz w:val="24"/>
          <w:szCs w:val="24"/>
        </w:rPr>
        <w:t xml:space="preserve"> values and principles of justice and human rights. </w:t>
      </w:r>
    </w:p>
    <w:p w14:paraId="1904C76E" w14:textId="77777777"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sidRPr="00046088">
        <w:rPr>
          <w:rFonts w:ascii="Times New Roman" w:hAnsi="Times New Roman" w:cs="Times New Roman"/>
          <w:b/>
          <w:bCs/>
          <w:sz w:val="24"/>
          <w:szCs w:val="24"/>
        </w:rPr>
        <w:t>Mission</w:t>
      </w:r>
    </w:p>
    <w:p w14:paraId="67638AEB" w14:textId="68F36FB5"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046088">
        <w:rPr>
          <w:rFonts w:ascii="Times New Roman" w:hAnsi="Times New Roman" w:cs="Times New Roman"/>
          <w:sz w:val="24"/>
          <w:szCs w:val="24"/>
        </w:rPr>
        <w:t xml:space="preserve">In its capacity as a constitutional national institution, the ICHR works towards protecting and promoting human rights in Palestine </w:t>
      </w:r>
      <w:r w:rsidR="00FF53C9">
        <w:rPr>
          <w:rFonts w:ascii="Times New Roman" w:hAnsi="Times New Roman" w:cs="Times New Roman"/>
          <w:sz w:val="24"/>
          <w:szCs w:val="24"/>
        </w:rPr>
        <w:t>by</w:t>
      </w:r>
      <w:r w:rsidRPr="00046088">
        <w:rPr>
          <w:rFonts w:ascii="Times New Roman" w:hAnsi="Times New Roman" w:cs="Times New Roman"/>
          <w:sz w:val="24"/>
          <w:szCs w:val="24"/>
        </w:rPr>
        <w:t xml:space="preserve"> international human rights conventions, </w:t>
      </w:r>
      <w:r w:rsidR="00FF53C9">
        <w:rPr>
          <w:rFonts w:ascii="Times New Roman" w:hAnsi="Times New Roman" w:cs="Times New Roman"/>
          <w:sz w:val="24"/>
          <w:szCs w:val="24"/>
        </w:rPr>
        <w:t xml:space="preserve">the </w:t>
      </w:r>
      <w:r w:rsidRPr="00046088">
        <w:rPr>
          <w:rFonts w:ascii="Times New Roman" w:hAnsi="Times New Roman" w:cs="Times New Roman"/>
          <w:sz w:val="24"/>
          <w:szCs w:val="24"/>
        </w:rPr>
        <w:t>Palestinian Declaration of Independence, and Basic Law. The ICHR receives and handles complaints, monitors</w:t>
      </w:r>
      <w:r w:rsidR="00FF53C9">
        <w:rPr>
          <w:rFonts w:ascii="Times New Roman" w:hAnsi="Times New Roman" w:cs="Times New Roman"/>
          <w:sz w:val="24"/>
          <w:szCs w:val="24"/>
        </w:rPr>
        <w:t>,</w:t>
      </w:r>
      <w:r w:rsidRPr="00046088">
        <w:rPr>
          <w:rFonts w:ascii="Times New Roman" w:hAnsi="Times New Roman" w:cs="Times New Roman"/>
          <w:sz w:val="24"/>
          <w:szCs w:val="24"/>
        </w:rPr>
        <w:t xml:space="preserve"> and documents human rights violations, provides guidance, </w:t>
      </w:r>
      <w:proofErr w:type="spellStart"/>
      <w:r w:rsidR="00FF53C9">
        <w:rPr>
          <w:rFonts w:ascii="Times New Roman" w:hAnsi="Times New Roman" w:cs="Times New Roman"/>
          <w:sz w:val="24"/>
          <w:szCs w:val="24"/>
        </w:rPr>
        <w:t>counseling</w:t>
      </w:r>
      <w:proofErr w:type="spellEnd"/>
      <w:r w:rsidRPr="00046088">
        <w:rPr>
          <w:rFonts w:ascii="Times New Roman" w:hAnsi="Times New Roman" w:cs="Times New Roman"/>
          <w:sz w:val="24"/>
          <w:szCs w:val="24"/>
        </w:rPr>
        <w:t xml:space="preserve"> and capacity building to duty bearers, promotes the culture of human rights, and mediates between government bodies and civil society. </w:t>
      </w:r>
    </w:p>
    <w:p w14:paraId="70D54FE8" w14:textId="77777777"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sidRPr="00046088">
        <w:rPr>
          <w:rFonts w:ascii="Times New Roman" w:hAnsi="Times New Roman" w:cs="Times New Roman"/>
          <w:b/>
          <w:bCs/>
          <w:sz w:val="24"/>
          <w:szCs w:val="24"/>
        </w:rPr>
        <w:t>Values</w:t>
      </w:r>
    </w:p>
    <w:p w14:paraId="42675EC2" w14:textId="5A3408F4" w:rsidR="0053288C" w:rsidRPr="00046088"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046088">
        <w:rPr>
          <w:rFonts w:ascii="Times New Roman" w:hAnsi="Times New Roman" w:cs="Times New Roman"/>
          <w:sz w:val="24"/>
          <w:szCs w:val="24"/>
        </w:rPr>
        <w:t xml:space="preserve">Taking root in its </w:t>
      </w:r>
      <w:r w:rsidR="00FF53C9">
        <w:rPr>
          <w:rFonts w:ascii="Times New Roman" w:hAnsi="Times New Roman" w:cs="Times New Roman"/>
          <w:sz w:val="24"/>
          <w:szCs w:val="24"/>
        </w:rPr>
        <w:t>programs</w:t>
      </w:r>
      <w:r w:rsidRPr="00046088">
        <w:rPr>
          <w:rFonts w:ascii="Times New Roman" w:hAnsi="Times New Roman" w:cs="Times New Roman"/>
          <w:sz w:val="24"/>
          <w:szCs w:val="24"/>
        </w:rPr>
        <w:t xml:space="preserve"> and activities, the ICHR embraces and implements its own set of values, namely, credibility, integrity, accountability, privacy, tolerance, and equality. ICHR is committed to these values, also incorporated in the Code of Professional Conduct. </w:t>
      </w:r>
    </w:p>
    <w:p w14:paraId="37AC8AF4" w14:textId="470A492F" w:rsidR="0053288C" w:rsidRDefault="0053288C" w:rsidP="0053288C">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eastAsiaTheme="majorEastAsia" w:hAnsi="Times New Roman" w:cs="Times New Roman"/>
          <w:b/>
          <w:bCs/>
          <w:kern w:val="24"/>
          <w:sz w:val="24"/>
          <w:szCs w:val="24"/>
          <w:lang w:val="en-US" w:bidi="ar-SA"/>
          <w14:ligatures w14:val="none"/>
        </w:rPr>
      </w:pPr>
      <w:r w:rsidRPr="00046088">
        <w:rPr>
          <w:rFonts w:ascii="Times New Roman" w:hAnsi="Times New Roman" w:cs="Times New Roman"/>
          <w:b/>
          <w:bCs/>
          <w:sz w:val="24"/>
          <w:szCs w:val="24"/>
        </w:rPr>
        <w:t>Contact person</w:t>
      </w:r>
      <w:r w:rsidRPr="00046088">
        <w:rPr>
          <w:rFonts w:ascii="Times New Roman" w:hAnsi="Times New Roman" w:cs="Times New Roman"/>
          <w:sz w:val="24"/>
          <w:szCs w:val="24"/>
        </w:rPr>
        <w:t xml:space="preserve">: Ms. Khadija Zahran, Director, Monitoring of National Policies and Legislation Department, </w:t>
      </w:r>
      <w:hyperlink r:id="rId11" w:history="1">
        <w:r w:rsidRPr="00046088">
          <w:rPr>
            <w:rStyle w:val="Hyperlink"/>
            <w:rFonts w:ascii="Times New Roman" w:hAnsi="Times New Roman" w:cs="Times New Roman"/>
            <w:sz w:val="24"/>
            <w:szCs w:val="24"/>
          </w:rPr>
          <w:t>kzahran@ichr.ps</w:t>
        </w:r>
      </w:hyperlink>
    </w:p>
    <w:p w14:paraId="2153F298" w14:textId="5EC7F270" w:rsidR="00120688" w:rsidRPr="00120688" w:rsidRDefault="00120688" w:rsidP="00120688">
      <w:pPr>
        <w:keepNext/>
        <w:keepLines/>
        <w:snapToGrid w:val="0"/>
        <w:spacing w:line="240" w:lineRule="auto"/>
        <w:outlineLvl w:val="0"/>
        <w:rPr>
          <w:rFonts w:ascii="Times New Roman" w:eastAsiaTheme="majorEastAsia" w:hAnsi="Times New Roman" w:cs="Times New Roman"/>
          <w:b/>
          <w:bCs/>
          <w:kern w:val="24"/>
          <w:sz w:val="24"/>
          <w:szCs w:val="24"/>
          <w:lang w:val="en-US" w:bidi="ar-SA"/>
          <w14:ligatures w14:val="none"/>
        </w:rPr>
      </w:pPr>
      <w:bookmarkStart w:id="2" w:name="_Toc136254537"/>
      <w:r w:rsidRPr="00120688">
        <w:rPr>
          <w:rFonts w:ascii="Times New Roman" w:eastAsiaTheme="majorEastAsia" w:hAnsi="Times New Roman" w:cs="Times New Roman"/>
          <w:b/>
          <w:bCs/>
          <w:kern w:val="24"/>
          <w:sz w:val="24"/>
          <w:szCs w:val="24"/>
          <w:lang w:val="en-US" w:bidi="ar-SA"/>
          <w14:ligatures w14:val="none"/>
        </w:rPr>
        <w:lastRenderedPageBreak/>
        <w:t>Introduction</w:t>
      </w:r>
      <w:bookmarkEnd w:id="2"/>
      <w:r w:rsidRPr="00120688">
        <w:rPr>
          <w:rFonts w:ascii="Times New Roman" w:eastAsiaTheme="majorEastAsia" w:hAnsi="Times New Roman" w:cs="Times New Roman"/>
          <w:b/>
          <w:bCs/>
          <w:kern w:val="24"/>
          <w:sz w:val="24"/>
          <w:szCs w:val="24"/>
          <w:lang w:val="en-US" w:bidi="ar-SA"/>
          <w14:ligatures w14:val="none"/>
        </w:rPr>
        <w:t xml:space="preserve"> </w:t>
      </w:r>
    </w:p>
    <w:p w14:paraId="6FE49960" w14:textId="7D6B6FFD" w:rsidR="00120688" w:rsidRDefault="00080635" w:rsidP="00120688">
      <w:pPr>
        <w:spacing w:after="0" w:line="240" w:lineRule="auto"/>
        <w:jc w:val="both"/>
        <w:rPr>
          <w:rFonts w:ascii="Times New Roman" w:eastAsia="Times New Roman" w:hAnsi="Times New Roman" w:cs="Times New Roman"/>
          <w:snapToGrid w:val="0"/>
          <w:kern w:val="24"/>
          <w:sz w:val="24"/>
          <w:szCs w:val="24"/>
          <w:lang w:val="en-US" w:bidi="ar-SA"/>
          <w14:ligatures w14:val="none"/>
        </w:rPr>
      </w:pPr>
      <w:r w:rsidRPr="00080635">
        <w:rPr>
          <w:rFonts w:ascii="Times New Roman" w:eastAsia="Times New Roman" w:hAnsi="Times New Roman" w:cs="Times New Roman"/>
          <w:snapToGrid w:val="0"/>
          <w:kern w:val="24"/>
          <w:sz w:val="24"/>
          <w:szCs w:val="24"/>
          <w:lang w:val="en-US" w:bidi="ar-SA"/>
          <w14:ligatures w14:val="none"/>
        </w:rPr>
        <w:t xml:space="preserve">The Independent Commission for Human Rights (ICHR) has submitted its Shadow Report to the Human Rights Committee ("Committee") regarding the First Periodic Review of the State of Palestine. The report addresses the Initial Report of the State of Palestine under Article 40 of the International Covenant on Civil and Political Rights (ICCPR), which was due in 2015. The ICHR's report employs a methodology that assesses the human rights situation in the State of Palestine and measures compliance with human rights standards within the Palestinian national framework. It specifically focuses on certain rights enshrined in the ICCPR, </w:t>
      </w:r>
      <w:r w:rsidR="00FF53C9">
        <w:rPr>
          <w:rFonts w:ascii="Times New Roman" w:eastAsia="Times New Roman" w:hAnsi="Times New Roman" w:cs="Times New Roman"/>
          <w:snapToGrid w:val="0"/>
          <w:kern w:val="24"/>
          <w:sz w:val="24"/>
          <w:szCs w:val="24"/>
          <w:lang w:val="en-US" w:bidi="ar-SA"/>
          <w14:ligatures w14:val="none"/>
        </w:rPr>
        <w:t>to promote and foster</w:t>
      </w:r>
      <w:r w:rsidRPr="00080635">
        <w:rPr>
          <w:rFonts w:ascii="Times New Roman" w:eastAsia="Times New Roman" w:hAnsi="Times New Roman" w:cs="Times New Roman"/>
          <w:snapToGrid w:val="0"/>
          <w:kern w:val="24"/>
          <w:sz w:val="24"/>
          <w:szCs w:val="24"/>
          <w:lang w:val="en-US" w:bidi="ar-SA"/>
          <w14:ligatures w14:val="none"/>
        </w:rPr>
        <w:t xml:space="preserve"> constructive dialogue between the Committee and the State of Palestine </w:t>
      </w:r>
      <w:r w:rsidR="00FF53C9">
        <w:rPr>
          <w:rFonts w:ascii="Times New Roman" w:eastAsia="Times New Roman" w:hAnsi="Times New Roman" w:cs="Times New Roman"/>
          <w:snapToGrid w:val="0"/>
          <w:kern w:val="24"/>
          <w:sz w:val="24"/>
          <w:szCs w:val="24"/>
          <w:lang w:val="en-US" w:bidi="ar-SA"/>
          <w14:ligatures w14:val="none"/>
        </w:rPr>
        <w:t>to</w:t>
      </w:r>
      <w:r w:rsidRPr="00080635">
        <w:rPr>
          <w:rFonts w:ascii="Times New Roman" w:eastAsia="Times New Roman" w:hAnsi="Times New Roman" w:cs="Times New Roman"/>
          <w:snapToGrid w:val="0"/>
          <w:kern w:val="24"/>
          <w:sz w:val="24"/>
          <w:szCs w:val="24"/>
          <w:lang w:val="en-US" w:bidi="ar-SA"/>
          <w14:ligatures w14:val="none"/>
        </w:rPr>
        <w:t xml:space="preserve"> realize the rights outlined in the ICCPR.</w:t>
      </w:r>
    </w:p>
    <w:p w14:paraId="07E6717E" w14:textId="77777777" w:rsidR="00080635" w:rsidRPr="00120688" w:rsidRDefault="00080635" w:rsidP="00120688">
      <w:pPr>
        <w:spacing w:after="0" w:line="240" w:lineRule="auto"/>
        <w:jc w:val="both"/>
        <w:rPr>
          <w:rFonts w:ascii="Times New Roman" w:eastAsia="Times New Roman" w:hAnsi="Times New Roman" w:cs="Times New Roman"/>
          <w:snapToGrid w:val="0"/>
          <w:kern w:val="24"/>
          <w:sz w:val="24"/>
          <w:szCs w:val="24"/>
          <w:lang w:val="en-US" w:bidi="ar-SA"/>
          <w14:ligatures w14:val="none"/>
        </w:rPr>
      </w:pPr>
    </w:p>
    <w:p w14:paraId="2FDCDB88" w14:textId="4AC7A2FA" w:rsidR="00120688" w:rsidRDefault="00120688" w:rsidP="0053288C">
      <w:pPr>
        <w:pStyle w:val="ListParagraph"/>
        <w:keepNext/>
        <w:keepLines/>
        <w:numPr>
          <w:ilvl w:val="0"/>
          <w:numId w:val="10"/>
        </w:numPr>
        <w:snapToGrid w:val="0"/>
        <w:spacing w:line="240" w:lineRule="auto"/>
        <w:ind w:left="284" w:hanging="284"/>
        <w:outlineLvl w:val="0"/>
        <w:rPr>
          <w:rFonts w:ascii="Times New Roman" w:eastAsiaTheme="majorEastAsia" w:hAnsi="Times New Roman" w:cs="Times New Roman"/>
          <w:b/>
          <w:bCs/>
          <w:kern w:val="24"/>
          <w:sz w:val="24"/>
          <w:szCs w:val="24"/>
          <w:lang w:val="en-US" w:bidi="ar-SA"/>
          <w14:ligatures w14:val="none"/>
        </w:rPr>
      </w:pPr>
      <w:bookmarkStart w:id="3" w:name="_Toc136254538"/>
      <w:r w:rsidRPr="0053288C">
        <w:rPr>
          <w:rFonts w:ascii="Times New Roman" w:eastAsiaTheme="majorEastAsia" w:hAnsi="Times New Roman" w:cs="Times New Roman"/>
          <w:b/>
          <w:bCs/>
          <w:kern w:val="24"/>
          <w:sz w:val="24"/>
          <w:szCs w:val="24"/>
          <w:lang w:val="en-US" w:bidi="ar-SA"/>
          <w14:ligatures w14:val="none"/>
        </w:rPr>
        <w:t xml:space="preserve">General </w:t>
      </w:r>
      <w:r w:rsidR="00032C16" w:rsidRPr="0053288C">
        <w:rPr>
          <w:rFonts w:ascii="Times New Roman" w:eastAsiaTheme="majorEastAsia" w:hAnsi="Times New Roman" w:cs="Times New Roman"/>
          <w:b/>
          <w:bCs/>
          <w:kern w:val="24"/>
          <w:sz w:val="24"/>
          <w:szCs w:val="24"/>
          <w:lang w:val="en-US" w:bidi="ar-SA"/>
          <w14:ligatures w14:val="none"/>
        </w:rPr>
        <w:t>Implementation</w:t>
      </w:r>
      <w:r w:rsidR="00032C16" w:rsidRPr="0053288C">
        <w:rPr>
          <w:rFonts w:ascii="Times New Roman" w:eastAsiaTheme="majorEastAsia" w:hAnsi="Times New Roman" w:cs="Times New Roman"/>
          <w:b/>
          <w:bCs/>
          <w:kern w:val="24"/>
          <w:sz w:val="24"/>
          <w:szCs w:val="24"/>
          <w:lang w:val="en-US" w:bidi="ar-SA"/>
          <w14:ligatures w14:val="none"/>
        </w:rPr>
        <w:t xml:space="preserve"> </w:t>
      </w:r>
      <w:r w:rsidR="00080635" w:rsidRPr="0053288C">
        <w:rPr>
          <w:rFonts w:ascii="Times New Roman" w:eastAsiaTheme="majorEastAsia" w:hAnsi="Times New Roman" w:cs="Times New Roman"/>
          <w:b/>
          <w:bCs/>
          <w:kern w:val="24"/>
          <w:sz w:val="24"/>
          <w:szCs w:val="24"/>
          <w:lang w:val="en-US" w:bidi="ar-SA"/>
          <w14:ligatures w14:val="none"/>
        </w:rPr>
        <w:t>Measures</w:t>
      </w:r>
      <w:bookmarkEnd w:id="3"/>
      <w:r w:rsidR="00080635" w:rsidRPr="0053288C">
        <w:rPr>
          <w:rFonts w:ascii="Times New Roman" w:eastAsiaTheme="majorEastAsia" w:hAnsi="Times New Roman" w:cs="Times New Roman"/>
          <w:b/>
          <w:bCs/>
          <w:kern w:val="24"/>
          <w:sz w:val="24"/>
          <w:szCs w:val="24"/>
          <w:lang w:val="en-US" w:bidi="ar-SA"/>
          <w14:ligatures w14:val="none"/>
        </w:rPr>
        <w:t xml:space="preserve"> </w:t>
      </w:r>
    </w:p>
    <w:p w14:paraId="1CCD28AF" w14:textId="77777777" w:rsidR="00B13D95" w:rsidRPr="0053288C" w:rsidRDefault="00B13D95" w:rsidP="00B13D95">
      <w:pPr>
        <w:pStyle w:val="ListParagraph"/>
        <w:keepNext/>
        <w:keepLines/>
        <w:snapToGrid w:val="0"/>
        <w:spacing w:line="240" w:lineRule="auto"/>
        <w:ind w:left="284"/>
        <w:outlineLvl w:val="0"/>
        <w:rPr>
          <w:rFonts w:ascii="Times New Roman" w:eastAsiaTheme="majorEastAsia" w:hAnsi="Times New Roman" w:cs="Times New Roman"/>
          <w:b/>
          <w:bCs/>
          <w:kern w:val="24"/>
          <w:sz w:val="24"/>
          <w:szCs w:val="24"/>
          <w:lang w:val="en-US" w:bidi="ar-SA"/>
          <w14:ligatures w14:val="none"/>
        </w:rPr>
      </w:pPr>
    </w:p>
    <w:p w14:paraId="46DEBA5C" w14:textId="1DB427AF" w:rsidR="00120688" w:rsidRDefault="00032C16" w:rsidP="0053288C">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032C16">
        <w:rPr>
          <w:rFonts w:ascii="Times New Roman" w:eastAsia="Times New Roman" w:hAnsi="Times New Roman" w:cs="Times New Roman"/>
          <w:snapToGrid w:val="0"/>
          <w:kern w:val="24"/>
          <w:sz w:val="24"/>
          <w:szCs w:val="24"/>
          <w:lang w:val="en-US" w:bidi="ar-SA"/>
          <w14:ligatures w14:val="none"/>
        </w:rPr>
        <w:t>The State of Palestine has not fulfilled the necessary legal procedures to implement the provisions of the</w:t>
      </w:r>
      <w:r w:rsidR="00120688" w:rsidRPr="0053288C">
        <w:rPr>
          <w:rFonts w:ascii="Times New Roman" w:eastAsia="Times New Roman" w:hAnsi="Times New Roman" w:cs="Times New Roman"/>
          <w:snapToGrid w:val="0"/>
          <w:kern w:val="24"/>
          <w:sz w:val="24"/>
          <w:szCs w:val="24"/>
          <w:lang w:val="en-US" w:bidi="ar-SA"/>
          <w14:ligatures w14:val="none"/>
        </w:rPr>
        <w:t xml:space="preserve"> ICCPR within the national legal system. For them to acquire legal force and take precedence over national laws, Palestinian law</w:t>
      </w:r>
      <w:r w:rsidR="00120688" w:rsidRPr="00120688">
        <w:rPr>
          <w:snapToGrid w:val="0"/>
          <w:vertAlign w:val="superscript"/>
          <w:lang w:val="en-US" w:bidi="ar-SA"/>
        </w:rPr>
        <w:footnoteReference w:id="1"/>
      </w:r>
      <w:r w:rsidR="00120688" w:rsidRPr="0053288C">
        <w:rPr>
          <w:rFonts w:ascii="Times New Roman" w:eastAsia="Times New Roman" w:hAnsi="Times New Roman" w:cs="Times New Roman"/>
          <w:snapToGrid w:val="0"/>
          <w:kern w:val="24"/>
          <w:sz w:val="24"/>
          <w:szCs w:val="24"/>
          <w:lang w:val="en-US" w:bidi="ar-SA"/>
          <w14:ligatures w14:val="none"/>
        </w:rPr>
        <w:t xml:space="preserve"> requires that international conventions go through the formal stages to be fulfilled by a certain domestic law for enforcement. This includes, </w:t>
      </w:r>
      <w:r w:rsidR="00120688" w:rsidRPr="0053288C">
        <w:rPr>
          <w:rFonts w:ascii="Times New Roman" w:eastAsia="Times New Roman" w:hAnsi="Times New Roman" w:cs="Times New Roman"/>
          <w:i/>
          <w:iCs/>
          <w:snapToGrid w:val="0"/>
          <w:kern w:val="24"/>
          <w:sz w:val="24"/>
          <w:szCs w:val="24"/>
          <w:lang w:val="en-US" w:bidi="ar-SA"/>
          <w14:ligatures w14:val="none"/>
        </w:rPr>
        <w:t>inter alia</w:t>
      </w:r>
      <w:r w:rsidR="00120688" w:rsidRPr="0053288C">
        <w:rPr>
          <w:rFonts w:ascii="Times New Roman" w:eastAsia="Times New Roman" w:hAnsi="Times New Roman" w:cs="Times New Roman"/>
          <w:snapToGrid w:val="0"/>
          <w:kern w:val="24"/>
          <w:sz w:val="24"/>
          <w:szCs w:val="24"/>
          <w:lang w:val="en-US" w:bidi="ar-SA"/>
          <w14:ligatures w14:val="none"/>
        </w:rPr>
        <w:t xml:space="preserve">, publication in the Palestinian Official Gazette. However, the State of Palestine has not, thus far, published the ICCPR and the Presidential Decree on Accession to the ICPRR in the Palestinian Official Gazette. The Covenant has not been promulgated under a domestic law, nor have been special laws on the implementation of the provisions of the ICCPR. Accordingly, the ICHR recommends that the Committee ask the State of Palestine to take necessary action to implement the ICCPR in the national setting and allow the opportunity to invoke it before courts and other official bodies. This will include the publication of the ICCPR in the Palestinian Official Gazette as soon as practicable. </w:t>
      </w:r>
    </w:p>
    <w:p w14:paraId="3162EB99" w14:textId="77777777" w:rsidR="0053288C" w:rsidRPr="0053288C" w:rsidRDefault="0053288C" w:rsidP="0053288C">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p>
    <w:p w14:paraId="470958AA" w14:textId="043BF3FB" w:rsidR="0053288C" w:rsidRDefault="00120688" w:rsidP="00EC6DA2">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53288C">
        <w:rPr>
          <w:rFonts w:ascii="Times New Roman" w:eastAsia="Times New Roman" w:hAnsi="Times New Roman" w:cs="Times New Roman"/>
          <w:snapToGrid w:val="0"/>
          <w:kern w:val="24"/>
          <w:sz w:val="24"/>
          <w:szCs w:val="24"/>
          <w:lang w:val="en-US" w:bidi="ar-SA"/>
          <w14:ligatures w14:val="none"/>
        </w:rPr>
        <w:t xml:space="preserve">Although the State of Palestine acceded to the ICCPR without reservation, the Supreme Constitutional Court (SCC) subsequently attached a general reservation on the ICCPR and other human rights conventions, to which the State of Palestine acceded. In two </w:t>
      </w:r>
      <w:r w:rsidR="00FF53C9">
        <w:rPr>
          <w:rFonts w:ascii="Times New Roman" w:eastAsia="Times New Roman" w:hAnsi="Times New Roman" w:cs="Times New Roman"/>
          <w:snapToGrid w:val="0"/>
          <w:kern w:val="24"/>
          <w:sz w:val="24"/>
          <w:szCs w:val="24"/>
          <w:lang w:val="en-US" w:bidi="ar-SA"/>
          <w14:ligatures w14:val="none"/>
        </w:rPr>
        <w:t>judgments</w:t>
      </w:r>
      <w:r w:rsidRPr="0053288C">
        <w:rPr>
          <w:rFonts w:ascii="Times New Roman" w:eastAsia="Times New Roman" w:hAnsi="Times New Roman" w:cs="Times New Roman"/>
          <w:snapToGrid w:val="0"/>
          <w:kern w:val="24"/>
          <w:sz w:val="24"/>
          <w:szCs w:val="24"/>
          <w:lang w:val="en-US" w:bidi="ar-SA"/>
          <w14:ligatures w14:val="none"/>
        </w:rPr>
        <w:t>, which continue to hold ground,</w:t>
      </w:r>
      <w:r w:rsidRPr="00120688">
        <w:rPr>
          <w:rFonts w:ascii="Times New Roman" w:eastAsia="Times New Roman" w:hAnsi="Times New Roman" w:cs="Times New Roman"/>
          <w:snapToGrid w:val="0"/>
          <w:kern w:val="24"/>
          <w:sz w:val="24"/>
          <w:szCs w:val="24"/>
          <w:vertAlign w:val="superscript"/>
          <w:lang w:val="en-US" w:bidi="ar-SA"/>
          <w14:ligatures w14:val="none"/>
        </w:rPr>
        <w:footnoteReference w:id="2"/>
      </w:r>
      <w:r w:rsidRPr="0053288C">
        <w:rPr>
          <w:rFonts w:ascii="Times New Roman" w:eastAsia="Times New Roman" w:hAnsi="Times New Roman" w:cs="Times New Roman"/>
          <w:snapToGrid w:val="0"/>
          <w:kern w:val="24"/>
          <w:sz w:val="24"/>
          <w:szCs w:val="24"/>
          <w:lang w:val="en-US" w:bidi="ar-SA"/>
          <w14:ligatures w14:val="none"/>
        </w:rPr>
        <w:t xml:space="preserve"> the SCC ruled that the international treaties, which the State of Palestine accedes to, would not have precedence over national laws unless they are consistent with the national, religious, and cultural identity of the Palestinian people. This will hamper the implementation of international human rights conventions and provisions, including Articles 3 and 23 of the ICCPR, according to which the State Party is prohibited from discrimination </w:t>
      </w:r>
      <w:r w:rsidR="00FF53C9">
        <w:rPr>
          <w:rFonts w:ascii="Times New Roman" w:eastAsia="Times New Roman" w:hAnsi="Times New Roman" w:cs="Times New Roman"/>
          <w:snapToGrid w:val="0"/>
          <w:kern w:val="24"/>
          <w:sz w:val="24"/>
          <w:szCs w:val="24"/>
          <w:lang w:val="en-US" w:bidi="ar-SA"/>
          <w14:ligatures w14:val="none"/>
        </w:rPr>
        <w:t>based on</w:t>
      </w:r>
      <w:r w:rsidRPr="0053288C">
        <w:rPr>
          <w:rFonts w:ascii="Times New Roman" w:eastAsia="Times New Roman" w:hAnsi="Times New Roman" w:cs="Times New Roman"/>
          <w:snapToGrid w:val="0"/>
          <w:kern w:val="24"/>
          <w:sz w:val="24"/>
          <w:szCs w:val="24"/>
          <w:lang w:val="en-US" w:bidi="ar-SA"/>
          <w14:ligatures w14:val="none"/>
        </w:rPr>
        <w:t xml:space="preserve"> sex. The ICHR recommends that the Committee urge the State of Palestine to devise appropriate and decisive solutions to deal with relevant SCC decisions, ensuring earnest implementation of the ICCPR and other human rights conventions, to which the State of Palestine acceded without reservation. </w:t>
      </w:r>
    </w:p>
    <w:p w14:paraId="7E4B0BC2" w14:textId="77777777" w:rsidR="0053288C" w:rsidRDefault="0053288C" w:rsidP="0053288C">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p>
    <w:p w14:paraId="43C32A85" w14:textId="71FFE35F" w:rsidR="00120688" w:rsidRDefault="00120688" w:rsidP="0053288C">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r w:rsidRPr="0053288C">
        <w:rPr>
          <w:rFonts w:ascii="Times New Roman" w:eastAsia="Times New Roman" w:hAnsi="Times New Roman" w:cs="Times New Roman"/>
          <w:snapToGrid w:val="0"/>
          <w:kern w:val="24"/>
          <w:sz w:val="24"/>
          <w:szCs w:val="24"/>
          <w:lang w:val="en-US" w:bidi="ar-SA"/>
          <w14:ligatures w14:val="none"/>
        </w:rPr>
        <w:lastRenderedPageBreak/>
        <w:t xml:space="preserve">The ICHR would like to the draw the Committee’s attention that, under the Amended Basic Law of 2003 and SCC Law No. 3 of 2006 as amended, the SCC does not have the competence to enter reservations to, or establish the legal value of, international conventions. The 1988 Declaration of Independence and Basic Law view fundamental human rights and freedoms as binding and duly respectable. The State of Palestine is committed to the principles and purposes of the United Nations as well as to the Universal Declaration of Human Rights. The State of Palestine works, without delay, to accede to international convention, which provide protection to human rights. Regrettably, the SCC has contravened and not taken account of the constitutional provisions, which take precedence over all laws and authorities, including the SCC itself. The SCC has made a general reservation, using loosely defined and overbroad terms that do not ensure respect for pluralism as a constitutional value. </w:t>
      </w:r>
    </w:p>
    <w:p w14:paraId="6E9753C5" w14:textId="77777777" w:rsidR="0016150B" w:rsidRPr="0016150B" w:rsidRDefault="0016150B" w:rsidP="0016150B">
      <w:pPr>
        <w:spacing w:after="0" w:line="240" w:lineRule="auto"/>
        <w:jc w:val="both"/>
        <w:rPr>
          <w:rFonts w:ascii="Times New Roman" w:eastAsia="Times New Roman" w:hAnsi="Times New Roman" w:cs="Times New Roman"/>
          <w:snapToGrid w:val="0"/>
          <w:kern w:val="24"/>
          <w:sz w:val="24"/>
          <w:szCs w:val="24"/>
          <w:lang w:val="en-US" w:bidi="ar-SA"/>
          <w14:ligatures w14:val="none"/>
        </w:rPr>
      </w:pPr>
    </w:p>
    <w:p w14:paraId="3142FBD8" w14:textId="7A683DAA" w:rsidR="00120688" w:rsidRDefault="0016150B" w:rsidP="0016150B">
      <w:pPr>
        <w:pStyle w:val="ListParagraph"/>
        <w:numPr>
          <w:ilvl w:val="0"/>
          <w:numId w:val="8"/>
        </w:numPr>
        <w:spacing w:after="0" w:line="240" w:lineRule="auto"/>
        <w:jc w:val="both"/>
        <w:rPr>
          <w:rFonts w:ascii="Times New Roman" w:eastAsia="Times New Roman" w:hAnsi="Times New Roman" w:cs="Times New Roman"/>
          <w:snapToGrid w:val="0"/>
          <w:kern w:val="24"/>
          <w:sz w:val="24"/>
          <w:szCs w:val="24"/>
          <w:lang w:val="en-US" w:bidi="ar-SA"/>
          <w14:ligatures w14:val="none"/>
        </w:rPr>
      </w:pPr>
      <w:r w:rsidRPr="0016150B">
        <w:rPr>
          <w:rFonts w:ascii="Times New Roman" w:eastAsia="Times New Roman" w:hAnsi="Times New Roman" w:cs="Times New Roman"/>
          <w:snapToGrid w:val="0"/>
          <w:kern w:val="24"/>
          <w:sz w:val="24"/>
          <w:szCs w:val="24"/>
          <w:lang w:val="en-US" w:bidi="ar-SA"/>
          <w14:ligatures w14:val="none"/>
        </w:rPr>
        <w:t xml:space="preserve">Since 2007, the laws issued by the Palestinian Authority in the West Bank are not applied to the citizens in the Gaza Strip, which is under the control of Hamas. Conversely, the laws enacted by members of the Reform and Change Bloc in Gaza are not implemented in the West </w:t>
      </w:r>
      <w:r w:rsidRPr="0016150B">
        <w:rPr>
          <w:rFonts w:ascii="Times New Roman" w:eastAsia="Times New Roman" w:hAnsi="Times New Roman" w:cs="Times New Roman"/>
          <w:snapToGrid w:val="0"/>
          <w:kern w:val="24"/>
          <w:sz w:val="24"/>
          <w:szCs w:val="24"/>
          <w:lang w:val="en-US" w:bidi="ar-SA"/>
          <w14:ligatures w14:val="none"/>
        </w:rPr>
        <w:t>Bank.</w:t>
      </w:r>
      <w:r w:rsidRPr="00120688">
        <w:rPr>
          <w:rFonts w:ascii="Times New Roman" w:eastAsia="Times New Roman" w:hAnsi="Times New Roman" w:cs="Times New Roman"/>
          <w:snapToGrid w:val="0"/>
          <w:kern w:val="24"/>
          <w:sz w:val="24"/>
          <w:szCs w:val="24"/>
          <w:lang w:val="en-US" w:bidi="ar-SA"/>
          <w14:ligatures w14:val="none"/>
        </w:rPr>
        <w:t xml:space="preserve"> This</w:t>
      </w:r>
      <w:r w:rsidR="00120688" w:rsidRPr="00120688">
        <w:rPr>
          <w:rFonts w:ascii="Times New Roman" w:eastAsia="Times New Roman" w:hAnsi="Times New Roman" w:cs="Times New Roman"/>
          <w:snapToGrid w:val="0"/>
          <w:kern w:val="24"/>
          <w:sz w:val="24"/>
          <w:szCs w:val="24"/>
          <w:lang w:val="en-US" w:bidi="ar-SA"/>
          <w14:ligatures w14:val="none"/>
        </w:rPr>
        <w:t xml:space="preserve"> entrenches discrimination among Palestinian citizens, who are subject to different legal systems without any substantive or reasonable justification. Against this backdrop, the ICCPR and any measures taken by the State of Palestine to put into effect the provisions of the ICCPR or other human rights conventions are not automatically applied in the Gaza Strip, nor are they enforced in Area C, under full control of the Israeli occupying forces. Holding of national elections is the entry point to consolidate laws in the West Bank and Gaza and eliminate unjustified and arbitrary discrimination among Palestinian citizens. Election of the Palestinian Legislative Council (PLC) members will definitely ensure due implementation of the ICCPR and other international human rights conventions. The PLC will exercise its primary competence of </w:t>
      </w:r>
      <w:proofErr w:type="spellStart"/>
      <w:r w:rsidR="00D837CE">
        <w:rPr>
          <w:rFonts w:ascii="Times New Roman" w:eastAsia="Times New Roman" w:hAnsi="Times New Roman" w:cs="Times New Roman" w:hint="cs"/>
          <w:snapToGrid w:val="0"/>
          <w:kern w:val="24"/>
          <w:sz w:val="24"/>
          <w:szCs w:val="24"/>
          <w:rtl/>
          <w:lang w:val="en-US" w:bidi="ar-SA"/>
          <w14:ligatures w14:val="none"/>
        </w:rPr>
        <w:t>law</w:t>
      </w:r>
      <w:proofErr w:type="spellEnd"/>
      <w:r w:rsidR="00D837CE">
        <w:rPr>
          <w:rFonts w:ascii="Times New Roman" w:eastAsia="Times New Roman" w:hAnsi="Times New Roman" w:cs="Times New Roman" w:hint="cs"/>
          <w:snapToGrid w:val="0"/>
          <w:kern w:val="24"/>
          <w:sz w:val="24"/>
          <w:szCs w:val="24"/>
          <w:rtl/>
          <w:lang w:val="en-US" w:bidi="ar-SA"/>
          <w14:ligatures w14:val="none"/>
        </w:rPr>
        <w:t xml:space="preserve"> </w:t>
      </w:r>
      <w:proofErr w:type="spellStart"/>
      <w:r w:rsidR="00D837CE">
        <w:rPr>
          <w:rFonts w:ascii="Times New Roman" w:eastAsia="Times New Roman" w:hAnsi="Times New Roman" w:cs="Times New Roman" w:hint="cs"/>
          <w:snapToGrid w:val="0"/>
          <w:kern w:val="24"/>
          <w:sz w:val="24"/>
          <w:szCs w:val="24"/>
          <w:rtl/>
          <w:lang w:val="en-US" w:bidi="ar-SA"/>
          <w14:ligatures w14:val="none"/>
        </w:rPr>
        <w:t>making</w:t>
      </w:r>
      <w:proofErr w:type="spellEnd"/>
      <w:r w:rsidR="00120688" w:rsidRPr="00120688">
        <w:rPr>
          <w:rFonts w:ascii="Times New Roman" w:eastAsia="Times New Roman" w:hAnsi="Times New Roman" w:cs="Times New Roman"/>
          <w:snapToGrid w:val="0"/>
          <w:kern w:val="24"/>
          <w:sz w:val="24"/>
          <w:szCs w:val="24"/>
          <w:lang w:val="en-US" w:bidi="ar-SA"/>
          <w14:ligatures w14:val="none"/>
        </w:rPr>
        <w:t xml:space="preserve"> and control over government functions. </w:t>
      </w:r>
    </w:p>
    <w:p w14:paraId="6571751B" w14:textId="77777777" w:rsidR="0053288C" w:rsidRPr="00120688" w:rsidRDefault="0053288C" w:rsidP="0053288C">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p>
    <w:p w14:paraId="1A5CC697" w14:textId="77777777" w:rsidR="00857C8B" w:rsidRDefault="00120688" w:rsidP="00857C8B">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53288C">
        <w:rPr>
          <w:rFonts w:ascii="Times New Roman" w:eastAsia="Times New Roman" w:hAnsi="Times New Roman" w:cs="Times New Roman"/>
          <w:snapToGrid w:val="0"/>
          <w:kern w:val="24"/>
          <w:sz w:val="24"/>
          <w:szCs w:val="24"/>
          <w:lang w:val="en-US" w:bidi="ar-SA"/>
          <w14:ligatures w14:val="none"/>
        </w:rPr>
        <w:t xml:space="preserve">On 15 January 2021, President Mahmoud Abbas enacted a presidential decree on holding national (legislative, presidential, and Palestinian National Council) elections in three phases. This was seen by ICHR as </w:t>
      </w:r>
      <w:r w:rsidR="00D837CE">
        <w:rPr>
          <w:rFonts w:ascii="Times New Roman" w:eastAsia="Times New Roman" w:hAnsi="Times New Roman" w:cs="Times New Roman" w:hint="cs"/>
          <w:snapToGrid w:val="0"/>
          <w:kern w:val="24"/>
          <w:sz w:val="24"/>
          <w:szCs w:val="24"/>
          <w:rtl/>
          <w:lang w:val="en-US" w:bidi="ar-SA"/>
          <w14:ligatures w14:val="none"/>
        </w:rPr>
        <w:t xml:space="preserve">a </w:t>
      </w:r>
      <w:proofErr w:type="spellStart"/>
      <w:r w:rsidR="00D837CE">
        <w:rPr>
          <w:rFonts w:ascii="Times New Roman" w:eastAsia="Times New Roman" w:hAnsi="Times New Roman" w:cs="Times New Roman" w:hint="cs"/>
          <w:snapToGrid w:val="0"/>
          <w:kern w:val="24"/>
          <w:sz w:val="24"/>
          <w:szCs w:val="24"/>
          <w:rtl/>
          <w:lang w:val="en-US" w:bidi="ar-SA"/>
          <w14:ligatures w14:val="none"/>
        </w:rPr>
        <w:t>crucial</w:t>
      </w:r>
      <w:proofErr w:type="spellEnd"/>
      <w:r w:rsidRPr="0053288C">
        <w:rPr>
          <w:rFonts w:ascii="Times New Roman" w:eastAsia="Times New Roman" w:hAnsi="Times New Roman" w:cs="Times New Roman"/>
          <w:snapToGrid w:val="0"/>
          <w:kern w:val="24"/>
          <w:sz w:val="24"/>
          <w:szCs w:val="24"/>
          <w:lang w:val="en-US" w:bidi="ar-SA"/>
          <w14:ligatures w14:val="none"/>
        </w:rPr>
        <w:t xml:space="preserve"> step to restore national unity, </w:t>
      </w:r>
      <w:proofErr w:type="spellStart"/>
      <w:r w:rsidR="00D837CE">
        <w:rPr>
          <w:rFonts w:ascii="Times New Roman" w:eastAsia="Times New Roman" w:hAnsi="Times New Roman" w:cs="Times New Roman" w:hint="cs"/>
          <w:snapToGrid w:val="0"/>
          <w:kern w:val="24"/>
          <w:sz w:val="24"/>
          <w:szCs w:val="24"/>
          <w:rtl/>
          <w:lang w:val="en-US" w:bidi="ar-SA"/>
          <w14:ligatures w14:val="none"/>
        </w:rPr>
        <w:t>realize</w:t>
      </w:r>
      <w:proofErr w:type="spellEnd"/>
      <w:r w:rsidRPr="0053288C">
        <w:rPr>
          <w:rFonts w:ascii="Times New Roman" w:eastAsia="Times New Roman" w:hAnsi="Times New Roman" w:cs="Times New Roman"/>
          <w:snapToGrid w:val="0"/>
          <w:kern w:val="24"/>
          <w:sz w:val="24"/>
          <w:szCs w:val="24"/>
          <w:lang w:val="en-US" w:bidi="ar-SA"/>
          <w14:ligatures w14:val="none"/>
        </w:rPr>
        <w:t xml:space="preserve"> democracy, uphold human rights, and empower citizens to exercise their right to political participation, enshrined in Article 25 of the ICCPR. However, this step was rolled back after electoral preparations had already passed a significant milestone. On 30 April 2021, the day scheduled for electoral campaigning, the Head of State promulgated a presidential decree, putting off the national elections, announced earlier in January 2021, until procedural requirements are fulfilled throughout the Palestinian territory, first and foremost, Jerusalem </w:t>
      </w:r>
    </w:p>
    <w:p w14:paraId="743B41CE" w14:textId="77777777" w:rsidR="00857C8B" w:rsidRPr="00857C8B" w:rsidRDefault="00857C8B" w:rsidP="00857C8B">
      <w:pPr>
        <w:pStyle w:val="ListParagraph"/>
        <w:rPr>
          <w:rFonts w:ascii="Times New Roman" w:eastAsia="Times New Roman" w:hAnsi="Times New Roman" w:cs="Times New Roman"/>
          <w:snapToGrid w:val="0"/>
          <w:kern w:val="24"/>
          <w:sz w:val="24"/>
          <w:szCs w:val="24"/>
          <w:lang w:val="en-US" w:bidi="ar-SA"/>
          <w14:ligatures w14:val="none"/>
        </w:rPr>
      </w:pPr>
    </w:p>
    <w:p w14:paraId="6BBCDE40" w14:textId="1E1C9B13" w:rsidR="0053288C" w:rsidRDefault="00857C8B" w:rsidP="00857C8B">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857C8B">
        <w:rPr>
          <w:rFonts w:ascii="Times New Roman" w:eastAsia="Times New Roman" w:hAnsi="Times New Roman" w:cs="Times New Roman"/>
          <w:snapToGrid w:val="0"/>
          <w:kern w:val="24"/>
          <w:sz w:val="24"/>
          <w:szCs w:val="24"/>
          <w:lang w:val="en-US" w:bidi="ar-SA"/>
          <w14:ligatures w14:val="none"/>
        </w:rPr>
        <w:t xml:space="preserve">The Central Elections Commission had confirmed prior to the issuance of the presidential decree postponing the elections, specifically on April 18, 2021, that if Israel did not respond to the Palestinian request to allow the holding of elections in Jerusalem in accordance with the previously agreed-upon protocol, the Elections Commission, as an executive body, was prepared to make alternative arrangements regarding the holding of general elections in Jerusalem based on specific directives from the political leadership, in consultation with the national and Islamic factions and forces. However, the "political leadership" did not issue any specific directives to the Elections Commission to make alternative arrangements for </w:t>
      </w:r>
      <w:r w:rsidRPr="00857C8B">
        <w:rPr>
          <w:rFonts w:ascii="Times New Roman" w:eastAsia="Times New Roman" w:hAnsi="Times New Roman" w:cs="Times New Roman"/>
          <w:snapToGrid w:val="0"/>
          <w:kern w:val="24"/>
          <w:sz w:val="24"/>
          <w:szCs w:val="24"/>
          <w:lang w:val="en-US" w:bidi="ar-SA"/>
          <w14:ligatures w14:val="none"/>
        </w:rPr>
        <w:lastRenderedPageBreak/>
        <w:t>conducting elections in Jerusalem, and its decision was to postpone the elections without specifying a timeframe for this postponement.</w:t>
      </w:r>
    </w:p>
    <w:p w14:paraId="2A33BE75" w14:textId="77777777" w:rsidR="00857C8B" w:rsidRPr="00857C8B" w:rsidRDefault="00857C8B" w:rsidP="00857C8B">
      <w:pPr>
        <w:pStyle w:val="ListParagraph"/>
        <w:rPr>
          <w:rFonts w:ascii="Times New Roman" w:eastAsia="Times New Roman" w:hAnsi="Times New Roman" w:cs="Times New Roman"/>
          <w:snapToGrid w:val="0"/>
          <w:kern w:val="24"/>
          <w:sz w:val="24"/>
          <w:szCs w:val="24"/>
          <w:lang w:val="en-US" w:bidi="ar-SA"/>
          <w14:ligatures w14:val="none"/>
        </w:rPr>
      </w:pPr>
    </w:p>
    <w:p w14:paraId="1FBE2D8C" w14:textId="2674D930" w:rsidR="00120688" w:rsidRPr="0053288C" w:rsidRDefault="00120688" w:rsidP="0053288C">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r w:rsidRPr="0053288C">
        <w:rPr>
          <w:rFonts w:ascii="Times New Roman" w:eastAsia="Times New Roman" w:hAnsi="Times New Roman" w:cs="Times New Roman"/>
          <w:snapToGrid w:val="0"/>
          <w:kern w:val="24"/>
          <w:sz w:val="24"/>
          <w:szCs w:val="24"/>
          <w:lang w:val="en-US" w:bidi="ar-SA"/>
          <w14:ligatures w14:val="none"/>
        </w:rPr>
        <w:t xml:space="preserve">The ICHR, therefore, recommends that the Committee urge the State of Palestine to take needed measures to hold national elections at an early date. Israel, the occupying Power, will be requested not to place obstacles to the participation of Palestinian citizens, particularly in East Jerusalem, in national elections. </w:t>
      </w:r>
    </w:p>
    <w:p w14:paraId="431DD5AB" w14:textId="77777777" w:rsidR="00120688" w:rsidRPr="00120688" w:rsidRDefault="00120688" w:rsidP="00120688">
      <w:pPr>
        <w:spacing w:after="0" w:line="240" w:lineRule="auto"/>
        <w:jc w:val="both"/>
        <w:rPr>
          <w:rFonts w:ascii="Times New Roman" w:eastAsia="Times New Roman" w:hAnsi="Times New Roman" w:cs="Times New Roman"/>
          <w:snapToGrid w:val="0"/>
          <w:kern w:val="24"/>
          <w:sz w:val="24"/>
          <w:szCs w:val="24"/>
          <w:lang w:val="en-US" w:bidi="ar-SA"/>
          <w14:ligatures w14:val="none"/>
        </w:rPr>
      </w:pPr>
    </w:p>
    <w:p w14:paraId="5212C93D" w14:textId="36DAACD4" w:rsidR="007A51A9" w:rsidRDefault="007A51A9" w:rsidP="0053288C">
      <w:pPr>
        <w:pStyle w:val="ListParagraph"/>
        <w:keepNext/>
        <w:keepLines/>
        <w:numPr>
          <w:ilvl w:val="0"/>
          <w:numId w:val="10"/>
        </w:numPr>
        <w:snapToGrid w:val="0"/>
        <w:spacing w:line="240" w:lineRule="auto"/>
        <w:ind w:left="284" w:hanging="284"/>
        <w:outlineLvl w:val="0"/>
        <w:rPr>
          <w:rFonts w:ascii="Times New Roman" w:eastAsiaTheme="majorEastAsia" w:hAnsi="Times New Roman" w:cs="Times New Roman"/>
          <w:b/>
          <w:bCs/>
          <w:kern w:val="24"/>
          <w:sz w:val="24"/>
          <w:szCs w:val="24"/>
          <w:lang w:val="en-US" w:bidi="ar-SA"/>
          <w14:ligatures w14:val="none"/>
        </w:rPr>
      </w:pPr>
      <w:bookmarkStart w:id="4" w:name="_Toc136254539"/>
      <w:r w:rsidRPr="0053288C">
        <w:rPr>
          <w:rFonts w:ascii="Times New Roman" w:eastAsiaTheme="majorEastAsia" w:hAnsi="Times New Roman" w:cs="Times New Roman"/>
          <w:b/>
          <w:bCs/>
          <w:kern w:val="24"/>
          <w:sz w:val="24"/>
          <w:szCs w:val="24"/>
          <w:lang w:val="en-US" w:bidi="ar-SA"/>
          <w14:ligatures w14:val="none"/>
        </w:rPr>
        <w:t xml:space="preserve">Discrimination based on </w:t>
      </w:r>
      <w:r w:rsidR="001259A2" w:rsidRPr="0053288C">
        <w:rPr>
          <w:rFonts w:ascii="Times New Roman" w:eastAsiaTheme="majorEastAsia" w:hAnsi="Times New Roman" w:cs="Times New Roman"/>
          <w:b/>
          <w:bCs/>
          <w:kern w:val="24"/>
          <w:sz w:val="24"/>
          <w:szCs w:val="24"/>
          <w:lang w:val="en-US" w:bidi="ar-SA"/>
          <w14:ligatures w14:val="none"/>
        </w:rPr>
        <w:t>Sex</w:t>
      </w:r>
      <w:bookmarkEnd w:id="4"/>
      <w:r w:rsidR="001259A2" w:rsidRPr="0053288C">
        <w:rPr>
          <w:rFonts w:ascii="Times New Roman" w:eastAsiaTheme="majorEastAsia" w:hAnsi="Times New Roman" w:cs="Times New Roman"/>
          <w:b/>
          <w:bCs/>
          <w:kern w:val="24"/>
          <w:sz w:val="24"/>
          <w:szCs w:val="24"/>
          <w:lang w:val="en-US" w:bidi="ar-SA"/>
          <w14:ligatures w14:val="none"/>
        </w:rPr>
        <w:t xml:space="preserve"> </w:t>
      </w:r>
    </w:p>
    <w:p w14:paraId="2E9DBBA0" w14:textId="77777777" w:rsidR="00B13D95" w:rsidRPr="0053288C" w:rsidRDefault="00B13D95" w:rsidP="00B13D95">
      <w:pPr>
        <w:pStyle w:val="ListParagraph"/>
        <w:keepNext/>
        <w:keepLines/>
        <w:snapToGrid w:val="0"/>
        <w:spacing w:line="240" w:lineRule="auto"/>
        <w:ind w:left="284"/>
        <w:outlineLvl w:val="0"/>
        <w:rPr>
          <w:rFonts w:ascii="Times New Roman" w:eastAsiaTheme="majorEastAsia" w:hAnsi="Times New Roman" w:cs="Times New Roman"/>
          <w:b/>
          <w:bCs/>
          <w:kern w:val="24"/>
          <w:sz w:val="24"/>
          <w:szCs w:val="24"/>
          <w:lang w:val="en-US" w:bidi="ar-SA"/>
          <w14:ligatures w14:val="none"/>
        </w:rPr>
      </w:pPr>
    </w:p>
    <w:p w14:paraId="67B6C6B8" w14:textId="0BAA074C" w:rsidR="007A51A9" w:rsidRDefault="007A51A9" w:rsidP="0053288C">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The Basic Law </w:t>
      </w:r>
      <w:r w:rsidR="00F168BC" w:rsidRPr="00683880">
        <w:rPr>
          <w:rFonts w:ascii="Times New Roman" w:hAnsi="Times New Roman" w:cs="Times New Roman"/>
          <w:sz w:val="24"/>
          <w:szCs w:val="24"/>
        </w:rPr>
        <w:t xml:space="preserve">provides that citizens are equal before the law and the judiciary, without </w:t>
      </w:r>
      <w:r w:rsidR="008120CF">
        <w:rPr>
          <w:rFonts w:ascii="Times New Roman" w:hAnsi="Times New Roman" w:cs="Times New Roman"/>
          <w:sz w:val="24"/>
          <w:szCs w:val="24"/>
        </w:rPr>
        <w:t>discrimination</w:t>
      </w:r>
      <w:r w:rsidR="00F168BC" w:rsidRPr="00683880">
        <w:rPr>
          <w:rFonts w:ascii="Times New Roman" w:hAnsi="Times New Roman" w:cs="Times New Roman"/>
          <w:sz w:val="24"/>
          <w:szCs w:val="24"/>
        </w:rPr>
        <w:t xml:space="preserve"> based on sex</w:t>
      </w:r>
      <w:r w:rsidR="00E14FFF" w:rsidRPr="00683880">
        <w:rPr>
          <w:rFonts w:ascii="Times New Roman" w:hAnsi="Times New Roman" w:cs="Times New Roman"/>
          <w:sz w:val="24"/>
          <w:szCs w:val="24"/>
        </w:rPr>
        <w:t xml:space="preserve">. In 2014, the State of Palestine acceded to the </w:t>
      </w:r>
      <w:r w:rsidR="001B6E9E" w:rsidRPr="00683880">
        <w:rPr>
          <w:rFonts w:ascii="Times New Roman" w:hAnsi="Times New Roman" w:cs="Times New Roman"/>
          <w:sz w:val="24"/>
          <w:szCs w:val="24"/>
        </w:rPr>
        <w:t xml:space="preserve">Convention on the Elimination of All Forms of Discrimination against Women (CEDAW) without any reservations. However, the CEDAW has not been published in the Palestinian Official Gazette. </w:t>
      </w:r>
      <w:r w:rsidR="008120CF">
        <w:rPr>
          <w:rFonts w:ascii="Times New Roman" w:hAnsi="Times New Roman" w:cs="Times New Roman"/>
          <w:sz w:val="24"/>
          <w:szCs w:val="24"/>
        </w:rPr>
        <w:t>M</w:t>
      </w:r>
      <w:r w:rsidR="001B6E9E" w:rsidRPr="00683880">
        <w:rPr>
          <w:rFonts w:ascii="Times New Roman" w:hAnsi="Times New Roman" w:cs="Times New Roman"/>
          <w:sz w:val="24"/>
          <w:szCs w:val="24"/>
        </w:rPr>
        <w:t xml:space="preserve">any regulations </w:t>
      </w:r>
      <w:r w:rsidR="008120CF">
        <w:rPr>
          <w:rFonts w:ascii="Times New Roman" w:hAnsi="Times New Roman" w:cs="Times New Roman"/>
          <w:sz w:val="24"/>
          <w:szCs w:val="24"/>
        </w:rPr>
        <w:t xml:space="preserve">that </w:t>
      </w:r>
      <w:r w:rsidR="008120CF" w:rsidRPr="0053288C">
        <w:rPr>
          <w:rFonts w:ascii="Times New Roman" w:eastAsia="Times New Roman" w:hAnsi="Times New Roman" w:cs="Times New Roman"/>
          <w:snapToGrid w:val="0"/>
          <w:kern w:val="24"/>
          <w:sz w:val="24"/>
          <w:szCs w:val="24"/>
          <w:lang w:val="en-US" w:bidi="ar-SA"/>
          <w14:ligatures w14:val="none"/>
        </w:rPr>
        <w:t>discriminate</w:t>
      </w:r>
      <w:r w:rsidR="008120CF" w:rsidRPr="00683880">
        <w:rPr>
          <w:rFonts w:ascii="Times New Roman" w:hAnsi="Times New Roman" w:cs="Times New Roman"/>
          <w:sz w:val="24"/>
          <w:szCs w:val="24"/>
        </w:rPr>
        <w:t xml:space="preserve"> against women </w:t>
      </w:r>
      <w:r w:rsidR="001B6E9E" w:rsidRPr="00683880">
        <w:rPr>
          <w:rFonts w:ascii="Times New Roman" w:hAnsi="Times New Roman" w:cs="Times New Roman"/>
          <w:sz w:val="24"/>
          <w:szCs w:val="24"/>
        </w:rPr>
        <w:t xml:space="preserve">are still in force and have neither been repealed nor amended. In particular, </w:t>
      </w:r>
      <w:r w:rsidR="00D713F6" w:rsidRPr="00683880">
        <w:rPr>
          <w:rFonts w:ascii="Times New Roman" w:hAnsi="Times New Roman" w:cs="Times New Roman"/>
          <w:sz w:val="24"/>
          <w:szCs w:val="24"/>
        </w:rPr>
        <w:t xml:space="preserve">the Personal Status Law and penal laws continue to contain blanket criminalisation of abortion and </w:t>
      </w:r>
      <w:r w:rsidR="00CD0BC0" w:rsidRPr="00CD0BC0">
        <w:rPr>
          <w:rFonts w:ascii="Times New Roman" w:hAnsi="Times New Roman" w:cs="Times New Roman"/>
          <w:sz w:val="24"/>
          <w:szCs w:val="24"/>
        </w:rPr>
        <w:t xml:space="preserve">consensual sexual </w:t>
      </w:r>
      <w:proofErr w:type="spellStart"/>
      <w:r w:rsidR="00CD0BC0" w:rsidRPr="00CD0BC0">
        <w:rPr>
          <w:rFonts w:ascii="Times New Roman" w:hAnsi="Times New Roman" w:cs="Times New Roman"/>
          <w:sz w:val="24"/>
          <w:szCs w:val="24"/>
        </w:rPr>
        <w:t>behavior</w:t>
      </w:r>
      <w:proofErr w:type="spellEnd"/>
      <w:r w:rsidR="00D713F6" w:rsidRPr="00683880">
        <w:rPr>
          <w:rFonts w:ascii="Times New Roman" w:hAnsi="Times New Roman" w:cs="Times New Roman"/>
          <w:sz w:val="24"/>
          <w:szCs w:val="24"/>
        </w:rPr>
        <w:t xml:space="preserve">. Additionally, the Palestinian government continues to postpone approval of the Law on Family Protection from Violence. </w:t>
      </w:r>
    </w:p>
    <w:p w14:paraId="4CC8BF6C" w14:textId="77777777" w:rsidR="00DD6FD8" w:rsidRPr="00683880" w:rsidRDefault="00DD6FD8" w:rsidP="00DD6FD8">
      <w:pPr>
        <w:pStyle w:val="ListParagraph"/>
        <w:spacing w:after="0" w:line="240" w:lineRule="auto"/>
        <w:ind w:left="567"/>
        <w:jc w:val="both"/>
        <w:rPr>
          <w:rFonts w:ascii="Times New Roman" w:hAnsi="Times New Roman" w:cs="Times New Roman"/>
          <w:sz w:val="24"/>
          <w:szCs w:val="24"/>
        </w:rPr>
      </w:pPr>
    </w:p>
    <w:p w14:paraId="2FD972E5" w14:textId="7AC655BA" w:rsidR="00D713F6" w:rsidRDefault="00D713F6" w:rsidP="00DD6FD8">
      <w:pPr>
        <w:pStyle w:val="ListParagraph"/>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ICHR recommends that the Committee urge the State of Palestine to include a comprehensive definition of discrimination under the Penal Law and prescribe an appropriate penalty against those </w:t>
      </w:r>
      <w:r w:rsidRPr="00D713F6">
        <w:rPr>
          <w:rFonts w:ascii="Times New Roman" w:hAnsi="Times New Roman" w:cs="Times New Roman"/>
          <w:sz w:val="24"/>
          <w:szCs w:val="24"/>
        </w:rPr>
        <w:t>found responsible</w:t>
      </w:r>
      <w:r>
        <w:rPr>
          <w:rFonts w:ascii="Times New Roman" w:hAnsi="Times New Roman" w:cs="Times New Roman"/>
          <w:sz w:val="24"/>
          <w:szCs w:val="24"/>
        </w:rPr>
        <w:t xml:space="preserve"> for such discrimination. </w:t>
      </w:r>
      <w:r w:rsidR="006B3D22">
        <w:rPr>
          <w:rFonts w:ascii="Times New Roman" w:hAnsi="Times New Roman" w:cs="Times New Roman"/>
          <w:sz w:val="24"/>
          <w:szCs w:val="24"/>
        </w:rPr>
        <w:t xml:space="preserve">The State of Palestine </w:t>
      </w:r>
      <w:r>
        <w:rPr>
          <w:rFonts w:ascii="Times New Roman" w:hAnsi="Times New Roman" w:cs="Times New Roman"/>
          <w:sz w:val="24"/>
          <w:szCs w:val="24"/>
        </w:rPr>
        <w:t>will be also urged to amend penal and personal status law</w:t>
      </w:r>
      <w:r w:rsidR="006B3D22">
        <w:rPr>
          <w:rFonts w:ascii="Times New Roman" w:hAnsi="Times New Roman" w:cs="Times New Roman"/>
          <w:sz w:val="24"/>
          <w:szCs w:val="24"/>
        </w:rPr>
        <w:t>s</w:t>
      </w:r>
      <w:r>
        <w:rPr>
          <w:rFonts w:ascii="Times New Roman" w:hAnsi="Times New Roman" w:cs="Times New Roman"/>
          <w:sz w:val="24"/>
          <w:szCs w:val="24"/>
        </w:rPr>
        <w:t xml:space="preserve">, approve the Law on Family Protection from Violence, and publish the CEDAW in the Official Gazette, ultimately promoting equality and protecting women </w:t>
      </w:r>
      <w:r w:rsidR="006B3D22">
        <w:rPr>
          <w:rFonts w:ascii="Times New Roman" w:hAnsi="Times New Roman" w:cs="Times New Roman"/>
          <w:sz w:val="24"/>
          <w:szCs w:val="24"/>
        </w:rPr>
        <w:t xml:space="preserve">against </w:t>
      </w:r>
      <w:r>
        <w:rPr>
          <w:rFonts w:ascii="Times New Roman" w:hAnsi="Times New Roman" w:cs="Times New Roman"/>
          <w:sz w:val="24"/>
          <w:szCs w:val="24"/>
        </w:rPr>
        <w:t xml:space="preserve">any form </w:t>
      </w:r>
      <w:r w:rsidR="006B3D22">
        <w:rPr>
          <w:rFonts w:ascii="Times New Roman" w:hAnsi="Times New Roman" w:cs="Times New Roman"/>
          <w:sz w:val="24"/>
          <w:szCs w:val="24"/>
        </w:rPr>
        <w:t xml:space="preserve">of </w:t>
      </w:r>
      <w:r>
        <w:rPr>
          <w:rFonts w:ascii="Times New Roman" w:hAnsi="Times New Roman" w:cs="Times New Roman"/>
          <w:sz w:val="24"/>
          <w:szCs w:val="24"/>
        </w:rPr>
        <w:t xml:space="preserve">violence </w:t>
      </w:r>
      <w:r w:rsidR="00D86214" w:rsidRPr="00D86214">
        <w:rPr>
          <w:rFonts w:ascii="Times New Roman" w:hAnsi="Times New Roman" w:cs="Times New Roman"/>
          <w:sz w:val="24"/>
          <w:szCs w:val="24"/>
        </w:rPr>
        <w:t>on the grounds of discrimination</w:t>
      </w:r>
      <w:r>
        <w:rPr>
          <w:rFonts w:ascii="Times New Roman" w:hAnsi="Times New Roman" w:cs="Times New Roman"/>
          <w:sz w:val="24"/>
          <w:szCs w:val="24"/>
        </w:rPr>
        <w:t xml:space="preserve">. </w:t>
      </w:r>
    </w:p>
    <w:p w14:paraId="3FA92383" w14:textId="2849ED03" w:rsidR="00D713F6" w:rsidRDefault="008649CF" w:rsidP="0053288C">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Palestinian female defenders of women’s rights and feminists are targeted by incessant campaigns of </w:t>
      </w:r>
      <w:r w:rsidR="00D86214">
        <w:rPr>
          <w:rFonts w:ascii="Times New Roman" w:hAnsi="Times New Roman" w:cs="Times New Roman"/>
          <w:sz w:val="24"/>
          <w:szCs w:val="24"/>
        </w:rPr>
        <w:t xml:space="preserve">blunt </w:t>
      </w:r>
      <w:r w:rsidRPr="00683880">
        <w:rPr>
          <w:rFonts w:ascii="Times New Roman" w:hAnsi="Times New Roman" w:cs="Times New Roman"/>
          <w:sz w:val="24"/>
          <w:szCs w:val="24"/>
        </w:rPr>
        <w:t xml:space="preserve">incitement, threats, and hate speech </w:t>
      </w:r>
      <w:r w:rsidR="00E82612">
        <w:rPr>
          <w:rFonts w:ascii="Times New Roman" w:hAnsi="Times New Roman" w:cs="Times New Roman"/>
          <w:sz w:val="24"/>
          <w:szCs w:val="24"/>
        </w:rPr>
        <w:t>due to</w:t>
      </w:r>
      <w:r w:rsidR="00D86214">
        <w:rPr>
          <w:rFonts w:ascii="Times New Roman" w:hAnsi="Times New Roman" w:cs="Times New Roman"/>
          <w:sz w:val="24"/>
          <w:szCs w:val="24"/>
        </w:rPr>
        <w:t xml:space="preserve"> </w:t>
      </w:r>
      <w:r w:rsidRPr="00683880">
        <w:rPr>
          <w:rFonts w:ascii="Times New Roman" w:hAnsi="Times New Roman" w:cs="Times New Roman"/>
          <w:sz w:val="24"/>
          <w:szCs w:val="24"/>
        </w:rPr>
        <w:t xml:space="preserve">their calls for </w:t>
      </w:r>
      <w:r w:rsidR="00E82612">
        <w:rPr>
          <w:rFonts w:ascii="Times New Roman" w:hAnsi="Times New Roman" w:cs="Times New Roman"/>
          <w:sz w:val="24"/>
          <w:szCs w:val="24"/>
        </w:rPr>
        <w:t xml:space="preserve">the </w:t>
      </w:r>
      <w:r w:rsidRPr="00683880">
        <w:rPr>
          <w:rFonts w:ascii="Times New Roman" w:hAnsi="Times New Roman" w:cs="Times New Roman"/>
          <w:sz w:val="24"/>
          <w:szCs w:val="24"/>
        </w:rPr>
        <w:t>implement</w:t>
      </w:r>
      <w:r w:rsidR="00E82612">
        <w:rPr>
          <w:rFonts w:ascii="Times New Roman" w:hAnsi="Times New Roman" w:cs="Times New Roman"/>
          <w:sz w:val="24"/>
          <w:szCs w:val="24"/>
        </w:rPr>
        <w:t xml:space="preserve">ation of </w:t>
      </w:r>
      <w:r w:rsidRPr="00683880">
        <w:rPr>
          <w:rFonts w:ascii="Times New Roman" w:hAnsi="Times New Roman" w:cs="Times New Roman"/>
          <w:sz w:val="24"/>
          <w:szCs w:val="24"/>
        </w:rPr>
        <w:t>CEDAW and approv</w:t>
      </w:r>
      <w:r w:rsidR="00626FDF">
        <w:rPr>
          <w:rFonts w:ascii="Times New Roman" w:hAnsi="Times New Roman" w:cs="Times New Roman"/>
          <w:sz w:val="24"/>
          <w:szCs w:val="24"/>
        </w:rPr>
        <w:t>ing</w:t>
      </w:r>
      <w:r w:rsidRPr="00683880">
        <w:rPr>
          <w:rFonts w:ascii="Times New Roman" w:hAnsi="Times New Roman" w:cs="Times New Roman"/>
          <w:sz w:val="24"/>
          <w:szCs w:val="24"/>
        </w:rPr>
        <w:t xml:space="preserve"> the Law on Family Protection from Violence. Addressed against women’s rights</w:t>
      </w:r>
      <w:r w:rsidR="00626FDF" w:rsidRPr="00626FDF">
        <w:rPr>
          <w:rFonts w:ascii="Times New Roman" w:hAnsi="Times New Roman" w:cs="Times New Roman"/>
          <w:sz w:val="24"/>
          <w:szCs w:val="24"/>
        </w:rPr>
        <w:t xml:space="preserve"> </w:t>
      </w:r>
      <w:r w:rsidR="00626FDF" w:rsidRPr="00683880">
        <w:rPr>
          <w:rFonts w:ascii="Times New Roman" w:hAnsi="Times New Roman" w:cs="Times New Roman"/>
          <w:sz w:val="24"/>
          <w:szCs w:val="24"/>
        </w:rPr>
        <w:t>defenders</w:t>
      </w:r>
      <w:r w:rsidRPr="00683880">
        <w:rPr>
          <w:rFonts w:ascii="Times New Roman" w:hAnsi="Times New Roman" w:cs="Times New Roman"/>
          <w:sz w:val="24"/>
          <w:szCs w:val="24"/>
        </w:rPr>
        <w:t xml:space="preserve">, this speech is sometimes </w:t>
      </w:r>
      <w:r w:rsidR="00626FDF">
        <w:rPr>
          <w:rFonts w:ascii="Times New Roman" w:hAnsi="Times New Roman" w:cs="Times New Roman"/>
          <w:sz w:val="24"/>
          <w:szCs w:val="24"/>
        </w:rPr>
        <w:t xml:space="preserve">uttered </w:t>
      </w:r>
      <w:r w:rsidRPr="00683880">
        <w:rPr>
          <w:rFonts w:ascii="Times New Roman" w:hAnsi="Times New Roman" w:cs="Times New Roman"/>
          <w:sz w:val="24"/>
          <w:szCs w:val="24"/>
        </w:rPr>
        <w:t xml:space="preserve">by political officials and public servants. Along this vein, the ICHR notes that the State agencies do not carry out their responsibilities for protecting women’s rights defenders and prosecuting persons accused of inciting against and threatening these defenders. </w:t>
      </w:r>
    </w:p>
    <w:p w14:paraId="0773F8B7" w14:textId="77777777" w:rsidR="00DD6FD8" w:rsidRDefault="00DD6FD8" w:rsidP="00DD6FD8">
      <w:pPr>
        <w:pStyle w:val="ListParagraph"/>
        <w:spacing w:after="0" w:line="240" w:lineRule="auto"/>
        <w:ind w:left="567"/>
        <w:jc w:val="both"/>
        <w:rPr>
          <w:rFonts w:ascii="Times New Roman" w:hAnsi="Times New Roman" w:cs="Times New Roman"/>
          <w:sz w:val="24"/>
          <w:szCs w:val="24"/>
        </w:rPr>
      </w:pPr>
    </w:p>
    <w:p w14:paraId="36398D41" w14:textId="78F0A8C2" w:rsidR="007B661C" w:rsidRDefault="008649CF" w:rsidP="00DD6FD8">
      <w:pPr>
        <w:pStyle w:val="ListParagraph"/>
        <w:ind w:left="567"/>
        <w:contextualSpacing w:val="0"/>
        <w:jc w:val="both"/>
        <w:rPr>
          <w:rFonts w:ascii="Times New Roman" w:hAnsi="Times New Roman" w:cs="Times New Roman"/>
          <w:sz w:val="24"/>
          <w:szCs w:val="24"/>
        </w:rPr>
      </w:pPr>
      <w:r>
        <w:rPr>
          <w:rFonts w:ascii="Times New Roman" w:hAnsi="Times New Roman" w:cs="Times New Roman"/>
          <w:sz w:val="24"/>
          <w:szCs w:val="24"/>
        </w:rPr>
        <w:t>The ICHR recommends that the Committee urge the State of Palestine to pro</w:t>
      </w:r>
      <w:r w:rsidR="007B661C">
        <w:rPr>
          <w:rFonts w:ascii="Times New Roman" w:hAnsi="Times New Roman" w:cs="Times New Roman"/>
          <w:sz w:val="24"/>
          <w:szCs w:val="24"/>
        </w:rPr>
        <w:t xml:space="preserve">vide needed protection to women’s right defenders. </w:t>
      </w:r>
    </w:p>
    <w:p w14:paraId="7165D3F9" w14:textId="5453B0E1" w:rsidR="007B661C" w:rsidRDefault="007B661C" w:rsidP="00DD6FD8">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5" w:name="_Toc136254540"/>
      <w:r w:rsidRPr="00A13C0A">
        <w:rPr>
          <w:rFonts w:ascii="Times New Roman" w:hAnsi="Times New Roman" w:cs="Times New Roman"/>
          <w:b/>
          <w:bCs/>
          <w:sz w:val="24"/>
          <w:szCs w:val="24"/>
        </w:rPr>
        <w:t xml:space="preserve">Right </w:t>
      </w:r>
      <w:r w:rsidRPr="00DD6FD8">
        <w:rPr>
          <w:rFonts w:ascii="Times New Roman" w:eastAsiaTheme="majorEastAsia" w:hAnsi="Times New Roman" w:cs="Times New Roman"/>
          <w:b/>
          <w:bCs/>
          <w:kern w:val="24"/>
          <w:sz w:val="24"/>
          <w:szCs w:val="24"/>
          <w:lang w:val="en-US" w:bidi="ar-SA"/>
          <w14:ligatures w14:val="none"/>
        </w:rPr>
        <w:t>to</w:t>
      </w:r>
      <w:r w:rsidRPr="00A13C0A">
        <w:rPr>
          <w:rFonts w:ascii="Times New Roman" w:hAnsi="Times New Roman" w:cs="Times New Roman"/>
          <w:b/>
          <w:bCs/>
          <w:sz w:val="24"/>
          <w:szCs w:val="24"/>
        </w:rPr>
        <w:t xml:space="preserve"> </w:t>
      </w:r>
      <w:r w:rsidR="001259A2" w:rsidRPr="00A13C0A">
        <w:rPr>
          <w:rFonts w:ascii="Times New Roman" w:hAnsi="Times New Roman" w:cs="Times New Roman"/>
          <w:b/>
          <w:bCs/>
          <w:sz w:val="24"/>
          <w:szCs w:val="24"/>
        </w:rPr>
        <w:t>Life</w:t>
      </w:r>
      <w:bookmarkEnd w:id="5"/>
      <w:r w:rsidR="001259A2" w:rsidRPr="00A13C0A">
        <w:rPr>
          <w:rFonts w:ascii="Times New Roman" w:hAnsi="Times New Roman" w:cs="Times New Roman"/>
          <w:b/>
          <w:bCs/>
          <w:sz w:val="24"/>
          <w:szCs w:val="24"/>
        </w:rPr>
        <w:t xml:space="preserve"> </w:t>
      </w:r>
    </w:p>
    <w:p w14:paraId="7CB7DE58" w14:textId="77777777" w:rsidR="00B13D95" w:rsidRPr="00A13C0A" w:rsidRDefault="00B13D95" w:rsidP="00B13D95">
      <w:pPr>
        <w:pStyle w:val="ListParagraph"/>
        <w:keepNext/>
        <w:keepLines/>
        <w:snapToGrid w:val="0"/>
        <w:spacing w:line="240" w:lineRule="auto"/>
        <w:ind w:left="284"/>
        <w:outlineLvl w:val="0"/>
        <w:rPr>
          <w:rFonts w:ascii="Times New Roman" w:hAnsi="Times New Roman" w:cs="Times New Roman"/>
          <w:b/>
          <w:bCs/>
          <w:sz w:val="24"/>
          <w:szCs w:val="24"/>
        </w:rPr>
      </w:pPr>
    </w:p>
    <w:p w14:paraId="4C1EAEC2" w14:textId="33FB70B9" w:rsidR="00815B0B" w:rsidRDefault="00815B0B"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815B0B">
        <w:rPr>
          <w:rFonts w:ascii="Times New Roman" w:hAnsi="Times New Roman" w:cs="Times New Roman"/>
          <w:sz w:val="24"/>
          <w:szCs w:val="24"/>
        </w:rPr>
        <w:t xml:space="preserve">Since Palestine's accession to the Second Optional Protocol to the Covenant in June 2018, Palestinian courts have issued 43 death sentences, including two against women. All of these sentences were issued by courts in the Gaza Strip, particularly military courts that lack sufficient guarantees for fair trials. From 1995 until now, a total of 44 individuals have been executed, including 33 executed in Gaza after the Palestinian division in 2007 without the </w:t>
      </w:r>
      <w:r w:rsidRPr="00815B0B">
        <w:rPr>
          <w:rFonts w:ascii="Times New Roman" w:hAnsi="Times New Roman" w:cs="Times New Roman"/>
          <w:sz w:val="24"/>
          <w:szCs w:val="24"/>
        </w:rPr>
        <w:lastRenderedPageBreak/>
        <w:t xml:space="preserve">President's approval as required by the Basic Law. Approximately 13 individuals await the implementation of death sentences against them in the Gaza Strip, despite the failure to </w:t>
      </w:r>
      <w:proofErr w:type="spellStart"/>
      <w:r w:rsidRPr="00815B0B">
        <w:rPr>
          <w:rFonts w:ascii="Times New Roman" w:hAnsi="Times New Roman" w:cs="Times New Roman"/>
          <w:sz w:val="24"/>
          <w:szCs w:val="24"/>
        </w:rPr>
        <w:t>fulfill</w:t>
      </w:r>
      <w:proofErr w:type="spellEnd"/>
      <w:r w:rsidRPr="00815B0B">
        <w:rPr>
          <w:rFonts w:ascii="Times New Roman" w:hAnsi="Times New Roman" w:cs="Times New Roman"/>
          <w:sz w:val="24"/>
          <w:szCs w:val="24"/>
        </w:rPr>
        <w:t xml:space="preserve"> the necessary legal procedures, including the President's endorsement of these sentences.</w:t>
      </w:r>
    </w:p>
    <w:p w14:paraId="50202586" w14:textId="77777777" w:rsidR="00815B0B" w:rsidRPr="00815B0B" w:rsidRDefault="00815B0B" w:rsidP="00815B0B">
      <w:pPr>
        <w:pStyle w:val="ListParagraph"/>
        <w:spacing w:after="0" w:line="240" w:lineRule="auto"/>
        <w:ind w:left="567"/>
        <w:jc w:val="both"/>
        <w:rPr>
          <w:rFonts w:ascii="Times New Roman" w:hAnsi="Times New Roman" w:cs="Times New Roman"/>
          <w:sz w:val="24"/>
          <w:szCs w:val="24"/>
        </w:rPr>
      </w:pPr>
    </w:p>
    <w:p w14:paraId="23D6FAFA" w14:textId="3B17E442" w:rsidR="00113A2A" w:rsidRDefault="00113A2A" w:rsidP="00F057C2">
      <w:pPr>
        <w:pStyle w:val="ListParagraph"/>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In the West Bank, courts do not apply </w:t>
      </w:r>
      <w:r w:rsidR="00AE179C">
        <w:rPr>
          <w:rFonts w:ascii="Times New Roman" w:hAnsi="Times New Roman" w:cs="Times New Roman"/>
          <w:sz w:val="24"/>
          <w:szCs w:val="24"/>
        </w:rPr>
        <w:t xml:space="preserve">the </w:t>
      </w:r>
      <w:r w:rsidRPr="00683880">
        <w:rPr>
          <w:rFonts w:ascii="Times New Roman" w:hAnsi="Times New Roman" w:cs="Times New Roman"/>
          <w:sz w:val="24"/>
          <w:szCs w:val="24"/>
        </w:rPr>
        <w:t>death penalty</w:t>
      </w:r>
      <w:r w:rsidR="00F057C2">
        <w:rPr>
          <w:rFonts w:ascii="Times New Roman" w:hAnsi="Times New Roman" w:cs="Times New Roman"/>
          <w:sz w:val="24"/>
          <w:szCs w:val="24"/>
        </w:rPr>
        <w:t xml:space="preserve"> as</w:t>
      </w:r>
      <w:r w:rsidRPr="00683880">
        <w:rPr>
          <w:rFonts w:ascii="Times New Roman" w:hAnsi="Times New Roman" w:cs="Times New Roman"/>
          <w:sz w:val="24"/>
          <w:szCs w:val="24"/>
        </w:rPr>
        <w:t xml:space="preserve"> the Head of State has not endorsed any death sentences since 2006. Still, one citizen held in a West Bank prison is sentenced to death, but the penalty has not been commuted. Also, the Head of State has passed laws by decrees, including procedural regulations of the capital punishment. Most notably, these included the Law by Decree No. 39 of 2020 on the Formation of Regular Courts. New amendments are introduced to Palestinian legislation to regulate, rather </w:t>
      </w:r>
      <w:r w:rsidR="00F057C2">
        <w:rPr>
          <w:rFonts w:ascii="Times New Roman" w:hAnsi="Times New Roman" w:cs="Times New Roman"/>
          <w:sz w:val="24"/>
          <w:szCs w:val="24"/>
        </w:rPr>
        <w:t xml:space="preserve">than </w:t>
      </w:r>
      <w:r w:rsidRPr="00683880">
        <w:rPr>
          <w:rFonts w:ascii="Times New Roman" w:hAnsi="Times New Roman" w:cs="Times New Roman"/>
          <w:sz w:val="24"/>
          <w:szCs w:val="24"/>
        </w:rPr>
        <w:t xml:space="preserve">completely abolish, the </w:t>
      </w:r>
      <w:r w:rsidR="00197E2C">
        <w:rPr>
          <w:rFonts w:ascii="Times New Roman" w:hAnsi="Times New Roman" w:cs="Times New Roman"/>
          <w:sz w:val="24"/>
          <w:szCs w:val="24"/>
        </w:rPr>
        <w:t>death penalty</w:t>
      </w:r>
      <w:r w:rsidRPr="00683880">
        <w:rPr>
          <w:rFonts w:ascii="Times New Roman" w:hAnsi="Times New Roman" w:cs="Times New Roman"/>
          <w:sz w:val="24"/>
          <w:szCs w:val="24"/>
        </w:rPr>
        <w:t xml:space="preserve">. This indicates that a political will is lacking for the clear and explicit abolition of the </w:t>
      </w:r>
      <w:r w:rsidR="00197E2C">
        <w:rPr>
          <w:rFonts w:ascii="Times New Roman" w:hAnsi="Times New Roman" w:cs="Times New Roman"/>
          <w:sz w:val="24"/>
          <w:szCs w:val="24"/>
        </w:rPr>
        <w:t xml:space="preserve">capital punishment </w:t>
      </w:r>
      <w:r w:rsidRPr="00683880">
        <w:rPr>
          <w:rFonts w:ascii="Times New Roman" w:hAnsi="Times New Roman" w:cs="Times New Roman"/>
          <w:sz w:val="24"/>
          <w:szCs w:val="24"/>
        </w:rPr>
        <w:t xml:space="preserve">under Palestinian regulations. </w:t>
      </w:r>
    </w:p>
    <w:p w14:paraId="458D75AD" w14:textId="15373D0E" w:rsidR="006126AD" w:rsidRPr="00683880" w:rsidRDefault="00113A2A"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ICHR recommends that the Committee request the State of Palestine to abolish the death penalty from the Palestinian law once and for all. Necessary legal actions will be taken </w:t>
      </w:r>
      <w:r w:rsidR="00F00D1A">
        <w:rPr>
          <w:rFonts w:ascii="Times New Roman" w:hAnsi="Times New Roman" w:cs="Times New Roman"/>
          <w:sz w:val="24"/>
          <w:szCs w:val="24"/>
        </w:rPr>
        <w:t xml:space="preserve">by the State </w:t>
      </w:r>
      <w:r w:rsidRPr="00683880">
        <w:rPr>
          <w:rFonts w:ascii="Times New Roman" w:hAnsi="Times New Roman" w:cs="Times New Roman"/>
          <w:sz w:val="24"/>
          <w:szCs w:val="24"/>
        </w:rPr>
        <w:t>to commute final death sentences, which have not so far been mitigated.</w:t>
      </w:r>
    </w:p>
    <w:p w14:paraId="31340D8A" w14:textId="272C7EB2" w:rsidR="008649CF" w:rsidRPr="00683880" w:rsidRDefault="003D6870"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Over the </w:t>
      </w:r>
      <w:r w:rsidR="00113A2A" w:rsidRPr="00683880">
        <w:rPr>
          <w:rFonts w:ascii="Times New Roman" w:hAnsi="Times New Roman" w:cs="Times New Roman"/>
          <w:sz w:val="24"/>
          <w:szCs w:val="24"/>
        </w:rPr>
        <w:t>l</w:t>
      </w:r>
      <w:r w:rsidRPr="00683880">
        <w:rPr>
          <w:rFonts w:ascii="Times New Roman" w:hAnsi="Times New Roman" w:cs="Times New Roman"/>
          <w:sz w:val="24"/>
          <w:szCs w:val="24"/>
        </w:rPr>
        <w:t xml:space="preserve">ast five years, 18 </w:t>
      </w:r>
      <w:r w:rsidR="00113A2A" w:rsidRPr="00683880">
        <w:rPr>
          <w:rFonts w:ascii="Times New Roman" w:hAnsi="Times New Roman" w:cs="Times New Roman"/>
          <w:sz w:val="24"/>
          <w:szCs w:val="24"/>
        </w:rPr>
        <w:t xml:space="preserve">Palestinians were shot and killed by law enforcement officers, who misused firearms and did not observe the principles of necessity and proportionality in the use of force. The ICHR does not have adequate information on whether perpetrators have been held to account, put on trial, and subjected to deterrent punishment. The State of Palestine must be urged to take action to hold accountable perpetrators of murder, regardless of their office. The State of Palestine should also be urged to take actions and measures to prevent the recurrence of killings and provide redress to families of the victims, taking into consideration that codes of professional conduct are not a substitute of the force of law. </w:t>
      </w:r>
    </w:p>
    <w:p w14:paraId="4FF975C0" w14:textId="7233DE3A" w:rsidR="002C6156" w:rsidRDefault="000F1FD7"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24 June 2021, a Preventive Security force executed an arrest warrant against Nizar Banat, a 43-year-old political activist and candidate of the Freedom and Dignity List for national elections (before they were postponed). Meantime, Banat died as a result of unjustified extreme violence. According to the ICHR investigations, Banat did not show resistance at all. Of note, the arrest warrant against Banat had been issued on charges of the offence of libel against public authorities. This charge is imputed by law enforcement agencies to political opponents and citizens who publicly criticise political officials and </w:t>
      </w:r>
      <w:r w:rsidR="00474BDC">
        <w:rPr>
          <w:rFonts w:ascii="Times New Roman" w:hAnsi="Times New Roman" w:cs="Times New Roman"/>
          <w:sz w:val="24"/>
          <w:szCs w:val="24"/>
        </w:rPr>
        <w:t>public</w:t>
      </w:r>
      <w:r w:rsidRPr="00683880">
        <w:rPr>
          <w:rFonts w:ascii="Times New Roman" w:hAnsi="Times New Roman" w:cs="Times New Roman"/>
          <w:sz w:val="24"/>
          <w:szCs w:val="24"/>
        </w:rPr>
        <w:t xml:space="preserve"> servants. The Public Prosecution brought 14 Preventive Security officers and soldiers, who had taken part in the arrest of Banat, before the military court. These were charged with murder, manslaughter, beating to death, and breach of orders and instructions. </w:t>
      </w:r>
      <w:r w:rsidR="002C6156" w:rsidRPr="002C6156">
        <w:rPr>
          <w:rFonts w:ascii="Times New Roman" w:hAnsi="Times New Roman" w:cs="Times New Roman"/>
          <w:sz w:val="24"/>
          <w:szCs w:val="24"/>
        </w:rPr>
        <w:t>The trial is still ongoing and has not concluded yet.</w:t>
      </w:r>
    </w:p>
    <w:p w14:paraId="7DCEC3A0" w14:textId="17A92B93" w:rsidR="000F1FD7" w:rsidRPr="00683880" w:rsidRDefault="000F1FD7" w:rsidP="002C6156">
      <w:pPr>
        <w:pStyle w:val="ListParagraph"/>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In cooperation with Al-Haq, the ICHR released a joint fact-finding report on the incident.</w:t>
      </w:r>
      <w:r w:rsidRPr="000F1FD7">
        <w:rPr>
          <w:vertAlign w:val="superscript"/>
        </w:rPr>
        <w:footnoteReference w:id="3"/>
      </w:r>
      <w:r w:rsidRPr="00683880">
        <w:rPr>
          <w:rFonts w:ascii="Times New Roman" w:hAnsi="Times New Roman" w:cs="Times New Roman"/>
          <w:sz w:val="24"/>
          <w:szCs w:val="24"/>
        </w:rPr>
        <w:t xml:space="preserve"> </w:t>
      </w:r>
    </w:p>
    <w:p w14:paraId="33D69726" w14:textId="52A8B59C" w:rsidR="00113A2A" w:rsidRDefault="000F1FD7"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The ICHR recommends that the Committee urge the State of Palestine to take serious action to provide redress to the victim</w:t>
      </w:r>
      <w:r w:rsidR="00DC672B">
        <w:rPr>
          <w:rFonts w:ascii="Times New Roman" w:hAnsi="Times New Roman" w:cs="Times New Roman"/>
          <w:sz w:val="24"/>
          <w:szCs w:val="24"/>
        </w:rPr>
        <w:t xml:space="preserve"> </w:t>
      </w:r>
      <w:r w:rsidRPr="00683880">
        <w:rPr>
          <w:rFonts w:ascii="Times New Roman" w:hAnsi="Times New Roman" w:cs="Times New Roman"/>
          <w:sz w:val="24"/>
          <w:szCs w:val="24"/>
        </w:rPr>
        <w:t>and his family, ensure that the accused persons are put on fair trial, and put in place guarantees of non-recurrence.</w:t>
      </w:r>
      <w:r w:rsidR="00683880">
        <w:rPr>
          <w:rFonts w:ascii="Times New Roman" w:hAnsi="Times New Roman" w:cs="Times New Roman"/>
          <w:sz w:val="24"/>
          <w:szCs w:val="24"/>
        </w:rPr>
        <w:t xml:space="preserve"> </w:t>
      </w:r>
    </w:p>
    <w:p w14:paraId="23E328C5" w14:textId="3EA017F1" w:rsidR="00B13D95" w:rsidRPr="001259A2" w:rsidRDefault="000F1FD7" w:rsidP="001259A2">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6" w:name="_Toc136254541"/>
      <w:r w:rsidRPr="00A67F6F">
        <w:rPr>
          <w:rFonts w:ascii="Times New Roman" w:hAnsi="Times New Roman" w:cs="Times New Roman"/>
          <w:b/>
          <w:bCs/>
          <w:sz w:val="24"/>
          <w:szCs w:val="24"/>
        </w:rPr>
        <w:t xml:space="preserve">Right to </w:t>
      </w:r>
      <w:r w:rsidR="001259A2" w:rsidRPr="00A67F6F">
        <w:rPr>
          <w:rFonts w:ascii="Times New Roman" w:hAnsi="Times New Roman" w:cs="Times New Roman"/>
          <w:b/>
          <w:bCs/>
          <w:sz w:val="24"/>
          <w:szCs w:val="24"/>
        </w:rPr>
        <w:t>Physical Integrity</w:t>
      </w:r>
      <w:bookmarkEnd w:id="6"/>
      <w:r w:rsidR="001259A2" w:rsidRPr="00A67F6F">
        <w:rPr>
          <w:rFonts w:ascii="Times New Roman" w:hAnsi="Times New Roman" w:cs="Times New Roman"/>
          <w:b/>
          <w:bCs/>
          <w:sz w:val="24"/>
          <w:szCs w:val="24"/>
        </w:rPr>
        <w:t xml:space="preserve"> </w:t>
      </w:r>
    </w:p>
    <w:p w14:paraId="609DF8DC" w14:textId="0490CB8F" w:rsidR="00C43861" w:rsidRPr="00683880" w:rsidRDefault="000F1FD7"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an annual basis, the ICHR receives hundreds of complaints from citizens across the West Bank and Gaza Strip, claiming they are subjected to torture and ill-treatment by law enforcement officers. During the past five years, a total of 2,381 complaints have been filed </w:t>
      </w:r>
      <w:r w:rsidRPr="00683880">
        <w:rPr>
          <w:rFonts w:ascii="Times New Roman" w:hAnsi="Times New Roman" w:cs="Times New Roman"/>
          <w:sz w:val="24"/>
          <w:szCs w:val="24"/>
        </w:rPr>
        <w:lastRenderedPageBreak/>
        <w:t xml:space="preserve">to the ICHR, including 1,265 in the West Bank and 1,116 in Gaza. In prisons and detention facilities of law enforcement agencies in the West Bank, citizens were subjected to a myriad of forms and patterns of torture and ill-treatment, including battering, severe beating, solitary confinement, </w:t>
      </w:r>
      <w:r w:rsidRPr="00683880">
        <w:rPr>
          <w:rFonts w:ascii="Times New Roman" w:hAnsi="Times New Roman" w:cs="Times New Roman"/>
          <w:i/>
          <w:iCs/>
          <w:sz w:val="24"/>
          <w:szCs w:val="24"/>
        </w:rPr>
        <w:t>Shabeh</w:t>
      </w:r>
      <w:r w:rsidRPr="00683880">
        <w:rPr>
          <w:rFonts w:ascii="Times New Roman" w:hAnsi="Times New Roman" w:cs="Times New Roman"/>
          <w:sz w:val="24"/>
          <w:szCs w:val="24"/>
        </w:rPr>
        <w:t xml:space="preserve"> [a combination of methods, used for prolonged periods, entailing sensory isolation and infliction of pain], sleep deprivation, threat of torture, threat to harm one’s family, and repeated verbal abuse. Women also endured one or more form(s) of ill-treatment. In this context, over the past </w:t>
      </w:r>
      <w:r w:rsidR="00C43861" w:rsidRPr="00683880">
        <w:rPr>
          <w:rFonts w:ascii="Times New Roman" w:hAnsi="Times New Roman" w:cs="Times New Roman"/>
          <w:sz w:val="24"/>
          <w:szCs w:val="24"/>
        </w:rPr>
        <w:t xml:space="preserve">five </w:t>
      </w:r>
      <w:r w:rsidRPr="00683880">
        <w:rPr>
          <w:rFonts w:ascii="Times New Roman" w:hAnsi="Times New Roman" w:cs="Times New Roman"/>
          <w:sz w:val="24"/>
          <w:szCs w:val="24"/>
        </w:rPr>
        <w:t xml:space="preserve">years, </w:t>
      </w:r>
      <w:r w:rsidR="00C43861" w:rsidRPr="00683880">
        <w:rPr>
          <w:rFonts w:ascii="Times New Roman" w:hAnsi="Times New Roman" w:cs="Times New Roman"/>
          <w:sz w:val="24"/>
          <w:szCs w:val="24"/>
        </w:rPr>
        <w:t>232</w:t>
      </w:r>
      <w:r w:rsidRPr="00683880">
        <w:rPr>
          <w:rFonts w:ascii="Times New Roman" w:hAnsi="Times New Roman" w:cs="Times New Roman"/>
          <w:sz w:val="24"/>
          <w:szCs w:val="24"/>
        </w:rPr>
        <w:t xml:space="preserve"> women lodged complaints to the ICHR in the West Bank and Gaza. </w:t>
      </w:r>
      <w:r w:rsidR="00C43861" w:rsidRPr="00683880">
        <w:rPr>
          <w:rFonts w:ascii="Times New Roman" w:hAnsi="Times New Roman" w:cs="Times New Roman"/>
          <w:sz w:val="24"/>
          <w:szCs w:val="24"/>
        </w:rPr>
        <w:t>During the same period</w:t>
      </w:r>
      <w:r w:rsidRPr="00683880">
        <w:rPr>
          <w:rFonts w:ascii="Times New Roman" w:hAnsi="Times New Roman" w:cs="Times New Roman"/>
          <w:sz w:val="24"/>
          <w:szCs w:val="24"/>
        </w:rPr>
        <w:t xml:space="preserve">, the ICHR also received </w:t>
      </w:r>
      <w:r w:rsidR="00C43861" w:rsidRPr="00683880">
        <w:rPr>
          <w:rFonts w:ascii="Times New Roman" w:hAnsi="Times New Roman" w:cs="Times New Roman"/>
          <w:sz w:val="24"/>
          <w:szCs w:val="24"/>
        </w:rPr>
        <w:t>297</w:t>
      </w:r>
      <w:r w:rsidRPr="00683880">
        <w:rPr>
          <w:rFonts w:ascii="Times New Roman" w:hAnsi="Times New Roman" w:cs="Times New Roman"/>
          <w:sz w:val="24"/>
          <w:szCs w:val="24"/>
        </w:rPr>
        <w:t xml:space="preserve"> complaints from children, who claimed they had been subjected to torture and ill-treatment. Although effective laws and regulations prohibit and punish torture, the ICHR notes that persons involved in these crimes are not adequately held criminally liable. </w:t>
      </w:r>
    </w:p>
    <w:p w14:paraId="5DAAA401" w14:textId="7F00D51A" w:rsidR="000F1FD7" w:rsidRPr="00683880" w:rsidRDefault="000F1FD7"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Against this backdrop, the ICHR recommends that the Committee request the State of Palestine to operationalise criminal accountability of the perpetrators of torture and ill-treatment regardless of their office. The ICHR further recommends that the State of Palestine be urged to enact a law on the prevention of torture and take necessary actions to provide redress and compensation to victims, together with guarantees of non-recurrence. </w:t>
      </w:r>
    </w:p>
    <w:p w14:paraId="169C92C4" w14:textId="77777777" w:rsidR="002C6156" w:rsidRDefault="002C6156"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2C6156">
        <w:rPr>
          <w:rFonts w:ascii="Times New Roman" w:hAnsi="Times New Roman" w:cs="Times New Roman"/>
          <w:sz w:val="24"/>
          <w:szCs w:val="24"/>
        </w:rPr>
        <w:t xml:space="preserve">On </w:t>
      </w:r>
      <w:r>
        <w:rPr>
          <w:rFonts w:ascii="Times New Roman" w:hAnsi="Times New Roman" w:cs="Times New Roman"/>
          <w:sz w:val="24"/>
          <w:szCs w:val="24"/>
        </w:rPr>
        <w:t>21 May 2023</w:t>
      </w:r>
      <w:r w:rsidRPr="002C6156">
        <w:rPr>
          <w:rFonts w:ascii="Times New Roman" w:hAnsi="Times New Roman" w:cs="Times New Roman"/>
          <w:sz w:val="24"/>
          <w:szCs w:val="24"/>
        </w:rPr>
        <w:t xml:space="preserve">, the President of the State of Palestine issued Decree Law No. (25) of 2022 regarding the National Mechanism for the Prevention of Torture, which stipulates the establishment of the National Mechanism for the Prevention of Torture and grants it powers to oversee detention </w:t>
      </w:r>
      <w:proofErr w:type="spellStart"/>
      <w:r w:rsidRPr="002C6156">
        <w:rPr>
          <w:rFonts w:ascii="Times New Roman" w:hAnsi="Times New Roman" w:cs="Times New Roman"/>
          <w:sz w:val="24"/>
          <w:szCs w:val="24"/>
        </w:rPr>
        <w:t>centers</w:t>
      </w:r>
      <w:proofErr w:type="spellEnd"/>
      <w:r w:rsidRPr="002C6156">
        <w:rPr>
          <w:rFonts w:ascii="Times New Roman" w:hAnsi="Times New Roman" w:cs="Times New Roman"/>
          <w:sz w:val="24"/>
          <w:szCs w:val="24"/>
        </w:rPr>
        <w:t xml:space="preserve"> and prisons, including receiving complaints and conducting periodic and surprise visits to detention facilities. Although the establishment of the mechanism is considered an important step in implementing the Optional Protocol to the Convention against Torture, to which the State of Palestine acceded on </w:t>
      </w:r>
      <w:r w:rsidRPr="00683880">
        <w:rPr>
          <w:rFonts w:ascii="Times New Roman" w:hAnsi="Times New Roman" w:cs="Times New Roman"/>
          <w:sz w:val="24"/>
          <w:szCs w:val="24"/>
        </w:rPr>
        <w:t>29 December 2017</w:t>
      </w:r>
      <w:r w:rsidRPr="002C6156">
        <w:rPr>
          <w:rFonts w:ascii="Times New Roman" w:hAnsi="Times New Roman" w:cs="Times New Roman"/>
          <w:sz w:val="24"/>
          <w:szCs w:val="24"/>
        </w:rPr>
        <w:t xml:space="preserve">, the decision by law does not provide elements and guarantees for the independence of the mechanism. It states that the appointment of its president and members is made by a decision from the President of the State upon the recommendation of the Council of Ministers, which could affect the functional independence of the mechanism. </w:t>
      </w:r>
    </w:p>
    <w:p w14:paraId="7CA5D2B4" w14:textId="76E3AAA0" w:rsidR="002C6156" w:rsidRDefault="002C6156" w:rsidP="002C6156">
      <w:pPr>
        <w:pStyle w:val="ListParagraph"/>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ICHR </w:t>
      </w:r>
      <w:r w:rsidRPr="002C6156">
        <w:rPr>
          <w:rFonts w:ascii="Times New Roman" w:hAnsi="Times New Roman" w:cs="Times New Roman"/>
          <w:sz w:val="24"/>
          <w:szCs w:val="24"/>
        </w:rPr>
        <w:t>recommend</w:t>
      </w:r>
      <w:r>
        <w:rPr>
          <w:rFonts w:ascii="Times New Roman" w:hAnsi="Times New Roman" w:cs="Times New Roman"/>
          <w:sz w:val="24"/>
          <w:szCs w:val="24"/>
        </w:rPr>
        <w:t>s</w:t>
      </w:r>
      <w:r w:rsidRPr="002C6156">
        <w:rPr>
          <w:rFonts w:ascii="Times New Roman" w:hAnsi="Times New Roman" w:cs="Times New Roman"/>
          <w:sz w:val="24"/>
          <w:szCs w:val="24"/>
        </w:rPr>
        <w:t xml:space="preserve"> that your esteemed committee urge the State of Palestine to review Decree Law No. (25) of 2022 in partnership with civil society institutions in order to ensure the requirements of the independence of the mechanism in line with the mentioned protocol and the guidelines of the Subcommittee on Prevention of Torture concerning National Preventive Mechanisms.</w:t>
      </w:r>
    </w:p>
    <w:p w14:paraId="77E8B2BA" w14:textId="33B50E97" w:rsidR="00B13D95" w:rsidRPr="001259A2" w:rsidRDefault="00C953C0" w:rsidP="001259A2">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7" w:name="_Toc136254542"/>
      <w:r w:rsidRPr="00C953C0">
        <w:rPr>
          <w:rFonts w:ascii="Times New Roman" w:hAnsi="Times New Roman" w:cs="Times New Roman"/>
          <w:b/>
          <w:bCs/>
          <w:sz w:val="24"/>
          <w:szCs w:val="24"/>
        </w:rPr>
        <w:t xml:space="preserve">Right to </w:t>
      </w:r>
      <w:r w:rsidR="001259A2" w:rsidRPr="00C953C0">
        <w:rPr>
          <w:rFonts w:ascii="Times New Roman" w:hAnsi="Times New Roman" w:cs="Times New Roman"/>
          <w:b/>
          <w:bCs/>
          <w:sz w:val="24"/>
          <w:szCs w:val="24"/>
        </w:rPr>
        <w:t xml:space="preserve">Liberty </w:t>
      </w:r>
      <w:r w:rsidRPr="00C953C0">
        <w:rPr>
          <w:rFonts w:ascii="Times New Roman" w:hAnsi="Times New Roman" w:cs="Times New Roman"/>
          <w:b/>
          <w:bCs/>
          <w:sz w:val="24"/>
          <w:szCs w:val="24"/>
        </w:rPr>
        <w:t xml:space="preserve">and </w:t>
      </w:r>
      <w:r w:rsidR="001259A2" w:rsidRPr="00C953C0">
        <w:rPr>
          <w:rFonts w:ascii="Times New Roman" w:hAnsi="Times New Roman" w:cs="Times New Roman"/>
          <w:b/>
          <w:bCs/>
          <w:sz w:val="24"/>
          <w:szCs w:val="24"/>
        </w:rPr>
        <w:t xml:space="preserve">Security </w:t>
      </w:r>
      <w:r w:rsidRPr="00C953C0">
        <w:rPr>
          <w:rFonts w:ascii="Times New Roman" w:hAnsi="Times New Roman" w:cs="Times New Roman"/>
          <w:b/>
          <w:bCs/>
          <w:sz w:val="24"/>
          <w:szCs w:val="24"/>
        </w:rPr>
        <w:t xml:space="preserve">of </w:t>
      </w:r>
      <w:r w:rsidR="001259A2" w:rsidRPr="00C953C0">
        <w:rPr>
          <w:rFonts w:ascii="Times New Roman" w:hAnsi="Times New Roman" w:cs="Times New Roman"/>
          <w:b/>
          <w:bCs/>
          <w:sz w:val="24"/>
          <w:szCs w:val="24"/>
        </w:rPr>
        <w:t>Person</w:t>
      </w:r>
      <w:bookmarkEnd w:id="7"/>
      <w:r w:rsidR="001259A2" w:rsidRPr="00C953C0">
        <w:rPr>
          <w:rFonts w:ascii="Times New Roman" w:hAnsi="Times New Roman" w:cs="Times New Roman"/>
          <w:b/>
          <w:bCs/>
          <w:sz w:val="24"/>
          <w:szCs w:val="24"/>
        </w:rPr>
        <w:t xml:space="preserve"> </w:t>
      </w:r>
    </w:p>
    <w:p w14:paraId="58DAA81C" w14:textId="6EC3DA3F" w:rsidR="00C953C0" w:rsidRPr="00683880" w:rsidRDefault="00C953C0"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25 January 2023, the Supreme Constitutional Court </w:t>
      </w:r>
      <w:r w:rsidR="00336C8B">
        <w:rPr>
          <w:rFonts w:ascii="Times New Roman" w:hAnsi="Times New Roman" w:cs="Times New Roman"/>
          <w:sz w:val="24"/>
          <w:szCs w:val="24"/>
        </w:rPr>
        <w:t xml:space="preserve">(SCC) </w:t>
      </w:r>
      <w:r w:rsidRPr="00683880">
        <w:rPr>
          <w:rFonts w:ascii="Times New Roman" w:hAnsi="Times New Roman" w:cs="Times New Roman"/>
          <w:sz w:val="24"/>
          <w:szCs w:val="24"/>
        </w:rPr>
        <w:t>entered a decision, upholding that the Jordanian Law on the Prevention of Crime</w:t>
      </w:r>
      <w:r w:rsidR="00620520">
        <w:rPr>
          <w:rFonts w:ascii="Times New Roman" w:hAnsi="Times New Roman" w:cs="Times New Roman"/>
          <w:sz w:val="24"/>
          <w:szCs w:val="24"/>
        </w:rPr>
        <w:t>s</w:t>
      </w:r>
      <w:r w:rsidRPr="00683880">
        <w:rPr>
          <w:rFonts w:ascii="Times New Roman" w:hAnsi="Times New Roman" w:cs="Times New Roman"/>
          <w:sz w:val="24"/>
          <w:szCs w:val="24"/>
        </w:rPr>
        <w:t xml:space="preserve"> was unconstitutional and banning </w:t>
      </w:r>
      <w:r w:rsidR="00620520">
        <w:rPr>
          <w:rFonts w:ascii="Times New Roman" w:hAnsi="Times New Roman" w:cs="Times New Roman"/>
          <w:sz w:val="24"/>
          <w:szCs w:val="24"/>
        </w:rPr>
        <w:t>its</w:t>
      </w:r>
      <w:r w:rsidRPr="00683880">
        <w:rPr>
          <w:rFonts w:ascii="Times New Roman" w:hAnsi="Times New Roman" w:cs="Times New Roman"/>
          <w:sz w:val="24"/>
          <w:szCs w:val="24"/>
        </w:rPr>
        <w:t xml:space="preserve"> enforcement. </w:t>
      </w:r>
      <w:r w:rsidR="00552587" w:rsidRPr="00683880">
        <w:rPr>
          <w:rFonts w:ascii="Times New Roman" w:hAnsi="Times New Roman" w:cs="Times New Roman"/>
          <w:sz w:val="24"/>
          <w:szCs w:val="24"/>
        </w:rPr>
        <w:t>Often</w:t>
      </w:r>
      <w:r w:rsidR="00552587">
        <w:rPr>
          <w:rFonts w:ascii="Times New Roman" w:hAnsi="Times New Roman" w:cs="Times New Roman"/>
          <w:sz w:val="24"/>
          <w:szCs w:val="24"/>
        </w:rPr>
        <w:t>times, t</w:t>
      </w:r>
      <w:r w:rsidRPr="00683880">
        <w:rPr>
          <w:rFonts w:ascii="Times New Roman" w:hAnsi="Times New Roman" w:cs="Times New Roman"/>
          <w:sz w:val="24"/>
          <w:szCs w:val="24"/>
        </w:rPr>
        <w:t xml:space="preserve">his law has </w:t>
      </w:r>
      <w:r w:rsidR="00552587" w:rsidRPr="00683880">
        <w:rPr>
          <w:rFonts w:ascii="Times New Roman" w:hAnsi="Times New Roman" w:cs="Times New Roman"/>
          <w:sz w:val="24"/>
          <w:szCs w:val="24"/>
        </w:rPr>
        <w:t xml:space="preserve">been </w:t>
      </w:r>
      <w:r w:rsidRPr="00683880">
        <w:rPr>
          <w:rFonts w:ascii="Times New Roman" w:hAnsi="Times New Roman" w:cs="Times New Roman"/>
          <w:sz w:val="24"/>
          <w:szCs w:val="24"/>
        </w:rPr>
        <w:t>cited by governors to issue administrative detention (arrest without charge or trial)</w:t>
      </w:r>
      <w:r w:rsidR="00EE1283">
        <w:rPr>
          <w:rFonts w:ascii="Times New Roman" w:hAnsi="Times New Roman" w:cs="Times New Roman"/>
          <w:sz w:val="24"/>
          <w:szCs w:val="24"/>
        </w:rPr>
        <w:t xml:space="preserve"> </w:t>
      </w:r>
      <w:r w:rsidR="00EE1283" w:rsidRPr="00683880">
        <w:rPr>
          <w:rFonts w:ascii="Times New Roman" w:hAnsi="Times New Roman" w:cs="Times New Roman"/>
          <w:sz w:val="24"/>
          <w:szCs w:val="24"/>
        </w:rPr>
        <w:t>orders</w:t>
      </w:r>
      <w:r w:rsidRPr="00683880">
        <w:rPr>
          <w:rFonts w:ascii="Times New Roman" w:hAnsi="Times New Roman" w:cs="Times New Roman"/>
          <w:sz w:val="24"/>
          <w:szCs w:val="24"/>
        </w:rPr>
        <w:t xml:space="preserve">. However, some persons held under administrative detention continue to be </w:t>
      </w:r>
      <w:r w:rsidR="00EE2182">
        <w:rPr>
          <w:rFonts w:ascii="Times New Roman" w:hAnsi="Times New Roman" w:cs="Times New Roman"/>
          <w:sz w:val="24"/>
          <w:szCs w:val="24"/>
        </w:rPr>
        <w:t xml:space="preserve">incarcerated </w:t>
      </w:r>
      <w:r w:rsidRPr="00683880">
        <w:rPr>
          <w:rFonts w:ascii="Times New Roman" w:hAnsi="Times New Roman" w:cs="Times New Roman"/>
          <w:sz w:val="24"/>
          <w:szCs w:val="24"/>
        </w:rPr>
        <w:t>in Palestinian prison</w:t>
      </w:r>
      <w:r w:rsidR="0084694A">
        <w:rPr>
          <w:rFonts w:ascii="Times New Roman" w:hAnsi="Times New Roman" w:cs="Times New Roman"/>
          <w:sz w:val="24"/>
          <w:szCs w:val="24"/>
        </w:rPr>
        <w:t>s</w:t>
      </w:r>
      <w:r w:rsidRPr="00683880">
        <w:rPr>
          <w:rFonts w:ascii="Times New Roman" w:hAnsi="Times New Roman" w:cs="Times New Roman"/>
          <w:sz w:val="24"/>
          <w:szCs w:val="24"/>
        </w:rPr>
        <w:t xml:space="preserve">. The ICHR has also found that a number of administrative detention orders have been issued after the SCC </w:t>
      </w:r>
      <w:r w:rsidR="00F82C44">
        <w:rPr>
          <w:rFonts w:ascii="Times New Roman" w:hAnsi="Times New Roman" w:cs="Times New Roman"/>
          <w:sz w:val="24"/>
          <w:szCs w:val="24"/>
        </w:rPr>
        <w:t xml:space="preserve">decision </w:t>
      </w:r>
      <w:r w:rsidRPr="00683880">
        <w:rPr>
          <w:rFonts w:ascii="Times New Roman" w:hAnsi="Times New Roman" w:cs="Times New Roman"/>
          <w:sz w:val="24"/>
          <w:szCs w:val="24"/>
        </w:rPr>
        <w:t xml:space="preserve">was rendered. </w:t>
      </w:r>
    </w:p>
    <w:p w14:paraId="44CB7A17" w14:textId="6D68FC94" w:rsidR="00C953C0" w:rsidRDefault="00C953C0" w:rsidP="00DD6FD8">
      <w:pPr>
        <w:ind w:left="567"/>
        <w:jc w:val="both"/>
        <w:rPr>
          <w:rFonts w:ascii="Times New Roman" w:hAnsi="Times New Roman" w:cs="Times New Roman"/>
          <w:sz w:val="24"/>
          <w:szCs w:val="24"/>
          <w:rtl/>
        </w:rPr>
      </w:pPr>
      <w:r w:rsidRPr="00683880">
        <w:rPr>
          <w:rFonts w:ascii="Times New Roman" w:hAnsi="Times New Roman" w:cs="Times New Roman"/>
          <w:sz w:val="24"/>
          <w:szCs w:val="24"/>
        </w:rPr>
        <w:t xml:space="preserve">The ICHR recommends that the State of Palestine be urged to immediately release any persons who are still held </w:t>
      </w:r>
      <w:r w:rsidR="005D0F3D">
        <w:rPr>
          <w:rFonts w:ascii="Times New Roman" w:hAnsi="Times New Roman" w:cs="Times New Roman"/>
          <w:sz w:val="24"/>
          <w:szCs w:val="24"/>
        </w:rPr>
        <w:t>in</w:t>
      </w:r>
      <w:r w:rsidRPr="00683880">
        <w:rPr>
          <w:rFonts w:ascii="Times New Roman" w:hAnsi="Times New Roman" w:cs="Times New Roman"/>
          <w:sz w:val="24"/>
          <w:szCs w:val="24"/>
        </w:rPr>
        <w:t xml:space="preserve"> administrative detention. The State of Palestine </w:t>
      </w:r>
      <w:r w:rsidR="005D0F3D">
        <w:rPr>
          <w:rFonts w:ascii="Times New Roman" w:hAnsi="Times New Roman" w:cs="Times New Roman"/>
          <w:sz w:val="24"/>
          <w:szCs w:val="24"/>
        </w:rPr>
        <w:t xml:space="preserve">will </w:t>
      </w:r>
      <w:r w:rsidR="008A53BE" w:rsidRPr="00683880">
        <w:rPr>
          <w:rFonts w:ascii="Times New Roman" w:hAnsi="Times New Roman" w:cs="Times New Roman"/>
          <w:sz w:val="24"/>
          <w:szCs w:val="24"/>
        </w:rPr>
        <w:t xml:space="preserve">also </w:t>
      </w:r>
      <w:r w:rsidRPr="00683880">
        <w:rPr>
          <w:rFonts w:ascii="Times New Roman" w:hAnsi="Times New Roman" w:cs="Times New Roman"/>
          <w:sz w:val="24"/>
          <w:szCs w:val="24"/>
        </w:rPr>
        <w:t xml:space="preserve">be urged to </w:t>
      </w:r>
      <w:r w:rsidR="00B53809" w:rsidRPr="00683880">
        <w:rPr>
          <w:rFonts w:ascii="Times New Roman" w:hAnsi="Times New Roman" w:cs="Times New Roman"/>
          <w:sz w:val="24"/>
          <w:szCs w:val="24"/>
        </w:rPr>
        <w:t>end</w:t>
      </w:r>
      <w:r w:rsidRPr="00683880">
        <w:rPr>
          <w:rFonts w:ascii="Times New Roman" w:hAnsi="Times New Roman" w:cs="Times New Roman"/>
          <w:sz w:val="24"/>
          <w:szCs w:val="24"/>
        </w:rPr>
        <w:t xml:space="preserve"> this form of detention</w:t>
      </w:r>
      <w:r w:rsidR="008A53BE" w:rsidRPr="00683880">
        <w:rPr>
          <w:rFonts w:ascii="Times New Roman" w:hAnsi="Times New Roman" w:cs="Times New Roman"/>
          <w:sz w:val="24"/>
          <w:szCs w:val="24"/>
        </w:rPr>
        <w:t xml:space="preserve"> </w:t>
      </w:r>
      <w:r w:rsidR="00152137">
        <w:rPr>
          <w:rFonts w:ascii="Times New Roman" w:hAnsi="Times New Roman" w:cs="Times New Roman"/>
          <w:sz w:val="24"/>
          <w:szCs w:val="24"/>
        </w:rPr>
        <w:t xml:space="preserve">because </w:t>
      </w:r>
      <w:r w:rsidR="008A53BE" w:rsidRPr="00683880">
        <w:rPr>
          <w:rFonts w:ascii="Times New Roman" w:hAnsi="Times New Roman" w:cs="Times New Roman"/>
          <w:sz w:val="24"/>
          <w:szCs w:val="24"/>
        </w:rPr>
        <w:t xml:space="preserve">it </w:t>
      </w:r>
      <w:r w:rsidRPr="00683880">
        <w:rPr>
          <w:rFonts w:ascii="Times New Roman" w:hAnsi="Times New Roman" w:cs="Times New Roman"/>
          <w:sz w:val="24"/>
          <w:szCs w:val="24"/>
        </w:rPr>
        <w:t>run</w:t>
      </w:r>
      <w:r w:rsidR="008A53BE" w:rsidRPr="00683880">
        <w:rPr>
          <w:rFonts w:ascii="Times New Roman" w:hAnsi="Times New Roman" w:cs="Times New Roman"/>
          <w:sz w:val="24"/>
          <w:szCs w:val="24"/>
        </w:rPr>
        <w:t>s</w:t>
      </w:r>
      <w:r w:rsidRPr="00683880">
        <w:rPr>
          <w:rFonts w:ascii="Times New Roman" w:hAnsi="Times New Roman" w:cs="Times New Roman"/>
          <w:sz w:val="24"/>
          <w:szCs w:val="24"/>
        </w:rPr>
        <w:t xml:space="preserve"> counter to the requirements for </w:t>
      </w:r>
      <w:r w:rsidRPr="00683880">
        <w:rPr>
          <w:rFonts w:ascii="Times New Roman" w:hAnsi="Times New Roman" w:cs="Times New Roman"/>
          <w:sz w:val="24"/>
          <w:szCs w:val="24"/>
        </w:rPr>
        <w:lastRenderedPageBreak/>
        <w:t>enforcement of Article 9 of the ICCPR</w:t>
      </w:r>
      <w:r w:rsidR="008A53BE" w:rsidRPr="00683880">
        <w:rPr>
          <w:rFonts w:ascii="Times New Roman" w:hAnsi="Times New Roman" w:cs="Times New Roman"/>
          <w:sz w:val="24"/>
          <w:szCs w:val="24"/>
        </w:rPr>
        <w:t xml:space="preserve"> as well as to </w:t>
      </w:r>
      <w:r w:rsidRPr="00683880">
        <w:rPr>
          <w:rFonts w:ascii="Times New Roman" w:hAnsi="Times New Roman" w:cs="Times New Roman"/>
          <w:sz w:val="24"/>
          <w:szCs w:val="24"/>
        </w:rPr>
        <w:t xml:space="preserve">the Palestinian Basic Law and Penal Procedure Law. </w:t>
      </w:r>
    </w:p>
    <w:p w14:paraId="42868B0D" w14:textId="40344F97" w:rsidR="00F82319" w:rsidRDefault="00C953C0"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The Palestinian law places conditions on arrest and pre-trial detention, ensuring that </w:t>
      </w:r>
      <w:r w:rsidR="00282A0A">
        <w:rPr>
          <w:rFonts w:ascii="Times New Roman" w:hAnsi="Times New Roman" w:cs="Times New Roman"/>
          <w:sz w:val="24"/>
          <w:szCs w:val="24"/>
        </w:rPr>
        <w:t xml:space="preserve">these </w:t>
      </w:r>
      <w:r w:rsidRPr="00683880">
        <w:rPr>
          <w:rFonts w:ascii="Times New Roman" w:hAnsi="Times New Roman" w:cs="Times New Roman"/>
          <w:sz w:val="24"/>
          <w:szCs w:val="24"/>
        </w:rPr>
        <w:t xml:space="preserve">remain a procedure of exception and </w:t>
      </w:r>
      <w:r w:rsidR="00282A0A">
        <w:rPr>
          <w:rFonts w:ascii="Times New Roman" w:hAnsi="Times New Roman" w:cs="Times New Roman"/>
          <w:sz w:val="24"/>
          <w:szCs w:val="24"/>
        </w:rPr>
        <w:t xml:space="preserve">are </w:t>
      </w:r>
      <w:r w:rsidRPr="00683880">
        <w:rPr>
          <w:rFonts w:ascii="Times New Roman" w:hAnsi="Times New Roman" w:cs="Times New Roman"/>
          <w:sz w:val="24"/>
          <w:szCs w:val="24"/>
        </w:rPr>
        <w:t xml:space="preserve">applied to criminal defendants charged with serious criminal offences or in situations where there is a fear of contaminating evidence. Nonetheless, the ICHR notes the excessive use of this power without adequate audits by competent judicial bodies, including judges. The confinement of many persons held in pre-trial detention was extended without a review of respective investigation files, including records of interrogation into criminal offences. The ICHR also has information that 123 accused persons have been placed in pre-trial detention for more than </w:t>
      </w:r>
      <w:r w:rsidR="00F82319">
        <w:rPr>
          <w:rFonts w:ascii="Times New Roman" w:hAnsi="Times New Roman" w:cs="Times New Roman"/>
          <w:sz w:val="24"/>
          <w:szCs w:val="24"/>
        </w:rPr>
        <w:t>four</w:t>
      </w:r>
      <w:r w:rsidRPr="00683880">
        <w:rPr>
          <w:rFonts w:ascii="Times New Roman" w:hAnsi="Times New Roman" w:cs="Times New Roman"/>
          <w:sz w:val="24"/>
          <w:szCs w:val="24"/>
        </w:rPr>
        <w:t xml:space="preserve"> years. No court decisions have ever been entered against the</w:t>
      </w:r>
      <w:r w:rsidR="00F82319">
        <w:rPr>
          <w:rFonts w:ascii="Times New Roman" w:hAnsi="Times New Roman" w:cs="Times New Roman"/>
          <w:sz w:val="24"/>
          <w:szCs w:val="24"/>
        </w:rPr>
        <w:t>se persons, however</w:t>
      </w:r>
      <w:r w:rsidRPr="00683880">
        <w:rPr>
          <w:rFonts w:ascii="Times New Roman" w:hAnsi="Times New Roman" w:cs="Times New Roman"/>
          <w:sz w:val="24"/>
          <w:szCs w:val="24"/>
        </w:rPr>
        <w:t xml:space="preserve">. </w:t>
      </w:r>
    </w:p>
    <w:p w14:paraId="4D179C19" w14:textId="77BAA1C5" w:rsidR="00C953C0" w:rsidRPr="00683880" w:rsidRDefault="00C953C0"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Against this background, the ICHR recommends that the Committee ask the State of Palestine to take actions and measures to ensure that pre-trial detention remains within statutory </w:t>
      </w:r>
      <w:r w:rsidR="007772E2">
        <w:rPr>
          <w:rFonts w:ascii="Times New Roman" w:hAnsi="Times New Roman" w:cs="Times New Roman"/>
          <w:sz w:val="24"/>
          <w:szCs w:val="24"/>
        </w:rPr>
        <w:t>exceptions</w:t>
      </w:r>
      <w:r w:rsidRPr="00683880">
        <w:rPr>
          <w:rFonts w:ascii="Times New Roman" w:hAnsi="Times New Roman" w:cs="Times New Roman"/>
          <w:sz w:val="24"/>
          <w:szCs w:val="24"/>
        </w:rPr>
        <w:t xml:space="preserve">, including putting in place fair accountability of judges and prosecutors who abuse this power. Effective training will be provided to judicial bodies on pre-trial detention and free trials. </w:t>
      </w:r>
    </w:p>
    <w:p w14:paraId="795F2061" w14:textId="66E88050" w:rsidR="001C2509" w:rsidRPr="00683880" w:rsidRDefault="00C953C0"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Article 32 of the Basic Law binds the State to guarantee a fair remedy to victims of violations of any personal freedom, of the sanctity of the private life of human beings, or of any of the rights or liberties that have been guaranteed by the Basic Law. However, the amendment introduced to the Law on State Cases in 2014, and later promulgation of the Law by Decree on State Cases of 2022</w:t>
      </w:r>
      <w:r w:rsidR="00011AE3">
        <w:rPr>
          <w:rFonts w:ascii="Times New Roman" w:hAnsi="Times New Roman" w:cs="Times New Roman"/>
          <w:sz w:val="24"/>
          <w:szCs w:val="24"/>
        </w:rPr>
        <w:t xml:space="preserve"> on 18 February 2022</w:t>
      </w:r>
      <w:r w:rsidRPr="00683880">
        <w:rPr>
          <w:rFonts w:ascii="Times New Roman" w:hAnsi="Times New Roman" w:cs="Times New Roman"/>
          <w:sz w:val="24"/>
          <w:szCs w:val="24"/>
        </w:rPr>
        <w:t xml:space="preserve">, may represent an intractable obstacle to empowering persons to claim compensation from the State for illegal arrest or detention. Article 60 of the Law by Decree on State Cases provides for an exclusive list of the cases, where persons can initiate legal proceedings against the State. These do not include claims of compensation on grounds of encroachment on the rights and freedoms enshrined in the Basic Law, including illegal arrests or detentions. </w:t>
      </w:r>
    </w:p>
    <w:p w14:paraId="1DCC3976" w14:textId="50082F42" w:rsidR="00C953C0" w:rsidRPr="00683880" w:rsidRDefault="001C2509"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The ICHR recommends that t</w:t>
      </w:r>
      <w:r w:rsidR="00C953C0" w:rsidRPr="00683880">
        <w:rPr>
          <w:rFonts w:ascii="Times New Roman" w:hAnsi="Times New Roman" w:cs="Times New Roman"/>
          <w:sz w:val="24"/>
          <w:szCs w:val="24"/>
        </w:rPr>
        <w:t xml:space="preserve">he State of Palestine be urged to amend the Law by Decree on State Cases, ensuring that victims of human rights abuses have the right to bring actions against the State and claim compensations for the violations which have affected them. </w:t>
      </w:r>
    </w:p>
    <w:p w14:paraId="4BBCD81A" w14:textId="667112A4" w:rsidR="0049540F" w:rsidRPr="00683880" w:rsidRDefault="00C953C0" w:rsidP="00DD6FD8">
      <w:pPr>
        <w:pStyle w:val="ListParagraph"/>
        <w:numPr>
          <w:ilvl w:val="0"/>
          <w:numId w:val="8"/>
        </w:numPr>
        <w:spacing w:after="0" w:line="240" w:lineRule="auto"/>
        <w:ind w:left="567" w:hanging="283"/>
        <w:jc w:val="both"/>
        <w:rPr>
          <w:rFonts w:ascii="Times New Roman" w:hAnsi="Times New Roman" w:cs="Times New Roman"/>
          <w:sz w:val="24"/>
          <w:szCs w:val="24"/>
        </w:rPr>
      </w:pPr>
      <w:bookmarkStart w:id="8" w:name="_Hlk135938578"/>
      <w:r w:rsidRPr="00683880">
        <w:rPr>
          <w:rFonts w:ascii="Times New Roman" w:hAnsi="Times New Roman" w:cs="Times New Roman"/>
          <w:sz w:val="24"/>
          <w:szCs w:val="24"/>
        </w:rPr>
        <w:t xml:space="preserve">Since the State of Palestine acceded to the ICCPR, dozens of citizens have been killed and others injured </w:t>
      </w:r>
      <w:r w:rsidR="00FF0C37">
        <w:rPr>
          <w:rFonts w:ascii="Times New Roman" w:hAnsi="Times New Roman" w:cs="Times New Roman"/>
          <w:sz w:val="24"/>
          <w:szCs w:val="24"/>
        </w:rPr>
        <w:t>due to</w:t>
      </w:r>
      <w:r w:rsidRPr="00683880">
        <w:rPr>
          <w:rFonts w:ascii="Times New Roman" w:hAnsi="Times New Roman" w:cs="Times New Roman"/>
          <w:sz w:val="24"/>
          <w:szCs w:val="24"/>
        </w:rPr>
        <w:t xml:space="preserve"> the use of unlicensed firearms in fights and during public and private celebrations. The proliferation of unauthorised weapons poses a real and serious threat to individuals’ security of person and property. The Palestinian law </w:t>
      </w:r>
      <w:r w:rsidR="00FF0C37">
        <w:rPr>
          <w:rFonts w:ascii="Times New Roman" w:hAnsi="Times New Roman" w:cs="Times New Roman"/>
          <w:sz w:val="24"/>
          <w:szCs w:val="24"/>
        </w:rPr>
        <w:t>criminalises</w:t>
      </w:r>
      <w:r w:rsidRPr="00683880">
        <w:rPr>
          <w:rFonts w:ascii="Times New Roman" w:hAnsi="Times New Roman" w:cs="Times New Roman"/>
          <w:sz w:val="24"/>
          <w:szCs w:val="24"/>
        </w:rPr>
        <w:t xml:space="preserve"> the unlicensed possession and trading of firearms as well as the display of firearms, albeit licensed, in public places. However, combating this phenomenon continues to be mediocre. While prosecutions are limited, many people possess and display these weapons in the full sight of law enforcement agencies. </w:t>
      </w:r>
    </w:p>
    <w:bookmarkEnd w:id="8"/>
    <w:p w14:paraId="3EC51732" w14:textId="0358D101" w:rsidR="00C953C0" w:rsidRPr="00683880" w:rsidRDefault="00C953C0"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State of Palestine must be urged to put in place a plan to combat and completely eliminate this phenomenon. Maximum security of person and property will be provided in disregard of the </w:t>
      </w:r>
      <w:r w:rsidR="00786EA0">
        <w:rPr>
          <w:rFonts w:ascii="Times New Roman" w:hAnsi="Times New Roman" w:cs="Times New Roman"/>
          <w:sz w:val="24"/>
          <w:szCs w:val="24"/>
        </w:rPr>
        <w:t>factional</w:t>
      </w:r>
      <w:r w:rsidRPr="00683880">
        <w:rPr>
          <w:rFonts w:ascii="Times New Roman" w:hAnsi="Times New Roman" w:cs="Times New Roman"/>
          <w:sz w:val="24"/>
          <w:szCs w:val="24"/>
        </w:rPr>
        <w:t xml:space="preserve"> or social status of persons who illegally possess firearms. </w:t>
      </w:r>
    </w:p>
    <w:p w14:paraId="12303A42" w14:textId="77777777" w:rsidR="0049540F" w:rsidRPr="00683880" w:rsidRDefault="0049540F" w:rsidP="00683880">
      <w:pPr>
        <w:jc w:val="both"/>
        <w:rPr>
          <w:rFonts w:ascii="Times New Roman" w:hAnsi="Times New Roman" w:cs="Times New Roman"/>
          <w:sz w:val="24"/>
          <w:szCs w:val="24"/>
        </w:rPr>
      </w:pPr>
    </w:p>
    <w:p w14:paraId="2D7DABC9" w14:textId="525A484B" w:rsidR="00B13D95" w:rsidRPr="001259A2" w:rsidRDefault="0049540F" w:rsidP="001259A2">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9" w:name="_Toc136254543"/>
      <w:r w:rsidRPr="0049540F">
        <w:rPr>
          <w:rFonts w:ascii="Times New Roman" w:hAnsi="Times New Roman" w:cs="Times New Roman"/>
          <w:b/>
          <w:bCs/>
          <w:sz w:val="24"/>
          <w:szCs w:val="24"/>
        </w:rPr>
        <w:lastRenderedPageBreak/>
        <w:t xml:space="preserve">Imprisonment </w:t>
      </w:r>
      <w:r w:rsidR="00B53809">
        <w:rPr>
          <w:rFonts w:ascii="Times New Roman" w:hAnsi="Times New Roman" w:cs="Times New Roman"/>
          <w:b/>
          <w:bCs/>
          <w:sz w:val="24"/>
          <w:szCs w:val="24"/>
        </w:rPr>
        <w:t>due</w:t>
      </w:r>
      <w:r w:rsidRPr="0049540F">
        <w:rPr>
          <w:rFonts w:ascii="Times New Roman" w:hAnsi="Times New Roman" w:cs="Times New Roman"/>
          <w:b/>
          <w:bCs/>
          <w:sz w:val="24"/>
          <w:szCs w:val="24"/>
        </w:rPr>
        <w:t xml:space="preserve"> </w:t>
      </w:r>
      <w:r w:rsidR="00D31D40">
        <w:rPr>
          <w:rFonts w:ascii="Times New Roman" w:hAnsi="Times New Roman" w:cs="Times New Roman"/>
          <w:b/>
          <w:bCs/>
          <w:sz w:val="24"/>
          <w:szCs w:val="24"/>
        </w:rPr>
        <w:t xml:space="preserve">to </w:t>
      </w:r>
      <w:r w:rsidR="00D31D40" w:rsidRPr="0049540F">
        <w:rPr>
          <w:rFonts w:ascii="Times New Roman" w:hAnsi="Times New Roman" w:cs="Times New Roman"/>
          <w:b/>
          <w:bCs/>
          <w:sz w:val="24"/>
          <w:szCs w:val="24"/>
        </w:rPr>
        <w:t xml:space="preserve">Failure </w:t>
      </w:r>
      <w:r w:rsidRPr="0049540F">
        <w:rPr>
          <w:rFonts w:ascii="Times New Roman" w:hAnsi="Times New Roman" w:cs="Times New Roman"/>
          <w:b/>
          <w:bCs/>
          <w:sz w:val="24"/>
          <w:szCs w:val="24"/>
        </w:rPr>
        <w:t xml:space="preserve">to </w:t>
      </w:r>
      <w:r w:rsidR="00D31D40" w:rsidRPr="0049540F">
        <w:rPr>
          <w:rFonts w:ascii="Times New Roman" w:hAnsi="Times New Roman" w:cs="Times New Roman"/>
          <w:b/>
          <w:bCs/>
          <w:sz w:val="24"/>
          <w:szCs w:val="24"/>
        </w:rPr>
        <w:t xml:space="preserve">Fulfil </w:t>
      </w:r>
      <w:r w:rsidRPr="0049540F">
        <w:rPr>
          <w:rFonts w:ascii="Times New Roman" w:hAnsi="Times New Roman" w:cs="Times New Roman"/>
          <w:b/>
          <w:bCs/>
          <w:sz w:val="24"/>
          <w:szCs w:val="24"/>
        </w:rPr>
        <w:t xml:space="preserve">a </w:t>
      </w:r>
      <w:r w:rsidR="00D31D40" w:rsidRPr="0049540F">
        <w:rPr>
          <w:rFonts w:ascii="Times New Roman" w:hAnsi="Times New Roman" w:cs="Times New Roman"/>
          <w:b/>
          <w:bCs/>
          <w:sz w:val="24"/>
          <w:szCs w:val="24"/>
        </w:rPr>
        <w:t>Contractual Obligation</w:t>
      </w:r>
      <w:bookmarkEnd w:id="9"/>
      <w:r w:rsidR="00D31D40" w:rsidRPr="0049540F">
        <w:rPr>
          <w:rFonts w:ascii="Times New Roman" w:hAnsi="Times New Roman" w:cs="Times New Roman"/>
          <w:b/>
          <w:bCs/>
          <w:sz w:val="24"/>
          <w:szCs w:val="24"/>
        </w:rPr>
        <w:t xml:space="preserve"> </w:t>
      </w:r>
    </w:p>
    <w:p w14:paraId="48788A75" w14:textId="3C9E163D" w:rsidR="00A81E5B" w:rsidRPr="00683880" w:rsidRDefault="0049540F"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Every year, in the West Bank and Gaza</w:t>
      </w:r>
      <w:r w:rsidR="00786EA0">
        <w:rPr>
          <w:rFonts w:ascii="Times New Roman" w:hAnsi="Times New Roman" w:cs="Times New Roman"/>
          <w:sz w:val="24"/>
          <w:szCs w:val="24"/>
        </w:rPr>
        <w:t xml:space="preserve"> Strip</w:t>
      </w:r>
      <w:r w:rsidRPr="00683880">
        <w:rPr>
          <w:rFonts w:ascii="Times New Roman" w:hAnsi="Times New Roman" w:cs="Times New Roman"/>
          <w:sz w:val="24"/>
          <w:szCs w:val="24"/>
        </w:rPr>
        <w:t xml:space="preserve">, hundreds of persons, including women, are held in prison for a term of up to 91 days a year for failure to repay debts. Imprisonment has no impact on debt repayment. If they do not collect their debt, a creditor can apply for the renewed confinement of a debtor during the next year. Imprisonment does not settle debts. According to the Ramallah Police department statistics, 3,943 persons </w:t>
      </w:r>
      <w:r w:rsidR="00537CA2">
        <w:rPr>
          <w:rFonts w:ascii="Times New Roman" w:hAnsi="Times New Roman" w:cs="Times New Roman"/>
          <w:sz w:val="24"/>
          <w:szCs w:val="24"/>
        </w:rPr>
        <w:t xml:space="preserve">have been </w:t>
      </w:r>
      <w:r w:rsidRPr="00683880">
        <w:rPr>
          <w:rFonts w:ascii="Times New Roman" w:hAnsi="Times New Roman" w:cs="Times New Roman"/>
          <w:sz w:val="24"/>
          <w:szCs w:val="24"/>
        </w:rPr>
        <w:t xml:space="preserve">brought into correction and rehabilitation centres on account of arrest warrants for unsatisfied civil debts over the past five years. According to the High Judicial Council (HJC) in Ramallah, since the beginning of 2021, West Bank courts </w:t>
      </w:r>
      <w:r w:rsidR="00537CA2">
        <w:rPr>
          <w:rFonts w:ascii="Times New Roman" w:hAnsi="Times New Roman" w:cs="Times New Roman"/>
          <w:sz w:val="24"/>
          <w:szCs w:val="24"/>
        </w:rPr>
        <w:t xml:space="preserve">have </w:t>
      </w:r>
      <w:r w:rsidRPr="00683880">
        <w:rPr>
          <w:rFonts w:ascii="Times New Roman" w:hAnsi="Times New Roman" w:cs="Times New Roman"/>
          <w:sz w:val="24"/>
          <w:szCs w:val="24"/>
        </w:rPr>
        <w:t xml:space="preserve">issued </w:t>
      </w:r>
      <w:r w:rsidR="00537CA2">
        <w:rPr>
          <w:rFonts w:ascii="Times New Roman" w:hAnsi="Times New Roman" w:cs="Times New Roman"/>
          <w:sz w:val="24"/>
          <w:szCs w:val="24"/>
        </w:rPr>
        <w:t xml:space="preserve">forth </w:t>
      </w:r>
      <w:r w:rsidRPr="00683880">
        <w:rPr>
          <w:rFonts w:ascii="Times New Roman" w:hAnsi="Times New Roman" w:cs="Times New Roman"/>
          <w:sz w:val="24"/>
          <w:szCs w:val="24"/>
        </w:rPr>
        <w:t>46,126 arrest warrants for debts, including 3,011 against women. During the last two years, 33,891 persons received arrest warrants on grounds of the same debt.</w:t>
      </w:r>
      <w:r w:rsidR="00A81E5B">
        <w:rPr>
          <w:rStyle w:val="FootnoteReference"/>
          <w:rFonts w:ascii="Times New Roman" w:hAnsi="Times New Roman" w:cs="Times New Roman"/>
          <w:sz w:val="24"/>
          <w:szCs w:val="24"/>
        </w:rPr>
        <w:footnoteReference w:id="4"/>
      </w:r>
      <w:r w:rsidRPr="00683880">
        <w:rPr>
          <w:rFonts w:ascii="Times New Roman" w:hAnsi="Times New Roman" w:cs="Times New Roman"/>
          <w:sz w:val="24"/>
          <w:szCs w:val="24"/>
        </w:rPr>
        <w:t xml:space="preserve"> </w:t>
      </w:r>
    </w:p>
    <w:p w14:paraId="6FB3D5B2" w14:textId="299EAC9C" w:rsidR="0049540F" w:rsidRPr="00683880" w:rsidRDefault="00A81E5B"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T</w:t>
      </w:r>
      <w:r w:rsidR="0049540F" w:rsidRPr="00683880">
        <w:rPr>
          <w:rFonts w:ascii="Times New Roman" w:hAnsi="Times New Roman" w:cs="Times New Roman"/>
          <w:sz w:val="24"/>
          <w:szCs w:val="24"/>
        </w:rPr>
        <w:t xml:space="preserve">he ICHR recommends that the Committee urge the State of Palestine to make amendments to the Law of Execution of 2005 and penal laws in forces, explicitly ensuring that under no circumstances shall a debtor in default of a contractual obligation be </w:t>
      </w:r>
      <w:r w:rsidR="00537CA2">
        <w:rPr>
          <w:rFonts w:ascii="Times New Roman" w:hAnsi="Times New Roman" w:cs="Times New Roman"/>
          <w:sz w:val="24"/>
          <w:szCs w:val="24"/>
        </w:rPr>
        <w:t xml:space="preserve">at risk of </w:t>
      </w:r>
      <w:r w:rsidR="0049540F" w:rsidRPr="00683880">
        <w:rPr>
          <w:rFonts w:ascii="Times New Roman" w:hAnsi="Times New Roman" w:cs="Times New Roman"/>
          <w:sz w:val="24"/>
          <w:szCs w:val="24"/>
        </w:rPr>
        <w:t>imprison</w:t>
      </w:r>
      <w:r w:rsidR="00537CA2">
        <w:rPr>
          <w:rFonts w:ascii="Times New Roman" w:hAnsi="Times New Roman" w:cs="Times New Roman"/>
          <w:sz w:val="24"/>
          <w:szCs w:val="24"/>
        </w:rPr>
        <w:t>ment</w:t>
      </w:r>
      <w:r w:rsidR="0049540F" w:rsidRPr="00683880">
        <w:rPr>
          <w:rFonts w:ascii="Times New Roman" w:hAnsi="Times New Roman" w:cs="Times New Roman"/>
          <w:sz w:val="24"/>
          <w:szCs w:val="24"/>
        </w:rPr>
        <w:t xml:space="preserve"> on the ground of such </w:t>
      </w:r>
      <w:r w:rsidR="000913D6">
        <w:rPr>
          <w:rFonts w:ascii="Times New Roman" w:hAnsi="Times New Roman" w:cs="Times New Roman"/>
          <w:sz w:val="24"/>
          <w:szCs w:val="24"/>
        </w:rPr>
        <w:t>default</w:t>
      </w:r>
      <w:r w:rsidR="0049540F" w:rsidRPr="00683880">
        <w:rPr>
          <w:rFonts w:ascii="Times New Roman" w:hAnsi="Times New Roman" w:cs="Times New Roman"/>
          <w:sz w:val="24"/>
          <w:szCs w:val="24"/>
        </w:rPr>
        <w:t>. The State of Palestine will also be urged to adopt alternative means for debt satisfaction, safeguarding the rights of creditor</w:t>
      </w:r>
      <w:r w:rsidR="000913D6">
        <w:rPr>
          <w:rFonts w:ascii="Times New Roman" w:hAnsi="Times New Roman" w:cs="Times New Roman"/>
          <w:sz w:val="24"/>
          <w:szCs w:val="24"/>
        </w:rPr>
        <w:t>s</w:t>
      </w:r>
      <w:r w:rsidR="0049540F" w:rsidRPr="00683880">
        <w:rPr>
          <w:rFonts w:ascii="Times New Roman" w:hAnsi="Times New Roman" w:cs="Times New Roman"/>
          <w:sz w:val="24"/>
          <w:szCs w:val="24"/>
        </w:rPr>
        <w:t xml:space="preserve">, human dignity of debtors, and the right of everyone to an adequate standard of living for themselves and for their family members. Along this vein, it would be useful to direct the State of Palestine to release persons who continue to be in prison on grounds of civil debts and reschedule their debts. </w:t>
      </w:r>
    </w:p>
    <w:p w14:paraId="4EB27499" w14:textId="33225EB0" w:rsidR="00545DAA" w:rsidRDefault="00545DAA" w:rsidP="00DD6FD8">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10" w:name="_Toc136254544"/>
      <w:r w:rsidRPr="00545DAA">
        <w:rPr>
          <w:rFonts w:ascii="Times New Roman" w:hAnsi="Times New Roman" w:cs="Times New Roman"/>
          <w:b/>
          <w:bCs/>
          <w:sz w:val="24"/>
          <w:szCs w:val="24"/>
        </w:rPr>
        <w:t xml:space="preserve">Right to </w:t>
      </w:r>
      <w:r w:rsidR="00D31D40" w:rsidRPr="00545DAA">
        <w:rPr>
          <w:rFonts w:ascii="Times New Roman" w:hAnsi="Times New Roman" w:cs="Times New Roman"/>
          <w:b/>
          <w:bCs/>
          <w:sz w:val="24"/>
          <w:szCs w:val="24"/>
        </w:rPr>
        <w:t xml:space="preserve">Freedom </w:t>
      </w:r>
      <w:r w:rsidRPr="00545DAA">
        <w:rPr>
          <w:rFonts w:ascii="Times New Roman" w:hAnsi="Times New Roman" w:cs="Times New Roman"/>
          <w:b/>
          <w:bCs/>
          <w:sz w:val="24"/>
          <w:szCs w:val="24"/>
        </w:rPr>
        <w:t xml:space="preserve">of </w:t>
      </w:r>
      <w:r w:rsidR="00D31D40" w:rsidRPr="00545DAA">
        <w:rPr>
          <w:rFonts w:ascii="Times New Roman" w:hAnsi="Times New Roman" w:cs="Times New Roman"/>
          <w:b/>
          <w:bCs/>
          <w:sz w:val="24"/>
          <w:szCs w:val="24"/>
        </w:rPr>
        <w:t>Movement</w:t>
      </w:r>
      <w:bookmarkEnd w:id="10"/>
      <w:r w:rsidR="00D31D40" w:rsidRPr="00545DAA">
        <w:rPr>
          <w:rFonts w:ascii="Times New Roman" w:hAnsi="Times New Roman" w:cs="Times New Roman"/>
          <w:b/>
          <w:bCs/>
          <w:sz w:val="24"/>
          <w:szCs w:val="24"/>
        </w:rPr>
        <w:t xml:space="preserve"> </w:t>
      </w:r>
    </w:p>
    <w:p w14:paraId="6E088A27" w14:textId="77777777" w:rsidR="00B13D95" w:rsidRPr="00545DAA" w:rsidRDefault="00B13D95" w:rsidP="00B13D95">
      <w:pPr>
        <w:pStyle w:val="ListParagraph"/>
        <w:keepNext/>
        <w:keepLines/>
        <w:snapToGrid w:val="0"/>
        <w:spacing w:line="240" w:lineRule="auto"/>
        <w:ind w:left="284"/>
        <w:outlineLvl w:val="0"/>
        <w:rPr>
          <w:rFonts w:ascii="Times New Roman" w:hAnsi="Times New Roman" w:cs="Times New Roman"/>
          <w:b/>
          <w:bCs/>
          <w:sz w:val="24"/>
          <w:szCs w:val="24"/>
        </w:rPr>
      </w:pPr>
    </w:p>
    <w:p w14:paraId="37744DC0" w14:textId="77777777" w:rsidR="00B53809" w:rsidRDefault="00545DAA"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Since 2007, the West Bank-based Ministry of Interior (MoI) has refrained from issuing passports to citizens of the Gaza Strip. On an annual basis, the ICHR receives dozens of complaints from Gaza residents, claiming that the MoI abstain</w:t>
      </w:r>
      <w:r w:rsidR="009F3010">
        <w:rPr>
          <w:rFonts w:ascii="Times New Roman" w:hAnsi="Times New Roman" w:cs="Times New Roman"/>
          <w:sz w:val="24"/>
          <w:szCs w:val="24"/>
        </w:rPr>
        <w:t>s</w:t>
      </w:r>
      <w:r w:rsidRPr="00683880">
        <w:rPr>
          <w:rFonts w:ascii="Times New Roman" w:hAnsi="Times New Roman" w:cs="Times New Roman"/>
          <w:sz w:val="24"/>
          <w:szCs w:val="24"/>
        </w:rPr>
        <w:t xml:space="preserve"> from issuing passports to them and to their children. In this regard, there were </w:t>
      </w:r>
      <w:r w:rsidR="009F3010">
        <w:rPr>
          <w:rFonts w:ascii="Times New Roman" w:hAnsi="Times New Roman" w:cs="Times New Roman"/>
          <w:sz w:val="24"/>
          <w:szCs w:val="24"/>
        </w:rPr>
        <w:t>42</w:t>
      </w:r>
      <w:r w:rsidR="009F3010" w:rsidRPr="00683880">
        <w:rPr>
          <w:rFonts w:ascii="Times New Roman" w:hAnsi="Times New Roman" w:cs="Times New Roman"/>
          <w:sz w:val="24"/>
          <w:szCs w:val="24"/>
        </w:rPr>
        <w:t xml:space="preserve"> complaints in 202</w:t>
      </w:r>
      <w:r w:rsidR="009F3010">
        <w:rPr>
          <w:rFonts w:ascii="Times New Roman" w:hAnsi="Times New Roman" w:cs="Times New Roman"/>
          <w:sz w:val="24"/>
          <w:szCs w:val="24"/>
        </w:rPr>
        <w:t xml:space="preserve">2, </w:t>
      </w:r>
      <w:r w:rsidRPr="00683880">
        <w:rPr>
          <w:rFonts w:ascii="Times New Roman" w:hAnsi="Times New Roman" w:cs="Times New Roman"/>
          <w:sz w:val="24"/>
          <w:szCs w:val="24"/>
        </w:rPr>
        <w:t xml:space="preserve">35 in 2021, 22 in 2020, and 30 in 2019. </w:t>
      </w:r>
    </w:p>
    <w:p w14:paraId="00D1ECDC" w14:textId="77777777" w:rsidR="00B53809" w:rsidRDefault="00B53809" w:rsidP="00B53809">
      <w:pPr>
        <w:pStyle w:val="ListParagraph"/>
        <w:spacing w:after="0" w:line="240" w:lineRule="auto"/>
        <w:ind w:left="567"/>
        <w:jc w:val="both"/>
        <w:rPr>
          <w:rFonts w:ascii="Times New Roman" w:hAnsi="Times New Roman" w:cs="Times New Roman"/>
          <w:sz w:val="24"/>
          <w:szCs w:val="24"/>
          <w:rtl/>
        </w:rPr>
      </w:pPr>
    </w:p>
    <w:p w14:paraId="38D13A57" w14:textId="03D7973F" w:rsidR="006E5389" w:rsidRPr="00683880" w:rsidRDefault="00545DAA" w:rsidP="00B53809">
      <w:pPr>
        <w:pStyle w:val="ListParagraph"/>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w:t>
      </w:r>
      <w:proofErr w:type="spellStart"/>
      <w:r w:rsidRPr="00683880">
        <w:rPr>
          <w:rFonts w:ascii="Times New Roman" w:hAnsi="Times New Roman" w:cs="Times New Roman"/>
          <w:sz w:val="24"/>
          <w:szCs w:val="24"/>
        </w:rPr>
        <w:t>MoI</w:t>
      </w:r>
      <w:proofErr w:type="spellEnd"/>
      <w:r w:rsidRPr="00683880">
        <w:rPr>
          <w:rFonts w:ascii="Times New Roman" w:hAnsi="Times New Roman" w:cs="Times New Roman"/>
          <w:sz w:val="24"/>
          <w:szCs w:val="24"/>
        </w:rPr>
        <w:t xml:space="preserve"> justifies this action by security clearance. However, nothing in the law prevents the issuance of a passport to any citizen, who fulfils the requirements for obtaining a passport. Security clearance is not a requirement to receive a passport under the law. </w:t>
      </w:r>
    </w:p>
    <w:p w14:paraId="75B08AE6" w14:textId="77777777" w:rsidR="00B53809" w:rsidRDefault="00B53809" w:rsidP="00DD6FD8">
      <w:pPr>
        <w:ind w:left="567"/>
        <w:jc w:val="both"/>
        <w:rPr>
          <w:rFonts w:ascii="Times New Roman" w:hAnsi="Times New Roman" w:cs="Times New Roman"/>
          <w:sz w:val="24"/>
          <w:szCs w:val="24"/>
          <w:rtl/>
        </w:rPr>
      </w:pPr>
    </w:p>
    <w:p w14:paraId="5F739671" w14:textId="00D6A94F" w:rsidR="000F1FD7" w:rsidRPr="00683880" w:rsidRDefault="00545DAA"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ICHR recommends that the Committee request the State of Palestine to process applications submitted by citizens for passports without discrimination. It is true that the MoI responds </w:t>
      </w:r>
      <w:proofErr w:type="spellStart"/>
      <w:r w:rsidR="001259A2">
        <w:rPr>
          <w:rFonts w:ascii="Times New Roman" w:hAnsi="Times New Roman" w:cs="Times New Roman"/>
          <w:sz w:val="24"/>
          <w:szCs w:val="24"/>
        </w:rPr>
        <w:t>favorably</w:t>
      </w:r>
      <w:proofErr w:type="spellEnd"/>
      <w:r w:rsidRPr="00683880">
        <w:rPr>
          <w:rFonts w:ascii="Times New Roman" w:hAnsi="Times New Roman" w:cs="Times New Roman"/>
          <w:sz w:val="24"/>
          <w:szCs w:val="24"/>
        </w:rPr>
        <w:t xml:space="preserve"> to relevant ICHR demands, but this response remains within a limited scope.</w:t>
      </w:r>
    </w:p>
    <w:p w14:paraId="382DA4BE" w14:textId="77777777" w:rsidR="00B53809" w:rsidRDefault="00545DAA"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The ban of movement on any person is prohibited by the Basic Law except for reasons provided for by the law and under a judicial warrant. On more than an occasion, the High Court of Justice </w:t>
      </w:r>
      <w:r w:rsidR="00C84515">
        <w:rPr>
          <w:rFonts w:ascii="Times New Roman" w:hAnsi="Times New Roman" w:cs="Times New Roman"/>
          <w:sz w:val="24"/>
          <w:szCs w:val="24"/>
        </w:rPr>
        <w:t xml:space="preserve">has </w:t>
      </w:r>
      <w:r w:rsidRPr="00683880">
        <w:rPr>
          <w:rFonts w:ascii="Times New Roman" w:hAnsi="Times New Roman" w:cs="Times New Roman"/>
          <w:sz w:val="24"/>
          <w:szCs w:val="24"/>
        </w:rPr>
        <w:t xml:space="preserve">ruled that no authority, other than courts, is entitled to prevent citizens </w:t>
      </w:r>
      <w:r w:rsidRPr="00683880">
        <w:rPr>
          <w:rFonts w:ascii="Times New Roman" w:hAnsi="Times New Roman" w:cs="Times New Roman"/>
          <w:sz w:val="24"/>
          <w:szCs w:val="24"/>
        </w:rPr>
        <w:lastRenderedPageBreak/>
        <w:t>from travelling.</w:t>
      </w:r>
      <w:r w:rsidRPr="00545DAA">
        <w:rPr>
          <w:vertAlign w:val="superscript"/>
        </w:rPr>
        <w:footnoteReference w:id="5"/>
      </w:r>
      <w:r w:rsidRPr="00683880">
        <w:rPr>
          <w:rFonts w:ascii="Times New Roman" w:hAnsi="Times New Roman" w:cs="Times New Roman"/>
          <w:sz w:val="24"/>
          <w:szCs w:val="24"/>
        </w:rPr>
        <w:t xml:space="preserve"> In reality, however, citizens are under a ban of travel at crossing points on the basis of non-judicial orders, including orders issued by law enforcement agencies and the Attorney General. Under the law, the latter is not entitled to prevent any person from travelling. A number of persons under a ban of travel were not accused of any crime. Their travel was banned </w:t>
      </w:r>
      <w:r w:rsidR="00DF4E66">
        <w:rPr>
          <w:rFonts w:ascii="Times New Roman" w:hAnsi="Times New Roman" w:cs="Times New Roman"/>
          <w:sz w:val="24"/>
          <w:szCs w:val="24"/>
        </w:rPr>
        <w:t>or</w:t>
      </w:r>
      <w:r w:rsidRPr="00683880">
        <w:rPr>
          <w:rFonts w:ascii="Times New Roman" w:hAnsi="Times New Roman" w:cs="Times New Roman"/>
          <w:sz w:val="24"/>
          <w:szCs w:val="24"/>
        </w:rPr>
        <w:t xml:space="preserve"> impeded on grounds of their opposing political positions. In Gaza, in 2021, a woman was prevented from travelling because her father had not approved of her travel. </w:t>
      </w:r>
    </w:p>
    <w:p w14:paraId="55331ED3" w14:textId="10CD89D7" w:rsidR="006E5389" w:rsidRPr="00683880" w:rsidRDefault="00545DAA" w:rsidP="00B53809">
      <w:pPr>
        <w:pStyle w:val="ListParagraph"/>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ICHR confirms that it cooperates with law enforcement agencies to cancel such decisions. Still, decisions on the ban of travel sometimes cause irreversible damage. </w:t>
      </w:r>
    </w:p>
    <w:p w14:paraId="4EACE897" w14:textId="1345C8BF" w:rsidR="00545DAA" w:rsidRDefault="00F00B7E" w:rsidP="00DD6FD8">
      <w:pPr>
        <w:ind w:left="567"/>
        <w:jc w:val="both"/>
        <w:rPr>
          <w:rFonts w:ascii="Times New Roman" w:hAnsi="Times New Roman" w:cs="Times New Roman"/>
          <w:sz w:val="24"/>
          <w:szCs w:val="24"/>
        </w:rPr>
      </w:pPr>
      <w:r>
        <w:rPr>
          <w:rFonts w:ascii="Times New Roman" w:hAnsi="Times New Roman" w:cs="Times New Roman"/>
          <w:sz w:val="24"/>
          <w:szCs w:val="24"/>
        </w:rPr>
        <w:t>Therefore, t</w:t>
      </w:r>
      <w:r w:rsidR="00545DAA" w:rsidRPr="00683880">
        <w:rPr>
          <w:rFonts w:ascii="Times New Roman" w:hAnsi="Times New Roman" w:cs="Times New Roman"/>
          <w:sz w:val="24"/>
          <w:szCs w:val="24"/>
        </w:rPr>
        <w:t xml:space="preserve">he ICHR recommends that the Committee urge the State of Palestine </w:t>
      </w:r>
      <w:r>
        <w:rPr>
          <w:rFonts w:ascii="Times New Roman" w:hAnsi="Times New Roman" w:cs="Times New Roman"/>
          <w:sz w:val="24"/>
          <w:szCs w:val="24"/>
        </w:rPr>
        <w:t xml:space="preserve">to </w:t>
      </w:r>
      <w:r w:rsidR="00545DAA" w:rsidRPr="00683880">
        <w:rPr>
          <w:rFonts w:ascii="Times New Roman" w:hAnsi="Times New Roman" w:cs="Times New Roman"/>
          <w:sz w:val="24"/>
          <w:szCs w:val="24"/>
        </w:rPr>
        <w:t>respect persons’ right to freedom of travel, ensuring guarantees of non-recurrence and compensation for affected persons.</w:t>
      </w:r>
    </w:p>
    <w:p w14:paraId="63581A53" w14:textId="7B2F4247" w:rsidR="00B13D95" w:rsidRPr="001259A2" w:rsidRDefault="000D390A" w:rsidP="001259A2">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11" w:name="_Toc136254545"/>
      <w:r w:rsidRPr="000D390A">
        <w:rPr>
          <w:rFonts w:ascii="Times New Roman" w:hAnsi="Times New Roman" w:cs="Times New Roman"/>
          <w:b/>
          <w:bCs/>
          <w:sz w:val="24"/>
          <w:szCs w:val="24"/>
        </w:rPr>
        <w:t xml:space="preserve">Right to </w:t>
      </w:r>
      <w:r w:rsidR="001259A2" w:rsidRPr="000D390A">
        <w:rPr>
          <w:rFonts w:ascii="Times New Roman" w:hAnsi="Times New Roman" w:cs="Times New Roman"/>
          <w:b/>
          <w:bCs/>
          <w:sz w:val="24"/>
          <w:szCs w:val="24"/>
        </w:rPr>
        <w:t>Fair Trial</w:t>
      </w:r>
      <w:bookmarkEnd w:id="11"/>
      <w:r w:rsidR="001259A2" w:rsidRPr="000D390A">
        <w:rPr>
          <w:rFonts w:ascii="Times New Roman" w:hAnsi="Times New Roman" w:cs="Times New Roman"/>
          <w:b/>
          <w:bCs/>
          <w:sz w:val="24"/>
          <w:szCs w:val="24"/>
        </w:rPr>
        <w:t xml:space="preserve"> </w:t>
      </w:r>
    </w:p>
    <w:p w14:paraId="1237D272" w14:textId="77777777" w:rsidR="0011373F" w:rsidRPr="0011373F" w:rsidRDefault="0011373F" w:rsidP="00DD6FD8">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11373F">
        <w:rPr>
          <w:rFonts w:ascii="Times New Roman" w:eastAsia="Times New Roman" w:hAnsi="Times New Roman" w:cs="Times New Roman"/>
          <w:snapToGrid w:val="0"/>
          <w:kern w:val="24"/>
          <w:sz w:val="24"/>
          <w:szCs w:val="24"/>
          <w:lang w:val="en-US" w:bidi="ar-SA"/>
          <w14:ligatures w14:val="none"/>
        </w:rPr>
        <w:t xml:space="preserve">On 15 July 2019, President Abbas passed a law by decree, which provided for dissolving the then active HJC as </w:t>
      </w:r>
      <w:r w:rsidRPr="00DD6FD8">
        <w:rPr>
          <w:rFonts w:ascii="Times New Roman" w:hAnsi="Times New Roman" w:cs="Times New Roman"/>
          <w:sz w:val="24"/>
          <w:szCs w:val="24"/>
        </w:rPr>
        <w:t>well</w:t>
      </w:r>
      <w:r w:rsidRPr="0011373F">
        <w:rPr>
          <w:rFonts w:ascii="Times New Roman" w:eastAsia="Times New Roman" w:hAnsi="Times New Roman" w:cs="Times New Roman"/>
          <w:snapToGrid w:val="0"/>
          <w:kern w:val="24"/>
          <w:sz w:val="24"/>
          <w:szCs w:val="24"/>
          <w:lang w:val="en-US" w:bidi="ar-SA"/>
          <w14:ligatures w14:val="none"/>
        </w:rPr>
        <w:t xml:space="preserve"> as the panels of the High Court and Courts of Appeals. The enactment conferred powers of the Judicial Authority administration to a transitional HJC. According to the Judicial Authority Law, the transitional HJC was given the powers to remove, retire on pension, second any judge to another position if the transitional HJC finds that continued incumbency might breach the solemn status and standing of the judiciary, or public confidence in the judicial office. Based on this law by decree, in 2019, 2020, and 2021, 27 judges of the High Court and Courts of Appeals were retired on pension at the recommendation of the transitional HJC. The ICHR is aware that profound problems within the Palestinian judicial system necessitated such an intervention. Most often, however, removal from judicial office did not comply with the procedures laid out under the Judicial Authority Law. To dismiss them, the Law requires that judges be held to account by the disciplinary council, which is established in accordance with the Law. At the same time, judges will be enabled to exercise their right to defend themselves and discuss the charges imputed to them. The judicial transitional period lasted for a year and a half. Later, on 12 October 2021, laws by decrees enacted by the Head of State introduced amendments to a set of judicial laws, most notably, the Law by Decree No. 40 of 2020 Amending the Judicial Authority Law No. 1 of 2002. According to the new regulations, the permanent HJC has been capable of retiring judges on pension beyond the scope of a disciplinary council, in disregard of their will and request, and without allowing them a chance to defend themselves and discuss the reasons for terminating their service. These decisions can be made in the absence of, and without notifying, the judges concerned. Apart from other causes, what is needed is just a review of a judge’s file and attachments thereto. Most recently, the HJC has invoked this power to recommend that the Head of State retire two judges on pension. The President issued an order to this effect in a decision he issued forth on 3 April 2022. </w:t>
      </w:r>
    </w:p>
    <w:p w14:paraId="245CFF38" w14:textId="77777777" w:rsidR="0011373F" w:rsidRPr="0011373F" w:rsidRDefault="0011373F" w:rsidP="00DD6FD8">
      <w:pPr>
        <w:ind w:left="567"/>
        <w:jc w:val="both"/>
        <w:rPr>
          <w:rFonts w:ascii="Times New Roman" w:eastAsia="Times New Roman" w:hAnsi="Times New Roman" w:cs="Times New Roman"/>
          <w:snapToGrid w:val="0"/>
          <w:kern w:val="24"/>
          <w:sz w:val="24"/>
          <w:szCs w:val="24"/>
          <w:lang w:val="en-US" w:bidi="ar-SA"/>
          <w14:ligatures w14:val="none"/>
        </w:rPr>
      </w:pPr>
      <w:r w:rsidRPr="0011373F">
        <w:rPr>
          <w:rFonts w:ascii="Times New Roman" w:eastAsia="Times New Roman" w:hAnsi="Times New Roman" w:cs="Times New Roman"/>
          <w:snapToGrid w:val="0"/>
          <w:kern w:val="24"/>
          <w:sz w:val="24"/>
          <w:szCs w:val="24"/>
          <w:lang w:val="en-US" w:bidi="ar-SA"/>
          <w14:ligatures w14:val="none"/>
        </w:rPr>
        <w:t xml:space="preserve">In the light of the foregoing, the ICHR recommends that the Committee urge the State of Palestine to take constitutional actions to uphold and protect the principle of the independence of judges. Along this vein, presidential amendments to judicial laws will be repealed, including the Law by Decree Amending the Judicial Authority Law. The Judicial </w:t>
      </w:r>
      <w:r w:rsidRPr="0011373F">
        <w:rPr>
          <w:rFonts w:ascii="Times New Roman" w:eastAsia="Times New Roman" w:hAnsi="Times New Roman" w:cs="Times New Roman"/>
          <w:snapToGrid w:val="0"/>
          <w:kern w:val="24"/>
          <w:sz w:val="24"/>
          <w:szCs w:val="24"/>
          <w:lang w:val="en-US" w:bidi="ar-SA"/>
          <w14:ligatures w14:val="none"/>
        </w:rPr>
        <w:lastRenderedPageBreak/>
        <w:t xml:space="preserve">Authority Law will be faithfully enforced with a view to respecting and safeguarding the principle of judicial independence – the critical factor to uphold and protect fair trial guarantees. </w:t>
      </w:r>
    </w:p>
    <w:p w14:paraId="0D7AD6C8" w14:textId="50BEDC8D" w:rsidR="00EE125C" w:rsidRDefault="0011373F" w:rsidP="00EE125C">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11373F">
        <w:rPr>
          <w:rFonts w:ascii="Times New Roman" w:eastAsia="Times New Roman" w:hAnsi="Times New Roman" w:cs="Times New Roman"/>
          <w:snapToGrid w:val="0"/>
          <w:kern w:val="24"/>
          <w:sz w:val="24"/>
          <w:szCs w:val="24"/>
          <w:lang w:val="en-US" w:bidi="ar-SA"/>
          <w14:ligatures w14:val="none"/>
        </w:rPr>
        <w:t xml:space="preserve">Over past years, successive Palestinian governments have worked towards developed a national strategy for legal aid, including a draft law on legal aid. This law aims at empower women, the poor, and other vulnerable groups to seek legal counsel or representation before courts free of charge or at low cost. Thus far, however, the law has neither been passed nor put into effect. Accordingly, the ICHR recommends that the Committee urge the State of Palestine to issue forth and implement the National Strategy for Legal Aid, including the Law on Legal Aid, ensuring respect for and protection of the right to </w:t>
      </w:r>
      <w:r w:rsidR="00BA36BD" w:rsidRPr="0011373F">
        <w:rPr>
          <w:rFonts w:ascii="Times New Roman" w:eastAsia="Times New Roman" w:hAnsi="Times New Roman" w:cs="Times New Roman"/>
          <w:snapToGrid w:val="0"/>
          <w:kern w:val="24"/>
          <w:sz w:val="24"/>
          <w:szCs w:val="24"/>
          <w:lang w:val="en-US" w:bidi="ar-SA"/>
          <w14:ligatures w14:val="none"/>
        </w:rPr>
        <w:t>defense</w:t>
      </w:r>
      <w:r w:rsidRPr="0011373F">
        <w:rPr>
          <w:rFonts w:ascii="Times New Roman" w:eastAsia="Times New Roman" w:hAnsi="Times New Roman" w:cs="Times New Roman"/>
          <w:snapToGrid w:val="0"/>
          <w:kern w:val="24"/>
          <w:sz w:val="24"/>
          <w:szCs w:val="24"/>
          <w:lang w:val="en-US" w:bidi="ar-SA"/>
          <w14:ligatures w14:val="none"/>
        </w:rPr>
        <w:t xml:space="preserve"> and empowering people to exercise their right to legal recourse. </w:t>
      </w:r>
    </w:p>
    <w:p w14:paraId="5F87BEE2" w14:textId="77777777" w:rsidR="005B4FD6" w:rsidRPr="00BA36BD" w:rsidRDefault="00EE125C" w:rsidP="00EE125C">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BA36BD">
        <w:rPr>
          <w:rFonts w:ascii="Times New Roman" w:hAnsi="Times New Roman" w:cs="Times New Roman"/>
          <w:sz w:val="24"/>
          <w:szCs w:val="24"/>
        </w:rPr>
        <w:t xml:space="preserve">Despite the fact that Palestinian law generally does not impose restrictions on detainees' access to legal counsel, Article 98 of the Criminal Procedure Law remains in effect. This article allows for the questioning of detainees without the presence of a lawyer in cases of flagrante delicto, necessity, urgency, and fear of evidence loss. However, over the years, security agencies have systematically prevented detainees from contacting a lawyer while in prisons and detention </w:t>
      </w:r>
      <w:proofErr w:type="spellStart"/>
      <w:r w:rsidRPr="00BA36BD">
        <w:rPr>
          <w:rFonts w:ascii="Times New Roman" w:hAnsi="Times New Roman" w:cs="Times New Roman"/>
          <w:sz w:val="24"/>
          <w:szCs w:val="24"/>
        </w:rPr>
        <w:t>centers</w:t>
      </w:r>
      <w:proofErr w:type="spellEnd"/>
      <w:r w:rsidRPr="00BA36BD">
        <w:rPr>
          <w:rFonts w:ascii="Times New Roman" w:hAnsi="Times New Roman" w:cs="Times New Roman"/>
          <w:sz w:val="24"/>
          <w:szCs w:val="24"/>
        </w:rPr>
        <w:t xml:space="preserve">, particularly during the early stages of their arrest and interrogation, disregarding their explicit request for legal representation. Regrettably, judges have later validated these unlawful actions and have not deemed the procedures and statements obtained from detainees in the absence of their legal representatives as null and void. </w:t>
      </w:r>
    </w:p>
    <w:p w14:paraId="4F38F51C" w14:textId="0F03F77D" w:rsidR="00EE125C" w:rsidRPr="00EE125C" w:rsidRDefault="005B4FD6" w:rsidP="005B4FD6">
      <w:pPr>
        <w:pStyle w:val="ListParagraph"/>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r w:rsidRPr="00BA36BD">
        <w:rPr>
          <w:rFonts w:ascii="Times New Roman" w:hAnsi="Times New Roman" w:cs="Times New Roman"/>
          <w:sz w:val="24"/>
          <w:szCs w:val="24"/>
          <w:lang w:val="en-US"/>
        </w:rPr>
        <w:t>ICHR</w:t>
      </w:r>
      <w:r w:rsidR="00EE125C" w:rsidRPr="00BA36BD">
        <w:rPr>
          <w:rFonts w:ascii="Times New Roman" w:hAnsi="Times New Roman" w:cs="Times New Roman"/>
          <w:sz w:val="24"/>
          <w:szCs w:val="24"/>
        </w:rPr>
        <w:t xml:space="preserve"> recommend</w:t>
      </w:r>
      <w:r w:rsidRPr="00BA36BD">
        <w:rPr>
          <w:rFonts w:ascii="Times New Roman" w:hAnsi="Times New Roman" w:cs="Times New Roman"/>
          <w:sz w:val="24"/>
          <w:szCs w:val="24"/>
        </w:rPr>
        <w:t>s</w:t>
      </w:r>
      <w:r w:rsidR="00EE125C" w:rsidRPr="00BA36BD">
        <w:rPr>
          <w:rFonts w:ascii="Times New Roman" w:hAnsi="Times New Roman" w:cs="Times New Roman"/>
          <w:sz w:val="24"/>
          <w:szCs w:val="24"/>
        </w:rPr>
        <w:t xml:space="preserve"> urging the State of Palestine to fully respect the rights of detainees to have access to legal counsel at all times and under any circumstances. Moreover, detainees who lack the financial means to appoint a lawyer, especially women and children, should be granted the opportunity to have legal representation appointed for them at the expense of the public treasury.</w:t>
      </w:r>
    </w:p>
    <w:p w14:paraId="189676FE" w14:textId="3CCF4A6E" w:rsidR="006E5389" w:rsidRPr="00683880" w:rsidRDefault="00175EA7"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11 March 2023, the </w:t>
      </w:r>
      <w:r w:rsidR="00683880" w:rsidRPr="00683880">
        <w:rPr>
          <w:rFonts w:ascii="Times New Roman" w:hAnsi="Times New Roman" w:cs="Times New Roman"/>
          <w:sz w:val="24"/>
          <w:szCs w:val="24"/>
        </w:rPr>
        <w:t>Head of State</w:t>
      </w:r>
      <w:r w:rsidRPr="00683880">
        <w:rPr>
          <w:rFonts w:ascii="Times New Roman" w:hAnsi="Times New Roman" w:cs="Times New Roman"/>
          <w:sz w:val="24"/>
          <w:szCs w:val="24"/>
        </w:rPr>
        <w:t xml:space="preserve"> </w:t>
      </w:r>
      <w:r w:rsidR="0011373F">
        <w:rPr>
          <w:rFonts w:ascii="Times New Roman" w:hAnsi="Times New Roman" w:cs="Times New Roman"/>
          <w:sz w:val="24"/>
          <w:szCs w:val="24"/>
        </w:rPr>
        <w:t>decided</w:t>
      </w:r>
      <w:r w:rsidRPr="00683880">
        <w:rPr>
          <w:rFonts w:ascii="Times New Roman" w:hAnsi="Times New Roman" w:cs="Times New Roman"/>
          <w:sz w:val="24"/>
          <w:szCs w:val="24"/>
        </w:rPr>
        <w:t xml:space="preserve"> on </w:t>
      </w:r>
      <w:r w:rsidR="005D2199">
        <w:rPr>
          <w:rFonts w:ascii="Times New Roman" w:hAnsi="Times New Roman" w:cs="Times New Roman"/>
          <w:sz w:val="24"/>
          <w:szCs w:val="24"/>
        </w:rPr>
        <w:t xml:space="preserve">the </w:t>
      </w:r>
      <w:r w:rsidRPr="00683880">
        <w:rPr>
          <w:rFonts w:ascii="Times New Roman" w:hAnsi="Times New Roman" w:cs="Times New Roman"/>
          <w:sz w:val="24"/>
          <w:szCs w:val="24"/>
        </w:rPr>
        <w:t xml:space="preserve">establishment of the National </w:t>
      </w:r>
      <w:r w:rsidRPr="00DD6FD8">
        <w:rPr>
          <w:rFonts w:ascii="Times New Roman" w:eastAsia="Times New Roman" w:hAnsi="Times New Roman" w:cs="Times New Roman"/>
          <w:snapToGrid w:val="0"/>
          <w:kern w:val="24"/>
          <w:sz w:val="24"/>
          <w:szCs w:val="24"/>
          <w:lang w:val="en-US" w:bidi="ar-SA"/>
          <w14:ligatures w14:val="none"/>
        </w:rPr>
        <w:t>Committee</w:t>
      </w:r>
      <w:r w:rsidRPr="00683880">
        <w:rPr>
          <w:rFonts w:ascii="Times New Roman" w:hAnsi="Times New Roman" w:cs="Times New Roman"/>
          <w:sz w:val="24"/>
          <w:szCs w:val="24"/>
        </w:rPr>
        <w:t xml:space="preserve"> for the Justice Sector Development. Chaired by Dr. Ziyad Amr, member of the Executive Committee of the Palestine Liberation Organisation, membership on the </w:t>
      </w:r>
      <w:r w:rsidR="000D2608" w:rsidRPr="00683880">
        <w:rPr>
          <w:rFonts w:ascii="Times New Roman" w:hAnsi="Times New Roman" w:cs="Times New Roman"/>
          <w:sz w:val="24"/>
          <w:szCs w:val="24"/>
        </w:rPr>
        <w:t>c</w:t>
      </w:r>
      <w:r w:rsidRPr="00683880">
        <w:rPr>
          <w:rFonts w:ascii="Times New Roman" w:hAnsi="Times New Roman" w:cs="Times New Roman"/>
          <w:sz w:val="24"/>
          <w:szCs w:val="24"/>
        </w:rPr>
        <w:t xml:space="preserve">ommittee includes several government bodies, ICHR, Al-Haq – </w:t>
      </w:r>
      <w:r w:rsidR="005D2199">
        <w:rPr>
          <w:rFonts w:ascii="Times New Roman" w:hAnsi="Times New Roman" w:cs="Times New Roman"/>
          <w:sz w:val="24"/>
          <w:szCs w:val="24"/>
        </w:rPr>
        <w:t xml:space="preserve">with </w:t>
      </w:r>
      <w:r w:rsidRPr="00683880">
        <w:rPr>
          <w:rFonts w:ascii="Times New Roman" w:hAnsi="Times New Roman" w:cs="Times New Roman"/>
          <w:sz w:val="24"/>
          <w:szCs w:val="24"/>
        </w:rPr>
        <w:t xml:space="preserve">the latter being an active nongovernmental organisation. Pursuant to the presidential decision, the </w:t>
      </w:r>
      <w:r w:rsidR="000D2608" w:rsidRPr="00683880">
        <w:rPr>
          <w:rFonts w:ascii="Times New Roman" w:hAnsi="Times New Roman" w:cs="Times New Roman"/>
          <w:sz w:val="24"/>
          <w:szCs w:val="24"/>
        </w:rPr>
        <w:t>c</w:t>
      </w:r>
      <w:r w:rsidRPr="00683880">
        <w:rPr>
          <w:rFonts w:ascii="Times New Roman" w:hAnsi="Times New Roman" w:cs="Times New Roman"/>
          <w:sz w:val="24"/>
          <w:szCs w:val="24"/>
        </w:rPr>
        <w:t xml:space="preserve">ommittee will examine the reality of the Palestinian justice sector as well as </w:t>
      </w:r>
      <w:r w:rsidR="005D2199">
        <w:rPr>
          <w:rFonts w:ascii="Times New Roman" w:hAnsi="Times New Roman" w:cs="Times New Roman"/>
          <w:sz w:val="24"/>
          <w:szCs w:val="24"/>
        </w:rPr>
        <w:t xml:space="preserve">the </w:t>
      </w:r>
      <w:r w:rsidRPr="00683880">
        <w:rPr>
          <w:rFonts w:ascii="Times New Roman" w:hAnsi="Times New Roman" w:cs="Times New Roman"/>
          <w:sz w:val="24"/>
          <w:szCs w:val="24"/>
        </w:rPr>
        <w:t xml:space="preserve">problems and disputes among </w:t>
      </w:r>
      <w:r w:rsidR="005D2199">
        <w:rPr>
          <w:rFonts w:ascii="Times New Roman" w:hAnsi="Times New Roman" w:cs="Times New Roman"/>
          <w:sz w:val="24"/>
          <w:szCs w:val="24"/>
        </w:rPr>
        <w:t xml:space="preserve">the sector </w:t>
      </w:r>
      <w:r w:rsidRPr="00683880">
        <w:rPr>
          <w:rFonts w:ascii="Times New Roman" w:hAnsi="Times New Roman" w:cs="Times New Roman"/>
          <w:sz w:val="24"/>
          <w:szCs w:val="24"/>
        </w:rPr>
        <w:t>components</w:t>
      </w:r>
      <w:r w:rsidR="005D2199">
        <w:rPr>
          <w:rFonts w:ascii="Times New Roman" w:hAnsi="Times New Roman" w:cs="Times New Roman"/>
          <w:sz w:val="24"/>
          <w:szCs w:val="24"/>
        </w:rPr>
        <w:t xml:space="preserve">. This is tailored to </w:t>
      </w:r>
      <w:r w:rsidRPr="00683880">
        <w:rPr>
          <w:rFonts w:ascii="Times New Roman" w:hAnsi="Times New Roman" w:cs="Times New Roman"/>
          <w:sz w:val="24"/>
          <w:szCs w:val="24"/>
        </w:rPr>
        <w:t>promote working relationships between</w:t>
      </w:r>
      <w:r w:rsidR="005D2199">
        <w:rPr>
          <w:rFonts w:ascii="Times New Roman" w:hAnsi="Times New Roman" w:cs="Times New Roman"/>
          <w:sz w:val="24"/>
          <w:szCs w:val="24"/>
        </w:rPr>
        <w:t>,</w:t>
      </w:r>
      <w:r w:rsidRPr="00683880">
        <w:rPr>
          <w:rFonts w:ascii="Times New Roman" w:hAnsi="Times New Roman" w:cs="Times New Roman"/>
          <w:sz w:val="24"/>
          <w:szCs w:val="24"/>
        </w:rPr>
        <w:t xml:space="preserve"> and enhance the performance of</w:t>
      </w:r>
      <w:r w:rsidR="005D2199">
        <w:rPr>
          <w:rFonts w:ascii="Times New Roman" w:hAnsi="Times New Roman" w:cs="Times New Roman"/>
          <w:sz w:val="24"/>
          <w:szCs w:val="24"/>
        </w:rPr>
        <w:t>,</w:t>
      </w:r>
      <w:r w:rsidRPr="00683880">
        <w:rPr>
          <w:rFonts w:ascii="Times New Roman" w:hAnsi="Times New Roman" w:cs="Times New Roman"/>
          <w:sz w:val="24"/>
          <w:szCs w:val="24"/>
        </w:rPr>
        <w:t xml:space="preserve"> these </w:t>
      </w:r>
      <w:r w:rsidR="005D2199">
        <w:rPr>
          <w:rFonts w:ascii="Times New Roman" w:hAnsi="Times New Roman" w:cs="Times New Roman"/>
          <w:sz w:val="24"/>
          <w:szCs w:val="24"/>
        </w:rPr>
        <w:t xml:space="preserve">justice </w:t>
      </w:r>
      <w:r w:rsidRPr="00683880">
        <w:rPr>
          <w:rFonts w:ascii="Times New Roman" w:hAnsi="Times New Roman" w:cs="Times New Roman"/>
          <w:sz w:val="24"/>
          <w:szCs w:val="24"/>
        </w:rPr>
        <w:t xml:space="preserve">actors. The Committee will submit recommendations to the </w:t>
      </w:r>
      <w:r w:rsidR="00683880" w:rsidRPr="00683880">
        <w:rPr>
          <w:rFonts w:ascii="Times New Roman" w:hAnsi="Times New Roman" w:cs="Times New Roman"/>
          <w:sz w:val="24"/>
          <w:szCs w:val="24"/>
        </w:rPr>
        <w:t>Head of State</w:t>
      </w:r>
      <w:r w:rsidRPr="00683880">
        <w:rPr>
          <w:rFonts w:ascii="Times New Roman" w:hAnsi="Times New Roman" w:cs="Times New Roman"/>
          <w:sz w:val="24"/>
          <w:szCs w:val="24"/>
        </w:rPr>
        <w:t xml:space="preserve"> within not more than six months for examination and </w:t>
      </w:r>
      <w:r w:rsidR="000D2608" w:rsidRPr="00683880">
        <w:rPr>
          <w:rFonts w:ascii="Times New Roman" w:hAnsi="Times New Roman" w:cs="Times New Roman"/>
          <w:sz w:val="24"/>
          <w:szCs w:val="24"/>
        </w:rPr>
        <w:t xml:space="preserve">legal action. The ICHR invests a great deal of hope in the committee to discharge its tasks. Through this committee, the ICHR emphasises that it will call for upholding and protecting human rights, including the right to fair trial and judicial independence. </w:t>
      </w:r>
    </w:p>
    <w:p w14:paraId="0BD758B2" w14:textId="5A3B9710" w:rsidR="000D2608" w:rsidRPr="005D2199" w:rsidRDefault="000D2608" w:rsidP="00DD6FD8">
      <w:pPr>
        <w:ind w:left="567"/>
        <w:jc w:val="both"/>
        <w:rPr>
          <w:rFonts w:ascii="Times New Roman" w:hAnsi="Times New Roman" w:cs="Times New Roman"/>
          <w:sz w:val="24"/>
          <w:szCs w:val="24"/>
        </w:rPr>
      </w:pPr>
      <w:r w:rsidRPr="005D2199">
        <w:rPr>
          <w:rFonts w:ascii="Times New Roman" w:hAnsi="Times New Roman" w:cs="Times New Roman"/>
          <w:sz w:val="24"/>
          <w:szCs w:val="24"/>
        </w:rPr>
        <w:t xml:space="preserve">The ICHR </w:t>
      </w:r>
      <w:r w:rsidRPr="00DD6FD8">
        <w:rPr>
          <w:rFonts w:ascii="Times New Roman" w:eastAsia="Times New Roman" w:hAnsi="Times New Roman" w:cs="Times New Roman"/>
          <w:snapToGrid w:val="0"/>
          <w:kern w:val="24"/>
          <w:sz w:val="24"/>
          <w:szCs w:val="24"/>
          <w:lang w:val="en-US" w:bidi="ar-SA"/>
          <w14:ligatures w14:val="none"/>
        </w:rPr>
        <w:t>recommends</w:t>
      </w:r>
      <w:r w:rsidRPr="005D2199">
        <w:rPr>
          <w:rFonts w:ascii="Times New Roman" w:hAnsi="Times New Roman" w:cs="Times New Roman"/>
          <w:sz w:val="24"/>
          <w:szCs w:val="24"/>
        </w:rPr>
        <w:t xml:space="preserve"> that the Committee urge the State of Palestine to adopt without reservation forthcoming recommendations of the committee. </w:t>
      </w:r>
    </w:p>
    <w:p w14:paraId="2B03327C" w14:textId="5ADC34C6" w:rsidR="00B13D95" w:rsidRPr="001259A2" w:rsidRDefault="008A1DCA" w:rsidP="001259A2">
      <w:pPr>
        <w:pStyle w:val="ListParagraph"/>
        <w:keepNext/>
        <w:keepLines/>
        <w:numPr>
          <w:ilvl w:val="0"/>
          <w:numId w:val="10"/>
        </w:numPr>
        <w:snapToGrid w:val="0"/>
        <w:spacing w:line="240" w:lineRule="auto"/>
        <w:ind w:left="284" w:hanging="284"/>
        <w:outlineLvl w:val="0"/>
        <w:rPr>
          <w:rFonts w:ascii="Times New Roman" w:hAnsi="Times New Roman" w:cs="Times New Roman"/>
          <w:b/>
          <w:bCs/>
          <w:sz w:val="24"/>
          <w:szCs w:val="24"/>
        </w:rPr>
      </w:pPr>
      <w:bookmarkStart w:id="12" w:name="_Toc136254546"/>
      <w:r w:rsidRPr="008A1DCA">
        <w:rPr>
          <w:rFonts w:ascii="Times New Roman" w:hAnsi="Times New Roman" w:cs="Times New Roman"/>
          <w:b/>
          <w:bCs/>
          <w:sz w:val="24"/>
          <w:szCs w:val="24"/>
        </w:rPr>
        <w:t xml:space="preserve">Right to </w:t>
      </w:r>
      <w:r w:rsidR="001259A2" w:rsidRPr="008A1DCA">
        <w:rPr>
          <w:rFonts w:ascii="Times New Roman" w:hAnsi="Times New Roman" w:cs="Times New Roman"/>
          <w:b/>
          <w:bCs/>
          <w:sz w:val="24"/>
          <w:szCs w:val="24"/>
        </w:rPr>
        <w:t>Privacy</w:t>
      </w:r>
      <w:bookmarkEnd w:id="12"/>
      <w:r w:rsidR="001259A2" w:rsidRPr="008A1DCA">
        <w:rPr>
          <w:rFonts w:ascii="Times New Roman" w:hAnsi="Times New Roman" w:cs="Times New Roman"/>
          <w:b/>
          <w:bCs/>
          <w:sz w:val="24"/>
          <w:szCs w:val="24"/>
        </w:rPr>
        <w:t xml:space="preserve"> </w:t>
      </w:r>
    </w:p>
    <w:p w14:paraId="3599CF33" w14:textId="67431115" w:rsidR="00C26B6B" w:rsidRDefault="008A1DCA"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29 April 2018, President </w:t>
      </w:r>
      <w:r w:rsidR="00495000">
        <w:rPr>
          <w:rFonts w:ascii="Times New Roman" w:hAnsi="Times New Roman" w:cs="Times New Roman"/>
          <w:sz w:val="24"/>
          <w:szCs w:val="24"/>
        </w:rPr>
        <w:t xml:space="preserve">Mahmoud </w:t>
      </w:r>
      <w:r w:rsidRPr="00683880">
        <w:rPr>
          <w:rFonts w:ascii="Times New Roman" w:hAnsi="Times New Roman" w:cs="Times New Roman"/>
          <w:sz w:val="24"/>
          <w:szCs w:val="24"/>
        </w:rPr>
        <w:t>Abbas promulgated the Cybercrime Law by Decree. This enactment provide</w:t>
      </w:r>
      <w:r w:rsidR="00495000">
        <w:rPr>
          <w:rFonts w:ascii="Times New Roman" w:hAnsi="Times New Roman" w:cs="Times New Roman"/>
          <w:sz w:val="24"/>
          <w:szCs w:val="24"/>
        </w:rPr>
        <w:t>s</w:t>
      </w:r>
      <w:r w:rsidRPr="00683880">
        <w:rPr>
          <w:rFonts w:ascii="Times New Roman" w:hAnsi="Times New Roman" w:cs="Times New Roman"/>
          <w:sz w:val="24"/>
          <w:szCs w:val="24"/>
        </w:rPr>
        <w:t xml:space="preserve"> substantive and procedural rules in relation to combating cybercrime, including for search of electronic devices and communications surveillance. </w:t>
      </w:r>
      <w:r w:rsidRPr="00683880">
        <w:rPr>
          <w:rFonts w:ascii="Times New Roman" w:hAnsi="Times New Roman" w:cs="Times New Roman"/>
          <w:sz w:val="24"/>
          <w:szCs w:val="24"/>
        </w:rPr>
        <w:lastRenderedPageBreak/>
        <w:t xml:space="preserve">Some of these rules derogate from legal guarantees to be availed to individuals when the government interferes with their privacy. Most notably, the power to interfere with privacy, including electronic search and wiretapping, will be left for orders to be issued by the Attorney General, rather than </w:t>
      </w:r>
      <w:r w:rsidR="00495000">
        <w:rPr>
          <w:rFonts w:ascii="Times New Roman" w:hAnsi="Times New Roman" w:cs="Times New Roman"/>
          <w:sz w:val="24"/>
          <w:szCs w:val="24"/>
        </w:rPr>
        <w:t xml:space="preserve">by </w:t>
      </w:r>
      <w:r w:rsidRPr="00683880">
        <w:rPr>
          <w:rFonts w:ascii="Times New Roman" w:hAnsi="Times New Roman" w:cs="Times New Roman"/>
          <w:sz w:val="24"/>
          <w:szCs w:val="24"/>
        </w:rPr>
        <w:t xml:space="preserve">competent courts. However, the Basic Law requires that a judicial order be issued forth on any procedures restricting liberty, including measures to interfere with privacy. The Cybercrime Law by Decree </w:t>
      </w:r>
      <w:r w:rsidR="00495000">
        <w:rPr>
          <w:rFonts w:ascii="Times New Roman" w:hAnsi="Times New Roman" w:cs="Times New Roman"/>
          <w:sz w:val="24"/>
          <w:szCs w:val="24"/>
        </w:rPr>
        <w:t xml:space="preserve">further </w:t>
      </w:r>
      <w:r w:rsidRPr="00683880">
        <w:rPr>
          <w:rFonts w:ascii="Times New Roman" w:hAnsi="Times New Roman" w:cs="Times New Roman"/>
          <w:sz w:val="24"/>
          <w:szCs w:val="24"/>
        </w:rPr>
        <w:t xml:space="preserve">imposes obligations on telecommunications and internet companies </w:t>
      </w:r>
      <w:r w:rsidR="00495000">
        <w:rPr>
          <w:rFonts w:ascii="Times New Roman" w:hAnsi="Times New Roman" w:cs="Times New Roman"/>
          <w:sz w:val="24"/>
          <w:szCs w:val="24"/>
        </w:rPr>
        <w:t xml:space="preserve">so that they </w:t>
      </w:r>
      <w:r w:rsidRPr="00683880">
        <w:rPr>
          <w:rFonts w:ascii="Times New Roman" w:hAnsi="Times New Roman" w:cs="Times New Roman"/>
          <w:sz w:val="24"/>
          <w:szCs w:val="24"/>
        </w:rPr>
        <w:t xml:space="preserve">control and save user data. To this avail, the </w:t>
      </w:r>
      <w:r w:rsidR="001B51C1">
        <w:rPr>
          <w:rFonts w:ascii="Times New Roman" w:hAnsi="Times New Roman" w:cs="Times New Roman"/>
          <w:sz w:val="24"/>
          <w:szCs w:val="24"/>
        </w:rPr>
        <w:t>l</w:t>
      </w:r>
      <w:r w:rsidRPr="00683880">
        <w:rPr>
          <w:rFonts w:ascii="Times New Roman" w:hAnsi="Times New Roman" w:cs="Times New Roman"/>
          <w:sz w:val="24"/>
          <w:szCs w:val="24"/>
        </w:rPr>
        <w:t xml:space="preserve">aw by </w:t>
      </w:r>
      <w:r w:rsidR="001B51C1">
        <w:rPr>
          <w:rFonts w:ascii="Times New Roman" w:hAnsi="Times New Roman" w:cs="Times New Roman"/>
          <w:sz w:val="24"/>
          <w:szCs w:val="24"/>
        </w:rPr>
        <w:t>d</w:t>
      </w:r>
      <w:r w:rsidRPr="00683880">
        <w:rPr>
          <w:rFonts w:ascii="Times New Roman" w:hAnsi="Times New Roman" w:cs="Times New Roman"/>
          <w:sz w:val="24"/>
          <w:szCs w:val="24"/>
        </w:rPr>
        <w:t xml:space="preserve">ecree provides that these companies will keep user information and data for a period of three years without being clear about the purpose thereof. </w:t>
      </w:r>
    </w:p>
    <w:p w14:paraId="68506484" w14:textId="34B53648" w:rsidR="008A1DCA" w:rsidRPr="00683880" w:rsidRDefault="008A1DCA"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It would be useful, in this context, to urge the State of Palestine to make clear the procedures, objectives, conditions, and the body competent of issuing and implementing orders of privacy checks, if any. </w:t>
      </w:r>
      <w:r w:rsidR="00C26B6B">
        <w:rPr>
          <w:rFonts w:ascii="Times New Roman" w:hAnsi="Times New Roman" w:cs="Times New Roman"/>
          <w:sz w:val="24"/>
          <w:szCs w:val="24"/>
        </w:rPr>
        <w:t>T</w:t>
      </w:r>
      <w:r w:rsidRPr="00683880">
        <w:rPr>
          <w:rFonts w:ascii="Times New Roman" w:hAnsi="Times New Roman" w:cs="Times New Roman"/>
          <w:sz w:val="24"/>
          <w:szCs w:val="24"/>
        </w:rPr>
        <w:t xml:space="preserve">he State of Palestine will be urged to make amendments to the Cybercrime Law </w:t>
      </w:r>
      <w:r w:rsidR="00C26B6B">
        <w:rPr>
          <w:rFonts w:ascii="Times New Roman" w:hAnsi="Times New Roman" w:cs="Times New Roman"/>
          <w:sz w:val="24"/>
          <w:szCs w:val="24"/>
        </w:rPr>
        <w:t xml:space="preserve">by Decree </w:t>
      </w:r>
      <w:r w:rsidRPr="00683880">
        <w:rPr>
          <w:rFonts w:ascii="Times New Roman" w:hAnsi="Times New Roman" w:cs="Times New Roman"/>
          <w:sz w:val="24"/>
          <w:szCs w:val="24"/>
        </w:rPr>
        <w:t>and Penal Law with a view to provid</w:t>
      </w:r>
      <w:r w:rsidR="00C26B6B">
        <w:rPr>
          <w:rFonts w:ascii="Times New Roman" w:hAnsi="Times New Roman" w:cs="Times New Roman"/>
          <w:sz w:val="24"/>
          <w:szCs w:val="24"/>
        </w:rPr>
        <w:t>ing</w:t>
      </w:r>
      <w:r w:rsidRPr="00683880">
        <w:rPr>
          <w:rFonts w:ascii="Times New Roman" w:hAnsi="Times New Roman" w:cs="Times New Roman"/>
          <w:sz w:val="24"/>
          <w:szCs w:val="24"/>
        </w:rPr>
        <w:t xml:space="preserve"> greater protection to the right to privacy and prescrib</w:t>
      </w:r>
      <w:r w:rsidR="00444785">
        <w:rPr>
          <w:rFonts w:ascii="Times New Roman" w:hAnsi="Times New Roman" w:cs="Times New Roman"/>
          <w:sz w:val="24"/>
          <w:szCs w:val="24"/>
        </w:rPr>
        <w:t>ing</w:t>
      </w:r>
      <w:r w:rsidRPr="00683880">
        <w:rPr>
          <w:rFonts w:ascii="Times New Roman" w:hAnsi="Times New Roman" w:cs="Times New Roman"/>
          <w:sz w:val="24"/>
          <w:szCs w:val="24"/>
        </w:rPr>
        <w:t xml:space="preserve"> penalties against arbitrary or illegal interference with this right.</w:t>
      </w:r>
    </w:p>
    <w:p w14:paraId="0156C4D9" w14:textId="517F94E2" w:rsidR="008A1DCA" w:rsidRPr="00683880" w:rsidRDefault="008A1DCA"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After political activist Banat had been murdered while he was being arrested by Preventive Security officers in the Hebron city, mostly peaceful protests broke out in different areas of the West Bank. Protestors called for holding perpetrators of the murder crime to account. The majority of these protests were violently and disproportionately repressed by law enforcement officers, </w:t>
      </w:r>
      <w:r w:rsidR="000901BC">
        <w:rPr>
          <w:rFonts w:ascii="Times New Roman" w:hAnsi="Times New Roman" w:cs="Times New Roman"/>
          <w:sz w:val="24"/>
          <w:szCs w:val="24"/>
        </w:rPr>
        <w:t xml:space="preserve">nonuniformed </w:t>
      </w:r>
      <w:r w:rsidRPr="00683880">
        <w:rPr>
          <w:rFonts w:ascii="Times New Roman" w:hAnsi="Times New Roman" w:cs="Times New Roman"/>
          <w:sz w:val="24"/>
          <w:szCs w:val="24"/>
        </w:rPr>
        <w:t xml:space="preserve">security personnel, and civilian persons who seemed to be members of the ruling party (Fatah). Over three days, 24-27 June 2021, protests </w:t>
      </w:r>
      <w:r w:rsidR="001F35C9">
        <w:rPr>
          <w:rFonts w:ascii="Times New Roman" w:hAnsi="Times New Roman" w:cs="Times New Roman"/>
          <w:sz w:val="24"/>
          <w:szCs w:val="24"/>
        </w:rPr>
        <w:t xml:space="preserve">mainly </w:t>
      </w:r>
      <w:r w:rsidRPr="00683880">
        <w:rPr>
          <w:rFonts w:ascii="Times New Roman" w:hAnsi="Times New Roman" w:cs="Times New Roman"/>
          <w:sz w:val="24"/>
          <w:szCs w:val="24"/>
        </w:rPr>
        <w:t xml:space="preserve">rallied in the Ramallah city. Most notable in these events was the targeting of </w:t>
      </w:r>
      <w:r w:rsidR="001F35C9">
        <w:rPr>
          <w:rFonts w:ascii="Times New Roman" w:hAnsi="Times New Roman" w:cs="Times New Roman"/>
          <w:sz w:val="24"/>
          <w:szCs w:val="24"/>
        </w:rPr>
        <w:t>women</w:t>
      </w:r>
      <w:r w:rsidRPr="00683880">
        <w:rPr>
          <w:rFonts w:ascii="Times New Roman" w:hAnsi="Times New Roman" w:cs="Times New Roman"/>
          <w:sz w:val="24"/>
          <w:szCs w:val="24"/>
        </w:rPr>
        <w:t xml:space="preserve">, including journalists, who were battered and their cellular phones stolen. Human rights organisations </w:t>
      </w:r>
      <w:r w:rsidR="0076415B">
        <w:rPr>
          <w:rFonts w:ascii="Times New Roman" w:hAnsi="Times New Roman" w:cs="Times New Roman"/>
          <w:sz w:val="24"/>
          <w:szCs w:val="24"/>
        </w:rPr>
        <w:t>filed</w:t>
      </w:r>
      <w:r w:rsidRPr="00683880">
        <w:rPr>
          <w:rFonts w:ascii="Times New Roman" w:hAnsi="Times New Roman" w:cs="Times New Roman"/>
          <w:sz w:val="24"/>
          <w:szCs w:val="24"/>
        </w:rPr>
        <w:t xml:space="preserve"> a criminal petition to the Attorney General to prosecute individuals implicated in the attacks on and stole phones of the</w:t>
      </w:r>
      <w:r w:rsidR="004A0BBF">
        <w:rPr>
          <w:rFonts w:ascii="Times New Roman" w:hAnsi="Times New Roman" w:cs="Times New Roman"/>
          <w:sz w:val="24"/>
          <w:szCs w:val="24"/>
        </w:rPr>
        <w:t>se</w:t>
      </w:r>
      <w:r w:rsidRPr="00683880">
        <w:rPr>
          <w:rFonts w:ascii="Times New Roman" w:hAnsi="Times New Roman" w:cs="Times New Roman"/>
          <w:sz w:val="24"/>
          <w:szCs w:val="24"/>
        </w:rPr>
        <w:t xml:space="preserve"> </w:t>
      </w:r>
      <w:r w:rsidR="004A0BBF">
        <w:rPr>
          <w:rFonts w:ascii="Times New Roman" w:hAnsi="Times New Roman" w:cs="Times New Roman"/>
          <w:sz w:val="24"/>
          <w:szCs w:val="24"/>
        </w:rPr>
        <w:t>women</w:t>
      </w:r>
      <w:r w:rsidRPr="00683880">
        <w:rPr>
          <w:rFonts w:ascii="Times New Roman" w:hAnsi="Times New Roman" w:cs="Times New Roman"/>
          <w:sz w:val="24"/>
          <w:szCs w:val="24"/>
        </w:rPr>
        <w:t xml:space="preserve">. Thus far, however, there have been no prosecutions to at least identify suspects. </w:t>
      </w:r>
    </w:p>
    <w:p w14:paraId="780020C6" w14:textId="3A5DF6E6" w:rsidR="008A1DCA" w:rsidRPr="00683880" w:rsidRDefault="008A1DCA"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Against this background, the ICHR recommends that the Committee request the State of Palestine to conduct effective prosecutions of persons involved in those assaults, ensure reparations for affected </w:t>
      </w:r>
      <w:r w:rsidR="00824090">
        <w:rPr>
          <w:rFonts w:ascii="Times New Roman" w:hAnsi="Times New Roman" w:cs="Times New Roman"/>
          <w:sz w:val="24"/>
          <w:szCs w:val="24"/>
        </w:rPr>
        <w:t xml:space="preserve">women </w:t>
      </w:r>
      <w:r w:rsidRPr="00683880">
        <w:rPr>
          <w:rFonts w:ascii="Times New Roman" w:hAnsi="Times New Roman" w:cs="Times New Roman"/>
          <w:sz w:val="24"/>
          <w:szCs w:val="24"/>
        </w:rPr>
        <w:t>and journalists, and provide guarantees of non-recurrence. The State of Palestine will be urged to uphold and protect citizens’ right to freedom of peaceful assembly.</w:t>
      </w:r>
    </w:p>
    <w:p w14:paraId="7488CE7E" w14:textId="49A1DF79" w:rsidR="00E640DC" w:rsidRDefault="00E640DC" w:rsidP="00DD6FD8">
      <w:pPr>
        <w:pStyle w:val="ListParagraph"/>
        <w:keepNext/>
        <w:keepLines/>
        <w:numPr>
          <w:ilvl w:val="0"/>
          <w:numId w:val="10"/>
        </w:numPr>
        <w:tabs>
          <w:tab w:val="left" w:pos="426"/>
        </w:tabs>
        <w:snapToGrid w:val="0"/>
        <w:spacing w:line="240" w:lineRule="auto"/>
        <w:ind w:left="284" w:hanging="284"/>
        <w:outlineLvl w:val="0"/>
        <w:rPr>
          <w:rFonts w:ascii="Times New Roman" w:hAnsi="Times New Roman" w:cs="Times New Roman"/>
          <w:b/>
          <w:bCs/>
          <w:sz w:val="24"/>
          <w:szCs w:val="24"/>
        </w:rPr>
      </w:pPr>
      <w:bookmarkStart w:id="13" w:name="_Toc136254547"/>
      <w:r>
        <w:rPr>
          <w:rFonts w:ascii="Times New Roman" w:hAnsi="Times New Roman" w:cs="Times New Roman"/>
          <w:b/>
          <w:bCs/>
          <w:sz w:val="24"/>
          <w:szCs w:val="24"/>
        </w:rPr>
        <w:t>The Right to Freedom of Expression</w:t>
      </w:r>
      <w:bookmarkEnd w:id="13"/>
      <w:r>
        <w:rPr>
          <w:rFonts w:ascii="Times New Roman" w:hAnsi="Times New Roman" w:cs="Times New Roman"/>
          <w:b/>
          <w:bCs/>
          <w:sz w:val="24"/>
          <w:szCs w:val="24"/>
        </w:rPr>
        <w:t xml:space="preserve"> </w:t>
      </w:r>
    </w:p>
    <w:p w14:paraId="6206F91A" w14:textId="1D0FEA25" w:rsidR="00E640DC" w:rsidRDefault="00E640DC" w:rsidP="00E640DC">
      <w:pPr>
        <w:pStyle w:val="ListParagraph"/>
        <w:numPr>
          <w:ilvl w:val="0"/>
          <w:numId w:val="8"/>
        </w:numPr>
        <w:spacing w:after="0" w:line="240" w:lineRule="auto"/>
        <w:ind w:left="567" w:hanging="283"/>
        <w:jc w:val="both"/>
        <w:rPr>
          <w:rFonts w:ascii="Times New Roman" w:hAnsi="Times New Roman" w:cs="Times New Roman"/>
          <w:sz w:val="24"/>
          <w:szCs w:val="24"/>
        </w:rPr>
      </w:pPr>
      <w:r w:rsidRPr="00E640DC">
        <w:rPr>
          <w:rFonts w:ascii="Times New Roman" w:hAnsi="Times New Roman" w:cs="Times New Roman"/>
          <w:sz w:val="24"/>
          <w:szCs w:val="24"/>
        </w:rPr>
        <w:t xml:space="preserve"> Since Palestine's accession to the covenant, law enforcement agencies in the West Bank have carried out hundreds of summonses and arrests of citizens, including activists and human rights defenders, due to their public and peaceful criticism of government policies and procedures, or their criticism of political officials or public employees. Most of the detainees have been referred to trials and charged with offenses such as insulting public authorities, inciting sectarian or racial hatred. Prosecutors and judges have extended their detention and held them in pretrial custody for periods of up to 30 days</w:t>
      </w:r>
      <w:r>
        <w:rPr>
          <w:rFonts w:ascii="Times New Roman" w:hAnsi="Times New Roman" w:cs="Times New Roman"/>
          <w:sz w:val="24"/>
          <w:szCs w:val="24"/>
        </w:rPr>
        <w:t>. A</w:t>
      </w:r>
      <w:r w:rsidRPr="00E640DC">
        <w:rPr>
          <w:rFonts w:ascii="Times New Roman" w:hAnsi="Times New Roman" w:cs="Times New Roman"/>
          <w:sz w:val="24"/>
          <w:szCs w:val="24"/>
        </w:rPr>
        <w:t>s of the end of 202</w:t>
      </w:r>
      <w:r w:rsidR="009040F4">
        <w:rPr>
          <w:rFonts w:ascii="Times New Roman" w:hAnsi="Times New Roman" w:cs="Times New Roman"/>
          <w:sz w:val="24"/>
          <w:szCs w:val="24"/>
        </w:rPr>
        <w:t>, a</w:t>
      </w:r>
      <w:r w:rsidRPr="00E640DC">
        <w:rPr>
          <w:rFonts w:ascii="Times New Roman" w:hAnsi="Times New Roman" w:cs="Times New Roman"/>
          <w:sz w:val="24"/>
          <w:szCs w:val="24"/>
        </w:rPr>
        <w:t>ccording to data from the Supreme Judicial Council</w:t>
      </w:r>
      <w:r>
        <w:rPr>
          <w:rFonts w:ascii="Times New Roman" w:hAnsi="Times New Roman" w:cs="Times New Roman"/>
          <w:sz w:val="24"/>
          <w:szCs w:val="24"/>
        </w:rPr>
        <w:t xml:space="preserve">, </w:t>
      </w:r>
      <w:r w:rsidRPr="00E640DC">
        <w:rPr>
          <w:rFonts w:ascii="Times New Roman" w:hAnsi="Times New Roman" w:cs="Times New Roman"/>
          <w:sz w:val="24"/>
          <w:szCs w:val="24"/>
        </w:rPr>
        <w:t xml:space="preserve">there are (209) ongoing cases in the regular courts in the West Bank, where citizens are being tried on charges related to insulting public authorities or inciting sectarian or racial hatred. However, during 2021, the courts only convicted (36) individuals on such charges, with penalties ranging from several </w:t>
      </w:r>
      <w:r w:rsidRPr="00E640DC">
        <w:rPr>
          <w:rFonts w:ascii="Times New Roman" w:hAnsi="Times New Roman" w:cs="Times New Roman"/>
          <w:sz w:val="24"/>
          <w:szCs w:val="24"/>
        </w:rPr>
        <w:lastRenderedPageBreak/>
        <w:t xml:space="preserve">months of imprisonment to fines. Additionally, the courts issued acquittals in (25) cases out of the total number of cases. The Public Prosecution reported that in 2021 alone, it investigated (159) cases involving allegations of insulting public authorities or inciting hatred, of which (117) were referred to the courts, while (29) cases were </w:t>
      </w:r>
      <w:r w:rsidR="00CA5A37">
        <w:rPr>
          <w:rFonts w:ascii="Times New Roman" w:hAnsi="Times New Roman" w:cs="Times New Roman"/>
          <w:sz w:val="24"/>
          <w:szCs w:val="24"/>
          <w:lang w:val="en-US"/>
        </w:rPr>
        <w:t>dismissed</w:t>
      </w:r>
      <w:r w:rsidRPr="00E640DC">
        <w:rPr>
          <w:rFonts w:ascii="Times New Roman" w:hAnsi="Times New Roman" w:cs="Times New Roman"/>
          <w:sz w:val="24"/>
          <w:szCs w:val="24"/>
        </w:rPr>
        <w:t>.</w:t>
      </w:r>
    </w:p>
    <w:p w14:paraId="5668184C" w14:textId="77777777" w:rsidR="00BA36BD" w:rsidRPr="00BA36BD" w:rsidRDefault="00BA36BD" w:rsidP="00BA36BD">
      <w:pPr>
        <w:spacing w:after="0" w:line="240" w:lineRule="auto"/>
        <w:ind w:left="540" w:firstLine="27"/>
        <w:jc w:val="both"/>
        <w:rPr>
          <w:rFonts w:ascii="Times New Roman" w:hAnsi="Times New Roman" w:cs="Times New Roman"/>
          <w:sz w:val="24"/>
          <w:szCs w:val="24"/>
        </w:rPr>
      </w:pPr>
      <w:r w:rsidRPr="00BA36BD">
        <w:rPr>
          <w:rFonts w:ascii="Times New Roman" w:hAnsi="Times New Roman" w:cs="Times New Roman"/>
          <w:sz w:val="24"/>
          <w:szCs w:val="24"/>
        </w:rPr>
        <w:t xml:space="preserve">To this avail, the ICHR recommends that the Committee urge the State of Palestine to ensure faithful implementation of the provisions of the ICCPR and Penal Law. Provisions that incriminate the stirring up of racial or inter-confessional strife, incitement, and hate speech may not be used against citizens, who express their opinions free, nor against peaceful activists and human rights defenders. The ICHR also recommends that the State of Palestine be requested to cease criminal prosecutions, drop all charges, and quash the convictions of citizens who publicly and peacefully criticised government policies, procedures, or personnel. It would be useful to direct the State of Palestine to repeal or amend some criminal provisions of the Penal Law, Cybercrime Law by Decree, and Decree on the Consolidation of National Unity and Prevention of Incitement. These provisions incriminate certain behaviours by overbroad and loosely defined terms, precise scale of which is hard to determine. </w:t>
      </w:r>
    </w:p>
    <w:p w14:paraId="7278FAD7" w14:textId="562597D4" w:rsidR="00BA36BD" w:rsidRPr="00BA36BD" w:rsidRDefault="00BA36BD" w:rsidP="00BA36BD">
      <w:pPr>
        <w:pStyle w:val="ListParagraph"/>
        <w:numPr>
          <w:ilvl w:val="0"/>
          <w:numId w:val="12"/>
        </w:numPr>
        <w:spacing w:after="0" w:line="240" w:lineRule="auto"/>
        <w:ind w:left="540" w:hanging="270"/>
        <w:jc w:val="both"/>
        <w:rPr>
          <w:rFonts w:ascii="Times New Roman" w:hAnsi="Times New Roman" w:cs="Times New Roman"/>
          <w:sz w:val="24"/>
          <w:szCs w:val="24"/>
        </w:rPr>
      </w:pPr>
      <w:r w:rsidRPr="00BA36BD">
        <w:rPr>
          <w:rFonts w:ascii="Times New Roman" w:hAnsi="Times New Roman" w:cs="Times New Roman"/>
          <w:sz w:val="24"/>
          <w:szCs w:val="24"/>
        </w:rPr>
        <w:t xml:space="preserve">According to a provision of the Cybercrime Law by Decree, courts are allowed, at the behest of the Attorney General, to block electronic websites inside or outside the State if they publish material, which may pose a threat to national security, public order or public morals. This provision does not stipulate a particular offence in order to </w:t>
      </w:r>
      <w:proofErr w:type="gramStart"/>
      <w:r w:rsidRPr="00BA36BD">
        <w:rPr>
          <w:rFonts w:ascii="Times New Roman" w:hAnsi="Times New Roman" w:cs="Times New Roman"/>
          <w:sz w:val="24"/>
          <w:szCs w:val="24"/>
        </w:rPr>
        <w:t>effect</w:t>
      </w:r>
      <w:proofErr w:type="gramEnd"/>
      <w:r w:rsidRPr="00BA36BD">
        <w:rPr>
          <w:rFonts w:ascii="Times New Roman" w:hAnsi="Times New Roman" w:cs="Times New Roman"/>
          <w:sz w:val="24"/>
          <w:szCs w:val="24"/>
        </w:rPr>
        <w:t xml:space="preserve"> such a procedure, nor does it require the notification of a website representatives so that they can submit their challenge and defence. All the more so, the decision on blockage can be made in the absence of, and without informing, </w:t>
      </w:r>
      <w:proofErr w:type="gramStart"/>
      <w:r w:rsidRPr="00BA36BD">
        <w:rPr>
          <w:rFonts w:ascii="Times New Roman" w:hAnsi="Times New Roman" w:cs="Times New Roman"/>
          <w:sz w:val="24"/>
          <w:szCs w:val="24"/>
        </w:rPr>
        <w:t>these representative</w:t>
      </w:r>
      <w:proofErr w:type="gramEnd"/>
      <w:r w:rsidRPr="00BA36BD">
        <w:rPr>
          <w:rFonts w:ascii="Times New Roman" w:hAnsi="Times New Roman" w:cs="Times New Roman"/>
          <w:sz w:val="24"/>
          <w:szCs w:val="24"/>
        </w:rPr>
        <w:t xml:space="preserve">, violating the right to fair trial guarantees. Indeed, on 21 October 2019, a Ramallah-based court entered an order to block more than 50 electronic websites at once. While many were media sites, others belonged to opposition parties and political opponents. The said decision was rendered in the absence of representatives of affected websites, some of whom had known addresses in the West Bank. It is true that that the decision was not enforced to blocked sites during the period of time specified in the court ruling (six months). However, continued enforcement, rather than amendment or annulment, of the decision as currently drafted means that it can potentially be invoked at any time in spite of the fact that it lacks guarantees of the right to freedom of expression and right to fair trial. The causes of blockages are, in and by themselves, are overbroad and quite loosely defined. Relevant procedures further violate the right of defence. Against this backdrop, the ICHR recommends that the Committee urge the State of Palestine to amend the provisions of Article 39 of the Cybercrime Law by Decree with a view to safeguarding the right to freedom of expression and upholding the right of defence and due process of law. </w:t>
      </w:r>
    </w:p>
    <w:p w14:paraId="263C0524" w14:textId="339D7EC7" w:rsidR="00BA36BD" w:rsidRPr="00BA36BD" w:rsidRDefault="00BA36BD" w:rsidP="00BA36BD">
      <w:pPr>
        <w:pStyle w:val="ListParagraph"/>
        <w:numPr>
          <w:ilvl w:val="0"/>
          <w:numId w:val="8"/>
        </w:numPr>
        <w:spacing w:after="0" w:line="240" w:lineRule="auto"/>
        <w:ind w:left="540" w:hanging="270"/>
        <w:jc w:val="both"/>
        <w:rPr>
          <w:rFonts w:ascii="Times New Roman" w:hAnsi="Times New Roman" w:cs="Times New Roman"/>
          <w:sz w:val="24"/>
          <w:szCs w:val="24"/>
        </w:rPr>
      </w:pPr>
      <w:r w:rsidRPr="00BA36BD">
        <w:rPr>
          <w:rFonts w:ascii="Times New Roman" w:hAnsi="Times New Roman" w:cs="Times New Roman"/>
          <w:sz w:val="24"/>
          <w:szCs w:val="24"/>
        </w:rPr>
        <w:t xml:space="preserve">For over ten years, successive Palestinian governments have been working on a draft law on the right of access to information. Several drafts have been put forth. Of these, some were compiled with the participation of civil society organisations. Approval of a good law on the right of access to information is critical to promoting the right to freedom of expression and freedom of the press. Unit the present, however, the law has not been promulgated and put into force. The State of Palestine must be urged to approve a good law on the right of access to information. </w:t>
      </w:r>
    </w:p>
    <w:p w14:paraId="06965766" w14:textId="130157D4" w:rsidR="00BA36BD" w:rsidRDefault="00BA36BD" w:rsidP="00BA36BD">
      <w:pPr>
        <w:pStyle w:val="ListParagraph"/>
        <w:numPr>
          <w:ilvl w:val="0"/>
          <w:numId w:val="8"/>
        </w:numPr>
        <w:spacing w:after="0" w:line="240" w:lineRule="auto"/>
        <w:ind w:left="540" w:hanging="270"/>
        <w:jc w:val="both"/>
        <w:rPr>
          <w:rFonts w:ascii="Times New Roman" w:hAnsi="Times New Roman" w:cs="Times New Roman"/>
          <w:sz w:val="24"/>
          <w:szCs w:val="24"/>
        </w:rPr>
      </w:pPr>
      <w:r w:rsidRPr="00BA36BD">
        <w:rPr>
          <w:rFonts w:ascii="Times New Roman" w:hAnsi="Times New Roman" w:cs="Times New Roman"/>
          <w:sz w:val="24"/>
          <w:szCs w:val="24"/>
        </w:rPr>
        <w:t xml:space="preserve">Issued forth by the transitional HJC on 1 March 2020, the Code of Judicial Conduct imposes overbroad and loosely defined restrictions on the judges’ right to freely express their views </w:t>
      </w:r>
      <w:r w:rsidRPr="00BA36BD">
        <w:rPr>
          <w:rFonts w:ascii="Times New Roman" w:hAnsi="Times New Roman" w:cs="Times New Roman"/>
          <w:sz w:val="24"/>
          <w:szCs w:val="24"/>
        </w:rPr>
        <w:lastRenderedPageBreak/>
        <w:t xml:space="preserve">and use social media networks, including regard to decency and modesty. Just two years later, on 30 March 2022, the HJC amended the Code of Judicial Conduct. According to the amendment, judges are prohibited from blogging or sharing any personal information or photos on social media platforms. This absolute prohibition affects the substance of the right to freedom of expression and does not give due regard to the principles of proportionality and necessity. In this context, on 5 July 2021, the Council of Ministers also </w:t>
      </w:r>
      <w:r w:rsidRPr="00BA36BD">
        <w:rPr>
          <w:rFonts w:ascii="Times New Roman" w:hAnsi="Times New Roman" w:cs="Times New Roman"/>
          <w:sz w:val="24"/>
          <w:szCs w:val="24"/>
        </w:rPr>
        <w:t>decided</w:t>
      </w:r>
      <w:r w:rsidRPr="00BA36BD">
        <w:rPr>
          <w:rFonts w:ascii="Times New Roman" w:hAnsi="Times New Roman" w:cs="Times New Roman"/>
          <w:sz w:val="24"/>
          <w:szCs w:val="24"/>
        </w:rPr>
        <w:t>, repealing Article 22 of the Council of Ministers’ Decision No. 4 of 2020 on Approval of the Code of Conduct and Ethical Standards for Civil Service. This article used to guarantee the right to freedom of expression for civil servants. The amendment passes the message that the government would no longer tolerate civil servants who exercise their right to freely express their opinions. Accordingly, the ICHR recommends that the Committee urge the State of Palestine to repeal the items of legislation, which place excessive and unjustified constraints on the freedom of expression by civil servants, including judges.</w:t>
      </w:r>
    </w:p>
    <w:p w14:paraId="35932540" w14:textId="77777777" w:rsidR="00E86088" w:rsidRDefault="00E86088" w:rsidP="00E86088">
      <w:pPr>
        <w:pStyle w:val="ListParagraph"/>
        <w:spacing w:after="0" w:line="240" w:lineRule="auto"/>
        <w:ind w:left="540"/>
        <w:jc w:val="both"/>
        <w:rPr>
          <w:rFonts w:ascii="Times New Roman" w:hAnsi="Times New Roman" w:cs="Times New Roman" w:hint="cs"/>
          <w:sz w:val="24"/>
          <w:szCs w:val="24"/>
          <w:rtl/>
        </w:rPr>
      </w:pPr>
    </w:p>
    <w:p w14:paraId="4C497A29" w14:textId="5A7346B2" w:rsidR="00E86088" w:rsidRPr="00E86088" w:rsidRDefault="00E86088" w:rsidP="00E86088">
      <w:pPr>
        <w:pStyle w:val="ListParagraph"/>
        <w:keepNext/>
        <w:keepLines/>
        <w:numPr>
          <w:ilvl w:val="0"/>
          <w:numId w:val="10"/>
        </w:numPr>
        <w:tabs>
          <w:tab w:val="left" w:pos="426"/>
        </w:tabs>
        <w:snapToGrid w:val="0"/>
        <w:spacing w:line="240" w:lineRule="auto"/>
        <w:ind w:left="284" w:hanging="284"/>
        <w:outlineLvl w:val="0"/>
        <w:rPr>
          <w:rFonts w:ascii="Times New Roman" w:eastAsiaTheme="majorEastAsia" w:hAnsi="Times New Roman" w:cs="Times New Roman"/>
          <w:b/>
          <w:bCs/>
          <w:kern w:val="24"/>
          <w:sz w:val="24"/>
          <w:szCs w:val="24"/>
          <w:lang w:val="en-US" w:bidi="ar-SA"/>
          <w14:ligatures w14:val="none"/>
        </w:rPr>
      </w:pPr>
      <w:bookmarkStart w:id="14" w:name="_Toc136254548"/>
      <w:r w:rsidRPr="00120688">
        <w:rPr>
          <w:rFonts w:ascii="Times New Roman" w:eastAsiaTheme="majorEastAsia" w:hAnsi="Times New Roman" w:cs="Times New Roman"/>
          <w:b/>
          <w:bCs/>
          <w:kern w:val="24"/>
          <w:sz w:val="24"/>
          <w:szCs w:val="24"/>
          <w:lang w:val="en-US" w:bidi="ar-SA"/>
          <w14:ligatures w14:val="none"/>
        </w:rPr>
        <w:t xml:space="preserve">Right to </w:t>
      </w:r>
      <w:r w:rsidR="001259A2" w:rsidRPr="00120688">
        <w:rPr>
          <w:rFonts w:ascii="Times New Roman" w:eastAsiaTheme="majorEastAsia" w:hAnsi="Times New Roman" w:cs="Times New Roman"/>
          <w:b/>
          <w:bCs/>
          <w:kern w:val="24"/>
          <w:sz w:val="24"/>
          <w:szCs w:val="24"/>
          <w:lang w:val="en-US" w:bidi="ar-SA"/>
          <w14:ligatures w14:val="none"/>
        </w:rPr>
        <w:t xml:space="preserve">Freedom </w:t>
      </w:r>
      <w:r w:rsidRPr="00120688">
        <w:rPr>
          <w:rFonts w:ascii="Times New Roman" w:eastAsiaTheme="majorEastAsia" w:hAnsi="Times New Roman" w:cs="Times New Roman"/>
          <w:b/>
          <w:bCs/>
          <w:kern w:val="24"/>
          <w:sz w:val="24"/>
          <w:szCs w:val="24"/>
          <w:lang w:val="en-US" w:bidi="ar-SA"/>
          <w14:ligatures w14:val="none"/>
        </w:rPr>
        <w:t xml:space="preserve">of </w:t>
      </w:r>
      <w:r w:rsidR="001259A2" w:rsidRPr="00120688">
        <w:rPr>
          <w:rFonts w:ascii="Times New Roman" w:eastAsiaTheme="majorEastAsia" w:hAnsi="Times New Roman" w:cs="Times New Roman"/>
          <w:b/>
          <w:bCs/>
          <w:kern w:val="24"/>
          <w:sz w:val="24"/>
          <w:szCs w:val="24"/>
          <w:lang w:val="en-US" w:bidi="ar-SA"/>
          <w14:ligatures w14:val="none"/>
        </w:rPr>
        <w:t>Peaceful Assembly</w:t>
      </w:r>
      <w:bookmarkEnd w:id="14"/>
      <w:r w:rsidR="001259A2" w:rsidRPr="00120688">
        <w:rPr>
          <w:rFonts w:ascii="Times New Roman" w:eastAsiaTheme="majorEastAsia" w:hAnsi="Times New Roman" w:cs="Times New Roman"/>
          <w:b/>
          <w:bCs/>
          <w:kern w:val="24"/>
          <w:sz w:val="24"/>
          <w:szCs w:val="24"/>
          <w:lang w:val="en-US" w:bidi="ar-SA"/>
          <w14:ligatures w14:val="none"/>
        </w:rPr>
        <w:t xml:space="preserve"> </w:t>
      </w:r>
    </w:p>
    <w:p w14:paraId="39E0480B" w14:textId="60D049F8" w:rsidR="00E86088" w:rsidRPr="00120688" w:rsidRDefault="00E86088" w:rsidP="00E86088">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120688">
        <w:rPr>
          <w:rFonts w:ascii="Times New Roman" w:eastAsia="Times New Roman" w:hAnsi="Times New Roman" w:cs="Times New Roman"/>
          <w:snapToGrid w:val="0"/>
          <w:kern w:val="24"/>
          <w:sz w:val="24"/>
          <w:szCs w:val="24"/>
          <w:lang w:val="en-US" w:bidi="ar-SA"/>
          <w14:ligatures w14:val="none"/>
        </w:rPr>
        <w:t xml:space="preserve">Both the Basic Law and Law on Public Meetings No. 12 of 1998 safeguard the right to freedom of peaceful assembly and do not place cumbersome conditions on the exercise of this right, including a prerequisite to obtain a </w:t>
      </w:r>
      <w:r w:rsidRPr="00120688">
        <w:rPr>
          <w:rFonts w:ascii="Times New Roman" w:eastAsia="Times New Roman" w:hAnsi="Times New Roman" w:cs="Times New Roman"/>
          <w:snapToGrid w:val="0"/>
          <w:kern w:val="24"/>
          <w:sz w:val="24"/>
          <w:szCs w:val="24"/>
          <w:lang w:val="en-US" w:bidi="ar-SA"/>
          <w14:ligatures w14:val="none"/>
        </w:rPr>
        <w:t>license</w:t>
      </w:r>
      <w:r w:rsidRPr="00120688">
        <w:rPr>
          <w:rFonts w:ascii="Times New Roman" w:eastAsia="Times New Roman" w:hAnsi="Times New Roman" w:cs="Times New Roman"/>
          <w:snapToGrid w:val="0"/>
          <w:kern w:val="24"/>
          <w:sz w:val="24"/>
          <w:szCs w:val="24"/>
          <w:lang w:val="en-US" w:bidi="ar-SA"/>
          <w14:ligatures w14:val="none"/>
        </w:rPr>
        <w:t xml:space="preserve">. The Law on Public Meetings only requires that a written notice is submitted by the </w:t>
      </w:r>
      <w:r w:rsidRPr="00120688">
        <w:rPr>
          <w:rFonts w:ascii="Times New Roman" w:eastAsia="Times New Roman" w:hAnsi="Times New Roman" w:cs="Times New Roman"/>
          <w:snapToGrid w:val="0"/>
          <w:kern w:val="24"/>
          <w:sz w:val="24"/>
          <w:szCs w:val="24"/>
          <w:lang w:val="en-US" w:bidi="ar-SA"/>
          <w14:ligatures w14:val="none"/>
        </w:rPr>
        <w:t>organizers</w:t>
      </w:r>
      <w:r w:rsidRPr="00120688">
        <w:rPr>
          <w:rFonts w:ascii="Times New Roman" w:eastAsia="Times New Roman" w:hAnsi="Times New Roman" w:cs="Times New Roman"/>
          <w:snapToGrid w:val="0"/>
          <w:kern w:val="24"/>
          <w:sz w:val="24"/>
          <w:szCs w:val="24"/>
          <w:lang w:val="en-US" w:bidi="ar-SA"/>
          <w14:ligatures w14:val="none"/>
        </w:rPr>
        <w:t xml:space="preserve"> of a public meeting to the Police for the purposes of regulating traffic and protecting the peaceful assembly. However, issued by the Decision of the Minister of Interior No. 1 of 2000, the Bylaw of the Law on Public Meetings requires for a public meeting to be held that its </w:t>
      </w:r>
      <w:r w:rsidRPr="00120688">
        <w:rPr>
          <w:rFonts w:ascii="Times New Roman" w:eastAsia="Times New Roman" w:hAnsi="Times New Roman" w:cs="Times New Roman"/>
          <w:snapToGrid w:val="0"/>
          <w:kern w:val="24"/>
          <w:sz w:val="24"/>
          <w:szCs w:val="24"/>
          <w:lang w:val="en-US" w:bidi="ar-SA"/>
          <w14:ligatures w14:val="none"/>
        </w:rPr>
        <w:t>organizers</w:t>
      </w:r>
      <w:r w:rsidRPr="00120688">
        <w:rPr>
          <w:rFonts w:ascii="Times New Roman" w:eastAsia="Times New Roman" w:hAnsi="Times New Roman" w:cs="Times New Roman"/>
          <w:snapToGrid w:val="0"/>
          <w:kern w:val="24"/>
          <w:sz w:val="24"/>
          <w:szCs w:val="24"/>
          <w:lang w:val="en-US" w:bidi="ar-SA"/>
          <w14:ligatures w14:val="none"/>
        </w:rPr>
        <w:t xml:space="preserve"> obtain a </w:t>
      </w:r>
      <w:r w:rsidRPr="00120688">
        <w:rPr>
          <w:rFonts w:ascii="Times New Roman" w:eastAsia="Times New Roman" w:hAnsi="Times New Roman" w:cs="Times New Roman"/>
          <w:snapToGrid w:val="0"/>
          <w:kern w:val="24"/>
          <w:sz w:val="24"/>
          <w:szCs w:val="24"/>
          <w:lang w:val="en-US" w:bidi="ar-SA"/>
          <w14:ligatures w14:val="none"/>
        </w:rPr>
        <w:t>license</w:t>
      </w:r>
      <w:r w:rsidRPr="00120688">
        <w:rPr>
          <w:rFonts w:ascii="Times New Roman" w:eastAsia="Times New Roman" w:hAnsi="Times New Roman" w:cs="Times New Roman"/>
          <w:snapToGrid w:val="0"/>
          <w:kern w:val="24"/>
          <w:sz w:val="24"/>
          <w:szCs w:val="24"/>
          <w:lang w:val="en-US" w:bidi="ar-SA"/>
          <w14:ligatures w14:val="none"/>
        </w:rPr>
        <w:t xml:space="preserve"> from the Police, rather than sufficing with the notice provided for by the Law. Of note, the law is superior to a bylaw in line with the hierarchy of legislation. In addition, the Bylaw stipulates that </w:t>
      </w:r>
      <w:r w:rsidRPr="00120688">
        <w:rPr>
          <w:rFonts w:ascii="Times New Roman" w:eastAsia="Times New Roman" w:hAnsi="Times New Roman" w:cs="Times New Roman"/>
          <w:snapToGrid w:val="0"/>
          <w:kern w:val="24"/>
          <w:sz w:val="24"/>
          <w:szCs w:val="24"/>
          <w:lang w:val="en-US" w:bidi="ar-SA"/>
          <w14:ligatures w14:val="none"/>
        </w:rPr>
        <w:t>organizers</w:t>
      </w:r>
      <w:r w:rsidRPr="00120688">
        <w:rPr>
          <w:rFonts w:ascii="Times New Roman" w:eastAsia="Times New Roman" w:hAnsi="Times New Roman" w:cs="Times New Roman"/>
          <w:snapToGrid w:val="0"/>
          <w:kern w:val="24"/>
          <w:sz w:val="24"/>
          <w:szCs w:val="24"/>
          <w:lang w:val="en-US" w:bidi="ar-SA"/>
          <w14:ligatures w14:val="none"/>
        </w:rPr>
        <w:t xml:space="preserve"> of public meetings abide the provisions of the 1998 Decree on the Consolidation of National Unity and Prevention of Incitement. These illegal violations render the exercise of the right to freedom of peaceful assembly somewhat onerous. Indeed, on several occasions, the Police invoked this Bylaw to hamper the organization of some politically motivated peaceful assemblies. Against this backdrop, the ICHR recommends that the Committee urge the State of Palestine to amend the Bylaw in consistence with the Law. </w:t>
      </w:r>
    </w:p>
    <w:p w14:paraId="6C389CF8" w14:textId="77777777" w:rsidR="00E86088" w:rsidRPr="00120688" w:rsidRDefault="00E86088" w:rsidP="00E86088">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120688">
        <w:rPr>
          <w:rFonts w:ascii="Times New Roman" w:eastAsia="Times New Roman" w:hAnsi="Times New Roman" w:cs="Times New Roman"/>
          <w:snapToGrid w:val="0"/>
          <w:kern w:val="24"/>
          <w:sz w:val="24"/>
          <w:szCs w:val="24"/>
          <w:lang w:val="en-US" w:bidi="ar-SA"/>
          <w14:ligatures w14:val="none"/>
        </w:rPr>
        <w:t xml:space="preserve">In the West Bank, persons have managed on several occasions to organize public meetings without being harassed or persecuted by law enforcement agencies. In practice, however, there is ample evidence of disproportionate and unnecessary persecution has been inflicted on many peaceful assemblies, which demanded justice for political activist Banat in the Ramallah city between 24 and 27 June 2021. In dealing with these protests, it all the more remarkable that non-uniformed security officers and civilian persons were deployed to persecute and beat both male and female protestors. In crowded areas, security agencies fire tear gas canisters and sound grenades to disperse protests. Security forces also arrest a number of protestors on charges of unlawful gathering. According to the West Bank-based Public Prosecution data, in 2021, while it dismissed one case, the Public Prosecution remitted to courts 14 cases involving charges of unlawful gathering. Peaceful assemblies were persecuted and disproportionate force was used disperse protestors in defiance of the recommendations of the investigation committee, referred to in Para. 370 of the State Party’s report. </w:t>
      </w:r>
    </w:p>
    <w:p w14:paraId="52EAC12A" w14:textId="77777777" w:rsidR="00E86088" w:rsidRPr="00120688" w:rsidRDefault="00E86088" w:rsidP="00E86088">
      <w:pPr>
        <w:spacing w:after="0" w:line="240" w:lineRule="auto"/>
        <w:ind w:left="567"/>
        <w:jc w:val="both"/>
        <w:rPr>
          <w:rFonts w:ascii="Times New Roman" w:eastAsia="Times New Roman" w:hAnsi="Times New Roman" w:cs="Times New Roman"/>
          <w:snapToGrid w:val="0"/>
          <w:kern w:val="24"/>
          <w:sz w:val="24"/>
          <w:szCs w:val="24"/>
          <w:lang w:val="en-US" w:bidi="ar-SA"/>
          <w14:ligatures w14:val="none"/>
        </w:rPr>
      </w:pPr>
      <w:r w:rsidRPr="00120688">
        <w:rPr>
          <w:rFonts w:ascii="Times New Roman" w:eastAsia="Times New Roman" w:hAnsi="Times New Roman" w:cs="Times New Roman"/>
          <w:snapToGrid w:val="0"/>
          <w:kern w:val="24"/>
          <w:sz w:val="24"/>
          <w:szCs w:val="24"/>
          <w:lang w:val="en-US" w:bidi="ar-SA"/>
          <w14:ligatures w14:val="none"/>
        </w:rPr>
        <w:t xml:space="preserve">Additionally, other forms of restriction of the right to freedom of peaceful assembly were used. Sometimes, law enforcement agencies hindered access to areas of peaceful assemblies </w:t>
      </w:r>
      <w:r w:rsidRPr="00120688">
        <w:rPr>
          <w:rFonts w:ascii="Times New Roman" w:eastAsia="Times New Roman" w:hAnsi="Times New Roman" w:cs="Times New Roman"/>
          <w:snapToGrid w:val="0"/>
          <w:kern w:val="24"/>
          <w:sz w:val="24"/>
          <w:szCs w:val="24"/>
          <w:lang w:val="en-US" w:bidi="ar-SA"/>
          <w14:ligatures w14:val="none"/>
        </w:rPr>
        <w:lastRenderedPageBreak/>
        <w:t>by setting up checkpoints at the entrances to cities. This was the case on 7 March 2016 during the central sit-in protest of school teachers, who demanded that their employment conditions be improved, in Ramallah. On 5 July and 22 August 2021, the Police prevented persons from organizing a peaceful assembly on the Al-</w:t>
      </w:r>
      <w:proofErr w:type="spellStart"/>
      <w:r w:rsidRPr="00120688">
        <w:rPr>
          <w:rFonts w:ascii="Times New Roman" w:eastAsia="Times New Roman" w:hAnsi="Times New Roman" w:cs="Times New Roman"/>
          <w:snapToGrid w:val="0"/>
          <w:kern w:val="24"/>
          <w:sz w:val="24"/>
          <w:szCs w:val="24"/>
          <w:lang w:val="en-US" w:bidi="ar-SA"/>
          <w14:ligatures w14:val="none"/>
        </w:rPr>
        <w:t>Manarah</w:t>
      </w:r>
      <w:proofErr w:type="spellEnd"/>
      <w:r w:rsidRPr="00120688">
        <w:rPr>
          <w:rFonts w:ascii="Times New Roman" w:eastAsia="Times New Roman" w:hAnsi="Times New Roman" w:cs="Times New Roman"/>
          <w:snapToGrid w:val="0"/>
          <w:kern w:val="24"/>
          <w:sz w:val="24"/>
          <w:szCs w:val="24"/>
          <w:lang w:val="en-US" w:bidi="ar-SA"/>
          <w14:ligatures w14:val="none"/>
        </w:rPr>
        <w:t xml:space="preserve"> roundabout in the Ramallah city. Having sealed the area, Police officers arrested several organizers of the peaceful assembly well before it was in place. Also, on 19 July 2020, law enforcement agencies arrested activists of the </w:t>
      </w:r>
      <w:proofErr w:type="spellStart"/>
      <w:r w:rsidRPr="00120688">
        <w:rPr>
          <w:rFonts w:ascii="Times New Roman" w:eastAsia="Times New Roman" w:hAnsi="Times New Roman" w:cs="Times New Roman"/>
          <w:i/>
          <w:iCs/>
          <w:snapToGrid w:val="0"/>
          <w:kern w:val="24"/>
          <w:sz w:val="24"/>
          <w:szCs w:val="24"/>
          <w:lang w:val="en-US" w:bidi="ar-SA"/>
          <w14:ligatures w14:val="none"/>
        </w:rPr>
        <w:t>Tafah</w:t>
      </w:r>
      <w:proofErr w:type="spellEnd"/>
      <w:r w:rsidRPr="00120688">
        <w:rPr>
          <w:rFonts w:ascii="Times New Roman" w:eastAsia="Times New Roman" w:hAnsi="Times New Roman" w:cs="Times New Roman"/>
          <w:i/>
          <w:iCs/>
          <w:snapToGrid w:val="0"/>
          <w:kern w:val="24"/>
          <w:sz w:val="24"/>
          <w:szCs w:val="24"/>
          <w:lang w:val="en-US" w:bidi="ar-SA"/>
          <w14:ligatures w14:val="none"/>
        </w:rPr>
        <w:t xml:space="preserve"> al-Keil</w:t>
      </w:r>
      <w:r w:rsidRPr="00120688">
        <w:rPr>
          <w:rFonts w:ascii="Times New Roman" w:eastAsia="Times New Roman" w:hAnsi="Times New Roman" w:cs="Times New Roman"/>
          <w:snapToGrid w:val="0"/>
          <w:kern w:val="24"/>
          <w:sz w:val="24"/>
          <w:szCs w:val="24"/>
          <w:lang w:val="en-US" w:bidi="ar-SA"/>
          <w14:ligatures w14:val="none"/>
        </w:rPr>
        <w:t xml:space="preserve"> [Enough is Enough] movement (a peaceful movement against corruption), who had intended to organize a peaceful assembly on the Al-</w:t>
      </w:r>
      <w:proofErr w:type="spellStart"/>
      <w:r w:rsidRPr="00120688">
        <w:rPr>
          <w:rFonts w:ascii="Times New Roman" w:eastAsia="Times New Roman" w:hAnsi="Times New Roman" w:cs="Times New Roman"/>
          <w:snapToGrid w:val="0"/>
          <w:kern w:val="24"/>
          <w:sz w:val="24"/>
          <w:szCs w:val="24"/>
          <w:lang w:val="en-US" w:bidi="ar-SA"/>
          <w14:ligatures w14:val="none"/>
        </w:rPr>
        <w:t>Manarah</w:t>
      </w:r>
      <w:proofErr w:type="spellEnd"/>
      <w:r w:rsidRPr="00120688">
        <w:rPr>
          <w:rFonts w:ascii="Times New Roman" w:eastAsia="Times New Roman" w:hAnsi="Times New Roman" w:cs="Times New Roman"/>
          <w:snapToGrid w:val="0"/>
          <w:kern w:val="24"/>
          <w:sz w:val="24"/>
          <w:szCs w:val="24"/>
          <w:lang w:val="en-US" w:bidi="ar-SA"/>
          <w14:ligatures w14:val="none"/>
        </w:rPr>
        <w:t xml:space="preserve"> roundabout in Ramallah. To this avail, the ICHR recommends that the Committee urge the State of Palestine to take necessary action to prevent the recurrence of such events. The State of Palestine will issue strict directives to law enforcement agencies to uphold the right to freedom of peaceful assembly and hold to account individuals implicated in unjustified assaults on peaceful assemblies. In particular, the State Party will be urged to provide guarantees not to deploy security personnel in plain clothes or civilian persons in the persecution of peaceful assemblies. It will be useful to draw the attention of the State of Palestine to implement the recommendations of the investigation committee, referred to in Para. 370 of the State Party’s report. </w:t>
      </w:r>
    </w:p>
    <w:p w14:paraId="2789E029" w14:textId="77777777" w:rsidR="00E86088" w:rsidRPr="00E86088" w:rsidRDefault="00E86088" w:rsidP="00E86088">
      <w:pPr>
        <w:spacing w:after="0" w:line="240" w:lineRule="auto"/>
        <w:jc w:val="both"/>
        <w:rPr>
          <w:rFonts w:ascii="Times New Roman" w:hAnsi="Times New Roman" w:cs="Times New Roman"/>
          <w:sz w:val="24"/>
          <w:szCs w:val="24"/>
          <w:lang w:val="en-US"/>
        </w:rPr>
      </w:pPr>
    </w:p>
    <w:p w14:paraId="172317A8" w14:textId="0D74C7A6" w:rsidR="00FE6A57" w:rsidRDefault="00FE6A57" w:rsidP="00DD6FD8">
      <w:pPr>
        <w:pStyle w:val="ListParagraph"/>
        <w:keepNext/>
        <w:keepLines/>
        <w:numPr>
          <w:ilvl w:val="0"/>
          <w:numId w:val="10"/>
        </w:numPr>
        <w:tabs>
          <w:tab w:val="left" w:pos="426"/>
        </w:tabs>
        <w:snapToGrid w:val="0"/>
        <w:spacing w:line="240" w:lineRule="auto"/>
        <w:ind w:left="284" w:hanging="284"/>
        <w:outlineLvl w:val="0"/>
        <w:rPr>
          <w:rFonts w:ascii="Times New Roman" w:hAnsi="Times New Roman" w:cs="Times New Roman"/>
          <w:b/>
          <w:bCs/>
          <w:sz w:val="24"/>
          <w:szCs w:val="24"/>
        </w:rPr>
      </w:pPr>
      <w:bookmarkStart w:id="15" w:name="_Toc136254549"/>
      <w:r w:rsidRPr="00FE6A57">
        <w:rPr>
          <w:rFonts w:ascii="Times New Roman" w:hAnsi="Times New Roman" w:cs="Times New Roman"/>
          <w:b/>
          <w:bCs/>
          <w:sz w:val="24"/>
          <w:szCs w:val="24"/>
        </w:rPr>
        <w:t xml:space="preserve">Right to </w:t>
      </w:r>
      <w:r w:rsidR="001259A2" w:rsidRPr="00FE6A57">
        <w:rPr>
          <w:rFonts w:ascii="Times New Roman" w:hAnsi="Times New Roman" w:cs="Times New Roman"/>
          <w:b/>
          <w:bCs/>
          <w:sz w:val="24"/>
          <w:szCs w:val="24"/>
        </w:rPr>
        <w:t xml:space="preserve">Freedom </w:t>
      </w:r>
      <w:r w:rsidRPr="00FE6A57">
        <w:rPr>
          <w:rFonts w:ascii="Times New Roman" w:hAnsi="Times New Roman" w:cs="Times New Roman"/>
          <w:b/>
          <w:bCs/>
          <w:sz w:val="24"/>
          <w:szCs w:val="24"/>
        </w:rPr>
        <w:t xml:space="preserve">of </w:t>
      </w:r>
      <w:r w:rsidR="001259A2" w:rsidRPr="00FE6A57">
        <w:rPr>
          <w:rFonts w:ascii="Times New Roman" w:hAnsi="Times New Roman" w:cs="Times New Roman"/>
          <w:b/>
          <w:bCs/>
          <w:sz w:val="24"/>
          <w:szCs w:val="24"/>
        </w:rPr>
        <w:t xml:space="preserve">Association </w:t>
      </w:r>
      <w:r w:rsidRPr="00FE6A57">
        <w:rPr>
          <w:rFonts w:ascii="Times New Roman" w:hAnsi="Times New Roman" w:cs="Times New Roman"/>
          <w:b/>
          <w:bCs/>
          <w:sz w:val="24"/>
          <w:szCs w:val="24"/>
        </w:rPr>
        <w:t xml:space="preserve">and </w:t>
      </w:r>
      <w:r w:rsidR="001259A2" w:rsidRPr="00FE6A57">
        <w:rPr>
          <w:rFonts w:ascii="Times New Roman" w:hAnsi="Times New Roman" w:cs="Times New Roman"/>
          <w:b/>
          <w:bCs/>
          <w:sz w:val="24"/>
          <w:szCs w:val="24"/>
        </w:rPr>
        <w:t xml:space="preserve">Right </w:t>
      </w:r>
      <w:r w:rsidRPr="00FE6A57">
        <w:rPr>
          <w:rFonts w:ascii="Times New Roman" w:hAnsi="Times New Roman" w:cs="Times New Roman"/>
          <w:b/>
          <w:bCs/>
          <w:sz w:val="24"/>
          <w:szCs w:val="24"/>
        </w:rPr>
        <w:t xml:space="preserve">to </w:t>
      </w:r>
      <w:r w:rsidR="001259A2" w:rsidRPr="00FE6A57">
        <w:rPr>
          <w:rFonts w:ascii="Times New Roman" w:hAnsi="Times New Roman" w:cs="Times New Roman"/>
          <w:b/>
          <w:bCs/>
          <w:sz w:val="24"/>
          <w:szCs w:val="24"/>
        </w:rPr>
        <w:t xml:space="preserve">Form </w:t>
      </w:r>
      <w:r w:rsidRPr="00FE6A57">
        <w:rPr>
          <w:rFonts w:ascii="Times New Roman" w:hAnsi="Times New Roman" w:cs="Times New Roman"/>
          <w:b/>
          <w:bCs/>
          <w:sz w:val="24"/>
          <w:szCs w:val="24"/>
        </w:rPr>
        <w:t xml:space="preserve">or </w:t>
      </w:r>
      <w:r w:rsidR="001259A2" w:rsidRPr="00FE6A57">
        <w:rPr>
          <w:rFonts w:ascii="Times New Roman" w:hAnsi="Times New Roman" w:cs="Times New Roman"/>
          <w:b/>
          <w:bCs/>
          <w:sz w:val="24"/>
          <w:szCs w:val="24"/>
        </w:rPr>
        <w:t xml:space="preserve">Join </w:t>
      </w:r>
      <w:r w:rsidRPr="00FE6A57">
        <w:rPr>
          <w:rFonts w:ascii="Times New Roman" w:hAnsi="Times New Roman" w:cs="Times New Roman"/>
          <w:b/>
          <w:bCs/>
          <w:sz w:val="24"/>
          <w:szCs w:val="24"/>
        </w:rPr>
        <w:t xml:space="preserve">a </w:t>
      </w:r>
      <w:r w:rsidR="001259A2" w:rsidRPr="00FE6A57">
        <w:rPr>
          <w:rFonts w:ascii="Times New Roman" w:hAnsi="Times New Roman" w:cs="Times New Roman"/>
          <w:b/>
          <w:bCs/>
          <w:sz w:val="24"/>
          <w:szCs w:val="24"/>
        </w:rPr>
        <w:t>Trade Union</w:t>
      </w:r>
      <w:bookmarkEnd w:id="15"/>
    </w:p>
    <w:p w14:paraId="0A32A980" w14:textId="77777777" w:rsidR="00B13D95" w:rsidRPr="00FE6A57" w:rsidRDefault="00B13D95" w:rsidP="00B13D95">
      <w:pPr>
        <w:pStyle w:val="ListParagraph"/>
        <w:keepNext/>
        <w:keepLines/>
        <w:tabs>
          <w:tab w:val="left" w:pos="426"/>
        </w:tabs>
        <w:snapToGrid w:val="0"/>
        <w:spacing w:line="240" w:lineRule="auto"/>
        <w:ind w:left="284"/>
        <w:outlineLvl w:val="0"/>
        <w:rPr>
          <w:rFonts w:ascii="Times New Roman" w:hAnsi="Times New Roman" w:cs="Times New Roman"/>
          <w:b/>
          <w:bCs/>
          <w:sz w:val="24"/>
          <w:szCs w:val="24"/>
        </w:rPr>
      </w:pPr>
    </w:p>
    <w:p w14:paraId="194344A9" w14:textId="711D84FE" w:rsidR="00FE6A57" w:rsidRPr="00683880" w:rsidRDefault="00FE6A57"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28 February 2021, the </w:t>
      </w:r>
      <w:r w:rsidR="00683880" w:rsidRPr="00683880">
        <w:rPr>
          <w:rFonts w:ascii="Times New Roman" w:hAnsi="Times New Roman" w:cs="Times New Roman"/>
          <w:sz w:val="24"/>
          <w:szCs w:val="24"/>
        </w:rPr>
        <w:t>Head of State</w:t>
      </w:r>
      <w:r w:rsidRPr="00683880">
        <w:rPr>
          <w:rFonts w:ascii="Times New Roman" w:hAnsi="Times New Roman" w:cs="Times New Roman"/>
          <w:sz w:val="24"/>
          <w:szCs w:val="24"/>
        </w:rPr>
        <w:t xml:space="preserve"> promulgated a law by decree amending the Law on Charitable Associations and Civil Society Organisations No. 1 of 2000, as amended (CSO Law). The law by decree places constraints, that are both unnecessary and unjustifiable in a democratic society, on the right to freedom of association. The </w:t>
      </w:r>
      <w:r w:rsidR="00A82B13">
        <w:rPr>
          <w:rFonts w:ascii="Times New Roman" w:hAnsi="Times New Roman" w:cs="Times New Roman"/>
          <w:sz w:val="24"/>
          <w:szCs w:val="24"/>
        </w:rPr>
        <w:t>l</w:t>
      </w:r>
      <w:r w:rsidRPr="00683880">
        <w:rPr>
          <w:rFonts w:ascii="Times New Roman" w:hAnsi="Times New Roman" w:cs="Times New Roman"/>
          <w:sz w:val="24"/>
          <w:szCs w:val="24"/>
        </w:rPr>
        <w:t xml:space="preserve">aw by </w:t>
      </w:r>
      <w:r w:rsidR="00A82B13">
        <w:rPr>
          <w:rFonts w:ascii="Times New Roman" w:hAnsi="Times New Roman" w:cs="Times New Roman"/>
          <w:sz w:val="24"/>
          <w:szCs w:val="24"/>
        </w:rPr>
        <w:t>d</w:t>
      </w:r>
      <w:r w:rsidRPr="00683880">
        <w:rPr>
          <w:rFonts w:ascii="Times New Roman" w:hAnsi="Times New Roman" w:cs="Times New Roman"/>
          <w:sz w:val="24"/>
          <w:szCs w:val="24"/>
        </w:rPr>
        <w:t xml:space="preserve">ecree allows government interference with the internal financial </w:t>
      </w:r>
      <w:r w:rsidR="00A82B13">
        <w:rPr>
          <w:rFonts w:ascii="Times New Roman" w:hAnsi="Times New Roman" w:cs="Times New Roman"/>
          <w:sz w:val="24"/>
          <w:szCs w:val="24"/>
        </w:rPr>
        <w:t xml:space="preserve">positions </w:t>
      </w:r>
      <w:r w:rsidRPr="00683880">
        <w:rPr>
          <w:rFonts w:ascii="Times New Roman" w:hAnsi="Times New Roman" w:cs="Times New Roman"/>
          <w:sz w:val="24"/>
          <w:szCs w:val="24"/>
        </w:rPr>
        <w:t xml:space="preserve">and functions of associations and civil society groups. It vests the government with the power to </w:t>
      </w:r>
      <w:r w:rsidR="00A82B13">
        <w:rPr>
          <w:rFonts w:ascii="Times New Roman" w:hAnsi="Times New Roman" w:cs="Times New Roman"/>
          <w:sz w:val="24"/>
          <w:szCs w:val="24"/>
        </w:rPr>
        <w:t>place</w:t>
      </w:r>
      <w:r w:rsidRPr="00683880">
        <w:rPr>
          <w:rFonts w:ascii="Times New Roman" w:hAnsi="Times New Roman" w:cs="Times New Roman"/>
          <w:sz w:val="24"/>
          <w:szCs w:val="24"/>
        </w:rPr>
        <w:t xml:space="preserve"> conditions on the financing sources of associations. Following widespread objections by the ICHR and civil society actors, on 11 May 2021, the President enacted a law by decree, suspending, but not explicitly repealing, the enforcement of the Law by Decree Amending the Law on Charitable Associations and Civil Society Organisations. This was not the first time the State of Palestine issued forth legal rules, placing unjustified restrictions on the financing sources of charitable associations, civil society organisations, and similar bodies, such as non-profit companies and cooperative societies. On 7 July 2015, the Council of Ministers made a decision, requiring that prior approval of the Council of Ministers </w:t>
      </w:r>
      <w:r w:rsidR="00A82B13">
        <w:rPr>
          <w:rFonts w:ascii="Times New Roman" w:hAnsi="Times New Roman" w:cs="Times New Roman"/>
          <w:sz w:val="24"/>
          <w:szCs w:val="24"/>
        </w:rPr>
        <w:t>be</w:t>
      </w:r>
      <w:r w:rsidRPr="00683880">
        <w:rPr>
          <w:rFonts w:ascii="Times New Roman" w:hAnsi="Times New Roman" w:cs="Times New Roman"/>
          <w:sz w:val="24"/>
          <w:szCs w:val="24"/>
        </w:rPr>
        <w:t xml:space="preserve"> obtained so that non-profit companies can accept grants, donations, assistance, and funding, while at the same time stating the purpose thereof. On 16 November 2017, President Abbas passed the Law by Decree on Cooperative Societies No. 20 of 2017, stipulating that the Cooperative Work Agency approve cooperatives’ plans and projects funded by donors. On 15 August 2022, without consultation with civil society and relevant companies, the Palestinian government reimposed unjustified restrictions on the free operation of non-profit companies. These were simil</w:t>
      </w:r>
      <w:r w:rsidR="00A82B13">
        <w:rPr>
          <w:rFonts w:ascii="Times New Roman" w:hAnsi="Times New Roman" w:cs="Times New Roman"/>
          <w:sz w:val="24"/>
          <w:szCs w:val="24"/>
        </w:rPr>
        <w:t>ar</w:t>
      </w:r>
      <w:r w:rsidR="00AB696F">
        <w:rPr>
          <w:rFonts w:ascii="Times New Roman" w:hAnsi="Times New Roman" w:cs="Times New Roman"/>
          <w:sz w:val="24"/>
          <w:szCs w:val="24"/>
        </w:rPr>
        <w:t xml:space="preserve"> to the</w:t>
      </w:r>
      <w:r w:rsidRPr="00683880">
        <w:rPr>
          <w:rFonts w:ascii="Times New Roman" w:hAnsi="Times New Roman" w:cs="Times New Roman"/>
          <w:sz w:val="24"/>
          <w:szCs w:val="24"/>
        </w:rPr>
        <w:t xml:space="preserve"> constraints placed on charitable associations and </w:t>
      </w:r>
      <w:r w:rsidR="00AB696F">
        <w:rPr>
          <w:rFonts w:ascii="Times New Roman" w:hAnsi="Times New Roman" w:cs="Times New Roman"/>
          <w:sz w:val="24"/>
          <w:szCs w:val="24"/>
        </w:rPr>
        <w:t>civil society groups</w:t>
      </w:r>
      <w:r w:rsidRPr="00683880">
        <w:rPr>
          <w:rFonts w:ascii="Times New Roman" w:hAnsi="Times New Roman" w:cs="Times New Roman"/>
          <w:sz w:val="24"/>
          <w:szCs w:val="24"/>
        </w:rPr>
        <w:t xml:space="preserve"> earlier. Published in the </w:t>
      </w:r>
      <w:r w:rsidR="00AB696F">
        <w:rPr>
          <w:rFonts w:ascii="Times New Roman" w:hAnsi="Times New Roman" w:cs="Times New Roman"/>
          <w:sz w:val="24"/>
          <w:szCs w:val="24"/>
        </w:rPr>
        <w:t xml:space="preserve">Palestinian </w:t>
      </w:r>
      <w:r w:rsidRPr="00683880">
        <w:rPr>
          <w:rFonts w:ascii="Times New Roman" w:hAnsi="Times New Roman" w:cs="Times New Roman"/>
          <w:sz w:val="24"/>
          <w:szCs w:val="24"/>
        </w:rPr>
        <w:t>Official Gazette, the Council of Ministers issued forth the Regulation on Non-profit Companies No. 20 of 2022, obliging non-profit companies to regularise their positions accordingly</w:t>
      </w:r>
      <w:r w:rsidR="00AB696F">
        <w:rPr>
          <w:rFonts w:ascii="Times New Roman" w:hAnsi="Times New Roman" w:cs="Times New Roman"/>
          <w:sz w:val="24"/>
          <w:szCs w:val="24"/>
        </w:rPr>
        <w:t>,</w:t>
      </w:r>
      <w:r w:rsidRPr="00683880">
        <w:rPr>
          <w:rFonts w:ascii="Times New Roman" w:hAnsi="Times New Roman" w:cs="Times New Roman"/>
          <w:sz w:val="24"/>
          <w:szCs w:val="24"/>
        </w:rPr>
        <w:t xml:space="preserve"> </w:t>
      </w:r>
      <w:r w:rsidR="00C43F0D" w:rsidRPr="00683880">
        <w:rPr>
          <w:rFonts w:ascii="Times New Roman" w:hAnsi="Times New Roman" w:cs="Times New Roman"/>
          <w:sz w:val="24"/>
          <w:szCs w:val="24"/>
        </w:rPr>
        <w:t>with effect from the date of enforcement</w:t>
      </w:r>
      <w:r w:rsidR="00AB696F">
        <w:rPr>
          <w:rFonts w:ascii="Times New Roman" w:hAnsi="Times New Roman" w:cs="Times New Roman"/>
          <w:sz w:val="24"/>
          <w:szCs w:val="24"/>
        </w:rPr>
        <w:t xml:space="preserve"> of the regulation</w:t>
      </w:r>
      <w:r w:rsidR="00C43F0D" w:rsidRPr="00683880">
        <w:rPr>
          <w:rFonts w:ascii="Times New Roman" w:hAnsi="Times New Roman" w:cs="Times New Roman"/>
          <w:sz w:val="24"/>
          <w:szCs w:val="24"/>
        </w:rPr>
        <w:t xml:space="preserve">. </w:t>
      </w:r>
    </w:p>
    <w:p w14:paraId="384F53B6" w14:textId="2DB41707" w:rsidR="00FE6A57" w:rsidRPr="00683880" w:rsidRDefault="00FE6A57"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lastRenderedPageBreak/>
        <w:t xml:space="preserve">Along this vein, the ICHR recommends that the Committee urge the State of Palestine to </w:t>
      </w:r>
      <w:r w:rsidR="00E86088" w:rsidRPr="00683880">
        <w:rPr>
          <w:rFonts w:ascii="Times New Roman" w:hAnsi="Times New Roman" w:cs="Times New Roman"/>
          <w:sz w:val="24"/>
          <w:szCs w:val="24"/>
        </w:rPr>
        <w:t>act</w:t>
      </w:r>
      <w:r w:rsidRPr="00683880">
        <w:rPr>
          <w:rFonts w:ascii="Times New Roman" w:hAnsi="Times New Roman" w:cs="Times New Roman"/>
          <w:sz w:val="24"/>
          <w:szCs w:val="24"/>
        </w:rPr>
        <w:t xml:space="preserve"> to uphold and protect the independence of charitable associations, civil society groups, non-profit companies, and cooperative societies. In addition to making amendments to relevant laws, the State of Palestine will ameliorate </w:t>
      </w:r>
      <w:r w:rsidR="00CF0FC1" w:rsidRPr="00683880">
        <w:rPr>
          <w:rFonts w:ascii="Times New Roman" w:hAnsi="Times New Roman" w:cs="Times New Roman"/>
          <w:sz w:val="24"/>
          <w:szCs w:val="24"/>
        </w:rPr>
        <w:t xml:space="preserve">the </w:t>
      </w:r>
      <w:r w:rsidRPr="00683880">
        <w:rPr>
          <w:rFonts w:ascii="Times New Roman" w:hAnsi="Times New Roman" w:cs="Times New Roman"/>
          <w:sz w:val="24"/>
          <w:szCs w:val="24"/>
        </w:rPr>
        <w:t>conditions imposed on the financing sources of these bodies. The Law by Decree Amending the Law on Charitable Associations and Civil Society Organisations will be repealed once and for all</w:t>
      </w:r>
      <w:r w:rsidR="00CF0FC1" w:rsidRPr="00683880">
        <w:rPr>
          <w:rFonts w:ascii="Times New Roman" w:hAnsi="Times New Roman" w:cs="Times New Roman"/>
          <w:sz w:val="24"/>
          <w:szCs w:val="24"/>
        </w:rPr>
        <w:t xml:space="preserve">, and so will the 2022 Regulation on Non-profit Companies. </w:t>
      </w:r>
    </w:p>
    <w:p w14:paraId="724ADE28" w14:textId="271C7D2F" w:rsidR="00D065FD" w:rsidRPr="00683880" w:rsidRDefault="00FE6A57" w:rsidP="00DD6FD8">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The </w:t>
      </w:r>
      <w:r w:rsidR="00902C9B">
        <w:rPr>
          <w:rFonts w:ascii="Times New Roman" w:hAnsi="Times New Roman" w:cs="Times New Roman"/>
          <w:sz w:val="24"/>
          <w:szCs w:val="24"/>
        </w:rPr>
        <w:t xml:space="preserve">regulations </w:t>
      </w:r>
      <w:r w:rsidRPr="00683880">
        <w:rPr>
          <w:rFonts w:ascii="Times New Roman" w:hAnsi="Times New Roman" w:cs="Times New Roman"/>
          <w:sz w:val="24"/>
          <w:szCs w:val="24"/>
        </w:rPr>
        <w:t>mentioned above do not require authorisation from security agencies or stipulate that relevant members obtain certificate</w:t>
      </w:r>
      <w:r w:rsidR="00902C9B">
        <w:rPr>
          <w:rFonts w:ascii="Times New Roman" w:hAnsi="Times New Roman" w:cs="Times New Roman"/>
          <w:sz w:val="24"/>
          <w:szCs w:val="24"/>
        </w:rPr>
        <w:t>s</w:t>
      </w:r>
      <w:r w:rsidRPr="00683880">
        <w:rPr>
          <w:rFonts w:ascii="Times New Roman" w:hAnsi="Times New Roman" w:cs="Times New Roman"/>
          <w:sz w:val="24"/>
          <w:szCs w:val="24"/>
        </w:rPr>
        <w:t xml:space="preserve"> of good conduct to register associations. In reality, however, there is abundant evidence that such conditions are already in place. In some cases, the incorporation of community institutions was obstructed. Since the State of Palestine acceded to the ICCPR, the ICHR has received two complaints, in which complainants claimed that the MoI rejected the registration of their associations because security agencies had refused to issue certificates of good conduct to some members, despite the fact they fulfilled all conditions under the law. </w:t>
      </w:r>
    </w:p>
    <w:p w14:paraId="564B3220" w14:textId="1CDD5677" w:rsidR="00FE6A57" w:rsidRPr="00683880" w:rsidRDefault="00FE6A57" w:rsidP="00DD6FD8">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To this avail, the ICHR recommends that the Committee request the State of Palestine to respect the right to freedom of association and not require that founding members of an association obtain certificates of good conduct. In this context, the ICHR is of the view that the requirement that members obtain a certificate of no-conviction is sufficient and would not obstruct the right to freedom of association. </w:t>
      </w:r>
    </w:p>
    <w:p w14:paraId="2BBF2DE3" w14:textId="7B4650F7" w:rsidR="00187AB0" w:rsidRPr="00683880" w:rsidRDefault="00FE6A57" w:rsidP="00B13D95">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On 11 November 2014, the Council of Minister</w:t>
      </w:r>
      <w:r w:rsidR="008B4548">
        <w:rPr>
          <w:rFonts w:ascii="Times New Roman" w:hAnsi="Times New Roman" w:cs="Times New Roman"/>
          <w:sz w:val="24"/>
          <w:szCs w:val="24"/>
        </w:rPr>
        <w:t>s</w:t>
      </w:r>
      <w:r w:rsidRPr="00683880">
        <w:rPr>
          <w:rFonts w:ascii="Times New Roman" w:hAnsi="Times New Roman" w:cs="Times New Roman"/>
          <w:sz w:val="24"/>
          <w:szCs w:val="24"/>
        </w:rPr>
        <w:t xml:space="preserve"> </w:t>
      </w:r>
      <w:r w:rsidR="00E86088" w:rsidRPr="00683880">
        <w:rPr>
          <w:rFonts w:ascii="Times New Roman" w:hAnsi="Times New Roman" w:cs="Times New Roman"/>
          <w:sz w:val="24"/>
          <w:szCs w:val="24"/>
        </w:rPr>
        <w:t>decided</w:t>
      </w:r>
      <w:r w:rsidRPr="00683880">
        <w:rPr>
          <w:rFonts w:ascii="Times New Roman" w:hAnsi="Times New Roman" w:cs="Times New Roman"/>
          <w:sz w:val="24"/>
          <w:szCs w:val="24"/>
        </w:rPr>
        <w:t xml:space="preserve">, considering the Union of Public Employees (UPE) as an unlawful and legally non-existent body. </w:t>
      </w:r>
      <w:r w:rsidR="0088604D" w:rsidRPr="00683880">
        <w:rPr>
          <w:rFonts w:ascii="Times New Roman" w:hAnsi="Times New Roman" w:cs="Times New Roman"/>
          <w:sz w:val="24"/>
          <w:szCs w:val="24"/>
        </w:rPr>
        <w:t xml:space="preserve">Nevertheless, a new union </w:t>
      </w:r>
      <w:r w:rsidR="008B4548">
        <w:rPr>
          <w:rFonts w:ascii="Times New Roman" w:hAnsi="Times New Roman" w:cs="Times New Roman"/>
          <w:sz w:val="24"/>
          <w:szCs w:val="24"/>
        </w:rPr>
        <w:t xml:space="preserve">of public employees </w:t>
      </w:r>
      <w:r w:rsidR="0088604D" w:rsidRPr="00683880">
        <w:rPr>
          <w:rFonts w:ascii="Times New Roman" w:hAnsi="Times New Roman" w:cs="Times New Roman"/>
          <w:sz w:val="24"/>
          <w:szCs w:val="24"/>
        </w:rPr>
        <w:t xml:space="preserve">has never been created. </w:t>
      </w:r>
      <w:r w:rsidRPr="00683880">
        <w:rPr>
          <w:rFonts w:ascii="Times New Roman" w:hAnsi="Times New Roman" w:cs="Times New Roman"/>
          <w:sz w:val="24"/>
          <w:szCs w:val="24"/>
        </w:rPr>
        <w:t xml:space="preserve">The ICHR is of the opinion that a good law on trade union organisation is crucial to empower civil servants, artisans, professionals, and workers to exercise their right to freedom of association. However, the fact that such a law has not been made thus far does not provide an adequate justification to suspend the practical exercise of the right to freedom of association. In reality, many provisions of the Civil Law and Labour Law can lay </w:t>
      </w:r>
      <w:r w:rsidR="00BC1915">
        <w:rPr>
          <w:rFonts w:ascii="Times New Roman" w:hAnsi="Times New Roman" w:cs="Times New Roman"/>
          <w:sz w:val="24"/>
          <w:szCs w:val="24"/>
        </w:rPr>
        <w:t xml:space="preserve">a reasonable </w:t>
      </w:r>
      <w:r w:rsidRPr="00683880">
        <w:rPr>
          <w:rFonts w:ascii="Times New Roman" w:hAnsi="Times New Roman" w:cs="Times New Roman"/>
          <w:sz w:val="24"/>
          <w:szCs w:val="24"/>
        </w:rPr>
        <w:t xml:space="preserve">legal foundation for empowering civil servants and others to exercise the right to organise even if a special law is not in place. </w:t>
      </w:r>
    </w:p>
    <w:p w14:paraId="1DCEDAA1" w14:textId="7EB3A6E7" w:rsidR="00FE6A57" w:rsidRPr="00683880" w:rsidRDefault="00FE6A57" w:rsidP="00B13D95">
      <w:pPr>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Against this background, the ICHR recommends that the Committee urge the State of Palestine to enact a law that ensures the free practice of trade unions as recognised in a democratic society. </w:t>
      </w:r>
    </w:p>
    <w:p w14:paraId="4C44D172" w14:textId="54E6CBA5" w:rsidR="00BE04A8" w:rsidRPr="00683880" w:rsidRDefault="00BE04A8" w:rsidP="00B13D95">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On 5 August 2017, the Law by Decree No. 11 of 2017 on Regulation of the Exercise of the Right to Strike in the Civil Service was passed. Under the </w:t>
      </w:r>
      <w:r w:rsidR="00F1288D">
        <w:rPr>
          <w:rFonts w:ascii="Times New Roman" w:hAnsi="Times New Roman" w:cs="Times New Roman"/>
          <w:sz w:val="24"/>
          <w:szCs w:val="24"/>
        </w:rPr>
        <w:t>enactment</w:t>
      </w:r>
      <w:r w:rsidRPr="00683880">
        <w:rPr>
          <w:rFonts w:ascii="Times New Roman" w:hAnsi="Times New Roman" w:cs="Times New Roman"/>
          <w:sz w:val="24"/>
          <w:szCs w:val="24"/>
        </w:rPr>
        <w:t xml:space="preserve">, the exercise of the right to strike by some civil servant groups was absolutely prohibited. These include health workers, with the exception of administrative staff; President’s Office staff; Council of Ministers staff; foreign service officers; Palestine Public Broadcasting Corporation staff; judges, and prosecutors. The decision also resulted in </w:t>
      </w:r>
      <w:r w:rsidR="00F1288D">
        <w:rPr>
          <w:rFonts w:ascii="Times New Roman" w:hAnsi="Times New Roman" w:cs="Times New Roman"/>
          <w:sz w:val="24"/>
          <w:szCs w:val="24"/>
        </w:rPr>
        <w:t xml:space="preserve">multiple </w:t>
      </w:r>
      <w:r w:rsidRPr="00683880">
        <w:rPr>
          <w:rFonts w:ascii="Times New Roman" w:hAnsi="Times New Roman" w:cs="Times New Roman"/>
          <w:sz w:val="24"/>
          <w:szCs w:val="24"/>
        </w:rPr>
        <w:t>attempt</w:t>
      </w:r>
      <w:r w:rsidR="00F1288D">
        <w:rPr>
          <w:rFonts w:ascii="Times New Roman" w:hAnsi="Times New Roman" w:cs="Times New Roman"/>
          <w:sz w:val="24"/>
          <w:szCs w:val="24"/>
        </w:rPr>
        <w:t>s</w:t>
      </w:r>
      <w:r w:rsidRPr="00683880">
        <w:rPr>
          <w:rFonts w:ascii="Times New Roman" w:hAnsi="Times New Roman" w:cs="Times New Roman"/>
          <w:sz w:val="24"/>
          <w:szCs w:val="24"/>
        </w:rPr>
        <w:t xml:space="preserve"> to obstruct the Palestinian Medical Association’s right to strike, enshrined in the Basic Law and in the Medical Association’s own law. At the request of the government, the High Court of Justice annulled all the strikes declared by the Medical Association over the past years. On 29 March 2022, the Court also abolished the strike declared by the Union of Nurses and Midwives. </w:t>
      </w:r>
      <w:r w:rsidRPr="00683880">
        <w:rPr>
          <w:rFonts w:ascii="Times New Roman" w:hAnsi="Times New Roman" w:cs="Times New Roman"/>
          <w:sz w:val="24"/>
          <w:szCs w:val="24"/>
        </w:rPr>
        <w:lastRenderedPageBreak/>
        <w:t xml:space="preserve">Restriction and absolute prohibition of the exercise of the right to freedom of association and right to form or join a trade union violate the essence of these rights. In no way do these constraints observe the necessary principle of proportionality to judge the lawfulness of any restrictions imposed on the exercise of rights and freedoms. </w:t>
      </w:r>
    </w:p>
    <w:p w14:paraId="4CA97C51" w14:textId="2CCF0CBB" w:rsidR="008A1DCA" w:rsidRPr="00683880" w:rsidRDefault="00BE04A8" w:rsidP="00B13D95">
      <w:pPr>
        <w:ind w:left="567"/>
        <w:jc w:val="both"/>
        <w:rPr>
          <w:rFonts w:ascii="Times New Roman" w:hAnsi="Times New Roman" w:cs="Times New Roman"/>
          <w:sz w:val="24"/>
          <w:szCs w:val="24"/>
        </w:rPr>
      </w:pPr>
      <w:r w:rsidRPr="00683880">
        <w:rPr>
          <w:rFonts w:ascii="Times New Roman" w:hAnsi="Times New Roman" w:cs="Times New Roman"/>
          <w:sz w:val="24"/>
          <w:szCs w:val="24"/>
        </w:rPr>
        <w:t>The State of Palestine should be urged to repeal the Law by Decree on Regulation of the Exercise of the Right to Strike in the Civil Service.</w:t>
      </w:r>
    </w:p>
    <w:p w14:paraId="29AB5025" w14:textId="67102676" w:rsidR="00E86088" w:rsidRDefault="00E86088" w:rsidP="00E86088">
      <w:pPr>
        <w:pStyle w:val="ListParagraph"/>
        <w:keepNext/>
        <w:keepLines/>
        <w:numPr>
          <w:ilvl w:val="0"/>
          <w:numId w:val="10"/>
        </w:numPr>
        <w:tabs>
          <w:tab w:val="left" w:pos="426"/>
        </w:tabs>
        <w:snapToGrid w:val="0"/>
        <w:spacing w:line="240" w:lineRule="auto"/>
        <w:ind w:left="284" w:hanging="284"/>
        <w:outlineLvl w:val="0"/>
        <w:rPr>
          <w:rFonts w:ascii="Times New Roman" w:eastAsiaTheme="majorEastAsia" w:hAnsi="Times New Roman" w:cs="Times New Roman"/>
          <w:b/>
          <w:bCs/>
          <w:kern w:val="24"/>
          <w:sz w:val="24"/>
          <w:szCs w:val="24"/>
          <w:lang w:val="en-US" w:bidi="ar-SA"/>
          <w14:ligatures w14:val="none"/>
        </w:rPr>
      </w:pPr>
      <w:bookmarkStart w:id="16" w:name="_Toc136254550"/>
      <w:r w:rsidRPr="00120688">
        <w:rPr>
          <w:rFonts w:ascii="Times New Roman" w:eastAsiaTheme="majorEastAsia" w:hAnsi="Times New Roman" w:cs="Times New Roman"/>
          <w:b/>
          <w:bCs/>
          <w:kern w:val="24"/>
          <w:sz w:val="24"/>
          <w:szCs w:val="24"/>
          <w:lang w:val="en-US" w:bidi="ar-SA"/>
          <w14:ligatures w14:val="none"/>
        </w:rPr>
        <w:t xml:space="preserve">Right of </w:t>
      </w:r>
      <w:r w:rsidR="001259A2" w:rsidRPr="00120688">
        <w:rPr>
          <w:rFonts w:ascii="Times New Roman" w:eastAsiaTheme="majorEastAsia" w:hAnsi="Times New Roman" w:cs="Times New Roman"/>
          <w:b/>
          <w:bCs/>
          <w:kern w:val="24"/>
          <w:sz w:val="24"/>
          <w:szCs w:val="24"/>
          <w:lang w:val="en-US" w:bidi="ar-SA"/>
          <w14:ligatures w14:val="none"/>
        </w:rPr>
        <w:t xml:space="preserve">Equal Access </w:t>
      </w:r>
      <w:r w:rsidRPr="00120688">
        <w:rPr>
          <w:rFonts w:ascii="Times New Roman" w:eastAsiaTheme="majorEastAsia" w:hAnsi="Times New Roman" w:cs="Times New Roman"/>
          <w:b/>
          <w:bCs/>
          <w:kern w:val="24"/>
          <w:sz w:val="24"/>
          <w:szCs w:val="24"/>
          <w:lang w:val="en-US" w:bidi="ar-SA"/>
          <w14:ligatures w14:val="none"/>
        </w:rPr>
        <w:t xml:space="preserve">to </w:t>
      </w:r>
      <w:r w:rsidR="001259A2" w:rsidRPr="00120688">
        <w:rPr>
          <w:rFonts w:ascii="Times New Roman" w:eastAsiaTheme="majorEastAsia" w:hAnsi="Times New Roman" w:cs="Times New Roman"/>
          <w:b/>
          <w:bCs/>
          <w:kern w:val="24"/>
          <w:sz w:val="24"/>
          <w:szCs w:val="24"/>
          <w:lang w:val="en-US" w:bidi="ar-SA"/>
          <w14:ligatures w14:val="none"/>
        </w:rPr>
        <w:t>Public Service</w:t>
      </w:r>
      <w:bookmarkEnd w:id="16"/>
      <w:r w:rsidR="001259A2" w:rsidRPr="00120688">
        <w:rPr>
          <w:rFonts w:ascii="Times New Roman" w:eastAsiaTheme="majorEastAsia" w:hAnsi="Times New Roman" w:cs="Times New Roman"/>
          <w:b/>
          <w:bCs/>
          <w:kern w:val="24"/>
          <w:sz w:val="24"/>
          <w:szCs w:val="24"/>
          <w:lang w:val="en-US" w:bidi="ar-SA"/>
          <w14:ligatures w14:val="none"/>
        </w:rPr>
        <w:t xml:space="preserve"> </w:t>
      </w:r>
    </w:p>
    <w:p w14:paraId="2C2E66E5" w14:textId="77777777" w:rsidR="00E86088" w:rsidRPr="00120688" w:rsidRDefault="00E86088" w:rsidP="00E86088">
      <w:pPr>
        <w:pStyle w:val="ListParagraph"/>
        <w:keepNext/>
        <w:keepLines/>
        <w:tabs>
          <w:tab w:val="left" w:pos="426"/>
        </w:tabs>
        <w:snapToGrid w:val="0"/>
        <w:spacing w:line="240" w:lineRule="auto"/>
        <w:ind w:left="284"/>
        <w:outlineLvl w:val="0"/>
        <w:rPr>
          <w:rFonts w:ascii="Times New Roman" w:eastAsiaTheme="majorEastAsia" w:hAnsi="Times New Roman" w:cs="Times New Roman"/>
          <w:b/>
          <w:bCs/>
          <w:kern w:val="24"/>
          <w:sz w:val="24"/>
          <w:szCs w:val="24"/>
          <w:lang w:val="en-US" w:bidi="ar-SA"/>
          <w14:ligatures w14:val="none"/>
        </w:rPr>
      </w:pPr>
    </w:p>
    <w:p w14:paraId="0B2E35AA" w14:textId="77777777" w:rsidR="00E86088" w:rsidRPr="00120688" w:rsidRDefault="00E86088" w:rsidP="00E86088">
      <w:pPr>
        <w:pStyle w:val="ListParagraph"/>
        <w:numPr>
          <w:ilvl w:val="0"/>
          <w:numId w:val="8"/>
        </w:numPr>
        <w:spacing w:after="0" w:line="240" w:lineRule="auto"/>
        <w:ind w:left="567" w:hanging="283"/>
        <w:jc w:val="both"/>
        <w:rPr>
          <w:rFonts w:ascii="Times New Roman" w:eastAsia="Times New Roman" w:hAnsi="Times New Roman" w:cs="Times New Roman"/>
          <w:snapToGrid w:val="0"/>
          <w:kern w:val="24"/>
          <w:sz w:val="24"/>
          <w:szCs w:val="24"/>
          <w:lang w:val="en-US" w:bidi="ar-SA"/>
          <w14:ligatures w14:val="none"/>
        </w:rPr>
      </w:pPr>
      <w:r w:rsidRPr="00120688">
        <w:rPr>
          <w:rFonts w:ascii="Times New Roman" w:eastAsia="Times New Roman" w:hAnsi="Times New Roman" w:cs="Times New Roman"/>
          <w:snapToGrid w:val="0"/>
          <w:kern w:val="24"/>
          <w:sz w:val="24"/>
          <w:szCs w:val="24"/>
          <w:lang w:val="en-US" w:bidi="ar-SA"/>
          <w14:ligatures w14:val="none"/>
        </w:rPr>
        <w:t xml:space="preserve">Overall, the Palestinian law safeguards right of equal access to public service without discrimination on any </w:t>
      </w:r>
      <w:r w:rsidRPr="00B13D95">
        <w:rPr>
          <w:rFonts w:ascii="Times New Roman" w:hAnsi="Times New Roman" w:cs="Times New Roman"/>
          <w:sz w:val="24"/>
          <w:szCs w:val="24"/>
        </w:rPr>
        <w:t>prohibited</w:t>
      </w:r>
      <w:r w:rsidRPr="00120688">
        <w:rPr>
          <w:rFonts w:ascii="Times New Roman" w:eastAsia="Times New Roman" w:hAnsi="Times New Roman" w:cs="Times New Roman"/>
          <w:snapToGrid w:val="0"/>
          <w:kern w:val="24"/>
          <w:sz w:val="24"/>
          <w:szCs w:val="24"/>
          <w:lang w:val="en-US" w:bidi="ar-SA"/>
          <w14:ligatures w14:val="none"/>
        </w:rPr>
        <w:t xml:space="preserve"> basis, including gender, political opinion, or disability. On an annual basis, however, the ICHR received dozens of complaints from citizens, who claim that they were deprived of access to civil service on grounds of their political opinions or disabilities. In 2021, the ICHR received 21 complaints in the West Bank, with complainants alleging that government bodies impinged on the principle of fair competition in employment and refused their recruitment because of their disability. Between 2015 and 2020, citizens lodged 59 complaints on the violation of the right of equal access to public service. Five complaints were filed to the ICHR by persons with disabilities, who said that government bodies ruled them out by reason of their disabilities. In recent case law, the High Court of Justice annulled the application of security vetting for employment. However, government bodies continue to subject applicants to public service, including judges, to the illegal security vetting procedure. Prohibited discrimination is so prominent when it comes to senior positions, including diplomatic posts, which lack established criteria for appointment. The ICHR recommends that the Committee urge the State of Palestine to take effective action to realize the right of equal access to public service based on the rule of equal opportunities. This will include termination of the security vetting condition in all positions, including the diplomatic corps. </w:t>
      </w:r>
    </w:p>
    <w:p w14:paraId="39591124" w14:textId="77777777" w:rsidR="00120688" w:rsidRPr="00120688" w:rsidRDefault="00120688" w:rsidP="00120688">
      <w:pPr>
        <w:spacing w:after="0" w:line="240" w:lineRule="auto"/>
        <w:jc w:val="both"/>
        <w:rPr>
          <w:rFonts w:ascii="Times New Roman" w:eastAsia="Times New Roman" w:hAnsi="Times New Roman" w:cs="Times New Roman"/>
          <w:snapToGrid w:val="0"/>
          <w:kern w:val="24"/>
          <w:sz w:val="24"/>
          <w:szCs w:val="24"/>
          <w:lang w:val="en-US" w:bidi="ar-SA"/>
          <w14:ligatures w14:val="none"/>
        </w:rPr>
      </w:pPr>
    </w:p>
    <w:p w14:paraId="4A6D10B4" w14:textId="516279D4" w:rsidR="009F0669" w:rsidRDefault="009F0669" w:rsidP="00B13D95">
      <w:pPr>
        <w:pStyle w:val="ListParagraph"/>
        <w:keepNext/>
        <w:keepLines/>
        <w:numPr>
          <w:ilvl w:val="0"/>
          <w:numId w:val="10"/>
        </w:numPr>
        <w:tabs>
          <w:tab w:val="left" w:pos="426"/>
        </w:tabs>
        <w:snapToGrid w:val="0"/>
        <w:spacing w:line="240" w:lineRule="auto"/>
        <w:ind w:left="284" w:hanging="284"/>
        <w:outlineLvl w:val="0"/>
        <w:rPr>
          <w:rFonts w:ascii="Times New Roman" w:hAnsi="Times New Roman" w:cs="Times New Roman"/>
          <w:b/>
          <w:bCs/>
          <w:sz w:val="24"/>
          <w:szCs w:val="24"/>
        </w:rPr>
      </w:pPr>
      <w:bookmarkStart w:id="17" w:name="_Toc136254551"/>
      <w:r w:rsidRPr="00A13C0A">
        <w:rPr>
          <w:rFonts w:ascii="Times New Roman" w:hAnsi="Times New Roman" w:cs="Times New Roman"/>
          <w:b/>
          <w:bCs/>
          <w:sz w:val="24"/>
          <w:szCs w:val="24"/>
        </w:rPr>
        <w:t xml:space="preserve">Right to </w:t>
      </w:r>
      <w:r w:rsidR="001259A2" w:rsidRPr="00B13D95">
        <w:rPr>
          <w:rFonts w:ascii="Times New Roman" w:eastAsiaTheme="majorEastAsia" w:hAnsi="Times New Roman" w:cs="Times New Roman"/>
          <w:b/>
          <w:bCs/>
          <w:kern w:val="24"/>
          <w:sz w:val="24"/>
          <w:szCs w:val="24"/>
          <w:lang w:val="en-US" w:bidi="ar-SA"/>
          <w14:ligatures w14:val="none"/>
        </w:rPr>
        <w:t>Political</w:t>
      </w:r>
      <w:r w:rsidR="001259A2" w:rsidRPr="00A13C0A">
        <w:rPr>
          <w:rFonts w:ascii="Times New Roman" w:hAnsi="Times New Roman" w:cs="Times New Roman"/>
          <w:b/>
          <w:bCs/>
          <w:sz w:val="24"/>
          <w:szCs w:val="24"/>
        </w:rPr>
        <w:t xml:space="preserve"> Participation (Local Elections)</w:t>
      </w:r>
      <w:bookmarkEnd w:id="17"/>
      <w:r w:rsidR="001259A2" w:rsidRPr="00A13C0A">
        <w:rPr>
          <w:rFonts w:ascii="Times New Roman" w:hAnsi="Times New Roman" w:cs="Times New Roman"/>
          <w:b/>
          <w:bCs/>
          <w:sz w:val="24"/>
          <w:szCs w:val="24"/>
        </w:rPr>
        <w:t xml:space="preserve"> </w:t>
      </w:r>
    </w:p>
    <w:p w14:paraId="247181B3" w14:textId="31A5D71D" w:rsidR="00BE04A8" w:rsidRPr="00683880" w:rsidRDefault="009F0669" w:rsidP="00B13D95">
      <w:pPr>
        <w:pStyle w:val="ListParagraph"/>
        <w:numPr>
          <w:ilvl w:val="0"/>
          <w:numId w:val="8"/>
        </w:numPr>
        <w:spacing w:after="0" w:line="240" w:lineRule="auto"/>
        <w:ind w:left="567" w:hanging="283"/>
        <w:jc w:val="both"/>
        <w:rPr>
          <w:rFonts w:ascii="Times New Roman" w:hAnsi="Times New Roman" w:cs="Times New Roman"/>
          <w:sz w:val="24"/>
          <w:szCs w:val="24"/>
        </w:rPr>
      </w:pPr>
      <w:r w:rsidRPr="00683880">
        <w:rPr>
          <w:rFonts w:ascii="Times New Roman" w:hAnsi="Times New Roman" w:cs="Times New Roman"/>
          <w:sz w:val="24"/>
          <w:szCs w:val="24"/>
        </w:rPr>
        <w:t xml:space="preserve">In a positive step, the State of Palestine has maintained periodic local elections. After they were in 2017, local elections were organised for the </w:t>
      </w:r>
      <w:r w:rsidR="00F568F5" w:rsidRPr="00F568F5">
        <w:rPr>
          <w:rFonts w:ascii="Times New Roman" w:hAnsi="Times New Roman" w:cs="Times New Roman"/>
          <w:sz w:val="24"/>
          <w:szCs w:val="24"/>
        </w:rPr>
        <w:t xml:space="preserve">second straight time </w:t>
      </w:r>
      <w:r w:rsidRPr="00683880">
        <w:rPr>
          <w:rFonts w:ascii="Times New Roman" w:hAnsi="Times New Roman" w:cs="Times New Roman"/>
          <w:sz w:val="24"/>
          <w:szCs w:val="24"/>
        </w:rPr>
        <w:t xml:space="preserve">in 2022. However, the election </w:t>
      </w:r>
      <w:r w:rsidR="009A68F3">
        <w:rPr>
          <w:rFonts w:ascii="Times New Roman" w:hAnsi="Times New Roman" w:cs="Times New Roman"/>
          <w:sz w:val="24"/>
          <w:szCs w:val="24"/>
        </w:rPr>
        <w:t>w</w:t>
      </w:r>
      <w:r w:rsidRPr="00683880">
        <w:rPr>
          <w:rFonts w:ascii="Times New Roman" w:hAnsi="Times New Roman" w:cs="Times New Roman"/>
          <w:sz w:val="24"/>
          <w:szCs w:val="24"/>
        </w:rPr>
        <w:t xml:space="preserve">as limited to the West Bank </w:t>
      </w:r>
      <w:r w:rsidR="009A68F3">
        <w:rPr>
          <w:rFonts w:ascii="Times New Roman" w:hAnsi="Times New Roman" w:cs="Times New Roman"/>
          <w:sz w:val="24"/>
          <w:szCs w:val="24"/>
        </w:rPr>
        <w:t xml:space="preserve">and </w:t>
      </w:r>
      <w:r w:rsidRPr="00683880">
        <w:rPr>
          <w:rFonts w:ascii="Times New Roman" w:hAnsi="Times New Roman" w:cs="Times New Roman"/>
          <w:sz w:val="24"/>
          <w:szCs w:val="24"/>
        </w:rPr>
        <w:t xml:space="preserve">did not take place in the Gaza Strip under control of the Hamas movement. Of note, in Gaza, the last local elections were held in 2005. Ever since, Hamas has </w:t>
      </w:r>
      <w:r w:rsidR="009A68F3">
        <w:rPr>
          <w:rFonts w:ascii="Times New Roman" w:hAnsi="Times New Roman" w:cs="Times New Roman"/>
          <w:sz w:val="24"/>
          <w:szCs w:val="24"/>
        </w:rPr>
        <w:t>banned</w:t>
      </w:r>
      <w:r w:rsidRPr="00683880">
        <w:rPr>
          <w:rFonts w:ascii="Times New Roman" w:hAnsi="Times New Roman" w:cs="Times New Roman"/>
          <w:sz w:val="24"/>
          <w:szCs w:val="24"/>
        </w:rPr>
        <w:t xml:space="preserve"> </w:t>
      </w:r>
      <w:r w:rsidR="009A68F3">
        <w:rPr>
          <w:rFonts w:ascii="Times New Roman" w:hAnsi="Times New Roman" w:cs="Times New Roman"/>
          <w:sz w:val="24"/>
          <w:szCs w:val="24"/>
        </w:rPr>
        <w:t xml:space="preserve">local </w:t>
      </w:r>
      <w:r w:rsidRPr="00683880">
        <w:rPr>
          <w:rFonts w:ascii="Times New Roman" w:hAnsi="Times New Roman" w:cs="Times New Roman"/>
          <w:sz w:val="24"/>
          <w:szCs w:val="24"/>
        </w:rPr>
        <w:t xml:space="preserve">elections in the Gaza Strip. </w:t>
      </w:r>
    </w:p>
    <w:p w14:paraId="1980C882" w14:textId="5DDE89C1" w:rsidR="009F0669" w:rsidRPr="00683880" w:rsidRDefault="009F0669" w:rsidP="00B13D95">
      <w:pPr>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The ICHR </w:t>
      </w:r>
      <w:r w:rsidR="009A68F3">
        <w:rPr>
          <w:rFonts w:ascii="Times New Roman" w:hAnsi="Times New Roman" w:cs="Times New Roman"/>
          <w:sz w:val="24"/>
          <w:szCs w:val="24"/>
        </w:rPr>
        <w:t xml:space="preserve">documented </w:t>
      </w:r>
      <w:r w:rsidRPr="00683880">
        <w:rPr>
          <w:rFonts w:ascii="Times New Roman" w:hAnsi="Times New Roman" w:cs="Times New Roman"/>
          <w:sz w:val="24"/>
          <w:szCs w:val="24"/>
        </w:rPr>
        <w:t xml:space="preserve">some observations about the local elections in the West Bank. Most notable was limited electoral competition. A total of 185 local government units (LGUs) lacked electoral competition because only one </w:t>
      </w:r>
      <w:r w:rsidR="009A68F3">
        <w:rPr>
          <w:rFonts w:ascii="Times New Roman" w:hAnsi="Times New Roman" w:cs="Times New Roman"/>
          <w:sz w:val="24"/>
          <w:szCs w:val="24"/>
        </w:rPr>
        <w:t xml:space="preserve">electoral </w:t>
      </w:r>
      <w:r w:rsidRPr="00683880">
        <w:rPr>
          <w:rFonts w:ascii="Times New Roman" w:hAnsi="Times New Roman" w:cs="Times New Roman"/>
          <w:sz w:val="24"/>
          <w:szCs w:val="24"/>
        </w:rPr>
        <w:t>list was nominated and</w:t>
      </w:r>
      <w:r w:rsidR="009A68F3">
        <w:rPr>
          <w:rFonts w:ascii="Times New Roman" w:hAnsi="Times New Roman" w:cs="Times New Roman"/>
          <w:sz w:val="24"/>
          <w:szCs w:val="24"/>
        </w:rPr>
        <w:t>, consequently,</w:t>
      </w:r>
      <w:r w:rsidRPr="00683880">
        <w:rPr>
          <w:rFonts w:ascii="Times New Roman" w:hAnsi="Times New Roman" w:cs="Times New Roman"/>
          <w:sz w:val="24"/>
          <w:szCs w:val="24"/>
        </w:rPr>
        <w:t xml:space="preserve"> won by acclamation</w:t>
      </w:r>
      <w:r w:rsidR="004F140F" w:rsidRPr="00683880">
        <w:rPr>
          <w:rFonts w:ascii="Times New Roman" w:hAnsi="Times New Roman" w:cs="Times New Roman"/>
          <w:sz w:val="24"/>
          <w:szCs w:val="24"/>
        </w:rPr>
        <w:t xml:space="preserve">. Elections were not organised in 60 LGUs </w:t>
      </w:r>
      <w:r w:rsidR="009A68F3">
        <w:rPr>
          <w:rFonts w:ascii="Times New Roman" w:hAnsi="Times New Roman" w:cs="Times New Roman"/>
          <w:sz w:val="24"/>
          <w:szCs w:val="24"/>
        </w:rPr>
        <w:t>because</w:t>
      </w:r>
      <w:r w:rsidR="004F140F" w:rsidRPr="00683880">
        <w:rPr>
          <w:rFonts w:ascii="Times New Roman" w:hAnsi="Times New Roman" w:cs="Times New Roman"/>
          <w:sz w:val="24"/>
          <w:szCs w:val="24"/>
        </w:rPr>
        <w:t xml:space="preserve"> no electoral lists </w:t>
      </w:r>
      <w:r w:rsidR="009A68F3">
        <w:rPr>
          <w:rFonts w:ascii="Times New Roman" w:hAnsi="Times New Roman" w:cs="Times New Roman"/>
          <w:sz w:val="24"/>
          <w:szCs w:val="24"/>
        </w:rPr>
        <w:t>stood for election</w:t>
      </w:r>
      <w:r w:rsidR="004F140F" w:rsidRPr="00683880">
        <w:rPr>
          <w:rFonts w:ascii="Times New Roman" w:hAnsi="Times New Roman" w:cs="Times New Roman"/>
          <w:sz w:val="24"/>
          <w:szCs w:val="24"/>
        </w:rPr>
        <w:t xml:space="preserve">. Limited competition in </w:t>
      </w:r>
      <w:r w:rsidR="004F140F" w:rsidRPr="00B13D95">
        <w:rPr>
          <w:rFonts w:ascii="Times New Roman" w:eastAsia="Times New Roman" w:hAnsi="Times New Roman" w:cs="Times New Roman"/>
          <w:snapToGrid w:val="0"/>
          <w:kern w:val="24"/>
          <w:sz w:val="24"/>
          <w:szCs w:val="24"/>
          <w:lang w:val="en-US" w:bidi="ar-SA"/>
          <w14:ligatures w14:val="none"/>
        </w:rPr>
        <w:t>local</w:t>
      </w:r>
      <w:r w:rsidR="004F140F" w:rsidRPr="00683880">
        <w:rPr>
          <w:rFonts w:ascii="Times New Roman" w:hAnsi="Times New Roman" w:cs="Times New Roman"/>
          <w:sz w:val="24"/>
          <w:szCs w:val="24"/>
        </w:rPr>
        <w:t xml:space="preserve"> elections was partly attributed to harassments by security agencies and ruling party, which seizes effective control of most LGUs. Electoral lists and candidates were subjected to threats and pressure to withdraw, not to stand as a candidate, and </w:t>
      </w:r>
      <w:r w:rsidR="009A68F3">
        <w:rPr>
          <w:rFonts w:ascii="Times New Roman" w:hAnsi="Times New Roman" w:cs="Times New Roman"/>
          <w:sz w:val="24"/>
          <w:szCs w:val="24"/>
        </w:rPr>
        <w:t xml:space="preserve">to </w:t>
      </w:r>
      <w:r w:rsidR="004F140F" w:rsidRPr="00683880">
        <w:rPr>
          <w:rFonts w:ascii="Times New Roman" w:hAnsi="Times New Roman" w:cs="Times New Roman"/>
          <w:sz w:val="24"/>
          <w:szCs w:val="24"/>
        </w:rPr>
        <w:t xml:space="preserve">avoid competing with the ruling party. According to the ICHR documentation, some LGUs under control of the ruling party </w:t>
      </w:r>
      <w:r w:rsidR="00954785" w:rsidRPr="00683880">
        <w:rPr>
          <w:rFonts w:ascii="Times New Roman" w:hAnsi="Times New Roman" w:cs="Times New Roman"/>
          <w:sz w:val="24"/>
          <w:szCs w:val="24"/>
        </w:rPr>
        <w:t xml:space="preserve">obstructed some candidates’ access to clearance certificates, a condition precedent for standing for election. In some cases, LGUs failed to issue clearance certificates until such time </w:t>
      </w:r>
      <w:r w:rsidR="009A68F3" w:rsidRPr="009A68F3">
        <w:rPr>
          <w:rFonts w:ascii="Times New Roman" w:hAnsi="Times New Roman" w:cs="Times New Roman"/>
          <w:sz w:val="24"/>
          <w:szCs w:val="24"/>
        </w:rPr>
        <w:t xml:space="preserve">the nomination period </w:t>
      </w:r>
      <w:r w:rsidR="009A68F3" w:rsidRPr="00683880">
        <w:rPr>
          <w:rFonts w:ascii="Times New Roman" w:hAnsi="Times New Roman" w:cs="Times New Roman"/>
          <w:sz w:val="24"/>
          <w:szCs w:val="24"/>
        </w:rPr>
        <w:t>had closed</w:t>
      </w:r>
      <w:r w:rsidR="00954785" w:rsidRPr="00683880">
        <w:rPr>
          <w:rFonts w:ascii="Times New Roman" w:hAnsi="Times New Roman" w:cs="Times New Roman"/>
          <w:sz w:val="24"/>
          <w:szCs w:val="24"/>
        </w:rPr>
        <w:t xml:space="preserve">. Furthermore, the ICHR monitored discriminatory treatment of </w:t>
      </w:r>
      <w:r w:rsidR="007038B6" w:rsidRPr="00683880">
        <w:rPr>
          <w:rFonts w:ascii="Times New Roman" w:hAnsi="Times New Roman" w:cs="Times New Roman"/>
          <w:sz w:val="24"/>
          <w:szCs w:val="24"/>
        </w:rPr>
        <w:t xml:space="preserve">women candidates on </w:t>
      </w:r>
      <w:r w:rsidR="007038B6" w:rsidRPr="00683880">
        <w:rPr>
          <w:rFonts w:ascii="Times New Roman" w:hAnsi="Times New Roman" w:cs="Times New Roman"/>
          <w:sz w:val="24"/>
          <w:szCs w:val="24"/>
        </w:rPr>
        <w:lastRenderedPageBreak/>
        <w:t xml:space="preserve">electoral lists </w:t>
      </w:r>
      <w:r w:rsidR="009A68F3">
        <w:rPr>
          <w:rFonts w:ascii="Times New Roman" w:hAnsi="Times New Roman" w:cs="Times New Roman"/>
          <w:sz w:val="24"/>
          <w:szCs w:val="24"/>
        </w:rPr>
        <w:t xml:space="preserve">along the lines of </w:t>
      </w:r>
      <w:r w:rsidR="007038B6" w:rsidRPr="00683880">
        <w:rPr>
          <w:rFonts w:ascii="Times New Roman" w:hAnsi="Times New Roman" w:cs="Times New Roman"/>
          <w:sz w:val="24"/>
          <w:szCs w:val="24"/>
        </w:rPr>
        <w:t xml:space="preserve">the quota system approved by the Palestinian law. The photographs of these women were concealed in </w:t>
      </w:r>
      <w:r w:rsidR="005D08CF">
        <w:rPr>
          <w:rFonts w:ascii="Times New Roman" w:hAnsi="Times New Roman" w:cs="Times New Roman"/>
          <w:sz w:val="24"/>
          <w:szCs w:val="24"/>
        </w:rPr>
        <w:t xml:space="preserve">the </w:t>
      </w:r>
      <w:r w:rsidR="007038B6" w:rsidRPr="00683880">
        <w:rPr>
          <w:rFonts w:ascii="Times New Roman" w:hAnsi="Times New Roman" w:cs="Times New Roman"/>
          <w:sz w:val="24"/>
          <w:szCs w:val="24"/>
        </w:rPr>
        <w:t xml:space="preserve">campaign posters of candidate lists. The Central Elections Commission did not take </w:t>
      </w:r>
      <w:r w:rsidR="005D08CF">
        <w:rPr>
          <w:rFonts w:ascii="Times New Roman" w:hAnsi="Times New Roman" w:cs="Times New Roman"/>
          <w:sz w:val="24"/>
          <w:szCs w:val="24"/>
        </w:rPr>
        <w:t xml:space="preserve">any </w:t>
      </w:r>
      <w:r w:rsidR="007038B6" w:rsidRPr="00683880">
        <w:rPr>
          <w:rFonts w:ascii="Times New Roman" w:hAnsi="Times New Roman" w:cs="Times New Roman"/>
          <w:sz w:val="24"/>
          <w:szCs w:val="24"/>
        </w:rPr>
        <w:t xml:space="preserve">action against these lists. </w:t>
      </w:r>
    </w:p>
    <w:p w14:paraId="0F948E76" w14:textId="77B97A4D" w:rsidR="007038B6" w:rsidRDefault="007038B6" w:rsidP="00B13D95">
      <w:pPr>
        <w:spacing w:after="0" w:line="240" w:lineRule="auto"/>
        <w:ind w:left="567"/>
        <w:jc w:val="both"/>
        <w:rPr>
          <w:rFonts w:ascii="Times New Roman" w:hAnsi="Times New Roman" w:cs="Times New Roman"/>
          <w:sz w:val="24"/>
          <w:szCs w:val="24"/>
        </w:rPr>
      </w:pPr>
      <w:r w:rsidRPr="00683880">
        <w:rPr>
          <w:rFonts w:ascii="Times New Roman" w:hAnsi="Times New Roman" w:cs="Times New Roman"/>
          <w:sz w:val="24"/>
          <w:szCs w:val="24"/>
        </w:rPr>
        <w:t xml:space="preserve">Like local elections, student council elections at universities of the Gaza Strip continued to be banned. By contrast, the West Bank has seen positive steps towards </w:t>
      </w:r>
      <w:r w:rsidR="00E22C68">
        <w:rPr>
          <w:rFonts w:ascii="Times New Roman" w:hAnsi="Times New Roman" w:cs="Times New Roman"/>
          <w:sz w:val="24"/>
          <w:szCs w:val="24"/>
        </w:rPr>
        <w:t xml:space="preserve">holding </w:t>
      </w:r>
      <w:r w:rsidRPr="00683880">
        <w:rPr>
          <w:rFonts w:ascii="Times New Roman" w:hAnsi="Times New Roman" w:cs="Times New Roman"/>
          <w:sz w:val="24"/>
          <w:szCs w:val="24"/>
        </w:rPr>
        <w:t xml:space="preserve">periodic elections of university student councils. </w:t>
      </w:r>
    </w:p>
    <w:p w14:paraId="2195D7C2" w14:textId="77777777" w:rsidR="00B13D95" w:rsidRDefault="00B13D95" w:rsidP="00B13D95">
      <w:pPr>
        <w:spacing w:after="0" w:line="240" w:lineRule="auto"/>
        <w:ind w:left="567"/>
        <w:jc w:val="both"/>
        <w:rPr>
          <w:rFonts w:ascii="Times New Roman" w:hAnsi="Times New Roman" w:cs="Times New Roman"/>
          <w:sz w:val="24"/>
          <w:szCs w:val="24"/>
        </w:rPr>
      </w:pPr>
    </w:p>
    <w:p w14:paraId="376F93F4" w14:textId="77777777" w:rsidR="00120688" w:rsidRPr="00120688" w:rsidRDefault="00120688" w:rsidP="00120688">
      <w:pPr>
        <w:spacing w:after="0" w:line="240" w:lineRule="auto"/>
        <w:rPr>
          <w:rFonts w:ascii="Times New Roman" w:eastAsia="Times New Roman" w:hAnsi="Times New Roman" w:cs="Simplified Arabic"/>
          <w:snapToGrid w:val="0"/>
          <w:kern w:val="24"/>
          <w:sz w:val="20"/>
          <w:szCs w:val="20"/>
          <w:lang w:val="en-US" w:bidi="ar-SA"/>
          <w14:ligatures w14:val="none"/>
        </w:rPr>
      </w:pPr>
    </w:p>
    <w:p w14:paraId="1AF71BC3" w14:textId="77777777" w:rsidR="00120688" w:rsidRPr="00120688" w:rsidRDefault="00120688" w:rsidP="00683880">
      <w:pPr>
        <w:jc w:val="both"/>
        <w:rPr>
          <w:rFonts w:ascii="Times New Roman" w:hAnsi="Times New Roman" w:cs="Times New Roman"/>
          <w:sz w:val="24"/>
          <w:szCs w:val="24"/>
          <w:lang w:val="en-US"/>
        </w:rPr>
      </w:pPr>
    </w:p>
    <w:sectPr w:rsidR="00120688" w:rsidRPr="0012068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B6546" w14:textId="77777777" w:rsidR="00A85442" w:rsidRDefault="00A85442" w:rsidP="000F1FD7">
      <w:pPr>
        <w:spacing w:after="0" w:line="240" w:lineRule="auto"/>
      </w:pPr>
      <w:r>
        <w:separator/>
      </w:r>
    </w:p>
  </w:endnote>
  <w:endnote w:type="continuationSeparator" w:id="0">
    <w:p w14:paraId="79B1AA24" w14:textId="77777777" w:rsidR="00A85442" w:rsidRDefault="00A85442" w:rsidP="000F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1378016"/>
      <w:docPartObj>
        <w:docPartGallery w:val="Page Numbers (Bottom of Page)"/>
        <w:docPartUnique/>
      </w:docPartObj>
    </w:sdtPr>
    <w:sdtEndPr>
      <w:rPr>
        <w:noProof/>
      </w:rPr>
    </w:sdtEndPr>
    <w:sdtContent>
      <w:p w14:paraId="10491958" w14:textId="346FAF4F" w:rsidR="00336A35" w:rsidRDefault="00336A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E0619" w14:textId="77777777" w:rsidR="00336A35" w:rsidRDefault="00336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805C90" w14:textId="77777777" w:rsidR="00A85442" w:rsidRDefault="00A85442" w:rsidP="000F1FD7">
      <w:pPr>
        <w:spacing w:after="0" w:line="240" w:lineRule="auto"/>
      </w:pPr>
      <w:r>
        <w:separator/>
      </w:r>
    </w:p>
  </w:footnote>
  <w:footnote w:type="continuationSeparator" w:id="0">
    <w:p w14:paraId="3002255B" w14:textId="77777777" w:rsidR="00A85442" w:rsidRDefault="00A85442" w:rsidP="000F1FD7">
      <w:pPr>
        <w:spacing w:after="0" w:line="240" w:lineRule="auto"/>
      </w:pPr>
      <w:r>
        <w:continuationSeparator/>
      </w:r>
    </w:p>
  </w:footnote>
  <w:footnote w:id="1">
    <w:p w14:paraId="7573D7CD" w14:textId="77777777" w:rsidR="00120688" w:rsidRPr="00880A18" w:rsidRDefault="00120688" w:rsidP="00120688">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In this </w:t>
      </w:r>
      <w:r>
        <w:rPr>
          <w:rFonts w:ascii="Times New Roman" w:hAnsi="Times New Roman" w:cs="Times New Roman"/>
          <w:lang w:val="en-US"/>
        </w:rPr>
        <w:t>context</w:t>
      </w:r>
      <w:r w:rsidRPr="00880A18">
        <w:rPr>
          <w:rFonts w:ascii="Times New Roman" w:hAnsi="Times New Roman" w:cs="Times New Roman"/>
          <w:lang w:val="en-US"/>
        </w:rPr>
        <w:t xml:space="preserve">, the Palestinian law means the Declaratory Judgement of the Supreme Constitutional Court (SCC) on the Request for Interpretation submitted by the Minister of Justice No. 05/2017, dated 12 March 20218, and published in the Palestinian Official Gazette, Issue 141, 25 March 2018, p. 87. The Palestinian law also means the SCC Judgement on the Constitutional Appeal No. 04/2017, dated 19 November 2017, published in the Palestinian Official Gazette, Issue 138, 29 November 2017, p. 84. </w:t>
      </w:r>
    </w:p>
  </w:footnote>
  <w:footnote w:id="2">
    <w:p w14:paraId="782AC19D" w14:textId="77777777" w:rsidR="00120688" w:rsidRPr="00880A18" w:rsidRDefault="00120688" w:rsidP="00120688">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SCC </w:t>
      </w:r>
      <w:r w:rsidRPr="00880A18">
        <w:rPr>
          <w:rFonts w:ascii="Times New Roman" w:hAnsi="Times New Roman" w:cs="Times New Roman"/>
          <w:lang w:val="en-US"/>
        </w:rPr>
        <w:t xml:space="preserve">Declaratory Judgement No. 05/2017, 12 March 20218, and SCC Judgement No. 04/2017, 19 November 2017. </w:t>
      </w:r>
    </w:p>
  </w:footnote>
  <w:footnote w:id="3">
    <w:p w14:paraId="29FBFF31" w14:textId="6885237A" w:rsidR="000F1FD7" w:rsidRPr="00A13C0A" w:rsidRDefault="000F1FD7" w:rsidP="00A13C0A">
      <w:pPr>
        <w:pStyle w:val="FootnoteText"/>
        <w:jc w:val="both"/>
        <w:rPr>
          <w:rFonts w:ascii="Times New Roman" w:hAnsi="Times New Roman" w:cs="Times New Roman"/>
          <w:lang w:val="en-US"/>
        </w:rPr>
      </w:pPr>
      <w:r w:rsidRPr="00A13C0A">
        <w:rPr>
          <w:rStyle w:val="FootnoteReference"/>
          <w:rFonts w:ascii="Times New Roman" w:hAnsi="Times New Roman" w:cs="Times New Roman"/>
        </w:rPr>
        <w:footnoteRef/>
      </w:r>
      <w:r w:rsidRPr="00A13C0A">
        <w:rPr>
          <w:rFonts w:ascii="Times New Roman" w:hAnsi="Times New Roman" w:cs="Times New Roman"/>
        </w:rPr>
        <w:t xml:space="preserve"> </w:t>
      </w:r>
      <w:r w:rsidRPr="00A13C0A">
        <w:rPr>
          <w:rFonts w:ascii="Times New Roman" w:hAnsi="Times New Roman" w:cs="Times New Roman"/>
          <w:lang w:val="en-US"/>
        </w:rPr>
        <w:t>ICHR and Al-Haq</w:t>
      </w:r>
      <w:r w:rsidR="00F93794">
        <w:rPr>
          <w:rFonts w:ascii="Times New Roman" w:hAnsi="Times New Roman" w:cs="Times New Roman"/>
          <w:lang w:val="en-US"/>
        </w:rPr>
        <w:t>,</w:t>
      </w:r>
      <w:r w:rsidRPr="00A13C0A">
        <w:rPr>
          <w:rFonts w:ascii="Times New Roman" w:hAnsi="Times New Roman" w:cs="Times New Roman"/>
          <w:lang w:val="en-US"/>
        </w:rPr>
        <w:t xml:space="preserve"> </w:t>
      </w:r>
      <w:r w:rsidR="00F93794" w:rsidRPr="00F93794">
        <w:rPr>
          <w:rFonts w:ascii="Times New Roman" w:hAnsi="Times New Roman" w:cs="Times New Roman"/>
          <w:lang w:val="en-US"/>
        </w:rPr>
        <w:t>Joint fact-finding report on the killing of activist Nizar Banat</w:t>
      </w:r>
      <w:r w:rsidR="00F93794">
        <w:rPr>
          <w:rFonts w:ascii="Times New Roman" w:hAnsi="Times New Roman" w:cs="Times New Roman"/>
          <w:lang w:val="en-US"/>
        </w:rPr>
        <w:t>, 24 June 2021</w:t>
      </w:r>
      <w:r w:rsidR="00F93794" w:rsidRPr="00F93794">
        <w:rPr>
          <w:rFonts w:ascii="Times New Roman" w:hAnsi="Times New Roman" w:cs="Times New Roman"/>
          <w:lang w:val="en-US"/>
        </w:rPr>
        <w:t xml:space="preserve"> </w:t>
      </w:r>
      <w:r w:rsidRPr="00A13C0A">
        <w:rPr>
          <w:rFonts w:ascii="Times New Roman" w:hAnsi="Times New Roman" w:cs="Times New Roman"/>
          <w:lang w:val="en-US"/>
        </w:rPr>
        <w:t>(in Arabic).</w:t>
      </w:r>
    </w:p>
  </w:footnote>
  <w:footnote w:id="4">
    <w:p w14:paraId="2A974931" w14:textId="1F06C9F2" w:rsidR="00A81E5B" w:rsidRPr="00A13C0A" w:rsidRDefault="00A81E5B" w:rsidP="00DD6FD8">
      <w:pPr>
        <w:pStyle w:val="FootnoteText"/>
        <w:ind w:left="142" w:hanging="142"/>
        <w:jc w:val="both"/>
        <w:rPr>
          <w:rFonts w:ascii="Times New Roman" w:hAnsi="Times New Roman" w:cs="Times New Roman"/>
          <w:lang w:val="en-US"/>
        </w:rPr>
      </w:pPr>
      <w:r w:rsidRPr="00A13C0A">
        <w:rPr>
          <w:rStyle w:val="FootnoteReference"/>
          <w:rFonts w:ascii="Times New Roman" w:hAnsi="Times New Roman" w:cs="Times New Roman"/>
        </w:rPr>
        <w:footnoteRef/>
      </w:r>
      <w:r w:rsidRPr="00A13C0A">
        <w:rPr>
          <w:rFonts w:ascii="Times New Roman" w:hAnsi="Times New Roman" w:cs="Times New Roman"/>
        </w:rPr>
        <w:t xml:space="preserve"> </w:t>
      </w:r>
      <w:r w:rsidRPr="00A13C0A">
        <w:rPr>
          <w:rFonts w:ascii="Times New Roman" w:hAnsi="Times New Roman" w:cs="Times New Roman"/>
          <w:lang w:val="en-US"/>
        </w:rPr>
        <w:t xml:space="preserve">Letter No. 29/1930, addressed by the HJC Secretary General on 18 July 2021 to the ICHR Director General, and received on 18 July 2021. </w:t>
      </w:r>
    </w:p>
  </w:footnote>
  <w:footnote w:id="5">
    <w:p w14:paraId="3E650D07" w14:textId="587B9F64" w:rsidR="00545DAA" w:rsidRPr="00A13C0A" w:rsidRDefault="00545DAA" w:rsidP="00DD6FD8">
      <w:pPr>
        <w:pStyle w:val="FootnoteText"/>
        <w:ind w:left="142" w:hanging="142"/>
        <w:jc w:val="both"/>
        <w:rPr>
          <w:rFonts w:ascii="Times New Roman" w:hAnsi="Times New Roman" w:cs="Times New Roman"/>
          <w:lang w:val="en-US"/>
        </w:rPr>
      </w:pPr>
      <w:r w:rsidRPr="00A13C0A">
        <w:rPr>
          <w:rStyle w:val="FootnoteReference"/>
          <w:rFonts w:ascii="Times New Roman" w:hAnsi="Times New Roman" w:cs="Times New Roman"/>
        </w:rPr>
        <w:footnoteRef/>
      </w:r>
      <w:r w:rsidRPr="00A13C0A">
        <w:rPr>
          <w:rFonts w:ascii="Times New Roman" w:hAnsi="Times New Roman" w:cs="Times New Roman"/>
        </w:rPr>
        <w:t xml:space="preserve"> </w:t>
      </w:r>
      <w:r w:rsidRPr="00A13C0A">
        <w:rPr>
          <w:rFonts w:ascii="Times New Roman" w:hAnsi="Times New Roman" w:cs="Times New Roman"/>
          <w:lang w:val="en-US"/>
        </w:rPr>
        <w:t xml:space="preserve">Judgement of the High Court of Justice convening in Ramallah on Case No. 147/2015, dated 2 September 2015); Judgement of the High Court of Justice convening in Ramallah on Case No. 153/2016, dated 29 </w:t>
      </w:r>
      <w:r w:rsidR="00356A35" w:rsidRPr="00A13C0A">
        <w:rPr>
          <w:rFonts w:ascii="Times New Roman" w:hAnsi="Times New Roman" w:cs="Times New Roman"/>
          <w:lang w:val="en-US"/>
        </w:rPr>
        <w:t xml:space="preserve">September </w:t>
      </w:r>
      <w:r w:rsidRPr="00A13C0A">
        <w:rPr>
          <w:rFonts w:ascii="Times New Roman" w:hAnsi="Times New Roman" w:cs="Times New Roman"/>
          <w:lang w:val="en-US"/>
        </w:rPr>
        <w:t xml:space="preserve">2016.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5BF7"/>
    <w:multiLevelType w:val="hybridMultilevel"/>
    <w:tmpl w:val="AD0AE04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1165C"/>
    <w:multiLevelType w:val="hybridMultilevel"/>
    <w:tmpl w:val="28A4966C"/>
    <w:lvl w:ilvl="0" w:tplc="4EBE612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F0DEA"/>
    <w:multiLevelType w:val="hybridMultilevel"/>
    <w:tmpl w:val="DD72E03E"/>
    <w:lvl w:ilvl="0" w:tplc="DB44680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D60F4D"/>
    <w:multiLevelType w:val="hybridMultilevel"/>
    <w:tmpl w:val="4C3E6A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F7819"/>
    <w:multiLevelType w:val="hybridMultilevel"/>
    <w:tmpl w:val="FD6CD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EE650E"/>
    <w:multiLevelType w:val="hybridMultilevel"/>
    <w:tmpl w:val="8E5022BE"/>
    <w:lvl w:ilvl="0" w:tplc="4EBE612C">
      <w:start w:val="2"/>
      <w:numFmt w:val="bullet"/>
      <w:lvlText w:val="-"/>
      <w:lvlJc w:val="left"/>
      <w:pPr>
        <w:ind w:left="770" w:hanging="360"/>
      </w:pPr>
      <w:rPr>
        <w:rFonts w:ascii="Simplified Arabic" w:eastAsiaTheme="minorHAnsi" w:hAnsi="Simplified Arabic" w:cs="Simplified Arabic"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607B1548"/>
    <w:multiLevelType w:val="hybridMultilevel"/>
    <w:tmpl w:val="52F85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4B0165"/>
    <w:multiLevelType w:val="hybridMultilevel"/>
    <w:tmpl w:val="C7DE3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22F50"/>
    <w:multiLevelType w:val="hybridMultilevel"/>
    <w:tmpl w:val="B1AE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BE1649"/>
    <w:multiLevelType w:val="hybridMultilevel"/>
    <w:tmpl w:val="0F7413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B984808"/>
    <w:multiLevelType w:val="hybridMultilevel"/>
    <w:tmpl w:val="595A3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A817EC"/>
    <w:multiLevelType w:val="hybridMultilevel"/>
    <w:tmpl w:val="0A3E4034"/>
    <w:lvl w:ilvl="0" w:tplc="923EFF34">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9"/>
  </w:num>
  <w:num w:numId="4">
    <w:abstractNumId w:val="10"/>
  </w:num>
  <w:num w:numId="5">
    <w:abstractNumId w:val="4"/>
  </w:num>
  <w:num w:numId="6">
    <w:abstractNumId w:val="3"/>
  </w:num>
  <w:num w:numId="7">
    <w:abstractNumId w:val="8"/>
  </w:num>
  <w:num w:numId="8">
    <w:abstractNumId w:val="2"/>
  </w:num>
  <w:num w:numId="9">
    <w:abstractNumId w:val="6"/>
  </w:num>
  <w:num w:numId="10">
    <w:abstractNumId w:val="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4B"/>
    <w:rsid w:val="00011AE3"/>
    <w:rsid w:val="00032C16"/>
    <w:rsid w:val="00080635"/>
    <w:rsid w:val="000901BC"/>
    <w:rsid w:val="000913D6"/>
    <w:rsid w:val="000D2608"/>
    <w:rsid w:val="000D390A"/>
    <w:rsid w:val="000F1FD7"/>
    <w:rsid w:val="00110C6C"/>
    <w:rsid w:val="0011373F"/>
    <w:rsid w:val="00113A2A"/>
    <w:rsid w:val="00120688"/>
    <w:rsid w:val="001259A2"/>
    <w:rsid w:val="00152137"/>
    <w:rsid w:val="0016150B"/>
    <w:rsid w:val="00163CA7"/>
    <w:rsid w:val="00175EA7"/>
    <w:rsid w:val="00177525"/>
    <w:rsid w:val="00187AB0"/>
    <w:rsid w:val="00197E2C"/>
    <w:rsid w:val="001B51C1"/>
    <w:rsid w:val="001B6E9E"/>
    <w:rsid w:val="001C2509"/>
    <w:rsid w:val="001F35C9"/>
    <w:rsid w:val="002526C3"/>
    <w:rsid w:val="00282A0A"/>
    <w:rsid w:val="0028333B"/>
    <w:rsid w:val="00290C1F"/>
    <w:rsid w:val="002B60F8"/>
    <w:rsid w:val="002C6156"/>
    <w:rsid w:val="00327C97"/>
    <w:rsid w:val="00336A35"/>
    <w:rsid w:val="00336C8B"/>
    <w:rsid w:val="00356A35"/>
    <w:rsid w:val="003D6870"/>
    <w:rsid w:val="00442612"/>
    <w:rsid w:val="00442725"/>
    <w:rsid w:val="0044428B"/>
    <w:rsid w:val="00444785"/>
    <w:rsid w:val="00472BE8"/>
    <w:rsid w:val="00474BDC"/>
    <w:rsid w:val="00495000"/>
    <w:rsid w:val="0049540F"/>
    <w:rsid w:val="004A0BBF"/>
    <w:rsid w:val="004F140F"/>
    <w:rsid w:val="004F40D1"/>
    <w:rsid w:val="00526C21"/>
    <w:rsid w:val="005313CE"/>
    <w:rsid w:val="0053288C"/>
    <w:rsid w:val="00537CA2"/>
    <w:rsid w:val="00545DAA"/>
    <w:rsid w:val="00552587"/>
    <w:rsid w:val="005B4FD6"/>
    <w:rsid w:val="005D08CF"/>
    <w:rsid w:val="005D0F3D"/>
    <w:rsid w:val="005D2199"/>
    <w:rsid w:val="006126AD"/>
    <w:rsid w:val="00620520"/>
    <w:rsid w:val="00626361"/>
    <w:rsid w:val="00626FDF"/>
    <w:rsid w:val="006621CC"/>
    <w:rsid w:val="0066799E"/>
    <w:rsid w:val="00677AD0"/>
    <w:rsid w:val="00683880"/>
    <w:rsid w:val="006B3D22"/>
    <w:rsid w:val="006D0349"/>
    <w:rsid w:val="006D2060"/>
    <w:rsid w:val="006E2C1B"/>
    <w:rsid w:val="006E5389"/>
    <w:rsid w:val="007038B6"/>
    <w:rsid w:val="00727167"/>
    <w:rsid w:val="0076415B"/>
    <w:rsid w:val="007772E2"/>
    <w:rsid w:val="00786EA0"/>
    <w:rsid w:val="007A51A9"/>
    <w:rsid w:val="007B661C"/>
    <w:rsid w:val="007B76AD"/>
    <w:rsid w:val="008120CF"/>
    <w:rsid w:val="00815B0B"/>
    <w:rsid w:val="00824090"/>
    <w:rsid w:val="0084694A"/>
    <w:rsid w:val="00857C8B"/>
    <w:rsid w:val="008649CF"/>
    <w:rsid w:val="008744FA"/>
    <w:rsid w:val="0088604D"/>
    <w:rsid w:val="008A1DCA"/>
    <w:rsid w:val="008A53BE"/>
    <w:rsid w:val="008B4548"/>
    <w:rsid w:val="00902C9B"/>
    <w:rsid w:val="009040F4"/>
    <w:rsid w:val="00912287"/>
    <w:rsid w:val="00951BF6"/>
    <w:rsid w:val="009527DC"/>
    <w:rsid w:val="00954785"/>
    <w:rsid w:val="009A68F3"/>
    <w:rsid w:val="009C3807"/>
    <w:rsid w:val="009E0325"/>
    <w:rsid w:val="009F0669"/>
    <w:rsid w:val="009F1AF5"/>
    <w:rsid w:val="009F3010"/>
    <w:rsid w:val="00A013FE"/>
    <w:rsid w:val="00A07CAD"/>
    <w:rsid w:val="00A11614"/>
    <w:rsid w:val="00A13C0A"/>
    <w:rsid w:val="00A13C33"/>
    <w:rsid w:val="00A719BC"/>
    <w:rsid w:val="00A81E5B"/>
    <w:rsid w:val="00A82B13"/>
    <w:rsid w:val="00A85442"/>
    <w:rsid w:val="00AB696F"/>
    <w:rsid w:val="00AD7614"/>
    <w:rsid w:val="00AE179C"/>
    <w:rsid w:val="00B13D95"/>
    <w:rsid w:val="00B53809"/>
    <w:rsid w:val="00B85D2C"/>
    <w:rsid w:val="00BA36BD"/>
    <w:rsid w:val="00BC1915"/>
    <w:rsid w:val="00BD1522"/>
    <w:rsid w:val="00BD2533"/>
    <w:rsid w:val="00BE04A8"/>
    <w:rsid w:val="00C26B6B"/>
    <w:rsid w:val="00C4287D"/>
    <w:rsid w:val="00C43861"/>
    <w:rsid w:val="00C43F0D"/>
    <w:rsid w:val="00C75988"/>
    <w:rsid w:val="00C84515"/>
    <w:rsid w:val="00C953C0"/>
    <w:rsid w:val="00CA5A37"/>
    <w:rsid w:val="00CD0BC0"/>
    <w:rsid w:val="00CF0FC1"/>
    <w:rsid w:val="00D065FD"/>
    <w:rsid w:val="00D31D40"/>
    <w:rsid w:val="00D428F3"/>
    <w:rsid w:val="00D713F6"/>
    <w:rsid w:val="00D837CE"/>
    <w:rsid w:val="00D86214"/>
    <w:rsid w:val="00DB1C76"/>
    <w:rsid w:val="00DC6516"/>
    <w:rsid w:val="00DC672B"/>
    <w:rsid w:val="00DC7E32"/>
    <w:rsid w:val="00DD6FD8"/>
    <w:rsid w:val="00DF4E66"/>
    <w:rsid w:val="00E14FFF"/>
    <w:rsid w:val="00E22C68"/>
    <w:rsid w:val="00E640DC"/>
    <w:rsid w:val="00E82612"/>
    <w:rsid w:val="00E86088"/>
    <w:rsid w:val="00E86A4B"/>
    <w:rsid w:val="00EE125C"/>
    <w:rsid w:val="00EE1283"/>
    <w:rsid w:val="00EE2182"/>
    <w:rsid w:val="00F00B7E"/>
    <w:rsid w:val="00F00D1A"/>
    <w:rsid w:val="00F057C2"/>
    <w:rsid w:val="00F1288D"/>
    <w:rsid w:val="00F168BC"/>
    <w:rsid w:val="00F568F5"/>
    <w:rsid w:val="00F62676"/>
    <w:rsid w:val="00F65818"/>
    <w:rsid w:val="00F82319"/>
    <w:rsid w:val="00F82C44"/>
    <w:rsid w:val="00F82D41"/>
    <w:rsid w:val="00F93794"/>
    <w:rsid w:val="00FB40A5"/>
    <w:rsid w:val="00FE6A57"/>
    <w:rsid w:val="00FF0C37"/>
    <w:rsid w:val="00FF53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4DB1"/>
  <w15:chartTrackingRefBased/>
  <w15:docId w15:val="{3C0C5243-A120-4135-B353-EA1B9E7F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bidi="ar-JO"/>
    </w:rPr>
  </w:style>
  <w:style w:type="paragraph" w:styleId="Heading1">
    <w:name w:val="heading 1"/>
    <w:basedOn w:val="Normal"/>
    <w:next w:val="Normal"/>
    <w:link w:val="Heading1Char"/>
    <w:uiPriority w:val="9"/>
    <w:qFormat/>
    <w:rsid w:val="000F1FD7"/>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1A9"/>
    <w:pPr>
      <w:ind w:left="720"/>
      <w:contextualSpacing/>
    </w:pPr>
  </w:style>
  <w:style w:type="character" w:styleId="Hyperlink">
    <w:name w:val="Hyperlink"/>
    <w:basedOn w:val="DefaultParagraphFont"/>
    <w:uiPriority w:val="99"/>
    <w:unhideWhenUsed/>
    <w:rsid w:val="000F1FD7"/>
    <w:rPr>
      <w:color w:val="0563C1" w:themeColor="hyperlink"/>
      <w:u w:val="single"/>
    </w:rPr>
  </w:style>
  <w:style w:type="paragraph" w:styleId="FootnoteText">
    <w:name w:val="footnote text"/>
    <w:basedOn w:val="Normal"/>
    <w:link w:val="FootnoteTextChar"/>
    <w:uiPriority w:val="99"/>
    <w:semiHidden/>
    <w:unhideWhenUsed/>
    <w:rsid w:val="000F1FD7"/>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0F1FD7"/>
    <w:rPr>
      <w:kern w:val="0"/>
      <w:sz w:val="20"/>
      <w:szCs w:val="20"/>
      <w:lang w:val="en-GB" w:bidi="ar-JO"/>
      <w14:ligatures w14:val="none"/>
    </w:rPr>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R,BVI fnr,BVI fnr Car Car"/>
    <w:basedOn w:val="DefaultParagraphFont"/>
    <w:link w:val="ftrefChar"/>
    <w:uiPriority w:val="99"/>
    <w:unhideWhenUsed/>
    <w:qFormat/>
    <w:rsid w:val="000F1FD7"/>
    <w:rPr>
      <w:vertAlign w:val="superscript"/>
    </w:rPr>
  </w:style>
  <w:style w:type="character" w:customStyle="1" w:styleId="Heading1Char">
    <w:name w:val="Heading 1 Char"/>
    <w:basedOn w:val="DefaultParagraphFont"/>
    <w:link w:val="Heading1"/>
    <w:uiPriority w:val="9"/>
    <w:rsid w:val="000F1FD7"/>
    <w:rPr>
      <w:rFonts w:asciiTheme="majorHAnsi" w:eastAsiaTheme="majorEastAsia" w:hAnsiTheme="majorHAnsi" w:cstheme="majorBidi"/>
      <w:color w:val="2F5496" w:themeColor="accent1" w:themeShade="BF"/>
      <w:kern w:val="0"/>
      <w:sz w:val="32"/>
      <w:szCs w:val="32"/>
      <w:lang w:val="en-GB" w:bidi="ar-JO"/>
      <w14:ligatures w14:val="none"/>
    </w:rPr>
  </w:style>
  <w:style w:type="character" w:styleId="UnresolvedMention">
    <w:name w:val="Unresolved Mention"/>
    <w:basedOn w:val="DefaultParagraphFont"/>
    <w:uiPriority w:val="99"/>
    <w:semiHidden/>
    <w:unhideWhenUsed/>
    <w:rsid w:val="009A68F3"/>
    <w:rPr>
      <w:color w:val="605E5C"/>
      <w:shd w:val="clear" w:color="auto" w:fill="E1DFDD"/>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120688"/>
    <w:pPr>
      <w:spacing w:before="240" w:after="160" w:line="240" w:lineRule="exact"/>
      <w:jc w:val="both"/>
    </w:pPr>
    <w:rPr>
      <w:vertAlign w:val="superscript"/>
      <w:lang w:val="en-US" w:bidi="ar-SA"/>
    </w:rPr>
  </w:style>
  <w:style w:type="paragraph" w:styleId="Title">
    <w:name w:val="Title"/>
    <w:basedOn w:val="Normal"/>
    <w:next w:val="Normal"/>
    <w:link w:val="TitleChar"/>
    <w:uiPriority w:val="10"/>
    <w:qFormat/>
    <w:rsid w:val="00626361"/>
    <w:pPr>
      <w:bidi/>
      <w:snapToGrid w:val="0"/>
      <w:spacing w:after="0" w:line="240" w:lineRule="auto"/>
      <w:contextualSpacing/>
    </w:pPr>
    <w:rPr>
      <w:rFonts w:asciiTheme="majorHAnsi" w:eastAsiaTheme="majorEastAsia" w:hAnsiTheme="majorHAnsi" w:cstheme="majorBidi"/>
      <w:spacing w:val="-10"/>
      <w:kern w:val="28"/>
      <w:sz w:val="56"/>
      <w:szCs w:val="56"/>
      <w:lang w:val="en-US" w:bidi="ar-SA"/>
      <w14:ligatures w14:val="none"/>
    </w:rPr>
  </w:style>
  <w:style w:type="character" w:customStyle="1" w:styleId="TitleChar">
    <w:name w:val="Title Char"/>
    <w:basedOn w:val="DefaultParagraphFont"/>
    <w:link w:val="Title"/>
    <w:uiPriority w:val="10"/>
    <w:rsid w:val="00626361"/>
    <w:rPr>
      <w:rFonts w:asciiTheme="majorHAnsi" w:eastAsiaTheme="majorEastAsia" w:hAnsiTheme="majorHAnsi" w:cstheme="majorBidi"/>
      <w:spacing w:val="-10"/>
      <w:kern w:val="28"/>
      <w:sz w:val="56"/>
      <w:szCs w:val="56"/>
      <w14:ligatures w14:val="none"/>
    </w:rPr>
  </w:style>
  <w:style w:type="paragraph" w:styleId="TOC1">
    <w:name w:val="toc 1"/>
    <w:basedOn w:val="Normal"/>
    <w:next w:val="Normal"/>
    <w:autoRedefine/>
    <w:uiPriority w:val="39"/>
    <w:unhideWhenUsed/>
    <w:rsid w:val="00626361"/>
    <w:pPr>
      <w:spacing w:after="100"/>
    </w:pPr>
    <w:rPr>
      <w:kern w:val="0"/>
      <w14:ligatures w14:val="none"/>
    </w:rPr>
  </w:style>
  <w:style w:type="paragraph" w:styleId="TOCHeading">
    <w:name w:val="TOC Heading"/>
    <w:basedOn w:val="Heading1"/>
    <w:next w:val="Normal"/>
    <w:uiPriority w:val="39"/>
    <w:semiHidden/>
    <w:unhideWhenUsed/>
    <w:qFormat/>
    <w:rsid w:val="00626361"/>
    <w:pPr>
      <w:spacing w:line="256" w:lineRule="auto"/>
      <w:outlineLvl w:val="9"/>
    </w:pPr>
    <w:rPr>
      <w:lang w:val="en-US" w:bidi="ar-SA"/>
    </w:rPr>
  </w:style>
  <w:style w:type="table" w:styleId="TableGrid">
    <w:name w:val="Table Grid"/>
    <w:basedOn w:val="TableNormal"/>
    <w:uiPriority w:val="39"/>
    <w:rsid w:val="0062636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59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1259A2"/>
    <w:rPr>
      <w:lang w:val="en-GB" w:bidi="ar-JO"/>
    </w:rPr>
  </w:style>
  <w:style w:type="paragraph" w:styleId="Footer">
    <w:name w:val="footer"/>
    <w:basedOn w:val="Normal"/>
    <w:link w:val="FooterChar"/>
    <w:uiPriority w:val="99"/>
    <w:unhideWhenUsed/>
    <w:rsid w:val="001259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1259A2"/>
    <w:rPr>
      <w:lang w:val="en-GB"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020430">
      <w:bodyDiv w:val="1"/>
      <w:marLeft w:val="0"/>
      <w:marRight w:val="0"/>
      <w:marTop w:val="0"/>
      <w:marBottom w:val="0"/>
      <w:divBdr>
        <w:top w:val="none" w:sz="0" w:space="0" w:color="auto"/>
        <w:left w:val="none" w:sz="0" w:space="0" w:color="auto"/>
        <w:bottom w:val="none" w:sz="0" w:space="0" w:color="auto"/>
        <w:right w:val="none" w:sz="0" w:space="0" w:color="auto"/>
      </w:divBdr>
    </w:div>
    <w:div w:id="1556241181">
      <w:bodyDiv w:val="1"/>
      <w:marLeft w:val="0"/>
      <w:marRight w:val="0"/>
      <w:marTop w:val="0"/>
      <w:marBottom w:val="0"/>
      <w:divBdr>
        <w:top w:val="none" w:sz="0" w:space="0" w:color="auto"/>
        <w:left w:val="none" w:sz="0" w:space="0" w:color="auto"/>
        <w:bottom w:val="none" w:sz="0" w:space="0" w:color="auto"/>
        <w:right w:val="none" w:sz="0" w:space="0" w:color="auto"/>
      </w:divBdr>
    </w:div>
    <w:div w:id="2093429945">
      <w:bodyDiv w:val="1"/>
      <w:marLeft w:val="0"/>
      <w:marRight w:val="0"/>
      <w:marTop w:val="0"/>
      <w:marBottom w:val="0"/>
      <w:divBdr>
        <w:top w:val="none" w:sz="0" w:space="0" w:color="auto"/>
        <w:left w:val="none" w:sz="0" w:space="0" w:color="auto"/>
        <w:bottom w:val="none" w:sz="0" w:space="0" w:color="auto"/>
        <w:right w:val="none" w:sz="0" w:space="0" w:color="auto"/>
      </w:divBdr>
    </w:div>
    <w:div w:id="209836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zahran@ichr.p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FA6B539DC70B42AF9919AB92740CBB" ma:contentTypeVersion="14" ma:contentTypeDescription="Create a new document." ma:contentTypeScope="" ma:versionID="8db9e2e4fb2605a7bf1da37a3d9d5b62">
  <xsd:schema xmlns:xsd="http://www.w3.org/2001/XMLSchema" xmlns:xs="http://www.w3.org/2001/XMLSchema" xmlns:p="http://schemas.microsoft.com/office/2006/metadata/properties" xmlns:ns3="d7e47de4-7730-4673-b231-8e75d3d1e493" xmlns:ns4="d88db29c-9d5f-420e-930c-d5ddff0b2753" targetNamespace="http://schemas.microsoft.com/office/2006/metadata/properties" ma:root="true" ma:fieldsID="d1c678b354aff15b02d32dc98f48dcdb" ns3:_="" ns4:_="">
    <xsd:import namespace="d7e47de4-7730-4673-b231-8e75d3d1e493"/>
    <xsd:import namespace="d88db29c-9d5f-420e-930c-d5ddff0b275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e47de4-7730-4673-b231-8e75d3d1e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8db29c-9d5f-420e-930c-d5ddff0b27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B83FE1-8DB4-48DE-8B3E-DE6449EE35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CAFEA5-E572-48A1-B049-B5327BDF9244}">
  <ds:schemaRefs>
    <ds:schemaRef ds:uri="http://schemas.microsoft.com/sharepoint/v3/contenttype/forms"/>
  </ds:schemaRefs>
</ds:datastoreItem>
</file>

<file path=customXml/itemProps3.xml><?xml version="1.0" encoding="utf-8"?>
<ds:datastoreItem xmlns:ds="http://schemas.openxmlformats.org/officeDocument/2006/customXml" ds:itemID="{AD6B1936-F2CA-433A-BD2C-D945BB102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e47de4-7730-4673-b231-8e75d3d1e493"/>
    <ds:schemaRef ds:uri="d88db29c-9d5f-420e-930c-d5ddff0b27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9124</Words>
  <Characters>48363</Characters>
  <Application>Microsoft Office Word</Application>
  <DocSecurity>0</DocSecurity>
  <Lines>732</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Ola Adawi</cp:lastModifiedBy>
  <cp:revision>6</cp:revision>
  <dcterms:created xsi:type="dcterms:W3CDTF">2023-05-29T08:59:00Z</dcterms:created>
  <dcterms:modified xsi:type="dcterms:W3CDTF">2023-05-29T09:08:00Z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0x01010090FA6B539DC70B42AF9919AB92740CBB</vt:lpwstr>
  </property>
  <property fmtid="{D5CDD505-2E9C-101B-9397-08002B2CF9AE}" pid="3" name="GrammarlyDocumentId">
    <vt:lpwstr>c8509a34b000a53d03811f596b7f1aedfb24bc050acf0ef760f6a2ed9b3f08f7</vt:lpwstr>
  </property>
</Properties>
</file>