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025246A9" w:rsidR="00C05D9B" w:rsidRPr="00C45026" w:rsidRDefault="00E9715A" w:rsidP="008C763F">
      <w:pPr>
        <w:tabs>
          <w:tab w:val="left" w:pos="4110"/>
        </w:tabs>
      </w:pPr>
      <w:r w:rsidRPr="00C45026">
        <w:rPr>
          <w:noProof/>
        </w:rPr>
        <w:drawing>
          <wp:anchor distT="0" distB="0" distL="114300" distR="114300" simplePos="0" relativeHeight="251659264" behindDoc="0" locked="0" layoutInCell="1" allowOverlap="1" wp14:anchorId="15EBBC2F" wp14:editId="296D6EA7">
            <wp:simplePos x="0" y="0"/>
            <wp:positionH relativeFrom="column">
              <wp:posOffset>114300</wp:posOffset>
            </wp:positionH>
            <wp:positionV relativeFrom="paragraph">
              <wp:posOffset>-542925</wp:posOffset>
            </wp:positionV>
            <wp:extent cx="1783138" cy="808355"/>
            <wp:effectExtent l="0" t="0" r="7620" b="0"/>
            <wp:wrapNone/>
            <wp:docPr id="280748794" name="Picture 280748794" descr="A white and gre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48794" name="Picture 280748794" descr="A white and grey logo&#10;&#10;Description automatically generated"/>
                    <pic:cNvPicPr/>
                  </pic:nvPicPr>
                  <pic:blipFill rotWithShape="1">
                    <a:blip r:embed="rId10">
                      <a:extLst>
                        <a:ext uri="{28A0092B-C50C-407E-A947-70E740481C1C}">
                          <a14:useLocalDpi xmlns:a14="http://schemas.microsoft.com/office/drawing/2010/main" val="0"/>
                        </a:ext>
                      </a:extLst>
                    </a:blip>
                    <a:srcRect t="27581" b="27076"/>
                    <a:stretch/>
                  </pic:blipFill>
                  <pic:spPr bwMode="auto">
                    <a:xfrm>
                      <a:off x="0" y="0"/>
                      <a:ext cx="1786881" cy="8100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5026">
        <w:t xml:space="preserve"> </w:t>
      </w:r>
      <w:r w:rsidR="008C763F" w:rsidRPr="00C45026">
        <w:tab/>
      </w:r>
    </w:p>
    <w:p w14:paraId="1C720C6D" w14:textId="77777777" w:rsidR="005403E3" w:rsidRPr="00C45026" w:rsidRDefault="005403E3" w:rsidP="00626C39"/>
    <w:p w14:paraId="5E537D0D" w14:textId="77777777" w:rsidR="005403E3" w:rsidRPr="00C45026" w:rsidRDefault="005403E3" w:rsidP="00626C39"/>
    <w:p w14:paraId="43F13231" w14:textId="141A307C" w:rsidR="004B1E4E" w:rsidRPr="00C45026" w:rsidRDefault="003F6EFC" w:rsidP="005D4A9F">
      <w:pPr>
        <w:spacing w:after="120"/>
        <w:jc w:val="center"/>
        <w:rPr>
          <w:b/>
        </w:rPr>
      </w:pPr>
      <w:r w:rsidRPr="00C45026">
        <w:rPr>
          <w:b/>
        </w:rPr>
        <w:t>The United States’</w:t>
      </w:r>
      <w:r w:rsidR="004B1E4E" w:rsidRPr="00C45026">
        <w:rPr>
          <w:b/>
        </w:rPr>
        <w:t xml:space="preserve"> Compliance with </w:t>
      </w:r>
      <w:r w:rsidRPr="00C45026">
        <w:rPr>
          <w:b/>
        </w:rPr>
        <w:t>the International Covenant on Civil and Politic</w:t>
      </w:r>
      <w:r w:rsidR="00886032" w:rsidRPr="00C45026">
        <w:rPr>
          <w:b/>
        </w:rPr>
        <w:t>al</w:t>
      </w:r>
      <w:r w:rsidRPr="00C45026">
        <w:rPr>
          <w:b/>
        </w:rPr>
        <w:t xml:space="preserve"> Rights</w:t>
      </w:r>
      <w:r w:rsidR="00E114C5" w:rsidRPr="00C45026">
        <w:rPr>
          <w:b/>
        </w:rPr>
        <w:t xml:space="preserve">: </w:t>
      </w:r>
      <w:r w:rsidRPr="00C45026">
        <w:rPr>
          <w:b/>
        </w:rPr>
        <w:t>The Death Penalty</w:t>
      </w:r>
    </w:p>
    <w:p w14:paraId="26D24DDC" w14:textId="77777777" w:rsidR="004B1E4E" w:rsidRPr="00C45026" w:rsidRDefault="004B1E4E" w:rsidP="004B1E4E">
      <w:pPr>
        <w:jc w:val="center"/>
        <w:rPr>
          <w:b/>
        </w:rPr>
      </w:pPr>
      <w:r w:rsidRPr="00C45026">
        <w:rPr>
          <w:b/>
        </w:rPr>
        <w:t xml:space="preserve">Submitted by </w:t>
      </w:r>
      <w:r w:rsidR="00AA7FCB" w:rsidRPr="00C45026">
        <w:rPr>
          <w:b/>
        </w:rPr>
        <w:t>T</w:t>
      </w:r>
      <w:r w:rsidRPr="00C45026">
        <w:rPr>
          <w:b/>
        </w:rPr>
        <w:t>he Advocates for Human Rights</w:t>
      </w:r>
    </w:p>
    <w:p w14:paraId="6D01AE49" w14:textId="77777777" w:rsidR="004B1E4E" w:rsidRPr="00C45026" w:rsidRDefault="004B1E4E" w:rsidP="005D4A9F">
      <w:pPr>
        <w:spacing w:after="120"/>
        <w:jc w:val="center"/>
      </w:pPr>
      <w:r w:rsidRPr="00C45026">
        <w:t>a non-governmental organization in special consultative status with ECOSOC</w:t>
      </w:r>
      <w:r w:rsidR="00624A10" w:rsidRPr="00C45026">
        <w:t xml:space="preserve"> since 1996</w:t>
      </w:r>
    </w:p>
    <w:p w14:paraId="2BC82C73" w14:textId="7D8137D0" w:rsidR="00235AE0" w:rsidRPr="00C45026" w:rsidRDefault="00235AE0" w:rsidP="005D4A9F">
      <w:pPr>
        <w:spacing w:after="120"/>
        <w:jc w:val="center"/>
        <w:rPr>
          <w:b/>
          <w:bCs/>
        </w:rPr>
      </w:pPr>
      <w:r w:rsidRPr="00C45026">
        <w:rPr>
          <w:b/>
          <w:bCs/>
        </w:rPr>
        <w:t xml:space="preserve">The World Coalition </w:t>
      </w:r>
      <w:r w:rsidRPr="00C45026">
        <w:rPr>
          <w:b/>
        </w:rPr>
        <w:t>Against</w:t>
      </w:r>
      <w:r w:rsidRPr="00C45026">
        <w:rPr>
          <w:b/>
          <w:bCs/>
        </w:rPr>
        <w:t xml:space="preserve"> the Death Penalty</w:t>
      </w:r>
    </w:p>
    <w:p w14:paraId="03506BD0" w14:textId="1851EB2E" w:rsidR="00235AE0" w:rsidRPr="00C45026" w:rsidRDefault="005D4A9F" w:rsidP="005D4A9F">
      <w:pPr>
        <w:spacing w:after="120"/>
        <w:jc w:val="center"/>
        <w:rPr>
          <w:bCs/>
        </w:rPr>
      </w:pPr>
      <w:r w:rsidRPr="00C45026">
        <w:rPr>
          <w:bCs/>
        </w:rPr>
        <w:t>and</w:t>
      </w:r>
    </w:p>
    <w:p w14:paraId="46022B07" w14:textId="4A74A61C" w:rsidR="005D4A9F" w:rsidRPr="00C45026" w:rsidRDefault="005D4A9F" w:rsidP="005D4A9F">
      <w:pPr>
        <w:spacing w:after="120"/>
        <w:jc w:val="center"/>
        <w:rPr>
          <w:b/>
          <w:bCs/>
        </w:rPr>
      </w:pPr>
      <w:r w:rsidRPr="00C45026">
        <w:rPr>
          <w:b/>
          <w:bCs/>
        </w:rPr>
        <w:t xml:space="preserve">The Cornell Center on </w:t>
      </w:r>
      <w:r w:rsidRPr="00C45026">
        <w:rPr>
          <w:b/>
        </w:rPr>
        <w:t>the</w:t>
      </w:r>
      <w:r w:rsidRPr="00C45026">
        <w:rPr>
          <w:b/>
          <w:bCs/>
        </w:rPr>
        <w:t xml:space="preserve"> Death Penalty Worldwide</w:t>
      </w:r>
    </w:p>
    <w:p w14:paraId="24E688AE" w14:textId="1B668B4A" w:rsidR="004B1E4E" w:rsidRPr="00C45026" w:rsidRDefault="004B1E4E" w:rsidP="004B1E4E">
      <w:pPr>
        <w:jc w:val="center"/>
        <w:rPr>
          <w:b/>
          <w:bCs/>
        </w:rPr>
      </w:pPr>
      <w:r w:rsidRPr="00C45026">
        <w:rPr>
          <w:b/>
          <w:bCs/>
        </w:rPr>
        <w:t xml:space="preserve">for the </w:t>
      </w:r>
      <w:r w:rsidR="003F6EFC" w:rsidRPr="00C45026">
        <w:rPr>
          <w:b/>
          <w:bCs/>
        </w:rPr>
        <w:t>139th</w:t>
      </w:r>
      <w:r w:rsidRPr="00C45026">
        <w:rPr>
          <w:b/>
          <w:bCs/>
        </w:rPr>
        <w:t xml:space="preserve"> Session of the</w:t>
      </w:r>
      <w:r w:rsidR="003F6EFC" w:rsidRPr="00C45026">
        <w:rPr>
          <w:b/>
          <w:bCs/>
        </w:rPr>
        <w:t xml:space="preserve"> Human Rights Committee</w:t>
      </w:r>
    </w:p>
    <w:p w14:paraId="3B163C2D" w14:textId="14BB02C3" w:rsidR="004B1E4E" w:rsidRPr="00C45026" w:rsidRDefault="003F6EFC" w:rsidP="005D4A9F">
      <w:pPr>
        <w:spacing w:after="120"/>
        <w:jc w:val="center"/>
        <w:rPr>
          <w:b/>
          <w:bCs/>
        </w:rPr>
      </w:pPr>
      <w:r w:rsidRPr="00C45026">
        <w:rPr>
          <w:b/>
          <w:bCs/>
        </w:rPr>
        <w:t xml:space="preserve">9 October–3 </w:t>
      </w:r>
      <w:r w:rsidRPr="00C45026">
        <w:rPr>
          <w:b/>
        </w:rPr>
        <w:t>November</w:t>
      </w:r>
      <w:r w:rsidRPr="00C45026">
        <w:rPr>
          <w:b/>
          <w:bCs/>
        </w:rPr>
        <w:t xml:space="preserve"> 2023</w:t>
      </w:r>
    </w:p>
    <w:p w14:paraId="3D93E372" w14:textId="7F568CC1" w:rsidR="00C214BA" w:rsidRPr="00C45026" w:rsidRDefault="00C214BA" w:rsidP="005D4A9F">
      <w:pPr>
        <w:spacing w:after="120"/>
        <w:jc w:val="center"/>
        <w:rPr>
          <w:b/>
          <w:bCs/>
        </w:rPr>
      </w:pPr>
      <w:r w:rsidRPr="00C45026">
        <w:rPr>
          <w:b/>
          <w:bCs/>
        </w:rPr>
        <w:t xml:space="preserve">Submitted </w:t>
      </w:r>
      <w:r w:rsidR="00235AE0" w:rsidRPr="00C45026">
        <w:rPr>
          <w:b/>
          <w:bCs/>
        </w:rPr>
        <w:t>12 September 2023</w:t>
      </w:r>
    </w:p>
    <w:p w14:paraId="2FAEA8A3" w14:textId="42E3452A" w:rsidR="003F6EFC" w:rsidRPr="00C45026" w:rsidRDefault="004B1E4E" w:rsidP="005D4A9F">
      <w:pPr>
        <w:spacing w:after="120"/>
        <w:jc w:val="both"/>
      </w:pPr>
      <w:r w:rsidRPr="00C45026">
        <w:rPr>
          <w:b/>
        </w:rPr>
        <w:t xml:space="preserve">The Advocates for Human Rights </w:t>
      </w:r>
      <w:r w:rsidRPr="00C45026">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3F6EFC" w:rsidRPr="00C45026">
        <w:t xml:space="preserve"> 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2C348E76" w14:textId="4FD9AAA6" w:rsidR="003F6EFC" w:rsidRPr="00C45026" w:rsidRDefault="00216D2C" w:rsidP="005D4A9F">
      <w:pPr>
        <w:spacing w:after="120"/>
        <w:jc w:val="both"/>
        <w:rPr>
          <w:color w:val="000000" w:themeColor="text1"/>
        </w:rPr>
      </w:pPr>
      <w:r w:rsidRPr="00C45026">
        <w:rPr>
          <w:b/>
          <w:bCs/>
          <w:color w:val="000000" w:themeColor="text1"/>
        </w:rPr>
        <w:t>The World Coalition Against the Death Penalty</w:t>
      </w:r>
      <w:r w:rsidRPr="00C45026">
        <w:rPr>
          <w:color w:val="000000" w:themeColor="text1"/>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w:t>
      </w:r>
      <w:r w:rsidRPr="00C45026">
        <w:t>definitive</w:t>
      </w:r>
      <w:r w:rsidRPr="00C45026">
        <w:rPr>
          <w:color w:val="000000" w:themeColor="text1"/>
        </w:rPr>
        <w:t xml:space="preserve"> end to death sentences and executions in those countries where the death penalty is in force. In some countries, it is seeking to obtain a reduction in the use of capital punishment as a first step towards abolition.</w:t>
      </w:r>
    </w:p>
    <w:p w14:paraId="7AE434B8" w14:textId="2C134CDC" w:rsidR="00F4107A" w:rsidRPr="00C45026" w:rsidRDefault="00955F4A" w:rsidP="00671305">
      <w:pPr>
        <w:widowControl w:val="0"/>
        <w:autoSpaceDE w:val="0"/>
        <w:autoSpaceDN w:val="0"/>
        <w:adjustRightInd w:val="0"/>
        <w:jc w:val="both"/>
      </w:pPr>
      <w:r w:rsidRPr="00C45026">
        <w:rPr>
          <w:b/>
          <w:bCs/>
        </w:rPr>
        <w:t>The Cornell Center on the Death Penalty Worldwide</w:t>
      </w:r>
      <w:r w:rsidRPr="00C45026">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w:t>
      </w:r>
    </w:p>
    <w:p w14:paraId="28BF0025" w14:textId="407DA4B0" w:rsidR="00392FAF" w:rsidRPr="00C45026" w:rsidRDefault="004B1E4E" w:rsidP="00392FAF">
      <w:pPr>
        <w:jc w:val="center"/>
        <w:rPr>
          <w:b/>
          <w:caps/>
        </w:rPr>
      </w:pPr>
      <w:r w:rsidRPr="00C45026">
        <w:br w:type="page"/>
      </w:r>
      <w:r w:rsidRPr="00C45026">
        <w:rPr>
          <w:b/>
          <w:caps/>
        </w:rPr>
        <w:lastRenderedPageBreak/>
        <w:t>Executive Summary</w:t>
      </w:r>
    </w:p>
    <w:p w14:paraId="2F23BD4B" w14:textId="77777777" w:rsidR="00392FAF" w:rsidRPr="00C45026" w:rsidRDefault="00392FAF" w:rsidP="00392FAF">
      <w:pPr>
        <w:jc w:val="center"/>
        <w:rPr>
          <w:b/>
          <w:caps/>
        </w:rPr>
      </w:pPr>
    </w:p>
    <w:p w14:paraId="160B3EDA" w14:textId="0A213A95" w:rsidR="003C3818" w:rsidRPr="00C45026" w:rsidRDefault="003C3818" w:rsidP="007B46CD">
      <w:pPr>
        <w:numPr>
          <w:ilvl w:val="0"/>
          <w:numId w:val="7"/>
        </w:numPr>
        <w:spacing w:after="120"/>
        <w:ind w:left="360"/>
        <w:jc w:val="both"/>
      </w:pPr>
      <w:r w:rsidRPr="00C45026">
        <w:t>The United States</w:t>
      </w:r>
      <w:r w:rsidR="00764D93" w:rsidRPr="00C45026">
        <w:t xml:space="preserve"> of America </w:t>
      </w:r>
      <w:r w:rsidRPr="00C45026">
        <w:t xml:space="preserve">continues to carry out executions and sentence people to death. </w:t>
      </w:r>
    </w:p>
    <w:p w14:paraId="6CD9AC33" w14:textId="0B465DF1" w:rsidR="004B1E4E" w:rsidRPr="00C45026" w:rsidRDefault="00B6675D" w:rsidP="007B46CD">
      <w:pPr>
        <w:numPr>
          <w:ilvl w:val="0"/>
          <w:numId w:val="7"/>
        </w:numPr>
        <w:spacing w:after="120"/>
        <w:ind w:left="360"/>
        <w:jc w:val="both"/>
      </w:pPr>
      <w:r w:rsidRPr="00C45026">
        <w:t xml:space="preserve">Although over 2,654 individuals remain on death row in the United States, </w:t>
      </w:r>
      <w:r w:rsidR="00C02463" w:rsidRPr="00C45026">
        <w:t xml:space="preserve">2022 marked </w:t>
      </w:r>
      <w:r w:rsidR="00551B31" w:rsidRPr="00C45026">
        <w:t xml:space="preserve">the </w:t>
      </w:r>
      <w:r w:rsidR="00C02463" w:rsidRPr="00C45026">
        <w:t xml:space="preserve">country’s </w:t>
      </w:r>
      <w:r w:rsidR="00551B31" w:rsidRPr="00C45026">
        <w:t>eight</w:t>
      </w:r>
      <w:r w:rsidR="00721D5F" w:rsidRPr="00C45026">
        <w:t>h</w:t>
      </w:r>
      <w:r w:rsidR="00551B31" w:rsidRPr="00C45026">
        <w:t xml:space="preserve"> consecutive year with fewer than 30 executions and </w:t>
      </w:r>
      <w:r w:rsidR="00166AAC" w:rsidRPr="00C45026">
        <w:t xml:space="preserve">fewer than </w:t>
      </w:r>
      <w:r w:rsidR="00551B31" w:rsidRPr="00C45026">
        <w:t xml:space="preserve">50 new death sentences. </w:t>
      </w:r>
      <w:r w:rsidR="00C9136D" w:rsidRPr="00C45026">
        <w:t>At t</w:t>
      </w:r>
      <w:r w:rsidR="00551B31" w:rsidRPr="00C45026">
        <w:t xml:space="preserve">he start of the Biden </w:t>
      </w:r>
      <w:r w:rsidR="007D1B16" w:rsidRPr="00C45026">
        <w:t>A</w:t>
      </w:r>
      <w:r w:rsidR="00551B31" w:rsidRPr="00C45026">
        <w:t>dministration</w:t>
      </w:r>
      <w:r w:rsidR="007D1B16" w:rsidRPr="00C45026">
        <w:t xml:space="preserve"> in 2021</w:t>
      </w:r>
      <w:r w:rsidR="00C9136D" w:rsidRPr="00C45026">
        <w:t>,</w:t>
      </w:r>
      <w:r w:rsidR="00551B31" w:rsidRPr="00C45026">
        <w:t xml:space="preserve"> the Department of Justice (DOJ) impos</w:t>
      </w:r>
      <w:r w:rsidR="00C9136D" w:rsidRPr="00C45026">
        <w:t>ed</w:t>
      </w:r>
      <w:r w:rsidR="00551B31" w:rsidRPr="00C45026">
        <w:t xml:space="preserve"> a federal moratorium on </w:t>
      </w:r>
      <w:r w:rsidR="00BF11C4" w:rsidRPr="00C45026">
        <w:t>executions</w:t>
      </w:r>
      <w:r w:rsidR="00C9136D" w:rsidRPr="00C45026">
        <w:t>, reversing course</w:t>
      </w:r>
      <w:r w:rsidR="00551B31" w:rsidRPr="00C45026">
        <w:t xml:space="preserve"> after the previous administration </w:t>
      </w:r>
      <w:r w:rsidR="00FF3CCE" w:rsidRPr="00C45026">
        <w:t xml:space="preserve">had </w:t>
      </w:r>
      <w:r w:rsidR="00551B31" w:rsidRPr="00C45026">
        <w:t xml:space="preserve">resumed federal executions after a 17-year </w:t>
      </w:r>
      <w:r w:rsidR="00FF3CCE" w:rsidRPr="00C45026">
        <w:t>de facto moratorium</w:t>
      </w:r>
      <w:r w:rsidR="00551B31" w:rsidRPr="00C45026">
        <w:t xml:space="preserve">. Although the strides under the current administration are a step forward, the DOJ is actively seeking </w:t>
      </w:r>
      <w:r w:rsidR="005B249A" w:rsidRPr="00C45026">
        <w:t xml:space="preserve">the death penalty </w:t>
      </w:r>
      <w:r w:rsidR="00551B31" w:rsidRPr="00C45026">
        <w:t xml:space="preserve">and defending existing death sentences. Additionally, </w:t>
      </w:r>
      <w:r w:rsidR="00E73D9D" w:rsidRPr="00C45026">
        <w:t xml:space="preserve">a majority of </w:t>
      </w:r>
      <w:r w:rsidR="00551B31" w:rsidRPr="00C45026">
        <w:t xml:space="preserve">states </w:t>
      </w:r>
      <w:r w:rsidR="00E73D9D" w:rsidRPr="00C45026">
        <w:t xml:space="preserve">retain </w:t>
      </w:r>
      <w:r w:rsidR="00551B31" w:rsidRPr="00C45026">
        <w:t>the death penalty</w:t>
      </w:r>
      <w:r w:rsidR="00E73D9D" w:rsidRPr="00C45026">
        <w:t>,</w:t>
      </w:r>
      <w:r w:rsidR="00551B31" w:rsidRPr="00C45026">
        <w:t xml:space="preserve"> </w:t>
      </w:r>
      <w:r w:rsidR="00E73D9D" w:rsidRPr="00C45026">
        <w:t xml:space="preserve">and many states </w:t>
      </w:r>
      <w:r w:rsidR="00551B31" w:rsidRPr="00C45026">
        <w:t xml:space="preserve">are still sentencing and executing </w:t>
      </w:r>
      <w:r w:rsidR="00E73D9D" w:rsidRPr="00C45026">
        <w:t xml:space="preserve">members of racial and ethnic minority groups </w:t>
      </w:r>
      <w:r w:rsidR="00551B31" w:rsidRPr="00C45026">
        <w:t xml:space="preserve">at </w:t>
      </w:r>
      <w:r w:rsidRPr="00C45026">
        <w:t xml:space="preserve">a disproportionate </w:t>
      </w:r>
      <w:r w:rsidR="00551B31" w:rsidRPr="00C45026">
        <w:t>rate</w:t>
      </w:r>
      <w:r w:rsidRPr="00C45026">
        <w:t xml:space="preserve">. </w:t>
      </w:r>
    </w:p>
    <w:p w14:paraId="5D2DC015" w14:textId="64822D99" w:rsidR="009E4722" w:rsidRPr="00C45026" w:rsidRDefault="009E4722" w:rsidP="007B46CD">
      <w:pPr>
        <w:numPr>
          <w:ilvl w:val="0"/>
          <w:numId w:val="7"/>
        </w:numPr>
        <w:spacing w:after="120"/>
        <w:ind w:left="360"/>
        <w:jc w:val="both"/>
      </w:pPr>
      <w:r w:rsidRPr="00C45026">
        <w:t>Women constitute slightly more than two percent of the death row population</w:t>
      </w:r>
      <w:r w:rsidR="00312145" w:rsidRPr="00C45026">
        <w:t xml:space="preserve">, with 53 women on death row. The overwhelming majority of these women were victims of severe and prolonged gender-based violence before their incarceration. Yet courts often fail to recognize such </w:t>
      </w:r>
      <w:r w:rsidR="002A2FE6" w:rsidRPr="00C45026">
        <w:t>evidence as mitigation.</w:t>
      </w:r>
      <w:r w:rsidR="002A2FE6" w:rsidRPr="00C45026">
        <w:rPr>
          <w:rStyle w:val="FootnoteReference"/>
        </w:rPr>
        <w:footnoteReference w:id="2"/>
      </w:r>
    </w:p>
    <w:p w14:paraId="1F2D6E89" w14:textId="78D88FBF" w:rsidR="00551B31" w:rsidRPr="00C45026" w:rsidRDefault="00A426BF" w:rsidP="00367A0B">
      <w:pPr>
        <w:numPr>
          <w:ilvl w:val="0"/>
          <w:numId w:val="7"/>
        </w:numPr>
        <w:spacing w:after="120"/>
        <w:ind w:left="360"/>
        <w:jc w:val="both"/>
      </w:pPr>
      <w:r w:rsidRPr="00C45026">
        <w:t xml:space="preserve">The primary method of </w:t>
      </w:r>
      <w:r w:rsidR="00516AED" w:rsidRPr="00C45026">
        <w:t xml:space="preserve">execution </w:t>
      </w:r>
      <w:r w:rsidRPr="00C45026">
        <w:t>is lethal injection. Botched executions continue to be a problem</w:t>
      </w:r>
      <w:r w:rsidR="003D7929" w:rsidRPr="00C45026">
        <w:t>.</w:t>
      </w:r>
      <w:r w:rsidRPr="00C45026">
        <w:t xml:space="preserve"> Lethal injections often fail when </w:t>
      </w:r>
      <w:r w:rsidR="0039605B" w:rsidRPr="00C45026">
        <w:t>execution teams are unable</w:t>
      </w:r>
      <w:r w:rsidRPr="00C45026">
        <w:t xml:space="preserve"> </w:t>
      </w:r>
      <w:r w:rsidR="0039605B" w:rsidRPr="00C45026">
        <w:t>to set</w:t>
      </w:r>
      <w:r w:rsidRPr="00C45026">
        <w:t xml:space="preserve"> the intravenous line</w:t>
      </w:r>
      <w:r w:rsidR="0039605B" w:rsidRPr="00C45026">
        <w:t xml:space="preserve"> or when the drugs </w:t>
      </w:r>
      <w:r w:rsidR="006F51E1" w:rsidRPr="00C45026">
        <w:t>do not have their intended effect</w:t>
      </w:r>
      <w:r w:rsidRPr="00C45026">
        <w:t xml:space="preserve">. </w:t>
      </w:r>
      <w:r w:rsidR="0039605B" w:rsidRPr="00C45026">
        <w:t xml:space="preserve">Due to the unpredictability of the drugs’ effects, </w:t>
      </w:r>
      <w:r w:rsidR="006F51E1" w:rsidRPr="00C45026">
        <w:t xml:space="preserve">people </w:t>
      </w:r>
      <w:r w:rsidR="00DE163D" w:rsidRPr="00C45026">
        <w:t xml:space="preserve">being executed </w:t>
      </w:r>
      <w:r w:rsidR="0039605B" w:rsidRPr="00C45026">
        <w:t xml:space="preserve">may not even be conscious during the reading of the death warrant and </w:t>
      </w:r>
      <w:r w:rsidR="00DE163D" w:rsidRPr="00C45026">
        <w:t xml:space="preserve">may be </w:t>
      </w:r>
      <w:r w:rsidR="0039605B" w:rsidRPr="00C45026">
        <w:t>too incapacitated to say their last words.</w:t>
      </w:r>
      <w:r w:rsidR="00DE163D" w:rsidRPr="00C45026">
        <w:t xml:space="preserve"> </w:t>
      </w:r>
    </w:p>
    <w:p w14:paraId="5020BB4F" w14:textId="294035BB" w:rsidR="00551B31" w:rsidRPr="00C45026" w:rsidRDefault="003C3818" w:rsidP="007B46CD">
      <w:pPr>
        <w:numPr>
          <w:ilvl w:val="0"/>
          <w:numId w:val="7"/>
        </w:numPr>
        <w:spacing w:after="120"/>
        <w:ind w:left="360"/>
        <w:jc w:val="both"/>
      </w:pPr>
      <w:r w:rsidRPr="00C45026">
        <w:t xml:space="preserve">Wrongful conviction continues to be a serious problem in the United States. With more states allowing death sentences absent a unanimous verdict and a lack of effective legal representation, wrongful convictions are likely to continue. Foreign nationals are even more likely to be wrongfully convicted, as </w:t>
      </w:r>
      <w:r w:rsidR="004B6338" w:rsidRPr="00C45026">
        <w:t xml:space="preserve">jurisdictions in </w:t>
      </w:r>
      <w:r w:rsidRPr="00C45026">
        <w:t xml:space="preserve">the United States </w:t>
      </w:r>
      <w:r w:rsidR="004B6338" w:rsidRPr="00C45026">
        <w:t xml:space="preserve">often fail </w:t>
      </w:r>
      <w:r w:rsidRPr="00C45026">
        <w:t xml:space="preserve">to uphold </w:t>
      </w:r>
      <w:r w:rsidR="004B6338" w:rsidRPr="00C45026">
        <w:t xml:space="preserve">their </w:t>
      </w:r>
      <w:r w:rsidRPr="00C45026">
        <w:t xml:space="preserve">consular notification and access obligations. </w:t>
      </w:r>
    </w:p>
    <w:p w14:paraId="347F4474" w14:textId="5E942A04" w:rsidR="00551B31" w:rsidRPr="00C45026" w:rsidRDefault="00551B31" w:rsidP="00551B31">
      <w:pPr>
        <w:numPr>
          <w:ilvl w:val="0"/>
          <w:numId w:val="7"/>
        </w:numPr>
        <w:spacing w:after="120"/>
        <w:ind w:left="360"/>
        <w:jc w:val="both"/>
      </w:pPr>
      <w:r w:rsidRPr="00C45026">
        <w:t xml:space="preserve">This report addresses the United States’ compliance with its human rights obligations under the </w:t>
      </w:r>
      <w:r w:rsidR="00C960AE" w:rsidRPr="00C45026">
        <w:t xml:space="preserve">International Covenant on Civil and Political Rights </w:t>
      </w:r>
      <w:r w:rsidRPr="00C45026">
        <w:t>regarding the death penalty</w:t>
      </w:r>
      <w:r w:rsidR="00392FAF" w:rsidRPr="00C45026">
        <w:t xml:space="preserve"> and provides several suggested recommendations to address death penalty issues in the United States. </w:t>
      </w:r>
    </w:p>
    <w:p w14:paraId="51BE79E2" w14:textId="017A0ABC" w:rsidR="004E150B" w:rsidRPr="00C45026" w:rsidRDefault="00886032" w:rsidP="001B6B1D">
      <w:pPr>
        <w:keepNext/>
        <w:spacing w:after="120"/>
        <w:jc w:val="center"/>
        <w:rPr>
          <w:b/>
        </w:rPr>
      </w:pPr>
      <w:r w:rsidRPr="00C45026">
        <w:rPr>
          <w:b/>
        </w:rPr>
        <w:t>The United States</w:t>
      </w:r>
      <w:r w:rsidR="008F2F99" w:rsidRPr="00C45026">
        <w:rPr>
          <w:b/>
        </w:rPr>
        <w:t xml:space="preserve"> fails to uphold its obligations under the </w:t>
      </w:r>
      <w:r w:rsidRPr="00C45026">
        <w:rPr>
          <w:b/>
        </w:rPr>
        <w:t>International Covenant on Civil and Political Rights</w:t>
      </w:r>
    </w:p>
    <w:p w14:paraId="71FF20C1" w14:textId="6B081DAF" w:rsidR="004B1E4E" w:rsidRPr="00C45026" w:rsidRDefault="003F6EFC" w:rsidP="00F23CD7">
      <w:pPr>
        <w:keepNext/>
        <w:numPr>
          <w:ilvl w:val="0"/>
          <w:numId w:val="8"/>
        </w:numPr>
        <w:spacing w:before="240" w:after="240"/>
        <w:ind w:left="720" w:hanging="360"/>
        <w:rPr>
          <w:b/>
        </w:rPr>
      </w:pPr>
      <w:r w:rsidRPr="00C45026">
        <w:rPr>
          <w:b/>
        </w:rPr>
        <w:t>Right to life</w:t>
      </w:r>
      <w:r w:rsidR="003371BA" w:rsidRPr="00C45026">
        <w:rPr>
          <w:b/>
        </w:rPr>
        <w:t xml:space="preserve"> – The Death Penalty </w:t>
      </w:r>
      <w:r w:rsidRPr="00C45026">
        <w:rPr>
          <w:b/>
        </w:rPr>
        <w:t>(List of Issues, para. 13)</w:t>
      </w:r>
    </w:p>
    <w:p w14:paraId="62347380" w14:textId="0B87F6ED" w:rsidR="00392FAF" w:rsidRPr="00C45026" w:rsidRDefault="00392FAF" w:rsidP="00392FAF">
      <w:pPr>
        <w:numPr>
          <w:ilvl w:val="0"/>
          <w:numId w:val="7"/>
        </w:numPr>
        <w:spacing w:after="120"/>
        <w:ind w:left="360"/>
        <w:jc w:val="both"/>
        <w:rPr>
          <w:b/>
          <w:bCs/>
        </w:rPr>
      </w:pPr>
      <w:r w:rsidRPr="00C45026">
        <w:t xml:space="preserve">In its 2019 List of Issues, the Committee requested further information </w:t>
      </w:r>
      <w:r w:rsidR="00764D93" w:rsidRPr="00C45026">
        <w:t xml:space="preserve">on </w:t>
      </w:r>
      <w:r w:rsidRPr="00C45026">
        <w:t xml:space="preserve">the death penalty in the United States, including </w:t>
      </w:r>
      <w:r w:rsidR="00764D93" w:rsidRPr="00C45026">
        <w:t xml:space="preserve">the </w:t>
      </w:r>
      <w:r w:rsidRPr="00C45026">
        <w:t>number of executions carried out, the sentences, ages, and ethnic origin of those sentenced to death, and the execution methods used.</w:t>
      </w:r>
      <w:r w:rsidRPr="00C45026">
        <w:rPr>
          <w:rStyle w:val="FootnoteReference"/>
        </w:rPr>
        <w:footnoteReference w:id="3"/>
      </w:r>
      <w:r w:rsidRPr="00C45026">
        <w:t xml:space="preserve"> The Committee also requested information on whether the execution methods used have been reviewed for </w:t>
      </w:r>
      <w:r w:rsidRPr="00C45026">
        <w:lastRenderedPageBreak/>
        <w:t>compliance with the Covenant and the steps taken to prevent wrongful convictions and compensate the exonerated.</w:t>
      </w:r>
      <w:r w:rsidRPr="00C45026">
        <w:rPr>
          <w:rStyle w:val="FootnoteReference"/>
        </w:rPr>
        <w:footnoteReference w:id="4"/>
      </w:r>
      <w:r w:rsidRPr="00C45026">
        <w:t xml:space="preserve"> Further, the Committee asked the United States for information on the steps taken to implement the International Court of Justice’s decision in </w:t>
      </w:r>
      <w:r w:rsidRPr="00C45026">
        <w:rPr>
          <w:i/>
          <w:iCs/>
        </w:rPr>
        <w:t>Mexico v. United States of America</w:t>
      </w:r>
      <w:r w:rsidRPr="00C45026">
        <w:t>.</w:t>
      </w:r>
      <w:r w:rsidRPr="00C45026">
        <w:rPr>
          <w:rStyle w:val="FootnoteReference"/>
        </w:rPr>
        <w:footnoteReference w:id="5"/>
      </w:r>
      <w:r w:rsidRPr="00C45026">
        <w:t xml:space="preserve"> Lastly, the Committee asked whether the United States has considered a federal moratorium on executions, with a view toward abolishing the death penalty.</w:t>
      </w:r>
      <w:r w:rsidRPr="00C45026">
        <w:rPr>
          <w:rStyle w:val="FootnoteReference"/>
        </w:rPr>
        <w:footnoteReference w:id="6"/>
      </w:r>
    </w:p>
    <w:p w14:paraId="113FE4EC" w14:textId="70B2544C" w:rsidR="00392FAF" w:rsidRPr="00C45026" w:rsidRDefault="00392FAF" w:rsidP="00392FAF">
      <w:pPr>
        <w:numPr>
          <w:ilvl w:val="0"/>
          <w:numId w:val="7"/>
        </w:numPr>
        <w:spacing w:after="120"/>
        <w:ind w:left="360"/>
        <w:jc w:val="both"/>
      </w:pPr>
      <w:r w:rsidRPr="00C45026">
        <w:t xml:space="preserve">In its 2021 State Party Report, the United States </w:t>
      </w:r>
      <w:r w:rsidR="00764D93" w:rsidRPr="00C45026">
        <w:t>indicated</w:t>
      </w:r>
      <w:r w:rsidRPr="00C45026">
        <w:t xml:space="preserve"> that it was not considering a federal moratorium on the death penalty</w:t>
      </w:r>
      <w:r w:rsidR="008E4798" w:rsidRPr="00C45026">
        <w:t>.</w:t>
      </w:r>
      <w:r w:rsidRPr="00C45026">
        <w:rPr>
          <w:rStyle w:val="FootnoteReference"/>
        </w:rPr>
        <w:footnoteReference w:id="7"/>
      </w:r>
      <w:r w:rsidRPr="00C45026">
        <w:t xml:space="preserve"> The United States explained that the death penalty is primarily imposed for murder or participation in a murder, as well as certain drug-related crimes, treason, and espionage.</w:t>
      </w:r>
      <w:r w:rsidRPr="00C45026">
        <w:rPr>
          <w:rStyle w:val="FootnoteReference"/>
        </w:rPr>
        <w:footnoteReference w:id="8"/>
      </w:r>
      <w:r w:rsidR="008C29E8" w:rsidRPr="00C45026">
        <w:t xml:space="preserve"> The United States assert</w:t>
      </w:r>
      <w:r w:rsidR="00C35966" w:rsidRPr="00C45026">
        <w:t>ed</w:t>
      </w:r>
      <w:r w:rsidR="008C29E8" w:rsidRPr="00C45026">
        <w:t xml:space="preserve"> that criminal defendants in capital cases have the right to challenge the makeup of the jury, and defendants who allege that the application of the death penalty was racially motivated may </w:t>
      </w:r>
      <w:r w:rsidR="00F67F2C" w:rsidRPr="00C45026">
        <w:t xml:space="preserve">raise </w:t>
      </w:r>
      <w:r w:rsidR="008C29E8" w:rsidRPr="00C45026">
        <w:t>challenge</w:t>
      </w:r>
      <w:r w:rsidR="00F67F2C" w:rsidRPr="00C45026">
        <w:t>s</w:t>
      </w:r>
      <w:r w:rsidR="008C29E8" w:rsidRPr="00C45026">
        <w:t xml:space="preserve"> in state and federal court.</w:t>
      </w:r>
      <w:r w:rsidR="008C29E8" w:rsidRPr="00C45026">
        <w:rPr>
          <w:rStyle w:val="FootnoteReference"/>
        </w:rPr>
        <w:footnoteReference w:id="9"/>
      </w:r>
      <w:r w:rsidRPr="00C45026">
        <w:t xml:space="preserve"> </w:t>
      </w:r>
      <w:r w:rsidR="0039605B" w:rsidRPr="00C45026">
        <w:t>The United States affirmed that states “continue to evaluate the drugs used in lethal injection” because of recent court challenges ruling that certain lethal injection protocols inflict unconstitutionally cruel pain.</w:t>
      </w:r>
      <w:r w:rsidR="0039605B" w:rsidRPr="00C45026">
        <w:rPr>
          <w:rStyle w:val="FootnoteReference"/>
        </w:rPr>
        <w:footnoteReference w:id="10"/>
      </w:r>
      <w:r w:rsidR="0039605B" w:rsidRPr="00C45026">
        <w:t xml:space="preserve"> </w:t>
      </w:r>
      <w:r w:rsidR="008E4798" w:rsidRPr="00C45026">
        <w:t>T</w:t>
      </w:r>
      <w:r w:rsidRPr="00C45026">
        <w:t>he United States asserts that the “U.S. criminal justice system is designed to minimize the risk of wrongful convictions” through procedural safeguards like the “presumption of innocence, the proof beyond a reasonable doubt standard, the requirement of a unanimous jury, appointment of counsel for indigent defendants, discovery and due process rules, and appellate and post-conviction review.”</w:t>
      </w:r>
      <w:r w:rsidRPr="00C45026">
        <w:rPr>
          <w:rStyle w:val="FootnoteReference"/>
        </w:rPr>
        <w:footnoteReference w:id="11"/>
      </w:r>
      <w:r w:rsidRPr="00C45026">
        <w:t xml:space="preserve"> Lastly, the United States </w:t>
      </w:r>
      <w:r w:rsidR="00764D93" w:rsidRPr="00C45026">
        <w:t>asserted</w:t>
      </w:r>
      <w:r w:rsidRPr="00C45026">
        <w:t xml:space="preserve"> that it takes its international obligations with respect to consular notice and access seriously and has taken steps to comply with the </w:t>
      </w:r>
      <w:r w:rsidRPr="00C45026">
        <w:rPr>
          <w:i/>
          <w:iCs/>
        </w:rPr>
        <w:t>Mexico v. United States of America</w:t>
      </w:r>
      <w:r w:rsidRPr="00C45026">
        <w:t xml:space="preserve"> decision, including presenting legislation, urging state authorities to give effect to the decision, updating the Federal Rules of Criminal Procedure to facilitate consular notification and access, and providing trainings and resources regarding consular notification and access.</w:t>
      </w:r>
      <w:r w:rsidRPr="00C45026">
        <w:rPr>
          <w:rStyle w:val="FootnoteReference"/>
        </w:rPr>
        <w:footnoteReference w:id="12"/>
      </w:r>
    </w:p>
    <w:p w14:paraId="5B3DE908" w14:textId="22030970" w:rsidR="00392FAF" w:rsidRPr="00C45026" w:rsidRDefault="00392FAF" w:rsidP="00392FAF">
      <w:pPr>
        <w:numPr>
          <w:ilvl w:val="0"/>
          <w:numId w:val="7"/>
        </w:numPr>
        <w:spacing w:after="120"/>
        <w:ind w:left="360"/>
        <w:jc w:val="both"/>
      </w:pPr>
      <w:r w:rsidRPr="00C45026">
        <w:t>As of 2023, 27 states, the United States Government, and the United States Military have the death penalty.</w:t>
      </w:r>
      <w:r w:rsidRPr="00C45026">
        <w:rPr>
          <w:rStyle w:val="FootnoteReference"/>
        </w:rPr>
        <w:footnoteReference w:id="13"/>
      </w:r>
      <w:r w:rsidRPr="00C45026">
        <w:t xml:space="preserve"> Three states recently abolished the death penalty,</w:t>
      </w:r>
      <w:r w:rsidRPr="00C45026">
        <w:rPr>
          <w:rStyle w:val="FootnoteReference"/>
        </w:rPr>
        <w:footnoteReference w:id="14"/>
      </w:r>
      <w:r w:rsidRPr="00C45026">
        <w:t xml:space="preserve"> including Virginia which</w:t>
      </w:r>
      <w:r w:rsidR="00427EE6" w:rsidRPr="00C45026">
        <w:t>, since 1976,</w:t>
      </w:r>
      <w:r w:rsidRPr="00C45026">
        <w:t xml:space="preserve"> </w:t>
      </w:r>
      <w:r w:rsidR="00764D93" w:rsidRPr="00C45026">
        <w:t xml:space="preserve">had </w:t>
      </w:r>
      <w:r w:rsidRPr="00C45026">
        <w:t>carried out more executions than any state other than Texas.</w:t>
      </w:r>
      <w:r w:rsidRPr="00C45026">
        <w:rPr>
          <w:rStyle w:val="FootnoteReference"/>
        </w:rPr>
        <w:footnoteReference w:id="15"/>
      </w:r>
      <w:r w:rsidRPr="00C45026">
        <w:t xml:space="preserve"> In addition,</w:t>
      </w:r>
      <w:r w:rsidR="00763922" w:rsidRPr="00C45026">
        <w:t xml:space="preserve"> of </w:t>
      </w:r>
      <w:r w:rsidR="00763922" w:rsidRPr="00C45026">
        <w:lastRenderedPageBreak/>
        <w:t>the 27 states that retain the death penalty,</w:t>
      </w:r>
      <w:r w:rsidRPr="00C45026">
        <w:t xml:space="preserve"> </w:t>
      </w:r>
      <w:r w:rsidR="00763922" w:rsidRPr="00C45026">
        <w:t xml:space="preserve">3 </w:t>
      </w:r>
      <w:r w:rsidR="00764D93" w:rsidRPr="00C45026">
        <w:t xml:space="preserve">now </w:t>
      </w:r>
      <w:r w:rsidRPr="00C45026">
        <w:t>have gubernatorial moratori</w:t>
      </w:r>
      <w:r w:rsidR="000133E2" w:rsidRPr="00C45026">
        <w:t>a</w:t>
      </w:r>
      <w:r w:rsidRPr="00C45026">
        <w:t xml:space="preserve"> on the death penalty,</w:t>
      </w:r>
      <w:r w:rsidRPr="00C45026">
        <w:rPr>
          <w:rStyle w:val="FootnoteReference"/>
        </w:rPr>
        <w:footnoteReference w:id="16"/>
      </w:r>
      <w:r w:rsidRPr="00C45026">
        <w:t xml:space="preserve"> and </w:t>
      </w:r>
      <w:r w:rsidR="00763922" w:rsidRPr="00C45026">
        <w:t xml:space="preserve">2 </w:t>
      </w:r>
      <w:r w:rsidRPr="00C45026">
        <w:t>have “holds” on executions.</w:t>
      </w:r>
      <w:r w:rsidRPr="00C45026">
        <w:rPr>
          <w:rStyle w:val="FootnoteReference"/>
        </w:rPr>
        <w:footnoteReference w:id="17"/>
      </w:r>
    </w:p>
    <w:p w14:paraId="29209658" w14:textId="011ADCE8" w:rsidR="00392FAF" w:rsidRPr="00C45026" w:rsidRDefault="00392FAF" w:rsidP="00721D5F">
      <w:pPr>
        <w:numPr>
          <w:ilvl w:val="0"/>
          <w:numId w:val="7"/>
        </w:numPr>
        <w:spacing w:after="120"/>
        <w:ind w:left="360"/>
        <w:jc w:val="both"/>
      </w:pPr>
      <w:r w:rsidRPr="00C45026">
        <w:t>Since the United States’ response</w:t>
      </w:r>
      <w:r w:rsidR="005A3756" w:rsidRPr="00C45026">
        <w:t xml:space="preserve"> to the List of Issues in early 2021</w:t>
      </w:r>
      <w:r w:rsidRPr="00C45026">
        <w:t xml:space="preserve">, </w:t>
      </w:r>
      <w:r w:rsidR="00990ED5" w:rsidRPr="00C45026">
        <w:t xml:space="preserve">federal authorities have </w:t>
      </w:r>
      <w:r w:rsidR="005A3756" w:rsidRPr="00C45026">
        <w:t xml:space="preserve">announced </w:t>
      </w:r>
      <w:r w:rsidRPr="00C45026">
        <w:t xml:space="preserve">a moratorium on federal </w:t>
      </w:r>
      <w:r w:rsidR="008C6F1C" w:rsidRPr="00C45026">
        <w:t>executions</w:t>
      </w:r>
      <w:r w:rsidRPr="00C45026">
        <w:t xml:space="preserve"> pending review of execution policies and procedures.</w:t>
      </w:r>
      <w:r w:rsidRPr="00C45026">
        <w:rPr>
          <w:rStyle w:val="FootnoteReference"/>
        </w:rPr>
        <w:footnoteReference w:id="18"/>
      </w:r>
      <w:r w:rsidRPr="00C45026">
        <w:t xml:space="preserve"> Since taking office, the Biden Administration has reversed decisions of previous administrations to seek the death penalty in 27 cases.</w:t>
      </w:r>
      <w:r w:rsidRPr="00C45026">
        <w:rPr>
          <w:rStyle w:val="FootnoteReference"/>
        </w:rPr>
        <w:footnoteReference w:id="19"/>
      </w:r>
      <w:r w:rsidR="00721D5F" w:rsidRPr="00C45026">
        <w:t xml:space="preserve"> </w:t>
      </w:r>
    </w:p>
    <w:p w14:paraId="149783BB" w14:textId="0EB34FCC" w:rsidR="00551B31" w:rsidRPr="00C45026" w:rsidRDefault="00551B31" w:rsidP="00392FAF">
      <w:pPr>
        <w:spacing w:after="120"/>
        <w:jc w:val="both"/>
        <w:rPr>
          <w:i/>
          <w:iCs/>
        </w:rPr>
      </w:pPr>
      <w:r w:rsidRPr="00C45026">
        <w:rPr>
          <w:i/>
          <w:iCs/>
        </w:rPr>
        <w:t>Federal Death Penalty</w:t>
      </w:r>
    </w:p>
    <w:p w14:paraId="7914BE25" w14:textId="45DB2E6F" w:rsidR="00551B31" w:rsidRPr="00C45026" w:rsidRDefault="00551B31" w:rsidP="001B6B1D">
      <w:pPr>
        <w:numPr>
          <w:ilvl w:val="0"/>
          <w:numId w:val="7"/>
        </w:numPr>
        <w:spacing w:after="120"/>
        <w:ind w:left="360"/>
        <w:jc w:val="both"/>
      </w:pPr>
      <w:r w:rsidRPr="00C45026">
        <w:t xml:space="preserve">In the 2021 State Party Report, the United States </w:t>
      </w:r>
      <w:r w:rsidR="00764D93" w:rsidRPr="00C45026">
        <w:t>noted</w:t>
      </w:r>
      <w:r w:rsidRPr="00C45026">
        <w:t xml:space="preserve"> that at the federal level, the death penalty is primarily imposed for murder or participation in a murder and that offenses other than murder could also lead to the death penalty.</w:t>
      </w:r>
      <w:r w:rsidRPr="00C45026">
        <w:rPr>
          <w:rStyle w:val="FootnoteReference"/>
        </w:rPr>
        <w:footnoteReference w:id="20"/>
      </w:r>
      <w:r w:rsidRPr="00C45026">
        <w:t xml:space="preserve"> </w:t>
      </w:r>
      <w:r w:rsidR="003F602C" w:rsidRPr="00C45026">
        <w:t>That report, h</w:t>
      </w:r>
      <w:r w:rsidRPr="00C45026">
        <w:t xml:space="preserve">owever, </w:t>
      </w:r>
      <w:r w:rsidR="003F602C" w:rsidRPr="00C45026">
        <w:t xml:space="preserve">fails to </w:t>
      </w:r>
      <w:r w:rsidRPr="00C45026">
        <w:t>address the 1994 Violent Crime Control and Law Enforcement Act</w:t>
      </w:r>
      <w:r w:rsidR="00621D66" w:rsidRPr="00C45026">
        <w:t>, which</w:t>
      </w:r>
      <w:r w:rsidRPr="00C45026">
        <w:t xml:space="preserve"> exacerbated racial disparities in the criminal justice system and continu</w:t>
      </w:r>
      <w:r w:rsidR="007A64C1" w:rsidRPr="00C45026">
        <w:t>es</w:t>
      </w:r>
      <w:r w:rsidRPr="00C45026">
        <w:t xml:space="preserve"> to hurt </w:t>
      </w:r>
      <w:r w:rsidR="00BB382B" w:rsidRPr="00C45026">
        <w:t>members of racial and ethnic minority groups</w:t>
      </w:r>
      <w:r w:rsidRPr="00C45026">
        <w:t>.</w:t>
      </w:r>
      <w:r w:rsidRPr="00C45026">
        <w:rPr>
          <w:rStyle w:val="FootnoteReference"/>
        </w:rPr>
        <w:footnoteReference w:id="21"/>
      </w:r>
      <w:r w:rsidRPr="00C45026">
        <w:t xml:space="preserve"> The </w:t>
      </w:r>
      <w:r w:rsidR="0072424B" w:rsidRPr="00C45026">
        <w:t>law</w:t>
      </w:r>
      <w:r w:rsidRPr="00C45026">
        <w:t xml:space="preserve"> expanded the </w:t>
      </w:r>
      <w:r w:rsidR="00AF7C38" w:rsidRPr="00C45026">
        <w:t xml:space="preserve">scope of the </w:t>
      </w:r>
      <w:r w:rsidRPr="00C45026">
        <w:t>death penalty by authorizing the death penalty for 60 new federal offenses, levied harsh new penalties for youth</w:t>
      </w:r>
      <w:r w:rsidR="00AF7C38" w:rsidRPr="00C45026">
        <w:t xml:space="preserve"> in conflict with the law,</w:t>
      </w:r>
      <w:r w:rsidRPr="00C45026">
        <w:t xml:space="preserve"> and imposed mandatory sentences for individuals with three or more felony convictions.</w:t>
      </w:r>
      <w:r w:rsidRPr="00C45026">
        <w:rPr>
          <w:rStyle w:val="FootnoteReference"/>
        </w:rPr>
        <w:footnoteReference w:id="22"/>
      </w:r>
      <w:r w:rsidRPr="00C45026">
        <w:t xml:space="preserve"> Five years after the </w:t>
      </w:r>
      <w:r w:rsidR="0072424B" w:rsidRPr="00C45026">
        <w:t xml:space="preserve">law </w:t>
      </w:r>
      <w:r w:rsidRPr="00C45026">
        <w:t xml:space="preserve">was enacted, </w:t>
      </w:r>
      <w:r w:rsidR="00C94C82" w:rsidRPr="00C45026">
        <w:t xml:space="preserve">74% of individuals </w:t>
      </w:r>
      <w:r w:rsidR="0072424B" w:rsidRPr="00C45026">
        <w:t xml:space="preserve">whom federal prosecutors </w:t>
      </w:r>
      <w:r w:rsidR="00C94C82" w:rsidRPr="00C45026">
        <w:t>recommended for the death penalty were</w:t>
      </w:r>
      <w:r w:rsidRPr="00C45026">
        <w:t xml:space="preserve"> </w:t>
      </w:r>
      <w:r w:rsidR="0072424B" w:rsidRPr="00C45026">
        <w:t>members of racial or ethnic minority groups</w:t>
      </w:r>
      <w:r w:rsidRPr="00C45026">
        <w:t xml:space="preserve">. </w:t>
      </w:r>
      <w:r w:rsidRPr="00C45026">
        <w:rPr>
          <w:rStyle w:val="FootnoteReference"/>
        </w:rPr>
        <w:footnoteReference w:id="23"/>
      </w:r>
      <w:r w:rsidR="0064494E" w:rsidRPr="00C45026">
        <w:t xml:space="preserve"> </w:t>
      </w:r>
    </w:p>
    <w:p w14:paraId="1E5A6CFF" w14:textId="429184F8" w:rsidR="00A066B1" w:rsidRPr="00C45026" w:rsidRDefault="00A066B1" w:rsidP="001B6B1D">
      <w:pPr>
        <w:numPr>
          <w:ilvl w:val="0"/>
          <w:numId w:val="7"/>
        </w:numPr>
        <w:spacing w:after="120"/>
        <w:ind w:left="360"/>
        <w:jc w:val="both"/>
      </w:pPr>
      <w:bookmarkStart w:id="4" w:name="_Ref145410314"/>
      <w:r w:rsidRPr="00C45026">
        <w:t>As of 2023, there are 4</w:t>
      </w:r>
      <w:r w:rsidR="00567F1B" w:rsidRPr="00C45026">
        <w:t>2</w:t>
      </w:r>
      <w:r w:rsidRPr="00C45026">
        <w:t xml:space="preserve"> </w:t>
      </w:r>
      <w:r w:rsidR="00AC24D5" w:rsidRPr="00C45026">
        <w:t xml:space="preserve">people on </w:t>
      </w:r>
      <w:r w:rsidR="00B81BC5" w:rsidRPr="00C45026">
        <w:t>f</w:t>
      </w:r>
      <w:r w:rsidRPr="00C45026">
        <w:t xml:space="preserve">ederal </w:t>
      </w:r>
      <w:r w:rsidR="00B81BC5" w:rsidRPr="00C45026">
        <w:t>d</w:t>
      </w:r>
      <w:r w:rsidRPr="00C45026">
        <w:t>eath</w:t>
      </w:r>
      <w:r w:rsidR="00B81BC5" w:rsidRPr="00C45026">
        <w:t xml:space="preserve"> r</w:t>
      </w:r>
      <w:r w:rsidRPr="00C45026">
        <w:t>ow</w:t>
      </w:r>
      <w:r w:rsidR="00B81BC5" w:rsidRPr="00C45026">
        <w:t>,</w:t>
      </w:r>
      <w:r w:rsidRPr="00C45026">
        <w:t xml:space="preserve"> of which 1</w:t>
      </w:r>
      <w:r w:rsidR="00150B86" w:rsidRPr="00C45026">
        <w:t>7</w:t>
      </w:r>
      <w:r w:rsidRPr="00C45026">
        <w:t xml:space="preserve"> (4</w:t>
      </w:r>
      <w:r w:rsidR="00150B86" w:rsidRPr="00C45026">
        <w:t>1</w:t>
      </w:r>
      <w:r w:rsidRPr="00C45026">
        <w:t>.</w:t>
      </w:r>
      <w:r w:rsidR="00150B86" w:rsidRPr="00C45026">
        <w:t>5</w:t>
      </w:r>
      <w:r w:rsidRPr="00C45026">
        <w:t xml:space="preserve">%) are </w:t>
      </w:r>
      <w:r w:rsidR="00446170" w:rsidRPr="00C45026">
        <w:t>W</w:t>
      </w:r>
      <w:r w:rsidRPr="00C45026">
        <w:t>hite, 17 (</w:t>
      </w:r>
      <w:r w:rsidR="00150B86" w:rsidRPr="00C45026">
        <w:t>41.5</w:t>
      </w:r>
      <w:r w:rsidRPr="00C45026">
        <w:t>%) are Black, 6 (1</w:t>
      </w:r>
      <w:r w:rsidR="00150B86" w:rsidRPr="00C45026">
        <w:t>4.6</w:t>
      </w:r>
      <w:r w:rsidRPr="00C45026">
        <w:t>%) are Latinx, and 1 (2.</w:t>
      </w:r>
      <w:r w:rsidR="00150B86" w:rsidRPr="00C45026">
        <w:t>4</w:t>
      </w:r>
      <w:r w:rsidRPr="00C45026">
        <w:t>%) is Asian.</w:t>
      </w:r>
      <w:r w:rsidRPr="00C45026">
        <w:rPr>
          <w:vertAlign w:val="superscript"/>
        </w:rPr>
        <w:footnoteReference w:id="24"/>
      </w:r>
      <w:r w:rsidRPr="00C45026">
        <w:t xml:space="preserve"> </w:t>
      </w:r>
      <w:r w:rsidR="00B81BC5" w:rsidRPr="00C45026">
        <w:t xml:space="preserve">Members of racial and ethnic minority groups </w:t>
      </w:r>
      <w:r w:rsidRPr="00C45026">
        <w:t>are still disproportionately overrepresented in death row.</w:t>
      </w:r>
      <w:r w:rsidRPr="00C45026">
        <w:rPr>
          <w:rStyle w:val="FootnoteReference"/>
        </w:rPr>
        <w:footnoteReference w:id="25"/>
      </w:r>
      <w:r w:rsidRPr="00C45026">
        <w:t xml:space="preserve"> For example, </w:t>
      </w:r>
      <w:r w:rsidR="00446170" w:rsidRPr="00C45026">
        <w:t>B</w:t>
      </w:r>
      <w:r w:rsidRPr="00C45026">
        <w:t xml:space="preserve">lack people represent about 13% of the </w:t>
      </w:r>
      <w:r w:rsidR="004B1983" w:rsidRPr="00C45026">
        <w:t xml:space="preserve">overall </w:t>
      </w:r>
      <w:r w:rsidRPr="00C45026">
        <w:t xml:space="preserve">United States population but account for </w:t>
      </w:r>
      <w:r w:rsidR="00DA4EBD" w:rsidRPr="00C45026">
        <w:t>41.5</w:t>
      </w:r>
      <w:r w:rsidRPr="00C45026">
        <w:t>% of the death row population</w:t>
      </w:r>
      <w:r w:rsidR="00C94C82" w:rsidRPr="00C45026">
        <w:t xml:space="preserve"> in the </w:t>
      </w:r>
      <w:r w:rsidR="001C6E62" w:rsidRPr="00C45026">
        <w:t>f</w:t>
      </w:r>
      <w:r w:rsidR="00C94C82" w:rsidRPr="00C45026">
        <w:t>ederal system</w:t>
      </w:r>
      <w:r w:rsidRPr="00C45026">
        <w:t>.</w:t>
      </w:r>
      <w:r w:rsidRPr="00C45026">
        <w:rPr>
          <w:vertAlign w:val="superscript"/>
        </w:rPr>
        <w:footnoteReference w:id="26"/>
      </w:r>
      <w:bookmarkEnd w:id="4"/>
      <w:r w:rsidRPr="00C45026">
        <w:t xml:space="preserve"> </w:t>
      </w:r>
      <w:r w:rsidR="0064494E" w:rsidRPr="00C45026">
        <w:t>Part II of this report addresses racial disparities in the death penalty in greater detail.</w:t>
      </w:r>
    </w:p>
    <w:p w14:paraId="0E144164" w14:textId="4D01BAEF" w:rsidR="00A066B1" w:rsidRPr="00C45026" w:rsidRDefault="00FE1068" w:rsidP="001B6B1D">
      <w:pPr>
        <w:numPr>
          <w:ilvl w:val="0"/>
          <w:numId w:val="7"/>
        </w:numPr>
        <w:spacing w:after="120"/>
        <w:ind w:left="360"/>
        <w:jc w:val="both"/>
      </w:pPr>
      <w:r w:rsidRPr="00C45026">
        <w:lastRenderedPageBreak/>
        <w:t xml:space="preserve">Since </w:t>
      </w:r>
      <w:r w:rsidR="00A066B1" w:rsidRPr="00C45026">
        <w:t xml:space="preserve">January 21, 2021, </w:t>
      </w:r>
      <w:r w:rsidRPr="00C45026">
        <w:t xml:space="preserve">federal </w:t>
      </w:r>
      <w:r w:rsidR="00AC27C7" w:rsidRPr="00C45026">
        <w:t xml:space="preserve">authorities </w:t>
      </w:r>
      <w:r w:rsidRPr="00C45026">
        <w:t xml:space="preserve">have not </w:t>
      </w:r>
      <w:r w:rsidR="00660E14" w:rsidRPr="00C45026">
        <w:t xml:space="preserve">carried out </w:t>
      </w:r>
      <w:r w:rsidR="00AF53CE" w:rsidRPr="00C45026">
        <w:t xml:space="preserve">any new </w:t>
      </w:r>
      <w:r w:rsidR="00A066B1" w:rsidRPr="00C45026">
        <w:t>executions</w:t>
      </w:r>
      <w:r w:rsidRPr="00C45026">
        <w:t>,</w:t>
      </w:r>
      <w:r w:rsidR="00A066B1" w:rsidRPr="00C45026">
        <w:t xml:space="preserve"> due to the federal moratorium </w:t>
      </w:r>
      <w:r w:rsidR="000210A7" w:rsidRPr="00C45026">
        <w:t xml:space="preserve">on executions </w:t>
      </w:r>
      <w:r w:rsidR="00A066B1" w:rsidRPr="00C45026">
        <w:t>put in place by Attorney General Merrick Garland</w:t>
      </w:r>
      <w:r w:rsidR="00D72979" w:rsidRPr="00C45026">
        <w:t xml:space="preserve"> in June 2021</w:t>
      </w:r>
      <w:r w:rsidR="00A066B1" w:rsidRPr="00C45026">
        <w:t>.</w:t>
      </w:r>
      <w:r w:rsidR="00A066B1" w:rsidRPr="00C45026">
        <w:rPr>
          <w:rStyle w:val="FootnoteReference"/>
        </w:rPr>
        <w:footnoteReference w:id="27"/>
      </w:r>
      <w:r w:rsidR="00A066B1" w:rsidRPr="00C45026">
        <w:t xml:space="preserve"> </w:t>
      </w:r>
      <w:r w:rsidR="000210A7" w:rsidRPr="00C45026">
        <w:t xml:space="preserve">Nonetheless, </w:t>
      </w:r>
      <w:r w:rsidR="00DE53DF" w:rsidRPr="00C45026">
        <w:t xml:space="preserve">earlier this year </w:t>
      </w:r>
      <w:r w:rsidR="000210A7" w:rsidRPr="00C45026">
        <w:t>federal prosecutors sought and obtained a death sentence for Robert Bowers, who had been convicted of killing 11 Jewish worshipers at a synagogue in Pittsburg.</w:t>
      </w:r>
      <w:r w:rsidR="0086142D" w:rsidRPr="00C45026">
        <w:rPr>
          <w:rStyle w:val="FootnoteReference"/>
        </w:rPr>
        <w:footnoteReference w:id="28"/>
      </w:r>
      <w:r w:rsidR="00DE53DF" w:rsidRPr="00C45026">
        <w:t xml:space="preserve"> Prosecutors had previously rejected Bowers’ offer to plead guilty in exchange for a sentence of life without the possibility of parole.</w:t>
      </w:r>
      <w:r w:rsidR="00DE53DF" w:rsidRPr="00C45026">
        <w:rPr>
          <w:rStyle w:val="FootnoteReference"/>
        </w:rPr>
        <w:footnoteReference w:id="29"/>
      </w:r>
      <w:r w:rsidR="000210A7" w:rsidRPr="00C45026">
        <w:t xml:space="preserve"> </w:t>
      </w:r>
      <w:r w:rsidR="00943BDC" w:rsidRPr="00C45026">
        <w:t>Earlier in 2023, f</w:t>
      </w:r>
      <w:r w:rsidR="00F0596C" w:rsidRPr="00C45026">
        <w:t xml:space="preserve">ederal prosecutors </w:t>
      </w:r>
      <w:r w:rsidR="00943BDC" w:rsidRPr="00C45026">
        <w:t xml:space="preserve">had </w:t>
      </w:r>
      <w:r w:rsidR="00F0596C" w:rsidRPr="00C45026">
        <w:t>unsuccessfully sought the death penalty for Sayfullo Saipov</w:t>
      </w:r>
      <w:r w:rsidR="00943BDC" w:rsidRPr="00C45026">
        <w:t>, who had been found guilty of killing eight bicyclists in New York City.</w:t>
      </w:r>
      <w:r w:rsidR="00943BDC" w:rsidRPr="00C45026">
        <w:rPr>
          <w:rStyle w:val="FootnoteReference"/>
        </w:rPr>
        <w:footnoteReference w:id="30"/>
      </w:r>
      <w:r w:rsidR="00943BDC" w:rsidRPr="00C45026">
        <w:t xml:space="preserve"> </w:t>
      </w:r>
      <w:r w:rsidR="006B045E" w:rsidRPr="00C45026">
        <w:t>T</w:t>
      </w:r>
      <w:r w:rsidR="00A066B1" w:rsidRPr="00C45026">
        <w:t xml:space="preserve">he DOJ is still </w:t>
      </w:r>
      <w:r w:rsidR="00821438" w:rsidRPr="00C45026">
        <w:t xml:space="preserve">defending death sentences on appeal </w:t>
      </w:r>
      <w:r w:rsidR="00A066B1" w:rsidRPr="00C45026">
        <w:t xml:space="preserve">for some </w:t>
      </w:r>
      <w:r w:rsidR="00821438" w:rsidRPr="00C45026">
        <w:t xml:space="preserve">people currently on federal </w:t>
      </w:r>
      <w:r w:rsidR="00A066B1" w:rsidRPr="00C45026">
        <w:t>death row</w:t>
      </w:r>
      <w:r w:rsidR="00821438" w:rsidRPr="00C45026">
        <w:t>,</w:t>
      </w:r>
      <w:r w:rsidR="00A066B1" w:rsidRPr="00C45026">
        <w:t xml:space="preserve"> such as Dylan Roof (a </w:t>
      </w:r>
      <w:r w:rsidR="0094036B" w:rsidRPr="00C45026">
        <w:t>W</w:t>
      </w:r>
      <w:r w:rsidR="00A066B1" w:rsidRPr="00C45026">
        <w:t xml:space="preserve">hite man who fatally shot nine </w:t>
      </w:r>
      <w:r w:rsidR="0094036B" w:rsidRPr="00C45026">
        <w:t>B</w:t>
      </w:r>
      <w:r w:rsidR="00A066B1" w:rsidRPr="00C45026">
        <w:t>lack people in 2015), and Dzhokhar Tsarnaev (the orchestrator of the Boston Marathon bombing in 2013).</w:t>
      </w:r>
      <w:r w:rsidR="00A066B1" w:rsidRPr="00C45026">
        <w:rPr>
          <w:vertAlign w:val="superscript"/>
        </w:rPr>
        <w:footnoteReference w:id="31"/>
      </w:r>
      <w:r w:rsidR="00A066B1" w:rsidRPr="00C45026">
        <w:t xml:space="preserve"> Additionally, the Biden administration set no policy on the federal death penalty, allowing the DOJ to make decision</w:t>
      </w:r>
      <w:r w:rsidR="00C335C9" w:rsidRPr="00C45026">
        <w:t>s</w:t>
      </w:r>
      <w:r w:rsidR="00A066B1" w:rsidRPr="00C45026">
        <w:t xml:space="preserve"> on capital prosecution and appeals on a case-by-case basis. </w:t>
      </w:r>
      <w:r w:rsidR="00A066B1" w:rsidRPr="00C45026">
        <w:rPr>
          <w:vertAlign w:val="superscript"/>
        </w:rPr>
        <w:footnoteReference w:id="32"/>
      </w:r>
      <w:r w:rsidR="00A066B1" w:rsidRPr="00C45026">
        <w:t xml:space="preserve"> The DOJ’s decision to</w:t>
      </w:r>
      <w:r w:rsidR="00394990" w:rsidRPr="00C45026">
        <w:t xml:space="preserve"> defend</w:t>
      </w:r>
      <w:r w:rsidR="00A066B1" w:rsidRPr="00C45026">
        <w:t xml:space="preserve"> existing death sentences </w:t>
      </w:r>
      <w:r w:rsidR="00394990" w:rsidRPr="00C45026">
        <w:t xml:space="preserve">and to seek the death penalty in some cases </w:t>
      </w:r>
      <w:r w:rsidR="005D4E31" w:rsidRPr="00C45026">
        <w:t>creates uncertainty regarding the Biden Administration’s policy with respect to the federal death penalty</w:t>
      </w:r>
      <w:r w:rsidR="00A066B1" w:rsidRPr="00C45026">
        <w:t>.</w:t>
      </w:r>
      <w:r w:rsidR="00A066B1" w:rsidRPr="00C45026">
        <w:rPr>
          <w:rStyle w:val="FootnoteReference"/>
        </w:rPr>
        <w:footnoteReference w:id="33"/>
      </w:r>
    </w:p>
    <w:p w14:paraId="0B8C22FF" w14:textId="67075886" w:rsidR="00A066B1" w:rsidRPr="00C45026" w:rsidRDefault="00A066B1" w:rsidP="001B6B1D">
      <w:pPr>
        <w:numPr>
          <w:ilvl w:val="0"/>
          <w:numId w:val="7"/>
        </w:numPr>
        <w:spacing w:after="120"/>
        <w:ind w:left="360"/>
        <w:jc w:val="both"/>
      </w:pPr>
      <w:r w:rsidRPr="00C45026">
        <w:t>T</w:t>
      </w:r>
      <w:r w:rsidRPr="00C45026">
        <w:rPr>
          <w:rFonts w:eastAsiaTheme="minorHAnsi"/>
        </w:rPr>
        <w:t>h</w:t>
      </w:r>
      <w:r w:rsidRPr="00C45026">
        <w:t xml:space="preserve">e DOJ </w:t>
      </w:r>
      <w:r w:rsidR="005D4E31" w:rsidRPr="00C45026">
        <w:t>m</w:t>
      </w:r>
      <w:r w:rsidRPr="00C45026">
        <w:t xml:space="preserve">oratorium </w:t>
      </w:r>
      <w:r w:rsidR="005D4E31" w:rsidRPr="00C45026">
        <w:t xml:space="preserve">on executions </w:t>
      </w:r>
      <w:r w:rsidRPr="00C45026">
        <w:t xml:space="preserve">came </w:t>
      </w:r>
      <w:r w:rsidR="005D4E31" w:rsidRPr="00C45026">
        <w:t xml:space="preserve">soon </w:t>
      </w:r>
      <w:r w:rsidRPr="00C45026">
        <w:t xml:space="preserve">after the Trump </w:t>
      </w:r>
      <w:r w:rsidR="005D4E31" w:rsidRPr="00C45026">
        <w:t>A</w:t>
      </w:r>
      <w:r w:rsidRPr="00C45026">
        <w:t xml:space="preserve">dministration ended </w:t>
      </w:r>
      <w:r w:rsidR="00791DD1" w:rsidRPr="00C45026">
        <w:t xml:space="preserve">a </w:t>
      </w:r>
      <w:r w:rsidRPr="00C45026">
        <w:t>17</w:t>
      </w:r>
      <w:r w:rsidR="00791DD1" w:rsidRPr="00C45026">
        <w:t>-</w:t>
      </w:r>
      <w:r w:rsidRPr="00C45026">
        <w:t xml:space="preserve">year </w:t>
      </w:r>
      <w:r w:rsidR="00791DD1" w:rsidRPr="00C45026">
        <w:rPr>
          <w:i/>
          <w:iCs/>
        </w:rPr>
        <w:t>d</w:t>
      </w:r>
      <w:r w:rsidRPr="00C45026">
        <w:rPr>
          <w:i/>
          <w:iCs/>
        </w:rPr>
        <w:t xml:space="preserve">e </w:t>
      </w:r>
      <w:r w:rsidR="00791DD1" w:rsidRPr="00C45026">
        <w:rPr>
          <w:i/>
          <w:iCs/>
        </w:rPr>
        <w:t>f</w:t>
      </w:r>
      <w:r w:rsidRPr="00C45026">
        <w:rPr>
          <w:i/>
          <w:iCs/>
        </w:rPr>
        <w:t>acto</w:t>
      </w:r>
      <w:r w:rsidR="008E4798" w:rsidRPr="00C45026">
        <w:t xml:space="preserve"> </w:t>
      </w:r>
      <w:r w:rsidRPr="00C45026">
        <w:t>moratorium in 2020 and executed 13 prisoners.</w:t>
      </w:r>
      <w:r w:rsidRPr="00C45026">
        <w:rPr>
          <w:vertAlign w:val="superscript"/>
        </w:rPr>
        <w:footnoteReference w:id="34"/>
      </w:r>
      <w:r w:rsidRPr="00C45026">
        <w:t xml:space="preserve"> </w:t>
      </w:r>
      <w:r w:rsidR="00BA1CEB" w:rsidRPr="00C45026">
        <w:t>O</w:t>
      </w:r>
      <w:r w:rsidRPr="00C45026">
        <w:t xml:space="preserve">f the 13 prisoners executed, 6 were </w:t>
      </w:r>
      <w:r w:rsidR="00446170" w:rsidRPr="00C45026">
        <w:t>B</w:t>
      </w:r>
      <w:r w:rsidRPr="00C45026">
        <w:t xml:space="preserve">lack, 6 were </w:t>
      </w:r>
      <w:r w:rsidR="00446170" w:rsidRPr="00C45026">
        <w:t>W</w:t>
      </w:r>
      <w:r w:rsidRPr="00C45026">
        <w:t xml:space="preserve">hite, and 1 was </w:t>
      </w:r>
      <w:r w:rsidR="00DA2CBE" w:rsidRPr="00C45026">
        <w:t>a member of the Navajo Nation</w:t>
      </w:r>
      <w:r w:rsidRPr="00C45026">
        <w:t>.</w:t>
      </w:r>
      <w:r w:rsidRPr="00C45026">
        <w:rPr>
          <w:rStyle w:val="FootnoteReference"/>
        </w:rPr>
        <w:footnoteReference w:id="35"/>
      </w:r>
      <w:r w:rsidRPr="00C45026">
        <w:t xml:space="preserve"> Half of the Black prisoners executed were put to death for interracial murders, but every </w:t>
      </w:r>
      <w:r w:rsidR="00446170" w:rsidRPr="00C45026">
        <w:t>W</w:t>
      </w:r>
      <w:r w:rsidRPr="00C45026">
        <w:t>hite prisoner was executed for the murder of a white victim.</w:t>
      </w:r>
      <w:r w:rsidRPr="00C45026">
        <w:rPr>
          <w:vertAlign w:val="superscript"/>
        </w:rPr>
        <w:footnoteReference w:id="36"/>
      </w:r>
      <w:r w:rsidRPr="00C45026">
        <w:t xml:space="preserve"> Among </w:t>
      </w:r>
      <w:r w:rsidR="00E208F6" w:rsidRPr="00C45026">
        <w:t xml:space="preserve">the people </w:t>
      </w:r>
      <w:r w:rsidRPr="00C45026">
        <w:t xml:space="preserve">executed were two people accused of murder committed in their teens, two </w:t>
      </w:r>
      <w:r w:rsidR="00992B4E" w:rsidRPr="00C45026">
        <w:t xml:space="preserve">people </w:t>
      </w:r>
      <w:r w:rsidRPr="00C45026">
        <w:t xml:space="preserve">with strong evidence of intellectual disability, two </w:t>
      </w:r>
      <w:r w:rsidR="00992B4E" w:rsidRPr="00C45026">
        <w:t xml:space="preserve">people with </w:t>
      </w:r>
      <w:r w:rsidRPr="00C45026">
        <w:t xml:space="preserve">severely </w:t>
      </w:r>
      <w:r w:rsidR="00992B4E" w:rsidRPr="00C45026">
        <w:t xml:space="preserve">psycho-social disabilities, </w:t>
      </w:r>
      <w:r w:rsidRPr="00C45026">
        <w:t xml:space="preserve">and one </w:t>
      </w:r>
      <w:r w:rsidR="00992B4E" w:rsidRPr="00C45026">
        <w:t xml:space="preserve">person </w:t>
      </w:r>
      <w:r w:rsidRPr="00C45026">
        <w:t xml:space="preserve">who undisputedly </w:t>
      </w:r>
      <w:r w:rsidR="00753B88" w:rsidRPr="00C45026">
        <w:t>did not himself commit the killing</w:t>
      </w:r>
      <w:r w:rsidRPr="00C45026">
        <w:t>.</w:t>
      </w:r>
      <w:r w:rsidRPr="00C45026">
        <w:rPr>
          <w:vertAlign w:val="superscript"/>
        </w:rPr>
        <w:footnoteReference w:id="37"/>
      </w:r>
    </w:p>
    <w:p w14:paraId="08D9DC60" w14:textId="1AD91AF8" w:rsidR="00A066B1" w:rsidRPr="00C45026" w:rsidRDefault="00A066B1" w:rsidP="00E17E68">
      <w:pPr>
        <w:keepNext/>
        <w:autoSpaceDE w:val="0"/>
        <w:autoSpaceDN w:val="0"/>
        <w:adjustRightInd w:val="0"/>
        <w:spacing w:after="120"/>
        <w:jc w:val="both"/>
        <w:rPr>
          <w:i/>
          <w:iCs/>
        </w:rPr>
      </w:pPr>
      <w:r w:rsidRPr="00C45026">
        <w:rPr>
          <w:i/>
          <w:iCs/>
        </w:rPr>
        <w:lastRenderedPageBreak/>
        <w:t>State Death Penalty Laws and Practices</w:t>
      </w:r>
    </w:p>
    <w:p w14:paraId="43A9F6D2" w14:textId="6A6EAE1A" w:rsidR="00DD6C43" w:rsidRPr="00C45026" w:rsidRDefault="00A066B1" w:rsidP="0067362D">
      <w:pPr>
        <w:numPr>
          <w:ilvl w:val="0"/>
          <w:numId w:val="7"/>
        </w:numPr>
        <w:spacing w:after="120"/>
        <w:ind w:left="360"/>
        <w:jc w:val="both"/>
      </w:pPr>
      <w:bookmarkStart w:id="6" w:name="_Ref145410385"/>
      <w:r w:rsidRPr="00C45026">
        <w:t xml:space="preserve">As of May 2023, there are </w:t>
      </w:r>
      <w:bookmarkStart w:id="7" w:name="_Hlk140671755"/>
      <w:r w:rsidRPr="00C45026">
        <w:t>2,654 individuals on death row</w:t>
      </w:r>
      <w:bookmarkEnd w:id="7"/>
      <w:r w:rsidRPr="00C45026">
        <w:t xml:space="preserve"> in the United States compared to 2,414 in 2022 and 2,474 in 2021.</w:t>
      </w:r>
      <w:r w:rsidRPr="00C45026">
        <w:rPr>
          <w:vertAlign w:val="superscript"/>
        </w:rPr>
        <w:footnoteReference w:id="38"/>
      </w:r>
      <w:r w:rsidRPr="00C45026">
        <w:t xml:space="preserve"> </w:t>
      </w:r>
      <w:r w:rsidR="00E90380" w:rsidRPr="00C45026">
        <w:t>Statistics reveal racial bias in sentencing.</w:t>
      </w:r>
      <w:r w:rsidRPr="00C45026">
        <w:rPr>
          <w:vertAlign w:val="superscript"/>
        </w:rPr>
        <w:footnoteReference w:id="39"/>
      </w:r>
      <w:r w:rsidRPr="00C45026">
        <w:t xml:space="preserve"> As of fall 2022, Black </w:t>
      </w:r>
      <w:r w:rsidR="0037026C" w:rsidRPr="00C45026">
        <w:t xml:space="preserve">people made </w:t>
      </w:r>
      <w:r w:rsidRPr="00C45026">
        <w:t xml:space="preserve">up 41.05% </w:t>
      </w:r>
      <w:r w:rsidR="0037026C" w:rsidRPr="00C45026">
        <w:t xml:space="preserve">of people on </w:t>
      </w:r>
      <w:r w:rsidRPr="00C45026">
        <w:t>death row</w:t>
      </w:r>
      <w:r w:rsidR="00121409" w:rsidRPr="00C45026">
        <w:t xml:space="preserve">, </w:t>
      </w:r>
      <w:r w:rsidR="002F6C20" w:rsidRPr="00C45026">
        <w:t xml:space="preserve">while </w:t>
      </w:r>
      <w:r w:rsidR="00121409" w:rsidRPr="00C45026">
        <w:t>White people</w:t>
      </w:r>
      <w:r w:rsidR="00C64917" w:rsidRPr="00C45026">
        <w:t>, Latinx people, Indigenous people, and Asians</w:t>
      </w:r>
      <w:r w:rsidR="00121409" w:rsidRPr="00C45026">
        <w:t xml:space="preserve"> accounted for 42.07%</w:t>
      </w:r>
      <w:r w:rsidR="00C64917" w:rsidRPr="00C45026">
        <w:t>, 13.97%, 1.02%, and 1.90%</w:t>
      </w:r>
      <w:r w:rsidR="00121409" w:rsidRPr="00C45026">
        <w:t xml:space="preserve"> of the death row population</w:t>
      </w:r>
      <w:r w:rsidR="00C64917" w:rsidRPr="00C45026">
        <w:t xml:space="preserve"> respectively</w:t>
      </w:r>
      <w:r w:rsidRPr="00C45026">
        <w:t>.</w:t>
      </w:r>
      <w:r w:rsidRPr="00C45026">
        <w:rPr>
          <w:vertAlign w:val="superscript"/>
        </w:rPr>
        <w:footnoteReference w:id="40"/>
      </w:r>
      <w:r w:rsidRPr="00C45026">
        <w:t xml:space="preserve"> </w:t>
      </w:r>
      <w:r w:rsidR="00DD6C43" w:rsidRPr="00C45026">
        <w:t>Part II of this report addresses racial disparities in the death penalty in greater detail.</w:t>
      </w:r>
    </w:p>
    <w:p w14:paraId="53A1A601" w14:textId="1D6B97C4" w:rsidR="00A066B1" w:rsidRPr="00C45026" w:rsidRDefault="00DC6167" w:rsidP="0067362D">
      <w:pPr>
        <w:numPr>
          <w:ilvl w:val="0"/>
          <w:numId w:val="7"/>
        </w:numPr>
        <w:spacing w:after="120"/>
        <w:ind w:left="360"/>
        <w:jc w:val="both"/>
      </w:pPr>
      <w:r w:rsidRPr="00C45026">
        <w:t>F</w:t>
      </w:r>
      <w:r w:rsidR="00A066B1" w:rsidRPr="00C45026">
        <w:t xml:space="preserve">ive states carried out 7 executions in 2020, </w:t>
      </w:r>
      <w:r w:rsidR="00A35B2F" w:rsidRPr="00C45026">
        <w:t xml:space="preserve">5 </w:t>
      </w:r>
      <w:r w:rsidR="00A066B1" w:rsidRPr="00C45026">
        <w:t xml:space="preserve">states carried out 8 executions in 2021, and </w:t>
      </w:r>
      <w:r w:rsidR="00A35B2F" w:rsidRPr="00C45026">
        <w:t xml:space="preserve">6 </w:t>
      </w:r>
      <w:r w:rsidR="00A066B1" w:rsidRPr="00C45026">
        <w:t xml:space="preserve">states </w:t>
      </w:r>
      <w:r w:rsidRPr="00C45026">
        <w:t xml:space="preserve">carried out </w:t>
      </w:r>
      <w:r w:rsidR="00A066B1" w:rsidRPr="00C45026">
        <w:t>18 individuals in 2022.</w:t>
      </w:r>
      <w:r w:rsidR="00A066B1" w:rsidRPr="00C45026">
        <w:rPr>
          <w:rStyle w:val="FootnoteReference"/>
        </w:rPr>
        <w:footnoteReference w:id="41"/>
      </w:r>
      <w:r w:rsidR="000B3520" w:rsidRPr="00C45026">
        <w:t xml:space="preserve"> To date in 2023, </w:t>
      </w:r>
      <w:r w:rsidR="00A35B2F" w:rsidRPr="00C45026">
        <w:t xml:space="preserve">5 </w:t>
      </w:r>
      <w:r w:rsidR="0052387F" w:rsidRPr="00C45026">
        <w:t xml:space="preserve">states </w:t>
      </w:r>
      <w:r w:rsidR="000B3520" w:rsidRPr="00C45026">
        <w:t>have carried out 17 executions.</w:t>
      </w:r>
      <w:r w:rsidR="0052387F" w:rsidRPr="00C45026">
        <w:rPr>
          <w:rStyle w:val="FootnoteReference"/>
        </w:rPr>
        <w:footnoteReference w:id="42"/>
      </w:r>
      <w:bookmarkEnd w:id="6"/>
    </w:p>
    <w:p w14:paraId="7B6A5AB6" w14:textId="4B5FF198" w:rsidR="00A066B1" w:rsidRPr="00C45026" w:rsidRDefault="00F560DC" w:rsidP="0067362D">
      <w:pPr>
        <w:numPr>
          <w:ilvl w:val="0"/>
          <w:numId w:val="7"/>
        </w:numPr>
        <w:spacing w:after="120"/>
        <w:ind w:left="360"/>
        <w:jc w:val="both"/>
      </w:pPr>
      <w:r w:rsidRPr="00C45026">
        <w:t xml:space="preserve">States’ reliance on </w:t>
      </w:r>
      <w:r w:rsidR="00A066B1" w:rsidRPr="00C45026">
        <w:t xml:space="preserve">capital punishment </w:t>
      </w:r>
      <w:r w:rsidRPr="00C45026">
        <w:t>is declining</w:t>
      </w:r>
      <w:r w:rsidR="00A066B1" w:rsidRPr="00C45026">
        <w:t>. Virginia became th</w:t>
      </w:r>
      <w:r w:rsidR="00880264" w:rsidRPr="00C45026">
        <w:t xml:space="preserve">e 23rd </w:t>
      </w:r>
      <w:r w:rsidR="00A066B1" w:rsidRPr="00C45026">
        <w:t xml:space="preserve">state and the first southern state to end capital punishment </w:t>
      </w:r>
      <w:r w:rsidR="00B10320" w:rsidRPr="00C45026">
        <w:t xml:space="preserve">when it abolished </w:t>
      </w:r>
      <w:r w:rsidR="00A066B1" w:rsidRPr="00C45026">
        <w:t>the death penalty on March 24, 2021.</w:t>
      </w:r>
      <w:r w:rsidR="00A066B1" w:rsidRPr="00C45026">
        <w:rPr>
          <w:rStyle w:val="FootnoteReference"/>
        </w:rPr>
        <w:footnoteReference w:id="43"/>
      </w:r>
      <w:r w:rsidR="00A066B1" w:rsidRPr="00C45026">
        <w:t xml:space="preserve"> Meanwhile</w:t>
      </w:r>
      <w:r w:rsidR="00B10320" w:rsidRPr="00C45026">
        <w:t>,</w:t>
      </w:r>
      <w:r w:rsidR="00A066B1" w:rsidRPr="00C45026">
        <w:t xml:space="preserve"> out of the 27 states with the death penalty, </w:t>
      </w:r>
      <w:r w:rsidR="00B10320" w:rsidRPr="00C45026">
        <w:t xml:space="preserve">governors in 5 </w:t>
      </w:r>
      <w:r w:rsidR="00A066B1" w:rsidRPr="00C45026">
        <w:t xml:space="preserve">states </w:t>
      </w:r>
      <w:r w:rsidR="00B10320" w:rsidRPr="00C45026">
        <w:t xml:space="preserve">have </w:t>
      </w:r>
      <w:r w:rsidR="00F008AF" w:rsidRPr="00C45026">
        <w:t xml:space="preserve">placed official </w:t>
      </w:r>
      <w:r w:rsidR="00A066B1" w:rsidRPr="00C45026">
        <w:t>hold</w:t>
      </w:r>
      <w:r w:rsidR="00F008AF" w:rsidRPr="00C45026">
        <w:t>s</w:t>
      </w:r>
      <w:r w:rsidR="00A066B1" w:rsidRPr="00C45026">
        <w:t xml:space="preserve"> on executions</w:t>
      </w:r>
      <w:r w:rsidR="00F008AF" w:rsidRPr="00C45026">
        <w:t xml:space="preserve">; the governor of </w:t>
      </w:r>
      <w:r w:rsidR="00A066B1" w:rsidRPr="00C45026">
        <w:t xml:space="preserve">Oregon </w:t>
      </w:r>
      <w:r w:rsidR="00F008AF" w:rsidRPr="00C45026">
        <w:t xml:space="preserve">also </w:t>
      </w:r>
      <w:r w:rsidR="00A066B1" w:rsidRPr="00C45026">
        <w:t>commuted the sentence</w:t>
      </w:r>
      <w:r w:rsidR="00F008AF" w:rsidRPr="00C45026">
        <w:t>s</w:t>
      </w:r>
      <w:r w:rsidR="00A066B1" w:rsidRPr="00C45026">
        <w:t xml:space="preserve"> of the 17 </w:t>
      </w:r>
      <w:r w:rsidR="00F008AF" w:rsidRPr="00C45026">
        <w:t xml:space="preserve">people </w:t>
      </w:r>
      <w:r w:rsidR="00A066B1" w:rsidRPr="00C45026">
        <w:t>on the state’s death row.</w:t>
      </w:r>
      <w:r w:rsidR="00A066B1" w:rsidRPr="00C45026">
        <w:rPr>
          <w:rStyle w:val="FootnoteReference"/>
        </w:rPr>
        <w:footnoteReference w:id="44"/>
      </w:r>
      <w:r w:rsidR="00A066B1" w:rsidRPr="00C45026">
        <w:t xml:space="preserve"> </w:t>
      </w:r>
      <w:r w:rsidR="00B93B6C" w:rsidRPr="00C45026">
        <w:t xml:space="preserve">In the southern part of the United States, jurisdictions </w:t>
      </w:r>
      <w:r w:rsidR="00A066B1" w:rsidRPr="00C45026">
        <w:t xml:space="preserve">such as Texas and Missouri </w:t>
      </w:r>
      <w:r w:rsidR="00B93B6C" w:rsidRPr="00C45026">
        <w:t xml:space="preserve">carry out the majority of </w:t>
      </w:r>
      <w:r w:rsidR="00A066B1" w:rsidRPr="00C45026">
        <w:t xml:space="preserve">executions. </w:t>
      </w:r>
      <w:r w:rsidR="00964E95" w:rsidRPr="00C45026">
        <w:t xml:space="preserve">Oklahoma has stepped up executions and has </w:t>
      </w:r>
      <w:r w:rsidR="00A066B1" w:rsidRPr="00C45026">
        <w:t>schedule</w:t>
      </w:r>
      <w:r w:rsidR="00C335C9" w:rsidRPr="00C45026">
        <w:t>d</w:t>
      </w:r>
      <w:r w:rsidR="00A066B1" w:rsidRPr="00C45026">
        <w:t xml:space="preserve"> 25 executions over a 29-month period, seeking to put to death 58% of </w:t>
      </w:r>
      <w:r w:rsidR="00964E95" w:rsidRPr="00C45026">
        <w:t xml:space="preserve">the people on the state’s </w:t>
      </w:r>
      <w:r w:rsidR="00A066B1" w:rsidRPr="00C45026">
        <w:t>death row.</w:t>
      </w:r>
      <w:r w:rsidR="00A066B1" w:rsidRPr="00C45026">
        <w:rPr>
          <w:rStyle w:val="FootnoteReference"/>
        </w:rPr>
        <w:footnoteReference w:id="45"/>
      </w:r>
      <w:r w:rsidR="00A066B1" w:rsidRPr="00C45026">
        <w:t xml:space="preserve"> In total, Oklahoma and Texas </w:t>
      </w:r>
      <w:r w:rsidR="00DB4D56" w:rsidRPr="00C45026">
        <w:t xml:space="preserve">have carried out </w:t>
      </w:r>
      <w:r w:rsidR="00A066B1" w:rsidRPr="00C45026">
        <w:t xml:space="preserve">more than 45% of executions since 1976 and </w:t>
      </w:r>
      <w:r w:rsidR="00DB4D56" w:rsidRPr="00C45026">
        <w:t xml:space="preserve">those two states were responsible for approximately </w:t>
      </w:r>
      <w:r w:rsidR="00A066B1" w:rsidRPr="00C45026">
        <w:t>56% of executions in 2022.</w:t>
      </w:r>
      <w:r w:rsidR="00A066B1" w:rsidRPr="00C45026">
        <w:rPr>
          <w:rStyle w:val="FootnoteReference"/>
        </w:rPr>
        <w:footnoteReference w:id="46"/>
      </w:r>
      <w:r w:rsidR="00A066B1" w:rsidRPr="00C45026">
        <w:t xml:space="preserve"> </w:t>
      </w:r>
    </w:p>
    <w:p w14:paraId="50726310" w14:textId="757C0411" w:rsidR="00325C7C" w:rsidRPr="00C45026" w:rsidRDefault="00325C7C" w:rsidP="00754064">
      <w:pPr>
        <w:spacing w:after="120"/>
        <w:jc w:val="both"/>
      </w:pPr>
      <w:r w:rsidRPr="00C45026">
        <w:rPr>
          <w:i/>
          <w:iCs/>
        </w:rPr>
        <w:t>Execution Methods for People Sentenced to Death</w:t>
      </w:r>
    </w:p>
    <w:p w14:paraId="299ED3A2" w14:textId="7329A516" w:rsidR="00325C7C" w:rsidRPr="00C45026" w:rsidRDefault="00325C7C" w:rsidP="0067362D">
      <w:pPr>
        <w:numPr>
          <w:ilvl w:val="0"/>
          <w:numId w:val="7"/>
        </w:numPr>
        <w:spacing w:after="120"/>
        <w:ind w:left="360"/>
        <w:jc w:val="both"/>
      </w:pPr>
      <w:r w:rsidRPr="00C45026">
        <w:t xml:space="preserve">The Fifth </w:t>
      </w:r>
      <w:r w:rsidR="00EE12E2" w:rsidRPr="00C45026">
        <w:t>P</w:t>
      </w:r>
      <w:r w:rsidRPr="00C45026">
        <w:t xml:space="preserve">eriodic </w:t>
      </w:r>
      <w:r w:rsidR="00EE12E2" w:rsidRPr="00C45026">
        <w:t>R</w:t>
      </w:r>
      <w:r w:rsidRPr="00C45026">
        <w:t xml:space="preserve">eport </w:t>
      </w:r>
      <w:r w:rsidR="00C335C9" w:rsidRPr="00C45026">
        <w:t>indicated</w:t>
      </w:r>
      <w:r w:rsidRPr="00C45026">
        <w:t>: “Lethal injection is the primary method of execution in all states that have the death penalty.”</w:t>
      </w:r>
      <w:r w:rsidRPr="00C45026">
        <w:rPr>
          <w:rStyle w:val="FootnoteReference"/>
        </w:rPr>
        <w:footnoteReference w:id="47"/>
      </w:r>
      <w:r w:rsidRPr="00C45026">
        <w:t xml:space="preserve"> </w:t>
      </w:r>
      <w:r w:rsidR="00A426BF" w:rsidRPr="00C45026">
        <w:t xml:space="preserve">Since 1976, </w:t>
      </w:r>
      <w:r w:rsidR="00E32613" w:rsidRPr="00C45026">
        <w:t xml:space="preserve">authorities have executed </w:t>
      </w:r>
      <w:r w:rsidR="00A426BF" w:rsidRPr="00C45026">
        <w:t xml:space="preserve">1,393 </w:t>
      </w:r>
      <w:r w:rsidR="00E32613" w:rsidRPr="00C45026">
        <w:t xml:space="preserve">people </w:t>
      </w:r>
      <w:r w:rsidR="00A426BF" w:rsidRPr="00C45026">
        <w:t xml:space="preserve">by lethal injection, 163 by electrocution, 11 </w:t>
      </w:r>
      <w:r w:rsidR="00E32613" w:rsidRPr="00C45026">
        <w:t xml:space="preserve">by </w:t>
      </w:r>
      <w:r w:rsidR="00A426BF" w:rsidRPr="00C45026">
        <w:t>lethal gas, and 3 by firing squad.</w:t>
      </w:r>
      <w:r w:rsidR="00461B82" w:rsidRPr="00C45026">
        <w:rPr>
          <w:rStyle w:val="FootnoteReference"/>
        </w:rPr>
        <w:footnoteReference w:id="48"/>
      </w:r>
      <w:r w:rsidR="00A426BF" w:rsidRPr="00C45026">
        <w:t xml:space="preserve"> </w:t>
      </w:r>
      <w:r w:rsidR="004D4447" w:rsidRPr="00C45026">
        <w:t>I</w:t>
      </w:r>
      <w:r w:rsidR="00FB396A" w:rsidRPr="00C45026">
        <w:t xml:space="preserve">n July 2019, </w:t>
      </w:r>
      <w:r w:rsidR="00FB396A" w:rsidRPr="00C45026">
        <w:lastRenderedPageBreak/>
        <w:t xml:space="preserve">the </w:t>
      </w:r>
      <w:r w:rsidR="00080023" w:rsidRPr="00C45026">
        <w:t>U.S. A</w:t>
      </w:r>
      <w:r w:rsidR="00FB396A" w:rsidRPr="00C45026">
        <w:t xml:space="preserve">ttorney </w:t>
      </w:r>
      <w:r w:rsidR="00080023" w:rsidRPr="00C45026">
        <w:t>G</w:t>
      </w:r>
      <w:r w:rsidR="00FB396A" w:rsidRPr="00C45026">
        <w:t xml:space="preserve">eneral directed the </w:t>
      </w:r>
      <w:r w:rsidR="00080023" w:rsidRPr="00C45026">
        <w:t xml:space="preserve">federal </w:t>
      </w:r>
      <w:r w:rsidR="00FB396A" w:rsidRPr="00C45026">
        <w:t>Bureau of Prisons to adopt a new lethal injection protocol.</w:t>
      </w:r>
      <w:r w:rsidR="00FB396A" w:rsidRPr="00C45026">
        <w:rPr>
          <w:rStyle w:val="FootnoteReference"/>
        </w:rPr>
        <w:footnoteReference w:id="49"/>
      </w:r>
      <w:r w:rsidR="004D4447" w:rsidRPr="00C45026">
        <w:t xml:space="preserve"> </w:t>
      </w:r>
      <w:r w:rsidR="00080023" w:rsidRPr="00C45026">
        <w:t xml:space="preserve">States, on the other hand, have </w:t>
      </w:r>
      <w:r w:rsidR="00EE4702" w:rsidRPr="00C45026">
        <w:t>begun to experiment with execution methods</w:t>
      </w:r>
      <w:r w:rsidR="004D4447" w:rsidRPr="00C45026">
        <w:t xml:space="preserve">. </w:t>
      </w:r>
      <w:r w:rsidR="00754064" w:rsidRPr="00C45026">
        <w:rPr>
          <w:rStyle w:val="FootnoteReference"/>
        </w:rPr>
        <w:footnoteReference w:id="50"/>
      </w:r>
    </w:p>
    <w:p w14:paraId="287717DF" w14:textId="0F66FCC1" w:rsidR="00FB396A" w:rsidRPr="00C45026" w:rsidRDefault="00BB7B12" w:rsidP="0067362D">
      <w:pPr>
        <w:numPr>
          <w:ilvl w:val="0"/>
          <w:numId w:val="7"/>
        </w:numPr>
        <w:spacing w:after="120"/>
        <w:ind w:left="360"/>
        <w:jc w:val="both"/>
      </w:pPr>
      <w:r w:rsidRPr="00C45026">
        <w:t>Nearly all</w:t>
      </w:r>
      <w:r w:rsidR="00462310" w:rsidRPr="00C45026">
        <w:t xml:space="preserve"> states and the federal government use lethal injection as their primary method of execution</w:t>
      </w:r>
      <w:r w:rsidRPr="00C45026">
        <w:t>,</w:t>
      </w:r>
      <w:r w:rsidR="00754064" w:rsidRPr="00C45026">
        <w:rPr>
          <w:rStyle w:val="FootnoteReference"/>
        </w:rPr>
        <w:footnoteReference w:id="51"/>
      </w:r>
      <w:r w:rsidRPr="00C45026">
        <w:t xml:space="preserve"> but South Carolina’s primary </w:t>
      </w:r>
      <w:r w:rsidR="00915657" w:rsidRPr="00C45026">
        <w:t xml:space="preserve">execution method is electrocution, and several states have designated electrocution, lethal gas, </w:t>
      </w:r>
      <w:r w:rsidR="00BB13D8" w:rsidRPr="00C45026">
        <w:t>or</w:t>
      </w:r>
      <w:r w:rsidR="0028101E" w:rsidRPr="00C45026">
        <w:t xml:space="preserve"> firing squad as back-up methods if the primary method is found unconstitutional.</w:t>
      </w:r>
      <w:r w:rsidR="0028101E" w:rsidRPr="00C45026">
        <w:rPr>
          <w:rStyle w:val="FootnoteReference"/>
        </w:rPr>
        <w:footnoteReference w:id="52"/>
      </w:r>
      <w:r w:rsidR="00462310" w:rsidRPr="00C45026">
        <w:t xml:space="preserve"> </w:t>
      </w:r>
      <w:r w:rsidR="00CD22FA" w:rsidRPr="00C45026">
        <w:t xml:space="preserve">The Death Penalty Information Center has compiled a comprehensive list of botched executions, including </w:t>
      </w:r>
      <w:r w:rsidR="008673F9" w:rsidRPr="00C45026">
        <w:t>eight since January 2021.</w:t>
      </w:r>
      <w:r w:rsidR="008673F9" w:rsidRPr="00C45026">
        <w:rPr>
          <w:rStyle w:val="FootnoteReference"/>
        </w:rPr>
        <w:footnoteReference w:id="53"/>
      </w:r>
      <w:r w:rsidR="008673F9" w:rsidRPr="00C45026">
        <w:t xml:space="preserve"> </w:t>
      </w:r>
      <w:r w:rsidR="009D6807" w:rsidRPr="00C45026">
        <w:t>All of the botched executions since 2000 have been by lethal injection.</w:t>
      </w:r>
      <w:r w:rsidR="009D6807" w:rsidRPr="00C45026">
        <w:rPr>
          <w:rStyle w:val="FootnoteReference"/>
        </w:rPr>
        <w:footnoteReference w:id="54"/>
      </w:r>
    </w:p>
    <w:p w14:paraId="57DB8C6A" w14:textId="2DC391AB" w:rsidR="004D4447" w:rsidRPr="00C45026" w:rsidRDefault="004D4447" w:rsidP="0067362D">
      <w:pPr>
        <w:numPr>
          <w:ilvl w:val="0"/>
          <w:numId w:val="7"/>
        </w:numPr>
        <w:spacing w:after="120"/>
        <w:ind w:left="360"/>
        <w:jc w:val="both"/>
      </w:pPr>
      <w:r w:rsidRPr="00C45026">
        <w:t>Lethal injections often fail when</w:t>
      </w:r>
      <w:r w:rsidR="00803EBA" w:rsidRPr="00C45026">
        <w:t xml:space="preserve"> prison staff </w:t>
      </w:r>
      <w:r w:rsidR="0043413A" w:rsidRPr="00C45026">
        <w:t xml:space="preserve">fail to set </w:t>
      </w:r>
      <w:r w:rsidRPr="00C45026">
        <w:t>the intravenous execution line. In what came to be known as the “longest known execution in US history,” Joe Nathan James</w:t>
      </w:r>
      <w:r w:rsidR="002755E6" w:rsidRPr="00C45026">
        <w:t>’ execution took</w:t>
      </w:r>
      <w:r w:rsidR="00793BEF" w:rsidRPr="00C45026">
        <w:t xml:space="preserve"> three hours</w:t>
      </w:r>
      <w:r w:rsidRPr="00C45026">
        <w:t>.</w:t>
      </w:r>
      <w:r w:rsidR="00754064" w:rsidRPr="00C45026">
        <w:rPr>
          <w:rStyle w:val="FootnoteReference"/>
        </w:rPr>
        <w:footnoteReference w:id="55"/>
      </w:r>
      <w:r w:rsidRPr="00C45026">
        <w:t xml:space="preserve"> The first part of the process is supposed to take minutes, but the execution team “took hours to set the intravenous line” and punctured his body multiple time</w:t>
      </w:r>
      <w:r w:rsidR="00461B82" w:rsidRPr="00C45026">
        <w:t xml:space="preserve">s during </w:t>
      </w:r>
      <w:r w:rsidRPr="00C45026">
        <w:t>the process.</w:t>
      </w:r>
      <w:r w:rsidR="00754064" w:rsidRPr="00C45026">
        <w:rPr>
          <w:rStyle w:val="FootnoteReference"/>
        </w:rPr>
        <w:footnoteReference w:id="56"/>
      </w:r>
      <w:r w:rsidRPr="00C45026">
        <w:t xml:space="preserve"> </w:t>
      </w:r>
      <w:r w:rsidR="00793BEF" w:rsidRPr="00C45026">
        <w:t xml:space="preserve">His family subsequently filed a lawsuit alleging that </w:t>
      </w:r>
      <w:r w:rsidRPr="00C45026">
        <w:t xml:space="preserve">James </w:t>
      </w:r>
      <w:r w:rsidR="006D4954" w:rsidRPr="00C45026">
        <w:t xml:space="preserve">had lost consciousness prior to </w:t>
      </w:r>
      <w:r w:rsidRPr="00C45026">
        <w:t xml:space="preserve">the reading of the death warrant and </w:t>
      </w:r>
      <w:r w:rsidR="006D4954" w:rsidRPr="00C45026">
        <w:t xml:space="preserve">therefore was </w:t>
      </w:r>
      <w:r w:rsidRPr="00C45026">
        <w:t>unable to speak his last words.</w:t>
      </w:r>
      <w:r w:rsidR="00754064" w:rsidRPr="00C45026">
        <w:rPr>
          <w:rStyle w:val="FootnoteReference"/>
        </w:rPr>
        <w:footnoteReference w:id="57"/>
      </w:r>
      <w:r w:rsidRPr="00C45026">
        <w:t xml:space="preserve"> </w:t>
      </w:r>
    </w:p>
    <w:p w14:paraId="083127E5" w14:textId="5CBC649F" w:rsidR="005753AB" w:rsidRPr="00C45026" w:rsidRDefault="006D4954" w:rsidP="0067362D">
      <w:pPr>
        <w:numPr>
          <w:ilvl w:val="0"/>
          <w:numId w:val="7"/>
        </w:numPr>
        <w:spacing w:after="120"/>
        <w:ind w:left="360"/>
        <w:jc w:val="both"/>
      </w:pPr>
      <w:r w:rsidRPr="00C45026">
        <w:t xml:space="preserve">Prompted by </w:t>
      </w:r>
      <w:r w:rsidR="00461B82" w:rsidRPr="00C45026">
        <w:t xml:space="preserve">botched executions, </w:t>
      </w:r>
      <w:r w:rsidRPr="00C45026">
        <w:t xml:space="preserve">several </w:t>
      </w:r>
      <w:r w:rsidR="00461B82" w:rsidRPr="00C45026">
        <w:t xml:space="preserve">states </w:t>
      </w:r>
      <w:r w:rsidRPr="00C45026">
        <w:t xml:space="preserve">have adopted laws or policies to conceal </w:t>
      </w:r>
      <w:r w:rsidR="00461B82" w:rsidRPr="00C45026">
        <w:t>their execution practices.</w:t>
      </w:r>
      <w:r w:rsidR="00754064" w:rsidRPr="00C45026">
        <w:rPr>
          <w:rStyle w:val="FootnoteReference"/>
        </w:rPr>
        <w:footnoteReference w:id="58"/>
      </w:r>
      <w:r w:rsidR="00461B82" w:rsidRPr="00C45026">
        <w:t xml:space="preserve"> </w:t>
      </w:r>
      <w:r w:rsidR="00E22AB3" w:rsidRPr="00C45026">
        <w:t>These secrecy laws have impeded the ability of defense teams to learn the identities of the drugs to be used or their origins</w:t>
      </w:r>
      <w:r w:rsidR="00461B82" w:rsidRPr="00C45026">
        <w:t>.</w:t>
      </w:r>
      <w:r w:rsidR="00754064" w:rsidRPr="00C45026">
        <w:rPr>
          <w:rStyle w:val="FootnoteReference"/>
        </w:rPr>
        <w:footnoteReference w:id="59"/>
      </w:r>
      <w:r w:rsidR="00461B82" w:rsidRPr="00C45026">
        <w:t xml:space="preserve"> </w:t>
      </w:r>
    </w:p>
    <w:p w14:paraId="6EB80412" w14:textId="1B9CD04E" w:rsidR="00F80C1F" w:rsidRPr="00C45026" w:rsidRDefault="00F80C1F" w:rsidP="00094F43">
      <w:pPr>
        <w:keepNext/>
        <w:spacing w:after="120"/>
        <w:jc w:val="both"/>
      </w:pPr>
      <w:r w:rsidRPr="00C45026">
        <w:rPr>
          <w:i/>
          <w:iCs/>
        </w:rPr>
        <w:t>Wrongful Conviction</w:t>
      </w:r>
      <w:r w:rsidR="00D6269E" w:rsidRPr="00C45026">
        <w:t xml:space="preserve">s </w:t>
      </w:r>
      <w:r w:rsidR="00D6269E" w:rsidRPr="00C45026">
        <w:rPr>
          <w:i/>
          <w:iCs/>
        </w:rPr>
        <w:t>and Remedies for People Wrongfully Sentenced to Death</w:t>
      </w:r>
    </w:p>
    <w:p w14:paraId="1EFCC1A5" w14:textId="62264FEE" w:rsidR="0018076F" w:rsidRPr="00C45026" w:rsidRDefault="0018076F" w:rsidP="0067362D">
      <w:pPr>
        <w:numPr>
          <w:ilvl w:val="0"/>
          <w:numId w:val="7"/>
        </w:numPr>
        <w:spacing w:after="120"/>
        <w:ind w:left="360"/>
        <w:jc w:val="both"/>
      </w:pPr>
      <w:r w:rsidRPr="00C45026">
        <w:t xml:space="preserve">The Fifth </w:t>
      </w:r>
      <w:r w:rsidR="00B02BAA" w:rsidRPr="00C45026">
        <w:t>P</w:t>
      </w:r>
      <w:r w:rsidRPr="00C45026">
        <w:t xml:space="preserve">eriodic </w:t>
      </w:r>
      <w:r w:rsidR="00B02BAA" w:rsidRPr="00C45026">
        <w:t>R</w:t>
      </w:r>
      <w:r w:rsidRPr="00C45026">
        <w:t xml:space="preserve">eport </w:t>
      </w:r>
      <w:r w:rsidR="00522464" w:rsidRPr="00C45026">
        <w:t>asserted</w:t>
      </w:r>
      <w:r w:rsidRPr="00C45026">
        <w:t>: “The U.S. criminal justice system is designed to minimize the risk of wrongful convictions.”</w:t>
      </w:r>
      <w:r w:rsidRPr="00C45026">
        <w:rPr>
          <w:rStyle w:val="FootnoteReference"/>
        </w:rPr>
        <w:footnoteReference w:id="60"/>
      </w:r>
      <w:r w:rsidRPr="00C45026">
        <w:t xml:space="preserve"> </w:t>
      </w:r>
      <w:r w:rsidR="00A00186" w:rsidRPr="00C45026">
        <w:t>D</w:t>
      </w:r>
      <w:r w:rsidR="00A9384C" w:rsidRPr="00C45026">
        <w:t xml:space="preserve">espite alleged safeguards, wrongful convictions are not uncommon in </w:t>
      </w:r>
      <w:r w:rsidR="00A00186" w:rsidRPr="00C45026">
        <w:t xml:space="preserve">capital </w:t>
      </w:r>
      <w:r w:rsidR="00A9384C" w:rsidRPr="00C45026">
        <w:t>case</w:t>
      </w:r>
      <w:r w:rsidR="00DB0073" w:rsidRPr="00C45026">
        <w:t>s</w:t>
      </w:r>
      <w:r w:rsidR="00A9384C" w:rsidRPr="00C45026">
        <w:t xml:space="preserve">. </w:t>
      </w:r>
    </w:p>
    <w:p w14:paraId="71D39B82" w14:textId="77777777" w:rsidR="008801D8" w:rsidRPr="00C45026" w:rsidRDefault="00A9384C" w:rsidP="0067362D">
      <w:pPr>
        <w:numPr>
          <w:ilvl w:val="0"/>
          <w:numId w:val="7"/>
        </w:numPr>
        <w:spacing w:after="120"/>
        <w:ind w:left="360"/>
        <w:jc w:val="both"/>
      </w:pPr>
      <w:r w:rsidRPr="00C45026">
        <w:t>For every eight people who have been executed in the United States, one person has been exonerated.</w:t>
      </w:r>
      <w:r w:rsidRPr="00C45026">
        <w:rPr>
          <w:rStyle w:val="FootnoteReference"/>
        </w:rPr>
        <w:footnoteReference w:id="61"/>
      </w:r>
      <w:r w:rsidRPr="00C45026">
        <w:t xml:space="preserve"> Together, the 35 people exonerated </w:t>
      </w:r>
      <w:r w:rsidR="00A00186" w:rsidRPr="00C45026">
        <w:t xml:space="preserve">from death row </w:t>
      </w:r>
      <w:r w:rsidRPr="00C45026">
        <w:t>since 2014</w:t>
      </w:r>
      <w:r w:rsidR="00A00186" w:rsidRPr="00C45026">
        <w:t xml:space="preserve"> had</w:t>
      </w:r>
      <w:r w:rsidRPr="00C45026">
        <w:t xml:space="preserve"> served 848 years prior to their exonerations, or approximately 24 years on average.</w:t>
      </w:r>
      <w:r w:rsidRPr="00C45026">
        <w:rPr>
          <w:rStyle w:val="FootnoteReference"/>
        </w:rPr>
        <w:footnoteReference w:id="62"/>
      </w:r>
      <w:r w:rsidR="00807070" w:rsidRPr="00C45026">
        <w:t xml:space="preserve"> </w:t>
      </w:r>
    </w:p>
    <w:p w14:paraId="08BC34DE" w14:textId="46422008" w:rsidR="00277CFB" w:rsidRPr="00C45026" w:rsidRDefault="002B37F1" w:rsidP="0067362D">
      <w:pPr>
        <w:numPr>
          <w:ilvl w:val="0"/>
          <w:numId w:val="7"/>
        </w:numPr>
        <w:spacing w:after="120"/>
        <w:ind w:left="360"/>
        <w:jc w:val="both"/>
      </w:pPr>
      <w:r w:rsidRPr="00C45026">
        <w:lastRenderedPageBreak/>
        <w:t>The death penalty looms large over other wrongful convictions as well. According to a study by the Death Penalty Information Center,</w:t>
      </w:r>
      <w:r w:rsidR="00015AA6" w:rsidRPr="00C45026">
        <w:t xml:space="preserve"> focusing on exonerations only in 2021, prosecutors in </w:t>
      </w:r>
      <w:r w:rsidR="00CE166F" w:rsidRPr="00C45026">
        <w:t xml:space="preserve">five states “wrongfully sought the death penalty against seven innocent defendants who were exonerated of capital murder in 2021,” </w:t>
      </w:r>
      <w:r w:rsidR="007659F6" w:rsidRPr="00C45026">
        <w:t>and prosecutors in three states “secured wrongful murder convictions against five innocent defendants by presenting perjured testimony from witness[es] who had been threatened with the death penalty or given undisclosed favorable deals to avoid facing the death penalty themselves.”</w:t>
      </w:r>
      <w:r w:rsidR="007659F6" w:rsidRPr="00C45026">
        <w:rPr>
          <w:rStyle w:val="FootnoteReference"/>
        </w:rPr>
        <w:footnoteReference w:id="63"/>
      </w:r>
    </w:p>
    <w:p w14:paraId="661A8E02" w14:textId="4F76AD67" w:rsidR="0018076F" w:rsidRPr="00C45026" w:rsidRDefault="002833BA" w:rsidP="0067362D">
      <w:pPr>
        <w:numPr>
          <w:ilvl w:val="0"/>
          <w:numId w:val="7"/>
        </w:numPr>
        <w:spacing w:after="120"/>
        <w:ind w:left="360"/>
        <w:jc w:val="both"/>
      </w:pPr>
      <w:r w:rsidRPr="00C45026">
        <w:t>Wrongful conviction</w:t>
      </w:r>
      <w:r w:rsidR="00152829" w:rsidRPr="00C45026">
        <w:t>s</w:t>
      </w:r>
      <w:r w:rsidRPr="00C45026">
        <w:t xml:space="preserve"> disproportionately affect</w:t>
      </w:r>
      <w:r w:rsidR="00152829" w:rsidRPr="00C45026">
        <w:t xml:space="preserve"> members of racial and ethnic</w:t>
      </w:r>
      <w:r w:rsidRPr="00C45026">
        <w:t xml:space="preserve"> minorit</w:t>
      </w:r>
      <w:r w:rsidR="00152829" w:rsidRPr="00C45026">
        <w:t>y groups</w:t>
      </w:r>
      <w:r w:rsidRPr="00C45026">
        <w:t>.</w:t>
      </w:r>
      <w:r w:rsidRPr="00C45026">
        <w:rPr>
          <w:rStyle w:val="FootnoteReference"/>
        </w:rPr>
        <w:footnoteReference w:id="64"/>
      </w:r>
      <w:r w:rsidR="00957C33" w:rsidRPr="00C45026">
        <w:t xml:space="preserve"> Black </w:t>
      </w:r>
      <w:r w:rsidR="00E44B2E" w:rsidRPr="00C45026">
        <w:t xml:space="preserve">people on death row </w:t>
      </w:r>
      <w:r w:rsidR="00152829" w:rsidRPr="00C45026">
        <w:t xml:space="preserve">are more likely than their </w:t>
      </w:r>
      <w:r w:rsidR="00E44B2E" w:rsidRPr="00C45026">
        <w:t>White</w:t>
      </w:r>
      <w:r w:rsidR="00152829" w:rsidRPr="00C45026">
        <w:t xml:space="preserve"> counterparts to be exonerated and </w:t>
      </w:r>
      <w:r w:rsidR="00E44B2E" w:rsidRPr="00C45026">
        <w:t xml:space="preserve">Black exonerees </w:t>
      </w:r>
      <w:r w:rsidR="00957C33" w:rsidRPr="00C45026">
        <w:t xml:space="preserve">spend, on average, more than four years longer on death row than White </w:t>
      </w:r>
      <w:r w:rsidR="00BD1BE9" w:rsidRPr="00C45026">
        <w:t>exonerees</w:t>
      </w:r>
      <w:r w:rsidR="00957C33" w:rsidRPr="00C45026">
        <w:t>.</w:t>
      </w:r>
      <w:r w:rsidR="00957C33" w:rsidRPr="00C45026">
        <w:rPr>
          <w:rStyle w:val="FootnoteReference"/>
        </w:rPr>
        <w:footnoteReference w:id="65"/>
      </w:r>
      <w:r w:rsidR="00957C33" w:rsidRPr="00C45026">
        <w:t xml:space="preserve"> </w:t>
      </w:r>
    </w:p>
    <w:p w14:paraId="30FDE6BD" w14:textId="16E71705" w:rsidR="00957C33" w:rsidRPr="00C45026" w:rsidRDefault="00957C33" w:rsidP="0067362D">
      <w:pPr>
        <w:numPr>
          <w:ilvl w:val="0"/>
          <w:numId w:val="7"/>
        </w:numPr>
        <w:spacing w:after="120"/>
        <w:ind w:left="360"/>
        <w:jc w:val="both"/>
      </w:pPr>
      <w:r w:rsidRPr="00C45026">
        <w:t>Of the 375 people in the United States who have been exonerated through DNA testing, 69% of convictions involved eyewitness misidentification, and 42% of those cases involved cross-racial misidentification.</w:t>
      </w:r>
      <w:r w:rsidRPr="00C45026">
        <w:rPr>
          <w:rStyle w:val="FootnoteReference"/>
        </w:rPr>
        <w:footnoteReference w:id="66"/>
      </w:r>
      <w:r w:rsidR="001635F6" w:rsidRPr="00C45026">
        <w:t xml:space="preserve"> Even though cross-racial identification is particularly unreliable, courts </w:t>
      </w:r>
      <w:r w:rsidR="0027528E" w:rsidRPr="00C45026">
        <w:t xml:space="preserve">rarely </w:t>
      </w:r>
      <w:r w:rsidR="001635F6" w:rsidRPr="00C45026">
        <w:t xml:space="preserve">allow jury instructions </w:t>
      </w:r>
      <w:r w:rsidR="0027528E" w:rsidRPr="00C45026">
        <w:t xml:space="preserve">or expert testimony </w:t>
      </w:r>
      <w:r w:rsidR="001635F6" w:rsidRPr="00C45026">
        <w:t xml:space="preserve">on the </w:t>
      </w:r>
      <w:r w:rsidR="00522464" w:rsidRPr="00C45026">
        <w:t xml:space="preserve">potential </w:t>
      </w:r>
      <w:r w:rsidR="001635F6" w:rsidRPr="00C45026">
        <w:t>unreliability</w:t>
      </w:r>
      <w:r w:rsidR="00522464" w:rsidRPr="00C45026">
        <w:t xml:space="preserve"> of </w:t>
      </w:r>
      <w:r w:rsidR="00821925" w:rsidRPr="00C45026">
        <w:t>eyewitness</w:t>
      </w:r>
      <w:r w:rsidR="00522464" w:rsidRPr="00C45026">
        <w:t xml:space="preserve"> testimony</w:t>
      </w:r>
      <w:r w:rsidR="001635F6" w:rsidRPr="00C45026">
        <w:t xml:space="preserve">. Only a few states allow such an instruction and </w:t>
      </w:r>
      <w:r w:rsidR="00746FCB" w:rsidRPr="00C45026">
        <w:t xml:space="preserve">then </w:t>
      </w:r>
      <w:r w:rsidR="001635F6" w:rsidRPr="00C45026">
        <w:t>only at the judge’s discretion.</w:t>
      </w:r>
      <w:r w:rsidR="001635F6" w:rsidRPr="00C45026">
        <w:rPr>
          <w:rStyle w:val="FootnoteReference"/>
        </w:rPr>
        <w:footnoteReference w:id="67"/>
      </w:r>
      <w:r w:rsidR="001635F6" w:rsidRPr="00C45026">
        <w:t xml:space="preserve"> </w:t>
      </w:r>
    </w:p>
    <w:p w14:paraId="681C6507" w14:textId="08D1A33C" w:rsidR="00277CFB" w:rsidRPr="00C45026" w:rsidRDefault="001B227C" w:rsidP="0067362D">
      <w:pPr>
        <w:numPr>
          <w:ilvl w:val="0"/>
          <w:numId w:val="7"/>
        </w:numPr>
        <w:spacing w:after="120"/>
        <w:ind w:left="360"/>
        <w:jc w:val="both"/>
      </w:pPr>
      <w:r w:rsidRPr="00C45026">
        <w:t xml:space="preserve">In federal courts, the jury must unanimously agree </w:t>
      </w:r>
      <w:r w:rsidR="00F80C1F" w:rsidRPr="00C45026">
        <w:t>to sentence someone to death.</w:t>
      </w:r>
      <w:r w:rsidR="00F80C1F" w:rsidRPr="00C45026">
        <w:rPr>
          <w:rStyle w:val="FootnoteReference"/>
        </w:rPr>
        <w:footnoteReference w:id="68"/>
      </w:r>
      <w:r w:rsidR="007864D3" w:rsidRPr="00C45026">
        <w:t xml:space="preserve"> Individual states differ regarding unanimity of the jury and what happens </w:t>
      </w:r>
      <w:r w:rsidR="00B14E01" w:rsidRPr="00C45026">
        <w:t xml:space="preserve">if the jury is not </w:t>
      </w:r>
      <w:r w:rsidR="007864D3" w:rsidRPr="00C45026">
        <w:t>unanimous.</w:t>
      </w:r>
    </w:p>
    <w:p w14:paraId="7E4FBC1C" w14:textId="063EB859" w:rsidR="00EA0EEB" w:rsidRPr="00C45026" w:rsidRDefault="007864D3" w:rsidP="0067362D">
      <w:pPr>
        <w:numPr>
          <w:ilvl w:val="0"/>
          <w:numId w:val="7"/>
        </w:numPr>
        <w:spacing w:after="120"/>
        <w:ind w:left="360"/>
        <w:jc w:val="both"/>
      </w:pPr>
      <w:r w:rsidRPr="00C45026">
        <w:t>Lack of unanimity heightens the risk of wrongful conviction.</w:t>
      </w:r>
      <w:r w:rsidRPr="00C45026">
        <w:rPr>
          <w:rStyle w:val="FootnoteReference"/>
        </w:rPr>
        <w:footnoteReference w:id="69"/>
      </w:r>
      <w:r w:rsidRPr="00C45026">
        <w:t xml:space="preserve"> </w:t>
      </w:r>
      <w:r w:rsidR="001439BF" w:rsidRPr="00C45026">
        <w:t>Between 2015 and 2020, six people sentenced to death after non-unanimous verdicts were exonerated.</w:t>
      </w:r>
      <w:r w:rsidR="001439BF" w:rsidRPr="00C45026">
        <w:rPr>
          <w:rStyle w:val="FootnoteReference"/>
        </w:rPr>
        <w:footnoteReference w:id="70"/>
      </w:r>
    </w:p>
    <w:p w14:paraId="7398A0A7" w14:textId="2ACDB022" w:rsidR="000615B5" w:rsidRPr="00C45026" w:rsidRDefault="00277CFB" w:rsidP="0067362D">
      <w:pPr>
        <w:numPr>
          <w:ilvl w:val="0"/>
          <w:numId w:val="7"/>
        </w:numPr>
        <w:spacing w:after="120"/>
        <w:ind w:left="360"/>
        <w:jc w:val="both"/>
      </w:pPr>
      <w:r w:rsidRPr="00C45026">
        <w:t xml:space="preserve">Four states currently allow death sentences to be imposed absent a unanimous verdict. </w:t>
      </w:r>
      <w:r w:rsidR="007864D3" w:rsidRPr="00C45026">
        <w:t xml:space="preserve">In 2023, Florida Governor Ron DeSantis signed </w:t>
      </w:r>
      <w:r w:rsidR="00596F8B" w:rsidRPr="00C45026">
        <w:t xml:space="preserve">into law a </w:t>
      </w:r>
      <w:r w:rsidR="007864D3" w:rsidRPr="00C45026">
        <w:t xml:space="preserve">bill that allows a death sentence when the jury recommends death by a vote of </w:t>
      </w:r>
      <w:r w:rsidR="00596F8B" w:rsidRPr="00C45026">
        <w:t xml:space="preserve">at least </w:t>
      </w:r>
      <w:r w:rsidR="007864D3" w:rsidRPr="00C45026">
        <w:t>8-4.</w:t>
      </w:r>
      <w:r w:rsidR="007864D3" w:rsidRPr="00C45026">
        <w:rPr>
          <w:rStyle w:val="FootnoteReference"/>
        </w:rPr>
        <w:footnoteReference w:id="71"/>
      </w:r>
      <w:r w:rsidR="007864D3" w:rsidRPr="00C45026">
        <w:t xml:space="preserve"> Florida’s standard is now the lowest </w:t>
      </w:r>
      <w:r w:rsidR="007864D3" w:rsidRPr="00C45026">
        <w:lastRenderedPageBreak/>
        <w:t xml:space="preserve">threshold in the </w:t>
      </w:r>
      <w:r w:rsidR="0074273E" w:rsidRPr="00C45026">
        <w:t>country</w:t>
      </w:r>
      <w:r w:rsidR="007864D3" w:rsidRPr="00C45026">
        <w:t xml:space="preserve">. </w:t>
      </w:r>
      <w:r w:rsidR="000615B5" w:rsidRPr="00C45026">
        <w:t>Alabama is the only other state to automatically allow a death sentence by a less</w:t>
      </w:r>
      <w:r w:rsidR="0074273E" w:rsidRPr="00C45026">
        <w:t>-</w:t>
      </w:r>
      <w:r w:rsidR="000615B5" w:rsidRPr="00C45026">
        <w:t>than</w:t>
      </w:r>
      <w:r w:rsidR="0074273E" w:rsidRPr="00C45026">
        <w:t>-</w:t>
      </w:r>
      <w:r w:rsidR="000615B5" w:rsidRPr="00C45026">
        <w:t>unanimous vote</w:t>
      </w:r>
      <w:r w:rsidR="0074273E" w:rsidRPr="00C45026">
        <w:t xml:space="preserve">. In Alabama, </w:t>
      </w:r>
      <w:r w:rsidR="000615B5" w:rsidRPr="00C45026">
        <w:t xml:space="preserve">however, </w:t>
      </w:r>
      <w:r w:rsidR="0074273E" w:rsidRPr="00C45026">
        <w:t xml:space="preserve">the jury must vote at least </w:t>
      </w:r>
      <w:r w:rsidR="000615B5" w:rsidRPr="00C45026">
        <w:t>10-2 in favor of death.</w:t>
      </w:r>
      <w:r w:rsidR="000615B5" w:rsidRPr="00C45026">
        <w:rPr>
          <w:rStyle w:val="FootnoteReference"/>
        </w:rPr>
        <w:footnoteReference w:id="72"/>
      </w:r>
      <w:r w:rsidR="000615B5" w:rsidRPr="00C45026">
        <w:t xml:space="preserve"> </w:t>
      </w:r>
    </w:p>
    <w:p w14:paraId="45CA6F42" w14:textId="74DC9BB9" w:rsidR="007864D3" w:rsidRPr="00C45026" w:rsidRDefault="00277CFB" w:rsidP="0067362D">
      <w:pPr>
        <w:numPr>
          <w:ilvl w:val="0"/>
          <w:numId w:val="7"/>
        </w:numPr>
        <w:spacing w:after="120"/>
        <w:ind w:left="360"/>
        <w:jc w:val="both"/>
      </w:pPr>
      <w:r w:rsidRPr="00C45026">
        <w:t>I</w:t>
      </w:r>
      <w:r w:rsidR="000615B5" w:rsidRPr="00C45026">
        <w:t xml:space="preserve">n Missouri and Indiana, judges can impose a death sentence if the jury </w:t>
      </w:r>
      <w:r w:rsidR="00A81B5A" w:rsidRPr="00C45026">
        <w:t>cannot reach a unanimous verdict as to the sentence</w:t>
      </w:r>
      <w:r w:rsidR="000615B5" w:rsidRPr="00C45026">
        <w:t>.</w:t>
      </w:r>
      <w:r w:rsidR="000615B5" w:rsidRPr="00C45026">
        <w:rPr>
          <w:rStyle w:val="FootnoteReference"/>
        </w:rPr>
        <w:footnoteReference w:id="73"/>
      </w:r>
      <w:r w:rsidR="000615B5" w:rsidRPr="00C45026">
        <w:t xml:space="preserve"> In 2017, a Missouri judge overruled a</w:t>
      </w:r>
      <w:r w:rsidR="00852401" w:rsidRPr="00C45026">
        <w:t>n 11-1 vote in favor of life and sentenced Marvin Rice to death for the murder of his ex-girlfriend.</w:t>
      </w:r>
      <w:r w:rsidR="00852401" w:rsidRPr="00C45026">
        <w:rPr>
          <w:rStyle w:val="FootnoteReference"/>
        </w:rPr>
        <w:footnoteReference w:id="74"/>
      </w:r>
    </w:p>
    <w:p w14:paraId="47490B08" w14:textId="5152FBD8" w:rsidR="00835C3E" w:rsidRPr="00C45026" w:rsidRDefault="006738F5" w:rsidP="0067362D">
      <w:pPr>
        <w:numPr>
          <w:ilvl w:val="0"/>
          <w:numId w:val="7"/>
        </w:numPr>
        <w:spacing w:after="120"/>
        <w:ind w:left="360"/>
        <w:jc w:val="both"/>
      </w:pPr>
      <w:r w:rsidRPr="00C45026">
        <w:t>Substandard representation greatly increases the risk of wrongful conviction.</w:t>
      </w:r>
      <w:r w:rsidRPr="00C45026">
        <w:rPr>
          <w:rStyle w:val="FootnoteReference"/>
        </w:rPr>
        <w:footnoteReference w:id="75"/>
      </w:r>
      <w:r w:rsidRPr="00C45026">
        <w:t xml:space="preserve"> </w:t>
      </w:r>
      <w:r w:rsidR="00835C3E" w:rsidRPr="00C45026">
        <w:t xml:space="preserve">The Sixth Amendment of the </w:t>
      </w:r>
      <w:r w:rsidR="00C93E17" w:rsidRPr="00C45026">
        <w:t xml:space="preserve">U.S. </w:t>
      </w:r>
      <w:r w:rsidR="00835C3E" w:rsidRPr="00C45026">
        <w:t xml:space="preserve">Constitution guarantees the right to an effective attorney for </w:t>
      </w:r>
      <w:r w:rsidR="00D0551E" w:rsidRPr="00C45026">
        <w:t xml:space="preserve">people </w:t>
      </w:r>
      <w:r w:rsidR="00835C3E" w:rsidRPr="00C45026">
        <w:t>charged with capital offense</w:t>
      </w:r>
      <w:r w:rsidR="00FC4FDE" w:rsidRPr="00C45026">
        <w:t>s</w:t>
      </w:r>
      <w:r w:rsidR="00835C3E" w:rsidRPr="00C45026">
        <w:t>.</w:t>
      </w:r>
      <w:r w:rsidR="00835C3E" w:rsidRPr="00C45026">
        <w:rPr>
          <w:rStyle w:val="FootnoteReference"/>
        </w:rPr>
        <w:footnoteReference w:id="76"/>
      </w:r>
      <w:r w:rsidR="00835C3E" w:rsidRPr="00C45026">
        <w:t xml:space="preserve"> Even though </w:t>
      </w:r>
      <w:r w:rsidR="0081016F" w:rsidRPr="00C45026">
        <w:t xml:space="preserve">indigent </w:t>
      </w:r>
      <w:r w:rsidR="00835C3E" w:rsidRPr="00C45026">
        <w:t xml:space="preserve">defendants are guaranteed the right to an attorney, </w:t>
      </w:r>
      <w:r w:rsidR="0081016F" w:rsidRPr="00C45026">
        <w:t xml:space="preserve">such </w:t>
      </w:r>
      <w:r w:rsidR="00835C3E" w:rsidRPr="00C45026">
        <w:t>defendants often lack redress for ineffectiv</w:t>
      </w:r>
      <w:r w:rsidR="00FC4FDE" w:rsidRPr="00C45026">
        <w:t>e as</w:t>
      </w:r>
      <w:r w:rsidR="00835C3E" w:rsidRPr="00C45026">
        <w:t>s</w:t>
      </w:r>
      <w:r w:rsidR="00FC4FDE" w:rsidRPr="00C45026">
        <w:t>istance</w:t>
      </w:r>
      <w:r w:rsidR="00835C3E" w:rsidRPr="00C45026">
        <w:t xml:space="preserve">. </w:t>
      </w:r>
      <w:r w:rsidR="007D2EAE" w:rsidRPr="00C45026">
        <w:t>Proving ineffective assistance of counsel requires showing both that the lawyer’s performance was objectively below accepted professional standard</w:t>
      </w:r>
      <w:r w:rsidR="00AF1A24" w:rsidRPr="00C45026">
        <w:t>s</w:t>
      </w:r>
      <w:r w:rsidR="007D2EAE" w:rsidRPr="00C45026">
        <w:t xml:space="preserve"> and that it is reasonably probable that the lawyer’s substandard performance influenced the trial outcome.</w:t>
      </w:r>
      <w:r w:rsidR="007D2EAE" w:rsidRPr="00C45026">
        <w:rPr>
          <w:rStyle w:val="FootnoteReference"/>
        </w:rPr>
        <w:footnoteReference w:id="77"/>
      </w:r>
    </w:p>
    <w:p w14:paraId="2499911B" w14:textId="6BE150C0" w:rsidR="00A37CD1" w:rsidRPr="00C45026" w:rsidRDefault="0081016F" w:rsidP="0067362D">
      <w:pPr>
        <w:numPr>
          <w:ilvl w:val="0"/>
          <w:numId w:val="7"/>
        </w:numPr>
        <w:spacing w:after="120"/>
        <w:ind w:left="360"/>
        <w:jc w:val="both"/>
      </w:pPr>
      <w:r w:rsidRPr="00C45026">
        <w:t xml:space="preserve">The American Bar Association and the U.S. Department of Justice published standards for appointing counsel in capital cases. These standards include the requirement that the appointed attorney complete a </w:t>
      </w:r>
      <w:r w:rsidR="007742EB" w:rsidRPr="00C45026">
        <w:t>capital defense</w:t>
      </w:r>
      <w:r w:rsidR="004F77C1" w:rsidRPr="00C45026">
        <w:t>-</w:t>
      </w:r>
      <w:r w:rsidR="007742EB" w:rsidRPr="00C45026">
        <w:t xml:space="preserve">specific training program </w:t>
      </w:r>
      <w:r w:rsidRPr="00C45026">
        <w:t>and that the attorney be fully compensated at a rate consistent with high</w:t>
      </w:r>
      <w:r w:rsidR="008E27E4" w:rsidRPr="00C45026">
        <w:t>-</w:t>
      </w:r>
      <w:r w:rsidRPr="00C45026">
        <w:t>quality legal representation and the “extraordinary responsibilities inherent in death penalty representation.”</w:t>
      </w:r>
      <w:r w:rsidRPr="00C45026">
        <w:rPr>
          <w:rStyle w:val="FootnoteReference"/>
        </w:rPr>
        <w:footnoteReference w:id="78"/>
      </w:r>
      <w:r w:rsidR="007742EB" w:rsidRPr="00C45026">
        <w:t xml:space="preserve"> </w:t>
      </w:r>
      <w:r w:rsidR="001170F4" w:rsidRPr="00C45026">
        <w:t>But s</w:t>
      </w:r>
      <w:r w:rsidR="007742EB" w:rsidRPr="00C45026">
        <w:t>tates are not required to follow these standards and often enact criteria entirely substandard to the ABA and Department of Justice criteria.</w:t>
      </w:r>
      <w:r w:rsidR="007742EB" w:rsidRPr="00C45026">
        <w:rPr>
          <w:rStyle w:val="FootnoteReference"/>
        </w:rPr>
        <w:footnoteReference w:id="79"/>
      </w:r>
      <w:r w:rsidR="007742EB" w:rsidRPr="00C45026">
        <w:t xml:space="preserve"> </w:t>
      </w:r>
    </w:p>
    <w:p w14:paraId="49483D30" w14:textId="634424A0" w:rsidR="00066A39" w:rsidRPr="00C45026" w:rsidRDefault="00A978F5" w:rsidP="0067362D">
      <w:pPr>
        <w:numPr>
          <w:ilvl w:val="0"/>
          <w:numId w:val="7"/>
        </w:numPr>
        <w:spacing w:after="120"/>
        <w:ind w:left="360"/>
        <w:jc w:val="both"/>
      </w:pPr>
      <w:r w:rsidRPr="00C45026">
        <w:t>Many jurisdictions do not provide adequate compensation for appointed counsel</w:t>
      </w:r>
      <w:r w:rsidR="00A37CD1" w:rsidRPr="00C45026">
        <w:t>. In Alabama, a state that consistent</w:t>
      </w:r>
      <w:r w:rsidR="00FC4FDE" w:rsidRPr="00C45026">
        <w:t>ly</w:t>
      </w:r>
      <w:r w:rsidR="00A37CD1" w:rsidRPr="00C45026">
        <w:t xml:space="preserve"> has one of the nation’s highest per capita execution rates, attorneys </w:t>
      </w:r>
      <w:r w:rsidRPr="00C45026">
        <w:t xml:space="preserve">receive </w:t>
      </w:r>
      <w:r w:rsidR="00A37CD1" w:rsidRPr="00C45026">
        <w:t>$70 per hour for trial work.</w:t>
      </w:r>
      <w:r w:rsidR="00A37CD1" w:rsidRPr="00C45026">
        <w:rPr>
          <w:rStyle w:val="FootnoteReference"/>
        </w:rPr>
        <w:footnoteReference w:id="80"/>
      </w:r>
      <w:r w:rsidR="00A37CD1" w:rsidRPr="00C45026">
        <w:t xml:space="preserve"> Attorneys appointed on direct appeal have payments </w:t>
      </w:r>
      <w:r w:rsidR="00A37CD1" w:rsidRPr="00C45026">
        <w:lastRenderedPageBreak/>
        <w:t>capped at $2,500.</w:t>
      </w:r>
      <w:r w:rsidR="00A37CD1" w:rsidRPr="00C45026">
        <w:rPr>
          <w:rStyle w:val="FootnoteReference"/>
        </w:rPr>
        <w:footnoteReference w:id="81"/>
      </w:r>
      <w:r w:rsidR="00A37CD1" w:rsidRPr="00C45026">
        <w:t xml:space="preserve"> </w:t>
      </w:r>
      <w:r w:rsidR="008D36C7" w:rsidRPr="00C45026">
        <w:t>L</w:t>
      </w:r>
      <w:r w:rsidR="00A37CD1" w:rsidRPr="00C45026">
        <w:t>ack of adequate resources drastically increases the risk of wrongful conviction</w:t>
      </w:r>
      <w:r w:rsidR="00CB757D" w:rsidRPr="00C45026">
        <w:t xml:space="preserve"> and of such a conviction being upheld in post-conviction proceedings</w:t>
      </w:r>
      <w:r w:rsidR="00A37CD1" w:rsidRPr="00C45026">
        <w:t>.</w:t>
      </w:r>
      <w:r w:rsidR="00A37CD1" w:rsidRPr="00C45026">
        <w:rPr>
          <w:rStyle w:val="FootnoteReference"/>
        </w:rPr>
        <w:footnoteReference w:id="82"/>
      </w:r>
    </w:p>
    <w:p w14:paraId="26CC3FD9" w14:textId="5B725DA4" w:rsidR="00903B2C" w:rsidRPr="00C45026" w:rsidRDefault="001D5584" w:rsidP="0067362D">
      <w:pPr>
        <w:numPr>
          <w:ilvl w:val="0"/>
          <w:numId w:val="7"/>
        </w:numPr>
        <w:spacing w:after="120"/>
        <w:ind w:left="360"/>
        <w:jc w:val="both"/>
      </w:pPr>
      <w:r w:rsidRPr="00C45026">
        <w:t xml:space="preserve">Despite the existence </w:t>
      </w:r>
      <w:r w:rsidR="00903B2C" w:rsidRPr="00C45026">
        <w:t>of appellate</w:t>
      </w:r>
      <w:r w:rsidRPr="00C45026">
        <w:t xml:space="preserve"> and post-conviction review in the United States, such review is often unavailable or ineffective for wrongfully convicted defendants.</w:t>
      </w:r>
      <w:r w:rsidR="00EF27F5" w:rsidRPr="00C45026">
        <w:t xml:space="preserve"> </w:t>
      </w:r>
    </w:p>
    <w:p w14:paraId="4D7F421B" w14:textId="0D79980E" w:rsidR="00E47885" w:rsidRPr="00C45026" w:rsidRDefault="00E47885" w:rsidP="0067362D">
      <w:pPr>
        <w:numPr>
          <w:ilvl w:val="0"/>
          <w:numId w:val="7"/>
        </w:numPr>
        <w:spacing w:after="120"/>
        <w:ind w:left="360"/>
        <w:jc w:val="both"/>
      </w:pPr>
      <w:r w:rsidRPr="00C45026">
        <w:t xml:space="preserve">The appellate review process in the United States focuses on whether legal errors occurred, rather than whether the defendant is </w:t>
      </w:r>
      <w:r w:rsidR="00FC4FDE" w:rsidRPr="00C45026">
        <w:t>innocent</w:t>
      </w:r>
      <w:r w:rsidRPr="00C45026">
        <w:t>.</w:t>
      </w:r>
      <w:r w:rsidRPr="00C45026">
        <w:rPr>
          <w:rStyle w:val="FootnoteReference"/>
        </w:rPr>
        <w:footnoteReference w:id="83"/>
      </w:r>
      <w:r w:rsidRPr="00C45026">
        <w:t xml:space="preserve"> Only when a defendant presents a “truly persuasive demonstration of actual innocence,”</w:t>
      </w:r>
      <w:r w:rsidRPr="00C45026">
        <w:rPr>
          <w:rStyle w:val="FootnoteReference"/>
        </w:rPr>
        <w:footnoteReference w:id="84"/>
      </w:r>
      <w:r w:rsidRPr="00C45026">
        <w:t xml:space="preserve"> new evidence that was unavailable at the trial level, or DNA evidence excluding the defendant from the crime, can a defendant potentially get a new trial.</w:t>
      </w:r>
      <w:r w:rsidRPr="00C45026">
        <w:rPr>
          <w:rStyle w:val="FootnoteReference"/>
        </w:rPr>
        <w:footnoteReference w:id="85"/>
      </w:r>
      <w:r w:rsidR="00D6269E" w:rsidRPr="00C45026">
        <w:t xml:space="preserve"> Pursuing this relief is exceedingly costly and </w:t>
      </w:r>
      <w:r w:rsidR="00CD1B48" w:rsidRPr="00C45026">
        <w:t>time-consuming</w:t>
      </w:r>
      <w:r w:rsidR="00D6269E" w:rsidRPr="00C45026">
        <w:t>.</w:t>
      </w:r>
      <w:r w:rsidR="00D6269E" w:rsidRPr="00C45026">
        <w:rPr>
          <w:rStyle w:val="FootnoteReference"/>
        </w:rPr>
        <w:footnoteReference w:id="86"/>
      </w:r>
    </w:p>
    <w:p w14:paraId="3D382AF3" w14:textId="5288A37B" w:rsidR="001D5584" w:rsidRPr="00C45026" w:rsidRDefault="00EF27F5" w:rsidP="0067362D">
      <w:pPr>
        <w:numPr>
          <w:ilvl w:val="0"/>
          <w:numId w:val="7"/>
        </w:numPr>
        <w:spacing w:after="120"/>
        <w:ind w:left="360"/>
        <w:jc w:val="both"/>
      </w:pPr>
      <w:r w:rsidRPr="00C45026">
        <w:t>In 2023 the Alabama Supreme Court eliminated plain error review for death penalty cases.</w:t>
      </w:r>
      <w:r w:rsidRPr="00C45026">
        <w:rPr>
          <w:rStyle w:val="FootnoteReference"/>
        </w:rPr>
        <w:footnoteReference w:id="87"/>
      </w:r>
      <w:r w:rsidRPr="00C45026">
        <w:t xml:space="preserve"> Under the previous rule, the Alabama Court of </w:t>
      </w:r>
      <w:r w:rsidR="008D6C77" w:rsidRPr="00C45026">
        <w:t>Criminal Appeals reviewed all transcript</w:t>
      </w:r>
      <w:r w:rsidR="00522464" w:rsidRPr="00C45026">
        <w:t>s</w:t>
      </w:r>
      <w:r w:rsidR="008D6C77" w:rsidRPr="00C45026">
        <w:t xml:space="preserve"> of cases that resulted in a death sentence for errors that affected the substantial rights of the </w:t>
      </w:r>
      <w:r w:rsidR="00903B2C" w:rsidRPr="00C45026">
        <w:t>defendant, even if those errors were not raised at trial.</w:t>
      </w:r>
      <w:r w:rsidR="00903B2C" w:rsidRPr="00C45026">
        <w:rPr>
          <w:rStyle w:val="FootnoteReference"/>
        </w:rPr>
        <w:footnoteReference w:id="88"/>
      </w:r>
      <w:r w:rsidR="00903B2C" w:rsidRPr="00C45026">
        <w:t xml:space="preserve"> Nearly 40% of all reversals in Alabama death penalty cases came from plain error review.</w:t>
      </w:r>
      <w:r w:rsidR="00903B2C" w:rsidRPr="00C45026">
        <w:rPr>
          <w:rStyle w:val="FootnoteReference"/>
        </w:rPr>
        <w:footnoteReference w:id="89"/>
      </w:r>
      <w:r w:rsidR="00903B2C" w:rsidRPr="00C45026">
        <w:t xml:space="preserve"> </w:t>
      </w:r>
      <w:r w:rsidR="00261950" w:rsidRPr="00C45026">
        <w:t xml:space="preserve">Under the current scheme, </w:t>
      </w:r>
      <w:r w:rsidR="00E66FA9" w:rsidRPr="00C45026">
        <w:t xml:space="preserve">persons sentenced to death </w:t>
      </w:r>
      <w:r w:rsidR="00903B2C" w:rsidRPr="00C45026">
        <w:t xml:space="preserve">still have the option of </w:t>
      </w:r>
      <w:r w:rsidR="005D2E4B" w:rsidRPr="00C45026">
        <w:t xml:space="preserve">seeking </w:t>
      </w:r>
      <w:r w:rsidR="00903B2C" w:rsidRPr="00C45026">
        <w:t xml:space="preserve">post-conviction relief, </w:t>
      </w:r>
      <w:r w:rsidR="00261950" w:rsidRPr="00C45026">
        <w:t xml:space="preserve">but a court will not appoint post-conviction counsel </w:t>
      </w:r>
      <w:r w:rsidR="00E66FA9" w:rsidRPr="00C45026">
        <w:t xml:space="preserve">until after the person has filed </w:t>
      </w:r>
      <w:r w:rsidR="00903B2C" w:rsidRPr="00C45026">
        <w:t xml:space="preserve">a post-conviction relief petition, and even then, </w:t>
      </w:r>
      <w:r w:rsidR="005F78CE" w:rsidRPr="00C45026">
        <w:t xml:space="preserve">the court will appoint counsel only if the court determines that </w:t>
      </w:r>
      <w:r w:rsidR="00903B2C" w:rsidRPr="00C45026">
        <w:t>counsel is necessary.</w:t>
      </w:r>
      <w:r w:rsidR="00903B2C" w:rsidRPr="00C45026">
        <w:rPr>
          <w:rStyle w:val="FootnoteReference"/>
        </w:rPr>
        <w:footnoteReference w:id="90"/>
      </w:r>
    </w:p>
    <w:p w14:paraId="7A0C4DCB" w14:textId="57C91FB0" w:rsidR="00D6269E" w:rsidRPr="00C45026" w:rsidRDefault="00D6269E" w:rsidP="0067362D">
      <w:pPr>
        <w:numPr>
          <w:ilvl w:val="0"/>
          <w:numId w:val="7"/>
        </w:numPr>
        <w:spacing w:after="120"/>
        <w:ind w:left="360"/>
        <w:jc w:val="both"/>
      </w:pPr>
      <w:bookmarkStart w:id="16" w:name="_Ref145410587"/>
      <w:r w:rsidRPr="00C45026">
        <w:t xml:space="preserve">When people are exonerated, </w:t>
      </w:r>
      <w:r w:rsidR="003378AB" w:rsidRPr="00C45026">
        <w:t>authorities do not provide adequate (or in some cases any) compensation</w:t>
      </w:r>
      <w:r w:rsidRPr="00C45026">
        <w:t>. Exonerees face significant challenges in rebuilding their lives</w:t>
      </w:r>
      <w:r w:rsidR="009B46F2" w:rsidRPr="00C45026">
        <w:t xml:space="preserve">. These challenges </w:t>
      </w:r>
      <w:r w:rsidRPr="00C45026">
        <w:t>includ</w:t>
      </w:r>
      <w:r w:rsidR="009B46F2" w:rsidRPr="00C45026">
        <w:t xml:space="preserve">e </w:t>
      </w:r>
      <w:r w:rsidRPr="00C45026">
        <w:t>financial hardship, problems securing basic necessities like food and housing, obtaining employment</w:t>
      </w:r>
      <w:r w:rsidR="000D056E" w:rsidRPr="00C45026">
        <w:t xml:space="preserve"> (</w:t>
      </w:r>
      <w:r w:rsidR="004B02C5" w:rsidRPr="00C45026">
        <w:t xml:space="preserve">many </w:t>
      </w:r>
      <w:r w:rsidR="000D056E" w:rsidRPr="00C45026">
        <w:t xml:space="preserve">exonerees </w:t>
      </w:r>
      <w:r w:rsidR="00F126E2" w:rsidRPr="00C45026">
        <w:t xml:space="preserve">did not have access to formal </w:t>
      </w:r>
      <w:r w:rsidR="000D056E" w:rsidRPr="00C45026">
        <w:t>education and vocational training while on death row)</w:t>
      </w:r>
      <w:r w:rsidRPr="00C45026">
        <w:t>, and accessing adequate health car</w:t>
      </w:r>
      <w:r w:rsidR="00F126E2" w:rsidRPr="00C45026">
        <w:t>e, particularly after experiencing many years of sub-standard health care while under sentence of death</w:t>
      </w:r>
      <w:r w:rsidR="0023174F" w:rsidRPr="00C45026">
        <w:t xml:space="preserve"> and facing trauma from living on death row</w:t>
      </w:r>
      <w:r w:rsidRPr="00C45026">
        <w:t>.</w:t>
      </w:r>
      <w:r w:rsidRPr="00C45026">
        <w:rPr>
          <w:rStyle w:val="FootnoteReference"/>
        </w:rPr>
        <w:footnoteReference w:id="91"/>
      </w:r>
      <w:bookmarkEnd w:id="16"/>
      <w:r w:rsidRPr="00C45026">
        <w:t xml:space="preserve"> </w:t>
      </w:r>
    </w:p>
    <w:p w14:paraId="0A917B96" w14:textId="53735E0F" w:rsidR="009B46F2" w:rsidRPr="00C45026" w:rsidRDefault="009B46F2" w:rsidP="0067362D">
      <w:pPr>
        <w:numPr>
          <w:ilvl w:val="0"/>
          <w:numId w:val="7"/>
        </w:numPr>
        <w:spacing w:after="120"/>
        <w:ind w:left="360"/>
        <w:jc w:val="both"/>
      </w:pPr>
      <w:r w:rsidRPr="00C45026">
        <w:lastRenderedPageBreak/>
        <w:t>The federal wrongful conviction statute offers compensation for exonerees up to $100,000 per year on death row.</w:t>
      </w:r>
      <w:r w:rsidRPr="00C45026">
        <w:rPr>
          <w:rStyle w:val="FootnoteReference"/>
        </w:rPr>
        <w:footnoteReference w:id="92"/>
      </w:r>
      <w:r w:rsidRPr="00C45026">
        <w:t xml:space="preserve"> As of 2022, 38 states had compensation laws, but only seven states provided additional compensation for </w:t>
      </w:r>
      <w:r w:rsidR="004B02C5" w:rsidRPr="00C45026">
        <w:t xml:space="preserve">people who had been </w:t>
      </w:r>
      <w:r w:rsidRPr="00C45026">
        <w:t>on death row</w:t>
      </w:r>
      <w:r w:rsidR="004B02C5" w:rsidRPr="00C45026">
        <w:t xml:space="preserve"> prior to exoneration</w:t>
      </w:r>
      <w:r w:rsidRPr="00C45026">
        <w:t>.</w:t>
      </w:r>
      <w:r w:rsidRPr="00C45026">
        <w:rPr>
          <w:rStyle w:val="FootnoteReference"/>
        </w:rPr>
        <w:footnoteReference w:id="93"/>
      </w:r>
    </w:p>
    <w:p w14:paraId="2696C501" w14:textId="0F738AF2" w:rsidR="009B46F2" w:rsidRPr="00C45026" w:rsidRDefault="0023174F" w:rsidP="0067362D">
      <w:pPr>
        <w:numPr>
          <w:ilvl w:val="0"/>
          <w:numId w:val="7"/>
        </w:numPr>
        <w:spacing w:after="120"/>
        <w:ind w:left="360"/>
        <w:jc w:val="both"/>
      </w:pPr>
      <w:bookmarkStart w:id="20" w:name="_Ref145410590"/>
      <w:r w:rsidRPr="00C45026">
        <w:t>M</w:t>
      </w:r>
      <w:r w:rsidR="009B46F2" w:rsidRPr="00C45026">
        <w:t>ost wrongful conviction statutes fail to provide services critical to a successful return to society, such as housing, food, counseling, health care,</w:t>
      </w:r>
      <w:r w:rsidR="00AB790B" w:rsidRPr="00C45026">
        <w:t xml:space="preserve"> psycho-social support,</w:t>
      </w:r>
      <w:r w:rsidR="009B46F2" w:rsidRPr="00C45026">
        <w:t xml:space="preserve"> </w:t>
      </w:r>
      <w:r w:rsidR="00AB790B" w:rsidRPr="00C45026">
        <w:t xml:space="preserve">vocational </w:t>
      </w:r>
      <w:r w:rsidR="009B46F2" w:rsidRPr="00C45026">
        <w:t>training, and educational assistance.</w:t>
      </w:r>
      <w:r w:rsidR="009B46F2" w:rsidRPr="00C45026">
        <w:rPr>
          <w:rStyle w:val="FootnoteReference"/>
        </w:rPr>
        <w:footnoteReference w:id="94"/>
      </w:r>
      <w:r w:rsidR="007C6462" w:rsidRPr="00C45026">
        <w:t xml:space="preserve"> Some exonerees are ineligible for services that assist “ex-offenders” because </w:t>
      </w:r>
      <w:r w:rsidR="00AB790B" w:rsidRPr="00C45026">
        <w:t xml:space="preserve">authorities provide such services only </w:t>
      </w:r>
      <w:r w:rsidR="007C6462" w:rsidRPr="00C45026">
        <w:t>to people who committed a crime.</w:t>
      </w:r>
      <w:r w:rsidR="007C6462" w:rsidRPr="00C45026">
        <w:rPr>
          <w:rStyle w:val="FootnoteReference"/>
        </w:rPr>
        <w:footnoteReference w:id="95"/>
      </w:r>
      <w:bookmarkEnd w:id="20"/>
    </w:p>
    <w:p w14:paraId="6C12EC31" w14:textId="263716D8" w:rsidR="009B46F2" w:rsidRPr="00C45026" w:rsidRDefault="009B46F2" w:rsidP="0067362D">
      <w:pPr>
        <w:numPr>
          <w:ilvl w:val="0"/>
          <w:numId w:val="7"/>
        </w:numPr>
        <w:spacing w:after="120"/>
        <w:ind w:left="360"/>
        <w:jc w:val="both"/>
      </w:pPr>
      <w:r w:rsidRPr="00C45026">
        <w:t xml:space="preserve">Additionally, compensation is not guaranteed. Some states compensate individuals only through private legislation, which requires the state legislature to pass a bill to specifically compensate </w:t>
      </w:r>
      <w:r w:rsidR="00EB19F0" w:rsidRPr="00C45026">
        <w:t xml:space="preserve">a particular </w:t>
      </w:r>
      <w:r w:rsidRPr="00C45026">
        <w:t>individual.</w:t>
      </w:r>
      <w:r w:rsidRPr="00C45026">
        <w:rPr>
          <w:rStyle w:val="FootnoteReference"/>
        </w:rPr>
        <w:footnoteReference w:id="96"/>
      </w:r>
      <w:r w:rsidR="007C6462" w:rsidRPr="00C45026">
        <w:t xml:space="preserve"> Other states require that exonerees affirmatively prove their innocence to be eligible for compensation.</w:t>
      </w:r>
      <w:r w:rsidR="007C6462" w:rsidRPr="00C45026">
        <w:rPr>
          <w:rStyle w:val="FootnoteReference"/>
        </w:rPr>
        <w:footnoteReference w:id="97"/>
      </w:r>
      <w:r w:rsidR="007C6462" w:rsidRPr="00C45026">
        <w:t xml:space="preserve"> </w:t>
      </w:r>
    </w:p>
    <w:p w14:paraId="5B2ED827" w14:textId="74922CDB" w:rsidR="007C6462" w:rsidRPr="00C45026" w:rsidRDefault="007C6462" w:rsidP="0067362D">
      <w:pPr>
        <w:numPr>
          <w:ilvl w:val="0"/>
          <w:numId w:val="7"/>
        </w:numPr>
        <w:spacing w:after="120"/>
        <w:ind w:left="360"/>
        <w:jc w:val="both"/>
      </w:pPr>
      <w:r w:rsidRPr="00C45026">
        <w:t>Even exonerees who successfully obtain compensation wait years. On average, it takes nearly three years to obtain state compensation.</w:t>
      </w:r>
      <w:r w:rsidRPr="00C45026">
        <w:rPr>
          <w:rStyle w:val="FootnoteReference"/>
        </w:rPr>
        <w:footnoteReference w:id="98"/>
      </w:r>
    </w:p>
    <w:p w14:paraId="5AB51944" w14:textId="2BB85D5C" w:rsidR="007C6462" w:rsidRPr="00C45026" w:rsidRDefault="007C6462" w:rsidP="007C6462">
      <w:pPr>
        <w:spacing w:after="120"/>
        <w:jc w:val="both"/>
        <w:rPr>
          <w:i/>
          <w:iCs/>
        </w:rPr>
      </w:pPr>
      <w:r w:rsidRPr="00C45026">
        <w:rPr>
          <w:i/>
          <w:iCs/>
        </w:rPr>
        <w:t>Consular Notification and A</w:t>
      </w:r>
      <w:r w:rsidR="005C1D99" w:rsidRPr="00C45026">
        <w:rPr>
          <w:i/>
          <w:iCs/>
        </w:rPr>
        <w:t>ccess</w:t>
      </w:r>
    </w:p>
    <w:p w14:paraId="4792F763" w14:textId="67B55A06" w:rsidR="005422CB" w:rsidRPr="00C45026" w:rsidRDefault="007C6462" w:rsidP="0067362D">
      <w:pPr>
        <w:numPr>
          <w:ilvl w:val="0"/>
          <w:numId w:val="7"/>
        </w:numPr>
        <w:spacing w:after="120"/>
        <w:ind w:left="360"/>
        <w:jc w:val="both"/>
      </w:pPr>
      <w:r w:rsidRPr="00C45026">
        <w:t xml:space="preserve">The Fifth </w:t>
      </w:r>
      <w:r w:rsidR="000E7926" w:rsidRPr="00C45026">
        <w:t>P</w:t>
      </w:r>
      <w:r w:rsidRPr="00C45026">
        <w:t xml:space="preserve">eriodic </w:t>
      </w:r>
      <w:r w:rsidR="000E7926" w:rsidRPr="00C45026">
        <w:t>R</w:t>
      </w:r>
      <w:r w:rsidRPr="00C45026">
        <w:t xml:space="preserve">eport </w:t>
      </w:r>
      <w:r w:rsidR="00C2562D" w:rsidRPr="00C45026">
        <w:t>asserted</w:t>
      </w:r>
      <w:r w:rsidRPr="00C45026">
        <w:t xml:space="preserve">: </w:t>
      </w:r>
      <w:r w:rsidR="005C1D99" w:rsidRPr="00C45026">
        <w:t xml:space="preserve">“The United States takes seriously its international obligations with respect to consular notification and </w:t>
      </w:r>
      <w:r w:rsidR="00C604EF" w:rsidRPr="00C45026">
        <w:t>access and</w:t>
      </w:r>
      <w:r w:rsidR="005C1D99" w:rsidRPr="00C45026">
        <w:t xml:space="preserve"> continues to take steps to achieve compliance with the International Court of Justice decision in the </w:t>
      </w:r>
      <w:r w:rsidR="005C1D99" w:rsidRPr="00C45026">
        <w:rPr>
          <w:i/>
          <w:iCs/>
        </w:rPr>
        <w:t>Case Concerning Avena and Other Mexican Nationals</w:t>
      </w:r>
      <w:r w:rsidR="005C1D99" w:rsidRPr="00C45026">
        <w:t xml:space="preserve"> . . . .”</w:t>
      </w:r>
      <w:r w:rsidR="005C1D99" w:rsidRPr="00C45026">
        <w:rPr>
          <w:rStyle w:val="FootnoteReference"/>
        </w:rPr>
        <w:footnoteReference w:id="99"/>
      </w:r>
    </w:p>
    <w:p w14:paraId="1B9F91B7" w14:textId="713F5187" w:rsidR="00231908" w:rsidRPr="00C45026" w:rsidRDefault="005C1D99" w:rsidP="0067362D">
      <w:pPr>
        <w:numPr>
          <w:ilvl w:val="0"/>
          <w:numId w:val="7"/>
        </w:numPr>
        <w:spacing w:after="120"/>
        <w:ind w:left="360"/>
        <w:jc w:val="both"/>
      </w:pPr>
      <w:r w:rsidRPr="00C45026">
        <w:t xml:space="preserve">Despite </w:t>
      </w:r>
      <w:r w:rsidR="00244111" w:rsidRPr="00C45026">
        <w:t>efforts to comply with the decision, the United States has consistently failed to comply with its consular notification obligations in capital cases.</w:t>
      </w:r>
      <w:r w:rsidR="000F5E50" w:rsidRPr="00C45026">
        <w:t xml:space="preserve"> The United States has a consular </w:t>
      </w:r>
      <w:r w:rsidR="000F5E50" w:rsidRPr="00C45026">
        <w:lastRenderedPageBreak/>
        <w:t>notification statute</w:t>
      </w:r>
      <w:r w:rsidR="00993009" w:rsidRPr="00C45026">
        <w:t xml:space="preserve">, but </w:t>
      </w:r>
      <w:r w:rsidR="000F5E50" w:rsidRPr="00C45026">
        <w:t xml:space="preserve">this statute </w:t>
      </w:r>
      <w:r w:rsidR="00993009" w:rsidRPr="00C45026">
        <w:t xml:space="preserve">pertains </w:t>
      </w:r>
      <w:r w:rsidR="000F5E50" w:rsidRPr="00C45026">
        <w:t xml:space="preserve">only </w:t>
      </w:r>
      <w:r w:rsidR="00993009" w:rsidRPr="00C45026">
        <w:t xml:space="preserve">to </w:t>
      </w:r>
      <w:r w:rsidR="000F5E50" w:rsidRPr="00C45026">
        <w:t>people in federal custody.</w:t>
      </w:r>
      <w:r w:rsidR="000F5E50" w:rsidRPr="00C45026">
        <w:rPr>
          <w:rStyle w:val="FootnoteReference"/>
        </w:rPr>
        <w:footnoteReference w:id="100"/>
      </w:r>
      <w:r w:rsidR="000F5E50" w:rsidRPr="00C45026">
        <w:t xml:space="preserve"> The majority of people at risk of being sentenced to death in the United States are held in state custody.</w:t>
      </w:r>
      <w:r w:rsidR="000F5E50" w:rsidRPr="00C45026">
        <w:rPr>
          <w:rStyle w:val="FootnoteReference"/>
        </w:rPr>
        <w:footnoteReference w:id="101"/>
      </w:r>
    </w:p>
    <w:p w14:paraId="356354F9" w14:textId="25279D62" w:rsidR="007C6462" w:rsidRPr="00C45026" w:rsidRDefault="0028216F" w:rsidP="0067362D">
      <w:pPr>
        <w:numPr>
          <w:ilvl w:val="0"/>
          <w:numId w:val="7"/>
        </w:numPr>
        <w:spacing w:after="120"/>
        <w:ind w:left="360"/>
        <w:jc w:val="both"/>
      </w:pPr>
      <w:r w:rsidRPr="00C45026">
        <w:t>California, Florida, Georgia, Illinois, Nevada, North Carolina, Oregon, Washington, and the District of Columbia all have laws that address consular notification.</w:t>
      </w:r>
      <w:r w:rsidRPr="00C45026">
        <w:rPr>
          <w:rStyle w:val="FootnoteReference"/>
        </w:rPr>
        <w:footnoteReference w:id="102"/>
      </w:r>
      <w:r w:rsidRPr="00C45026">
        <w:t xml:space="preserve"> </w:t>
      </w:r>
      <w:r w:rsidR="00872F16" w:rsidRPr="00C45026">
        <w:t>But w</w:t>
      </w:r>
      <w:r w:rsidRPr="00C45026">
        <w:t xml:space="preserve">ithout federal legislation, the International Court of Justice’s </w:t>
      </w:r>
      <w:r w:rsidRPr="00C45026">
        <w:rPr>
          <w:i/>
          <w:iCs/>
        </w:rPr>
        <w:t xml:space="preserve">Avena </w:t>
      </w:r>
      <w:r w:rsidRPr="00C45026">
        <w:t>decision is not binding on the states.</w:t>
      </w:r>
      <w:r w:rsidRPr="00C45026">
        <w:rPr>
          <w:rStyle w:val="FootnoteReference"/>
        </w:rPr>
        <w:footnoteReference w:id="103"/>
      </w:r>
      <w:r w:rsidR="00231908" w:rsidRPr="00C45026">
        <w:t xml:space="preserve"> </w:t>
      </w:r>
    </w:p>
    <w:p w14:paraId="02B99B8E" w14:textId="47B9359F" w:rsidR="005422CB" w:rsidRPr="00C45026" w:rsidRDefault="005422CB" w:rsidP="0067362D">
      <w:pPr>
        <w:numPr>
          <w:ilvl w:val="0"/>
          <w:numId w:val="7"/>
        </w:numPr>
        <w:spacing w:after="120"/>
        <w:ind w:left="360"/>
        <w:jc w:val="both"/>
      </w:pPr>
      <w:r w:rsidRPr="00C45026">
        <w:t>The Department of State adopted the</w:t>
      </w:r>
      <w:r w:rsidR="00585613" w:rsidRPr="00C45026">
        <w:t xml:space="preserve"> 5th</w:t>
      </w:r>
      <w:r w:rsidRPr="00C45026">
        <w:t xml:space="preserve"> Edition of its Consular Notification and Access Manual in 2018.</w:t>
      </w:r>
      <w:r w:rsidRPr="00C45026">
        <w:rPr>
          <w:rStyle w:val="FootnoteReference"/>
        </w:rPr>
        <w:footnoteReference w:id="104"/>
      </w:r>
      <w:r w:rsidRPr="00C45026">
        <w:t xml:space="preserve"> The </w:t>
      </w:r>
      <w:r w:rsidR="00C2562D" w:rsidRPr="00C45026">
        <w:t>M</w:t>
      </w:r>
      <w:r w:rsidRPr="00C45026">
        <w:t xml:space="preserve">anual mandates that </w:t>
      </w:r>
      <w:r w:rsidR="00372720" w:rsidRPr="00C45026">
        <w:t xml:space="preserve">officers should inform </w:t>
      </w:r>
      <w:r w:rsidRPr="00C45026">
        <w:t xml:space="preserve">a person of </w:t>
      </w:r>
      <w:r w:rsidR="00585613" w:rsidRPr="00C45026">
        <w:t xml:space="preserve">his or her </w:t>
      </w:r>
      <w:r w:rsidRPr="00C45026">
        <w:t>consular rights immediately upon arrest</w:t>
      </w:r>
      <w:r w:rsidR="00AE1944" w:rsidRPr="00C45026">
        <w:t xml:space="preserve">. </w:t>
      </w:r>
      <w:r w:rsidR="00372720" w:rsidRPr="00C45026">
        <w:t xml:space="preserve">But there are no </w:t>
      </w:r>
      <w:r w:rsidR="00E6717F" w:rsidRPr="00C45026">
        <w:t xml:space="preserve">clear consequences for failure to notify, and officers therefore </w:t>
      </w:r>
      <w:r w:rsidR="00A53B53" w:rsidRPr="00C45026">
        <w:t xml:space="preserve">have </w:t>
      </w:r>
      <w:r w:rsidRPr="00C45026">
        <w:t>little incentive to comply.</w:t>
      </w:r>
      <w:r w:rsidR="006C0B91" w:rsidRPr="00C45026">
        <w:rPr>
          <w:rStyle w:val="FootnoteReference"/>
        </w:rPr>
        <w:footnoteReference w:id="105"/>
      </w:r>
    </w:p>
    <w:p w14:paraId="79C1541B" w14:textId="7AF788BE" w:rsidR="006C0B91" w:rsidRPr="00C45026" w:rsidRDefault="006C0B91" w:rsidP="0067362D">
      <w:pPr>
        <w:numPr>
          <w:ilvl w:val="0"/>
          <w:numId w:val="7"/>
        </w:numPr>
        <w:spacing w:after="120"/>
        <w:ind w:left="360"/>
        <w:jc w:val="both"/>
      </w:pPr>
      <w:r w:rsidRPr="00C45026">
        <w:t xml:space="preserve">In 2020, the Nevada Supreme Court affirmed the reversal of </w:t>
      </w:r>
      <w:r w:rsidR="00C2562D" w:rsidRPr="00C45026">
        <w:t xml:space="preserve">the death penalty conviction of </w:t>
      </w:r>
      <w:r w:rsidRPr="00C45026">
        <w:t>Carlos Perez Gutierrez due to a violation of his consular rights.</w:t>
      </w:r>
      <w:r w:rsidRPr="00C45026">
        <w:rPr>
          <w:rStyle w:val="FootnoteReference"/>
        </w:rPr>
        <w:footnoteReference w:id="106"/>
      </w:r>
      <w:r w:rsidRPr="00C45026">
        <w:t xml:space="preserve"> Though this </w:t>
      </w:r>
      <w:r w:rsidR="00830E44" w:rsidRPr="00C45026">
        <w:t xml:space="preserve">decision </w:t>
      </w:r>
      <w:r w:rsidRPr="00C45026">
        <w:t>reflects a positive outcome in one case, there are still 102 active death sentences against foreign nationals</w:t>
      </w:r>
      <w:r w:rsidR="00670B21" w:rsidRPr="00C45026">
        <w:t>, many of whom were not properly informed of their consular rights.</w:t>
      </w:r>
      <w:r w:rsidRPr="00C45026">
        <w:rPr>
          <w:rStyle w:val="FootnoteReference"/>
        </w:rPr>
        <w:footnoteReference w:id="107"/>
      </w:r>
    </w:p>
    <w:p w14:paraId="065A82E7" w14:textId="20543642" w:rsidR="00D52D73" w:rsidRPr="00C45026" w:rsidRDefault="00C925B6" w:rsidP="0031193B">
      <w:pPr>
        <w:keepNext/>
        <w:numPr>
          <w:ilvl w:val="0"/>
          <w:numId w:val="8"/>
        </w:numPr>
        <w:spacing w:before="240" w:after="240"/>
        <w:ind w:left="720" w:hanging="360"/>
        <w:jc w:val="both"/>
        <w:rPr>
          <w:b/>
        </w:rPr>
      </w:pPr>
      <w:r w:rsidRPr="00C45026">
        <w:rPr>
          <w:b/>
        </w:rPr>
        <w:t>Non-discrimination</w:t>
      </w:r>
      <w:r w:rsidR="0031193B" w:rsidRPr="00C45026">
        <w:rPr>
          <w:b/>
        </w:rPr>
        <w:t xml:space="preserve"> and</w:t>
      </w:r>
      <w:r w:rsidRPr="00C45026">
        <w:rPr>
          <w:b/>
        </w:rPr>
        <w:t xml:space="preserve"> equal rights of men and women (List of Issues</w:t>
      </w:r>
      <w:r w:rsidR="0031193B" w:rsidRPr="00C45026">
        <w:rPr>
          <w:b/>
        </w:rPr>
        <w:t>,</w:t>
      </w:r>
      <w:r w:rsidRPr="00C45026">
        <w:rPr>
          <w:b/>
        </w:rPr>
        <w:t xml:space="preserve"> para</w:t>
      </w:r>
      <w:r w:rsidR="0031193B" w:rsidRPr="00C45026">
        <w:rPr>
          <w:b/>
        </w:rPr>
        <w:t>.</w:t>
      </w:r>
      <w:r w:rsidRPr="00C45026">
        <w:rPr>
          <w:b/>
        </w:rPr>
        <w:t xml:space="preserve"> 7</w:t>
      </w:r>
      <w:r w:rsidR="0031193B" w:rsidRPr="00C45026">
        <w:rPr>
          <w:b/>
        </w:rPr>
        <w:t>)</w:t>
      </w:r>
    </w:p>
    <w:p w14:paraId="70A4267F" w14:textId="2B7E4A17" w:rsidR="00E94288" w:rsidRPr="00C45026" w:rsidRDefault="00E94288" w:rsidP="006D16DB">
      <w:pPr>
        <w:spacing w:after="120"/>
        <w:jc w:val="both"/>
        <w:rPr>
          <w:bCs/>
          <w:i/>
          <w:iCs/>
        </w:rPr>
      </w:pPr>
      <w:r w:rsidRPr="00C45026">
        <w:rPr>
          <w:bCs/>
          <w:i/>
          <w:iCs/>
        </w:rPr>
        <w:t>Race and the death penalty</w:t>
      </w:r>
    </w:p>
    <w:p w14:paraId="27209923" w14:textId="694AAB8D" w:rsidR="0031193B" w:rsidRPr="00C45026" w:rsidRDefault="0031193B" w:rsidP="0031193B">
      <w:pPr>
        <w:numPr>
          <w:ilvl w:val="0"/>
          <w:numId w:val="7"/>
        </w:numPr>
        <w:spacing w:after="120"/>
        <w:ind w:left="360"/>
        <w:jc w:val="both"/>
        <w:rPr>
          <w:b/>
        </w:rPr>
      </w:pPr>
      <w:r w:rsidRPr="00C45026">
        <w:t xml:space="preserve">In its 2019 List of Issues, the Committee requested information </w:t>
      </w:r>
      <w:r w:rsidR="00B43E5B" w:rsidRPr="00C45026">
        <w:t>“</w:t>
      </w:r>
      <w:r w:rsidRPr="00C45026">
        <w:t xml:space="preserve">on the </w:t>
      </w:r>
      <w:r w:rsidR="00B43E5B" w:rsidRPr="00C45026">
        <w:t>steps taken to address racial disparities in the criminal justice system,” including “the disproportionate length of sentences for racial and ethnic minorities.”</w:t>
      </w:r>
      <w:r w:rsidRPr="00C45026">
        <w:rPr>
          <w:rStyle w:val="FootnoteReference"/>
        </w:rPr>
        <w:footnoteReference w:id="108"/>
      </w:r>
    </w:p>
    <w:p w14:paraId="1A94DFC9" w14:textId="77777777" w:rsidR="00CE5B2E" w:rsidRPr="00C45026" w:rsidRDefault="00434701" w:rsidP="0031193B">
      <w:pPr>
        <w:numPr>
          <w:ilvl w:val="0"/>
          <w:numId w:val="7"/>
        </w:numPr>
        <w:spacing w:after="120"/>
        <w:ind w:left="360"/>
        <w:jc w:val="both"/>
        <w:rPr>
          <w:b/>
        </w:rPr>
      </w:pPr>
      <w:r w:rsidRPr="00C45026">
        <w:t xml:space="preserve">In its 2021 State Party Report, the United States </w:t>
      </w:r>
      <w:r w:rsidR="00F17927" w:rsidRPr="00C45026">
        <w:t>stated that it “take seriously addressing racial discrimination, including in our criminal justice system, and seeks to ensure that the justice system operates fairly and effectively for all</w:t>
      </w:r>
      <w:r w:rsidRPr="00C45026">
        <w:t>.</w:t>
      </w:r>
      <w:r w:rsidR="00F17927" w:rsidRPr="00C45026">
        <w:t>”</w:t>
      </w:r>
      <w:r w:rsidRPr="00C45026">
        <w:rPr>
          <w:rStyle w:val="FootnoteReference"/>
        </w:rPr>
        <w:footnoteReference w:id="109"/>
      </w:r>
      <w:r w:rsidR="00377976" w:rsidRPr="00C45026">
        <w:t xml:space="preserve"> </w:t>
      </w:r>
    </w:p>
    <w:p w14:paraId="00F8116E" w14:textId="51768322" w:rsidR="00CE5B2E" w:rsidRPr="00C45026" w:rsidRDefault="00CE5B2E" w:rsidP="0031193B">
      <w:pPr>
        <w:numPr>
          <w:ilvl w:val="0"/>
          <w:numId w:val="7"/>
        </w:numPr>
        <w:spacing w:after="120"/>
        <w:ind w:left="360"/>
        <w:jc w:val="both"/>
        <w:rPr>
          <w:b/>
        </w:rPr>
      </w:pPr>
      <w:r w:rsidRPr="00C45026">
        <w:lastRenderedPageBreak/>
        <w:t>As discussed in paragraph</w:t>
      </w:r>
      <w:r w:rsidR="00A05C00" w:rsidRPr="00C45026">
        <w:t>s</w:t>
      </w:r>
      <w:r w:rsidRPr="00C45026">
        <w:t xml:space="preserve"> </w:t>
      </w:r>
      <w:r w:rsidRPr="00C45026">
        <w:fldChar w:fldCharType="begin"/>
      </w:r>
      <w:r w:rsidRPr="00C45026">
        <w:instrText xml:space="preserve"> REF _Ref145410314 \r \h </w:instrText>
      </w:r>
      <w:r w:rsidR="009D1A29" w:rsidRPr="00C45026">
        <w:instrText xml:space="preserve"> \* MERGEFORMAT </w:instrText>
      </w:r>
      <w:r w:rsidRPr="00C45026">
        <w:fldChar w:fldCharType="separate"/>
      </w:r>
      <w:r w:rsidRPr="00C45026">
        <w:t>11</w:t>
      </w:r>
      <w:r w:rsidRPr="00C45026">
        <w:fldChar w:fldCharType="end"/>
      </w:r>
      <w:r w:rsidRPr="00C45026">
        <w:t xml:space="preserve"> </w:t>
      </w:r>
      <w:r w:rsidR="00A05C00" w:rsidRPr="00C45026">
        <w:t xml:space="preserve">and </w:t>
      </w:r>
      <w:r w:rsidR="00A05C00" w:rsidRPr="00C45026">
        <w:fldChar w:fldCharType="begin"/>
      </w:r>
      <w:r w:rsidR="00A05C00" w:rsidRPr="00C45026">
        <w:instrText xml:space="preserve"> REF _Ref145410385 \r \h </w:instrText>
      </w:r>
      <w:r w:rsidR="009D1A29" w:rsidRPr="00C45026">
        <w:instrText xml:space="preserve"> \* MERGEFORMAT </w:instrText>
      </w:r>
      <w:r w:rsidR="00A05C00" w:rsidRPr="00C45026">
        <w:fldChar w:fldCharType="separate"/>
      </w:r>
      <w:r w:rsidR="00A05C00" w:rsidRPr="00C45026">
        <w:t>14</w:t>
      </w:r>
      <w:r w:rsidR="00A05C00" w:rsidRPr="00C45026">
        <w:fldChar w:fldCharType="end"/>
      </w:r>
      <w:r w:rsidR="00A05C00" w:rsidRPr="00C45026">
        <w:t xml:space="preserve"> </w:t>
      </w:r>
      <w:r w:rsidRPr="00C45026">
        <w:t>above, members of racial and ethnic minority groups are still disproportionately overrepresented in death row.</w:t>
      </w:r>
    </w:p>
    <w:p w14:paraId="4C14F09D" w14:textId="77777777" w:rsidR="0000379E" w:rsidRPr="00C45026" w:rsidRDefault="0000379E" w:rsidP="0000379E">
      <w:pPr>
        <w:numPr>
          <w:ilvl w:val="0"/>
          <w:numId w:val="7"/>
        </w:numPr>
        <w:spacing w:after="120"/>
        <w:ind w:left="360"/>
        <w:jc w:val="both"/>
      </w:pPr>
      <w:r w:rsidRPr="00C45026">
        <w:t>There is a historical connection between lynching and the death penalty, and the legacy of this connection includes racial disparities in death row populations. 73% of the death row population of Texas consists of Black people and members of other ethnic minority groups.</w:t>
      </w:r>
      <w:r w:rsidRPr="00C45026">
        <w:rPr>
          <w:rStyle w:val="FootnoteReference"/>
        </w:rPr>
        <w:footnoteReference w:id="110"/>
      </w:r>
      <w:r w:rsidRPr="00C45026">
        <w:t xml:space="preserve"> As of October 2022, half of Alabama’s death row population is made up of members of racial or ethnic minority groups; 61% of Mississippi’s death row population is members of racial or ethnic minority groups; and 54% of South Carolina’s death row population made up of members of racial or ethnic minority groups.</w:t>
      </w:r>
      <w:r w:rsidRPr="00C45026">
        <w:rPr>
          <w:rStyle w:val="FootnoteReference"/>
        </w:rPr>
        <w:footnoteReference w:id="111"/>
      </w:r>
    </w:p>
    <w:p w14:paraId="5A5F9033" w14:textId="77777777" w:rsidR="0000379E" w:rsidRPr="00C45026" w:rsidRDefault="0000379E" w:rsidP="0000379E">
      <w:pPr>
        <w:numPr>
          <w:ilvl w:val="0"/>
          <w:numId w:val="7"/>
        </w:numPr>
        <w:spacing w:after="120"/>
        <w:ind w:left="360"/>
        <w:jc w:val="both"/>
      </w:pPr>
      <w:r w:rsidRPr="00C45026">
        <w:t>While Black people make up approximately 13% of the overall population, they make up 34% of all persons executed since 1976 and 41% of people currently under sentence of death.</w:t>
      </w:r>
      <w:r w:rsidRPr="00C45026">
        <w:rPr>
          <w:rStyle w:val="FootnoteReference"/>
        </w:rPr>
        <w:footnoteReference w:id="112"/>
      </w:r>
      <w:r w:rsidRPr="00C45026">
        <w:t xml:space="preserve"> According to the NAACP, 19.23% of Black defendants are sentenced to death when the victim is White, compared to 1.3% of White defendants when the victim is Black.</w:t>
      </w:r>
      <w:r w:rsidRPr="00C45026">
        <w:rPr>
          <w:rStyle w:val="FootnoteReference"/>
        </w:rPr>
        <w:footnoteReference w:id="113"/>
      </w:r>
    </w:p>
    <w:p w14:paraId="1F2BD437" w14:textId="77777777" w:rsidR="0000379E" w:rsidRPr="00C45026" w:rsidRDefault="0000379E" w:rsidP="0000379E">
      <w:pPr>
        <w:numPr>
          <w:ilvl w:val="0"/>
          <w:numId w:val="7"/>
        </w:numPr>
        <w:spacing w:after="120"/>
        <w:ind w:left="360"/>
        <w:jc w:val="both"/>
      </w:pPr>
      <w:r w:rsidRPr="00C45026">
        <w:t>In its 2021 State Party Report, the United States noted that “the U.S. judicial system provides an exhaustive system of protections at both the federal and state level to ensure that the death penalty is not applied arbitrary or discriminatory mater.”</w:t>
      </w:r>
      <w:r w:rsidRPr="00C45026">
        <w:rPr>
          <w:rStyle w:val="FootnoteReference"/>
        </w:rPr>
        <w:footnoteReference w:id="114"/>
      </w:r>
      <w:r w:rsidRPr="00C45026">
        <w:t xml:space="preserve"> Yet racial discrimination in jury selection is a widespread problem in capital cases. Although the U.S. Supreme Court in </w:t>
      </w:r>
      <w:r w:rsidRPr="00C45026">
        <w:rPr>
          <w:i/>
          <w:iCs/>
        </w:rPr>
        <w:t>Batson v. Kentucky</w:t>
      </w:r>
      <w:r w:rsidRPr="00C45026">
        <w:t xml:space="preserve"> prohibited prosecutors from using peremptory challenges to automatically exclude jurors on the basis of race, prosecutors nonetheless deploy creative strategies to justify striking Black jurors.</w:t>
      </w:r>
      <w:r w:rsidRPr="00C45026">
        <w:rPr>
          <w:rStyle w:val="FootnoteReference"/>
        </w:rPr>
        <w:footnoteReference w:id="115"/>
      </w:r>
    </w:p>
    <w:p w14:paraId="5ACED6D8" w14:textId="493B9795" w:rsidR="0000379E" w:rsidRPr="00C45026" w:rsidRDefault="0000379E" w:rsidP="00AF06C0">
      <w:pPr>
        <w:numPr>
          <w:ilvl w:val="0"/>
          <w:numId w:val="7"/>
        </w:numPr>
        <w:spacing w:after="120"/>
        <w:ind w:left="360"/>
        <w:jc w:val="both"/>
        <w:rPr>
          <w:b/>
        </w:rPr>
      </w:pPr>
      <w:r w:rsidRPr="00C45026">
        <w:t>Some states such as California and Arizona have taken strides to address racial bias in capital cases.</w:t>
      </w:r>
      <w:r w:rsidRPr="00C45026">
        <w:rPr>
          <w:rStyle w:val="FootnoteReference"/>
        </w:rPr>
        <w:footnoteReference w:id="116"/>
      </w:r>
      <w:r w:rsidRPr="00C45026">
        <w:t xml:space="preserve"> Blacks make up 6.5% of California’s overall population but make up 34.2% of the 1,076 people under sentence of death in that state.</w:t>
      </w:r>
      <w:r w:rsidRPr="00C45026">
        <w:rPr>
          <w:rStyle w:val="FootnoteReference"/>
        </w:rPr>
        <w:footnoteReference w:id="117"/>
      </w:r>
      <w:r w:rsidRPr="00C45026">
        <w:t xml:space="preserve"> In 2020, California lawmakers enacted a Racial Justice Act, and they expanded it in 2022 to provide people on death row with retroactive relief from convictions or death sentences that had been obtained “on the basis of race, ethnicity, or national origin.”</w:t>
      </w:r>
      <w:r w:rsidRPr="00C45026">
        <w:rPr>
          <w:rStyle w:val="FootnoteReference"/>
        </w:rPr>
        <w:footnoteReference w:id="118"/>
      </w:r>
      <w:r w:rsidRPr="00C45026">
        <w:t xml:space="preserve"> In 2021, the Arizona Supreme Court became the first jurisdiction in the nation to prohibit the use of peremptory challenges.</w:t>
      </w:r>
      <w:r w:rsidRPr="00C45026">
        <w:rPr>
          <w:rStyle w:val="FootnoteReference"/>
        </w:rPr>
        <w:footnoteReference w:id="119"/>
      </w:r>
      <w:r w:rsidRPr="00C45026">
        <w:t xml:space="preserve"> </w:t>
      </w:r>
    </w:p>
    <w:p w14:paraId="1E7CDAB3" w14:textId="7D149B40" w:rsidR="00434701" w:rsidRPr="00C45026" w:rsidRDefault="00377976" w:rsidP="0031193B">
      <w:pPr>
        <w:numPr>
          <w:ilvl w:val="0"/>
          <w:numId w:val="7"/>
        </w:numPr>
        <w:spacing w:after="120"/>
        <w:ind w:left="360"/>
        <w:jc w:val="both"/>
        <w:rPr>
          <w:b/>
        </w:rPr>
      </w:pPr>
      <w:r w:rsidRPr="00C45026">
        <w:lastRenderedPageBreak/>
        <w:t>The State Party Report also discusses a series of wrongful convictions of C</w:t>
      </w:r>
      <w:r w:rsidR="004E612B" w:rsidRPr="00C45026">
        <w:t>urtis Flowers,</w:t>
      </w:r>
      <w:r w:rsidR="00AC44CB" w:rsidRPr="00C45026">
        <w:t xml:space="preserve"> a Black man</w:t>
      </w:r>
      <w:r w:rsidR="004E612B" w:rsidRPr="00C45026">
        <w:t xml:space="preserve"> who “had been tried six times in Mississippi state court for the murder of four persons at a furniture store</w:t>
      </w:r>
      <w:r w:rsidR="006E3597" w:rsidRPr="00C45026">
        <w:t>. . . . In at least five of those trials, the prosecution engaged in documented racial discrimination or conduct that strongly suggested racial discrimination by seeking to exclude prospective black jurors from the jury</w:t>
      </w:r>
      <w:r w:rsidR="00A55C27" w:rsidRPr="00C45026">
        <w:t>.”</w:t>
      </w:r>
      <w:r w:rsidR="00A55C27" w:rsidRPr="00C45026">
        <w:rPr>
          <w:rStyle w:val="FootnoteReference"/>
        </w:rPr>
        <w:footnoteReference w:id="120"/>
      </w:r>
      <w:r w:rsidR="00A55C27" w:rsidRPr="00C45026">
        <w:t xml:space="preserve"> The State Report notes that the Supreme Court ultimately reversed a decision of the Mississippi Supreme Court affirming his conviction and death sentence, and in 2020 the Mississippi Attorney General dropped all charges against Mr. Flowers.</w:t>
      </w:r>
      <w:r w:rsidR="00A55C27" w:rsidRPr="00C45026">
        <w:rPr>
          <w:rStyle w:val="FootnoteReference"/>
        </w:rPr>
        <w:footnoteReference w:id="121"/>
      </w:r>
    </w:p>
    <w:p w14:paraId="37AAB0BB" w14:textId="4B829765" w:rsidR="00646581" w:rsidRPr="00C45026" w:rsidRDefault="00646581" w:rsidP="0031193B">
      <w:pPr>
        <w:numPr>
          <w:ilvl w:val="0"/>
          <w:numId w:val="7"/>
        </w:numPr>
        <w:spacing w:after="120"/>
        <w:ind w:left="360"/>
        <w:jc w:val="both"/>
        <w:rPr>
          <w:b/>
        </w:rPr>
      </w:pPr>
      <w:r w:rsidRPr="00C45026">
        <w:t>According to the Mississippi Center for Justice, the State of Mississippi will pay Mr. Flowers $500,000 for his wrongful imprisonment, which amounted to 23 years behind bars, much of which was in solitary confinement.</w:t>
      </w:r>
      <w:r w:rsidR="001057E1" w:rsidRPr="00C45026">
        <w:rPr>
          <w:rStyle w:val="FootnoteReference"/>
        </w:rPr>
        <w:footnoteReference w:id="122"/>
      </w:r>
      <w:r w:rsidR="00E94288" w:rsidRPr="00C45026">
        <w:t xml:space="preserve"> As discussed in paragraphs </w:t>
      </w:r>
      <w:r w:rsidR="00E94288" w:rsidRPr="00C45026">
        <w:fldChar w:fldCharType="begin"/>
      </w:r>
      <w:r w:rsidR="00E94288" w:rsidRPr="00C45026">
        <w:instrText xml:space="preserve"> REF _Ref145410587 \r \h </w:instrText>
      </w:r>
      <w:r w:rsidR="009D1A29" w:rsidRPr="00C45026">
        <w:instrText xml:space="preserve"> \* MERGEFORMAT </w:instrText>
      </w:r>
      <w:r w:rsidR="00E94288" w:rsidRPr="00C45026">
        <w:fldChar w:fldCharType="separate"/>
      </w:r>
      <w:r w:rsidR="00E94288" w:rsidRPr="00C45026">
        <w:t>35</w:t>
      </w:r>
      <w:r w:rsidR="00E94288" w:rsidRPr="00C45026">
        <w:fldChar w:fldCharType="end"/>
      </w:r>
      <w:r w:rsidR="00E94288" w:rsidRPr="00C45026">
        <w:t>–</w:t>
      </w:r>
      <w:r w:rsidR="00E94288" w:rsidRPr="00C45026">
        <w:fldChar w:fldCharType="begin"/>
      </w:r>
      <w:r w:rsidR="00E94288" w:rsidRPr="00C45026">
        <w:instrText xml:space="preserve"> REF _Ref145410590 \r \h </w:instrText>
      </w:r>
      <w:r w:rsidR="009D1A29" w:rsidRPr="00C45026">
        <w:instrText xml:space="preserve"> \* MERGEFORMAT </w:instrText>
      </w:r>
      <w:r w:rsidR="00E94288" w:rsidRPr="00C45026">
        <w:fldChar w:fldCharType="separate"/>
      </w:r>
      <w:r w:rsidR="00E94288" w:rsidRPr="00C45026">
        <w:t>37</w:t>
      </w:r>
      <w:r w:rsidR="00E94288" w:rsidRPr="00C45026">
        <w:fldChar w:fldCharType="end"/>
      </w:r>
      <w:r w:rsidR="00E94288" w:rsidRPr="00C45026">
        <w:t xml:space="preserve"> above, such compensation is an inadequate remedy for people wrongfully convicted and sentenced to death.</w:t>
      </w:r>
    </w:p>
    <w:p w14:paraId="73A4CABF" w14:textId="56266C9D" w:rsidR="00E94288" w:rsidRPr="00C45026" w:rsidRDefault="00E94288" w:rsidP="006D16DB">
      <w:pPr>
        <w:spacing w:after="120"/>
        <w:jc w:val="both"/>
      </w:pPr>
      <w:r w:rsidRPr="00C45026">
        <w:rPr>
          <w:i/>
          <w:iCs/>
        </w:rPr>
        <w:t>Gender</w:t>
      </w:r>
      <w:r w:rsidR="00EC02C5" w:rsidRPr="00C45026">
        <w:rPr>
          <w:i/>
          <w:iCs/>
        </w:rPr>
        <w:t>, race,</w:t>
      </w:r>
      <w:r w:rsidRPr="00C45026">
        <w:rPr>
          <w:i/>
          <w:iCs/>
        </w:rPr>
        <w:t xml:space="preserve"> and the death penalty</w:t>
      </w:r>
    </w:p>
    <w:p w14:paraId="5AA3838A" w14:textId="4DAF2CD4" w:rsidR="0009744B" w:rsidRPr="00C45026" w:rsidRDefault="0009744B" w:rsidP="00BE683A">
      <w:pPr>
        <w:numPr>
          <w:ilvl w:val="0"/>
          <w:numId w:val="7"/>
        </w:numPr>
        <w:spacing w:after="120"/>
        <w:ind w:left="360"/>
        <w:jc w:val="both"/>
        <w:rPr>
          <w:b/>
        </w:rPr>
      </w:pPr>
      <w:r w:rsidRPr="00C45026">
        <w:rPr>
          <w:bCs/>
        </w:rPr>
        <w:t xml:space="preserve">A groundbreaking forthcoming article by Sandra Babcock and Nathalie Greenfield at the Cornell Center on the Death Penalty Worldwide presents the </w:t>
      </w:r>
      <w:r w:rsidR="0056447E" w:rsidRPr="00C45026">
        <w:rPr>
          <w:bCs/>
        </w:rPr>
        <w:t>first “comprehensive analysis of gender-based violence (“GBV”) in the lives of all women currently on death row</w:t>
      </w:r>
      <w:r w:rsidR="002D57F6" w:rsidRPr="00C45026">
        <w:rPr>
          <w:bCs/>
        </w:rPr>
        <w:t>.”</w:t>
      </w:r>
      <w:r w:rsidR="002D57F6" w:rsidRPr="00C45026">
        <w:rPr>
          <w:rStyle w:val="FootnoteReference"/>
          <w:bCs/>
        </w:rPr>
        <w:footnoteReference w:id="123"/>
      </w:r>
      <w:r w:rsidR="00F66AAE" w:rsidRPr="00C45026">
        <w:rPr>
          <w:bCs/>
        </w:rPr>
        <w:t xml:space="preserve"> The following paragraphs provide a summary of this article’s findings.</w:t>
      </w:r>
    </w:p>
    <w:p w14:paraId="51012138" w14:textId="01D65687" w:rsidR="00E94288" w:rsidRPr="00C45026" w:rsidRDefault="00F66AAE" w:rsidP="00BE683A">
      <w:pPr>
        <w:numPr>
          <w:ilvl w:val="0"/>
          <w:numId w:val="7"/>
        </w:numPr>
        <w:spacing w:after="120"/>
        <w:ind w:left="360"/>
        <w:jc w:val="both"/>
        <w:rPr>
          <w:b/>
        </w:rPr>
      </w:pPr>
      <w:r w:rsidRPr="00C45026">
        <w:t>A</w:t>
      </w:r>
      <w:r w:rsidR="00BE683A" w:rsidRPr="00C45026">
        <w:t>mong the 53 women on death row</w:t>
      </w:r>
      <w:r w:rsidR="00E335E1" w:rsidRPr="00C45026">
        <w:t xml:space="preserve"> in the United States</w:t>
      </w:r>
      <w:r w:rsidR="00BE683A" w:rsidRPr="00C45026">
        <w:t xml:space="preserve">, 47 are cisgender women, </w:t>
      </w:r>
      <w:r w:rsidR="00CA0137" w:rsidRPr="00C45026">
        <w:t xml:space="preserve">and </w:t>
      </w:r>
      <w:r w:rsidR="00BE683A" w:rsidRPr="00C45026">
        <w:t>6 are transgender women</w:t>
      </w:r>
      <w:r w:rsidR="00CA0137" w:rsidRPr="00C45026">
        <w:t>.</w:t>
      </w:r>
      <w:r w:rsidR="00BE683A" w:rsidRPr="00C45026">
        <w:t xml:space="preserve"> </w:t>
      </w:r>
      <w:r w:rsidR="00CA0137" w:rsidRPr="00C45026">
        <w:t>O</w:t>
      </w:r>
      <w:r w:rsidR="00BE683A" w:rsidRPr="00C45026">
        <w:t xml:space="preserve">ne transgender man </w:t>
      </w:r>
      <w:r w:rsidR="00CA0137" w:rsidRPr="00C45026">
        <w:t xml:space="preserve">under sentence of death </w:t>
      </w:r>
      <w:r w:rsidR="00BE683A" w:rsidRPr="00C45026">
        <w:t>presented as a woman at trial. Of the 47 ciswomen, 28 (60%) are white; 10 (21%) are Black; 6 (13%) are Latina, 2 (4%) are Asian or Pacific Islander, and one (2%) is Native American. Of the transwomen, 5 (75%) are White and one (25%) is Black</w:t>
      </w:r>
      <w:r w:rsidR="0005746F" w:rsidRPr="00C45026">
        <w:t>.</w:t>
      </w:r>
      <w:r w:rsidR="00BE683A" w:rsidRPr="00C45026">
        <w:t xml:space="preserve"> </w:t>
      </w:r>
      <w:r w:rsidR="0005746F" w:rsidRPr="00C45026">
        <w:t>T</w:t>
      </w:r>
      <w:r w:rsidR="00BE683A" w:rsidRPr="00C45026">
        <w:t xml:space="preserve">he transgender man is Black. </w:t>
      </w:r>
      <w:r w:rsidR="00BE683A" w:rsidRPr="00C45026">
        <w:rPr>
          <w:kern w:val="0"/>
        </w:rPr>
        <w:t>Transgender women account for around 10% of women sentenced to death, while less than 1% of the general population of the United States is transgender.</w:t>
      </w:r>
      <w:r w:rsidR="00D472DC" w:rsidRPr="00C45026">
        <w:rPr>
          <w:rStyle w:val="FootnoteReference"/>
          <w:kern w:val="0"/>
        </w:rPr>
        <w:footnoteReference w:id="124"/>
      </w:r>
      <w:r w:rsidR="004D5EE3" w:rsidRPr="00C45026">
        <w:rPr>
          <w:kern w:val="0"/>
        </w:rPr>
        <w:t xml:space="preserve"> All of these women were convicted of murder.</w:t>
      </w:r>
      <w:r w:rsidR="004D5EE3" w:rsidRPr="00C45026">
        <w:rPr>
          <w:rStyle w:val="FootnoteReference"/>
          <w:kern w:val="0"/>
        </w:rPr>
        <w:footnoteReference w:id="125"/>
      </w:r>
    </w:p>
    <w:p w14:paraId="330AE294" w14:textId="592104B1" w:rsidR="00F66AAE" w:rsidRPr="00C45026" w:rsidRDefault="00D1469F" w:rsidP="00BE683A">
      <w:pPr>
        <w:numPr>
          <w:ilvl w:val="0"/>
          <w:numId w:val="7"/>
        </w:numPr>
        <w:spacing w:after="120"/>
        <w:ind w:left="360"/>
        <w:jc w:val="both"/>
        <w:rPr>
          <w:b/>
        </w:rPr>
      </w:pPr>
      <w:r w:rsidRPr="00C45026">
        <w:rPr>
          <w:bCs/>
        </w:rPr>
        <w:t>Of the 47 cisgender women on death row</w:t>
      </w:r>
      <w:r w:rsidR="00123576" w:rsidRPr="00C45026">
        <w:rPr>
          <w:bCs/>
        </w:rPr>
        <w:t xml:space="preserve"> for murder</w:t>
      </w:r>
      <w:r w:rsidRPr="00C45026">
        <w:rPr>
          <w:bCs/>
        </w:rPr>
        <w:t xml:space="preserve">, 41 had a prior relationship with the </w:t>
      </w:r>
      <w:r w:rsidR="00123576" w:rsidRPr="00C45026">
        <w:rPr>
          <w:bCs/>
        </w:rPr>
        <w:t>victim</w:t>
      </w:r>
      <w:r w:rsidR="00161F4A" w:rsidRPr="00C45026">
        <w:rPr>
          <w:bCs/>
        </w:rPr>
        <w:t xml:space="preserve">, and 25 </w:t>
      </w:r>
      <w:r w:rsidR="00123576" w:rsidRPr="00C45026">
        <w:rPr>
          <w:bCs/>
        </w:rPr>
        <w:t xml:space="preserve">had killed </w:t>
      </w:r>
      <w:r w:rsidR="00161F4A" w:rsidRPr="00C45026">
        <w:rPr>
          <w:bCs/>
        </w:rPr>
        <w:t>family members.</w:t>
      </w:r>
      <w:r w:rsidR="00161F4A" w:rsidRPr="00C45026">
        <w:rPr>
          <w:rStyle w:val="FootnoteReference"/>
          <w:bCs/>
        </w:rPr>
        <w:footnoteReference w:id="126"/>
      </w:r>
      <w:r w:rsidR="006804BF" w:rsidRPr="00C45026">
        <w:rPr>
          <w:bCs/>
        </w:rPr>
        <w:t xml:space="preserve"> The article observes that “women are much less likely to kill, but when they do, they tend to kill people with whom they had a prior relationship.”</w:t>
      </w:r>
      <w:r w:rsidR="006804BF" w:rsidRPr="00C45026">
        <w:rPr>
          <w:rStyle w:val="FootnoteReference"/>
          <w:bCs/>
        </w:rPr>
        <w:footnoteReference w:id="127"/>
      </w:r>
      <w:r w:rsidR="0090644D" w:rsidRPr="00C45026">
        <w:rPr>
          <w:bCs/>
        </w:rPr>
        <w:t xml:space="preserve"> All of the six cisgender women who killed strangers were prosecuted with male codefendants.</w:t>
      </w:r>
      <w:r w:rsidR="0090644D" w:rsidRPr="00C45026">
        <w:rPr>
          <w:rStyle w:val="FootnoteReference"/>
          <w:bCs/>
        </w:rPr>
        <w:footnoteReference w:id="128"/>
      </w:r>
      <w:r w:rsidR="004E4B13" w:rsidRPr="00C45026">
        <w:rPr>
          <w:bCs/>
        </w:rPr>
        <w:t xml:space="preserve"> The article explains that “when women commit violent crimes with male co-defendants, they tend to be involved in more serious, ‘gender atypical’ offences.”</w:t>
      </w:r>
      <w:r w:rsidR="004E4B13" w:rsidRPr="00C45026">
        <w:rPr>
          <w:rStyle w:val="FootnoteReference"/>
          <w:bCs/>
        </w:rPr>
        <w:footnoteReference w:id="129"/>
      </w:r>
      <w:r w:rsidR="009F297A" w:rsidRPr="00C45026">
        <w:rPr>
          <w:bCs/>
        </w:rPr>
        <w:t xml:space="preserve"> Of the cisgender women on death row, 31 were convicted alongside co-defendants</w:t>
      </w:r>
      <w:r w:rsidR="005308CE" w:rsidRPr="00C45026">
        <w:rPr>
          <w:bCs/>
        </w:rPr>
        <w:t xml:space="preserve"> (the vast majority </w:t>
      </w:r>
      <w:r w:rsidR="005308CE" w:rsidRPr="00C45026">
        <w:rPr>
          <w:bCs/>
        </w:rPr>
        <w:lastRenderedPageBreak/>
        <w:t>of whom were male), and more than half of the male co-defendants were intimate partners</w:t>
      </w:r>
      <w:r w:rsidR="004B2D5D" w:rsidRPr="00C45026">
        <w:rPr>
          <w:bCs/>
        </w:rPr>
        <w:t>.</w:t>
      </w:r>
      <w:r w:rsidR="004B2D5D" w:rsidRPr="00C45026">
        <w:rPr>
          <w:rStyle w:val="FootnoteReference"/>
          <w:bCs/>
        </w:rPr>
        <w:footnoteReference w:id="130"/>
      </w:r>
      <w:r w:rsidR="00F9080B" w:rsidRPr="00C45026">
        <w:rPr>
          <w:bCs/>
        </w:rPr>
        <w:t xml:space="preserve"> According to the study</w:t>
      </w:r>
      <w:r w:rsidR="00C72722" w:rsidRPr="00C45026">
        <w:rPr>
          <w:bCs/>
        </w:rPr>
        <w:t>, “[a]t least seven of the women currently on death row, including three women of color, experienced GBV at the hands of an abuser who later became their co-defendant</w:t>
      </w:r>
      <w:r w:rsidR="005F083E" w:rsidRPr="00C45026">
        <w:rPr>
          <w:bCs/>
        </w:rPr>
        <w:t>. All but two of these women experienced multiple and prolonged forms of violence from the co-defendant. Our findings on co-defendant abuse suggest that hierarchies of power and control that underpin all acts of GBV may have played a role in these women’s offenses.”</w:t>
      </w:r>
      <w:r w:rsidR="005F083E" w:rsidRPr="00C45026">
        <w:rPr>
          <w:rStyle w:val="FootnoteReference"/>
          <w:bCs/>
        </w:rPr>
        <w:footnoteReference w:id="131"/>
      </w:r>
    </w:p>
    <w:p w14:paraId="540F4717" w14:textId="0105BA0C" w:rsidR="007D7BD6" w:rsidRPr="00C45026" w:rsidRDefault="007D7BD6" w:rsidP="00BE683A">
      <w:pPr>
        <w:numPr>
          <w:ilvl w:val="0"/>
          <w:numId w:val="7"/>
        </w:numPr>
        <w:spacing w:after="120"/>
        <w:ind w:left="360"/>
        <w:jc w:val="both"/>
        <w:rPr>
          <w:b/>
        </w:rPr>
      </w:pPr>
      <w:r w:rsidRPr="00C45026">
        <w:rPr>
          <w:bCs/>
        </w:rPr>
        <w:t xml:space="preserve">The study found that </w:t>
      </w:r>
      <w:r w:rsidR="00680C0E" w:rsidRPr="00C45026">
        <w:rPr>
          <w:bCs/>
        </w:rPr>
        <w:t xml:space="preserve">“at least 96% of all women currently on death row have experienced GBV </w:t>
      </w:r>
      <w:r w:rsidR="00C94EAC" w:rsidRPr="00C45026">
        <w:rPr>
          <w:bCs/>
        </w:rPr>
        <w:t>in their lifetimes, with at least 85% experiencing multiple forms of physical, sexual, psychological, and socioeconomic violence</w:t>
      </w:r>
      <w:r w:rsidR="00D310B1" w:rsidRPr="00C45026">
        <w:rPr>
          <w:bCs/>
        </w:rPr>
        <w:t>,</w:t>
      </w:r>
      <w:r w:rsidR="00C94EAC" w:rsidRPr="00C45026">
        <w:rPr>
          <w:bCs/>
        </w:rPr>
        <w:t>”</w:t>
      </w:r>
      <w:r w:rsidR="00D310B1" w:rsidRPr="00C45026">
        <w:rPr>
          <w:bCs/>
        </w:rPr>
        <w:t xml:space="preserve"> and “multiple and repeated experiences of violence are the norm for Black, Latina, Asian, and Native women sentenced to death.”</w:t>
      </w:r>
      <w:r w:rsidR="00C94EAC" w:rsidRPr="00C45026">
        <w:rPr>
          <w:rStyle w:val="FootnoteReference"/>
          <w:bCs/>
        </w:rPr>
        <w:footnoteReference w:id="132"/>
      </w:r>
      <w:r w:rsidR="00D64342" w:rsidRPr="00C45026">
        <w:rPr>
          <w:bCs/>
        </w:rPr>
        <w:t xml:space="preserve"> The study also found that </w:t>
      </w:r>
      <w:r w:rsidR="00B20378" w:rsidRPr="00C45026">
        <w:rPr>
          <w:bCs/>
        </w:rPr>
        <w:t>over 74% of the documented GBV “events” were categorized as “ongoing,” designated as “violence that occurred continuously over a period of time, such as repeated beatings by a parent throughout childhood</w:t>
      </w:r>
      <w:r w:rsidR="000F5853" w:rsidRPr="00C45026">
        <w:rPr>
          <w:bCs/>
        </w:rPr>
        <w:t>.”</w:t>
      </w:r>
      <w:r w:rsidR="000F5853" w:rsidRPr="00C45026">
        <w:rPr>
          <w:rStyle w:val="FootnoteReference"/>
          <w:bCs/>
        </w:rPr>
        <w:footnoteReference w:id="133"/>
      </w:r>
      <w:r w:rsidR="003F64D3" w:rsidRPr="00C45026">
        <w:rPr>
          <w:bCs/>
        </w:rPr>
        <w:t xml:space="preserve"> The article continues: “Nearly every woman on death row—over 93% of the women in our dataset—has experienced ongoing abuse. This figure is even higher for women of color, with 95% experiencing ongoing abuse, including all Black, Asian, and Native women for whom we have data, and 83% of the Latina women. This means that women’s experiences of violence are rarely one-off events from which they can attempt to move on and heal. Rather, this abuse is recurring and relentless, permeating women’s lives and leaving them in its inescapable shadow.”</w:t>
      </w:r>
      <w:r w:rsidR="003F64D3" w:rsidRPr="00C45026">
        <w:rPr>
          <w:rStyle w:val="FootnoteReference"/>
          <w:bCs/>
        </w:rPr>
        <w:footnoteReference w:id="134"/>
      </w:r>
    </w:p>
    <w:p w14:paraId="6DD4EC1B" w14:textId="14C8339A" w:rsidR="003D2B48" w:rsidRPr="00C45026" w:rsidRDefault="009459A7" w:rsidP="00BE683A">
      <w:pPr>
        <w:numPr>
          <w:ilvl w:val="0"/>
          <w:numId w:val="7"/>
        </w:numPr>
        <w:spacing w:after="120"/>
        <w:ind w:left="360"/>
        <w:jc w:val="both"/>
        <w:rPr>
          <w:b/>
        </w:rPr>
      </w:pPr>
      <w:r w:rsidRPr="00C45026">
        <w:rPr>
          <w:bCs/>
        </w:rPr>
        <w:t>Women who are members of racial and ethnic minority groups face intersectional discrimination when charged with capital crimes.</w:t>
      </w:r>
      <w:r w:rsidRPr="00C45026">
        <w:rPr>
          <w:rStyle w:val="FootnoteReference"/>
          <w:bCs/>
        </w:rPr>
        <w:footnoteReference w:id="135"/>
      </w:r>
      <w:r w:rsidR="00B258A9" w:rsidRPr="00C45026">
        <w:rPr>
          <w:bCs/>
        </w:rPr>
        <w:t xml:space="preserve"> </w:t>
      </w:r>
      <w:r w:rsidR="00611C95" w:rsidRPr="00C45026">
        <w:rPr>
          <w:bCs/>
        </w:rPr>
        <w:t>The study reports that “t</w:t>
      </w:r>
      <w:r w:rsidR="00B258A9" w:rsidRPr="00C45026">
        <w:rPr>
          <w:bCs/>
        </w:rPr>
        <w:t xml:space="preserve">he prevalence of </w:t>
      </w:r>
      <w:r w:rsidR="00611C95" w:rsidRPr="00C45026">
        <w:rPr>
          <w:bCs/>
        </w:rPr>
        <w:t>gender-based violence is highest among women of color</w:t>
      </w:r>
      <w:r w:rsidR="001A5F19" w:rsidRPr="00C45026">
        <w:rPr>
          <w:bCs/>
        </w:rPr>
        <w:t>[,] . . . . [and] Black women are particularly vulnerable to violence, especially where that violence comes from an intimate partner.”</w:t>
      </w:r>
      <w:r w:rsidR="001A5F19" w:rsidRPr="00C45026">
        <w:rPr>
          <w:rStyle w:val="FootnoteReference"/>
          <w:bCs/>
        </w:rPr>
        <w:footnoteReference w:id="136"/>
      </w:r>
      <w:r w:rsidR="004D4421" w:rsidRPr="00C45026">
        <w:rPr>
          <w:bCs/>
        </w:rPr>
        <w:t xml:space="preserve"> Quoting the </w:t>
      </w:r>
      <w:r w:rsidR="00BF1425" w:rsidRPr="00C45026">
        <w:rPr>
          <w:bCs/>
        </w:rPr>
        <w:t xml:space="preserve">National Black Women’s Justice Institute, </w:t>
      </w:r>
      <w:r w:rsidR="00A41C10" w:rsidRPr="00C45026">
        <w:rPr>
          <w:bCs/>
        </w:rPr>
        <w:t>the study observes that “Black women are arrested and incarcerated more often because Black women’s survival strategies are criminalized, including self-defense or being forced to engage in illegal activities by intimate partners or others who have harmed them physically and emotionally.”</w:t>
      </w:r>
      <w:r w:rsidR="00506B76" w:rsidRPr="00C45026">
        <w:rPr>
          <w:rStyle w:val="FootnoteReference"/>
          <w:bCs/>
        </w:rPr>
        <w:footnoteReference w:id="137"/>
      </w:r>
      <w:r w:rsidR="00E0354C" w:rsidRPr="00C45026">
        <w:rPr>
          <w:bCs/>
        </w:rPr>
        <w:t xml:space="preserve"> Women who are members of racial and ethnic minority groups also face greater hostility from state actors in the criminal legal system</w:t>
      </w:r>
      <w:r w:rsidR="00531223" w:rsidRPr="00C45026">
        <w:rPr>
          <w:bCs/>
        </w:rPr>
        <w:t>, who routinely disbelieve them when they recount experiences of GBV</w:t>
      </w:r>
      <w:r w:rsidR="009B18C3" w:rsidRPr="00C45026">
        <w:rPr>
          <w:bCs/>
        </w:rPr>
        <w:t>.</w:t>
      </w:r>
      <w:r w:rsidR="009B18C3" w:rsidRPr="00C45026">
        <w:rPr>
          <w:rStyle w:val="FootnoteReference"/>
          <w:bCs/>
        </w:rPr>
        <w:footnoteReference w:id="138"/>
      </w:r>
      <w:r w:rsidR="009B18C3" w:rsidRPr="00C45026">
        <w:rPr>
          <w:bCs/>
        </w:rPr>
        <w:t xml:space="preserve"> Authorities “are less likely to view Black survivors as sympathetic or in need of help</w:t>
      </w:r>
      <w:r w:rsidR="006A00DA" w:rsidRPr="00C45026">
        <w:rPr>
          <w:bCs/>
        </w:rPr>
        <w:t>,” and Black girls “are . . . criminalized for behaviors for which white girls, in particular would receive leniency.”</w:t>
      </w:r>
      <w:r w:rsidR="006A00DA" w:rsidRPr="00C45026">
        <w:rPr>
          <w:rStyle w:val="FootnoteReference"/>
          <w:bCs/>
        </w:rPr>
        <w:footnoteReference w:id="139"/>
      </w:r>
      <w:r w:rsidR="00EA7B4F" w:rsidRPr="00C45026">
        <w:rPr>
          <w:bCs/>
        </w:rPr>
        <w:t xml:space="preserve"> The study concludes that “in the cases of women of color, . . . race- and gender-based discrimination are inseparable. Each amplifies the effects of the other to place women of color at a heightened risk of harm, a heightened risk that state </w:t>
      </w:r>
      <w:r w:rsidR="00EA7B4F" w:rsidRPr="00C45026">
        <w:rPr>
          <w:bCs/>
        </w:rPr>
        <w:lastRenderedPageBreak/>
        <w:t xml:space="preserve">authorities will minimize and disbelieve this harm, and a heightened risk of being criminalized for their response to harm. The result is a system that </w:t>
      </w:r>
      <w:proofErr w:type="spellStart"/>
      <w:r w:rsidR="00EA7B4F" w:rsidRPr="00C45026">
        <w:rPr>
          <w:bCs/>
        </w:rPr>
        <w:t>underprotects</w:t>
      </w:r>
      <w:proofErr w:type="spellEnd"/>
      <w:r w:rsidR="00EA7B4F" w:rsidRPr="00C45026">
        <w:rPr>
          <w:bCs/>
        </w:rPr>
        <w:t xml:space="preserve"> Black women</w:t>
      </w:r>
      <w:r w:rsidR="00BB55E8" w:rsidRPr="00C45026">
        <w:rPr>
          <w:bCs/>
        </w:rPr>
        <w:t xml:space="preserve"> as victims and </w:t>
      </w:r>
      <w:proofErr w:type="spellStart"/>
      <w:r w:rsidR="00BB55E8" w:rsidRPr="00C45026">
        <w:rPr>
          <w:bCs/>
        </w:rPr>
        <w:t>overpenalizes</w:t>
      </w:r>
      <w:proofErr w:type="spellEnd"/>
      <w:r w:rsidR="00BB55E8" w:rsidRPr="00C45026">
        <w:rPr>
          <w:bCs/>
        </w:rPr>
        <w:t xml:space="preserve"> them as perpetrators.”</w:t>
      </w:r>
      <w:r w:rsidR="00BB55E8" w:rsidRPr="00C45026">
        <w:rPr>
          <w:rStyle w:val="FootnoteReference"/>
          <w:bCs/>
        </w:rPr>
        <w:footnoteReference w:id="140"/>
      </w:r>
    </w:p>
    <w:p w14:paraId="2AB4EC33" w14:textId="06545315" w:rsidR="00FA51E9" w:rsidRPr="00C45026" w:rsidRDefault="00FA51E9" w:rsidP="00BE683A">
      <w:pPr>
        <w:numPr>
          <w:ilvl w:val="0"/>
          <w:numId w:val="7"/>
        </w:numPr>
        <w:spacing w:after="120"/>
        <w:ind w:left="360"/>
        <w:jc w:val="both"/>
        <w:rPr>
          <w:b/>
        </w:rPr>
      </w:pPr>
      <w:r w:rsidRPr="00C45026">
        <w:rPr>
          <w:bCs/>
        </w:rPr>
        <w:t xml:space="preserve">The </w:t>
      </w:r>
      <w:r w:rsidR="008104BA" w:rsidRPr="00C45026">
        <w:rPr>
          <w:bCs/>
        </w:rPr>
        <w:t xml:space="preserve">criminal legal system fails to account for women’s experiences when they come into conflict with the law for </w:t>
      </w:r>
      <w:r w:rsidR="001D5E0A" w:rsidRPr="00C45026">
        <w:rPr>
          <w:bCs/>
        </w:rPr>
        <w:t>allegedly committing capital crimes. The research by Professor Babcock and Ms. Greenfield</w:t>
      </w:r>
      <w:r w:rsidR="001B5A38" w:rsidRPr="00C45026">
        <w:rPr>
          <w:bCs/>
        </w:rPr>
        <w:t xml:space="preserve"> reveals that prosecutors and defense attorneys routinely misunderstand, minimize, dismiss, or ignore women’s experiences of GBV</w:t>
      </w:r>
      <w:r w:rsidR="00EA7AE8" w:rsidRPr="00C45026">
        <w:rPr>
          <w:bCs/>
        </w:rPr>
        <w:t>:</w:t>
      </w:r>
      <w:r w:rsidR="00F97A5A" w:rsidRPr="00C45026">
        <w:rPr>
          <w:bCs/>
        </w:rPr>
        <w:t xml:space="preserve"> “Defense attorneys often fail to uncover and present evidence of their clients’ experiences of gender-based violence. Even when they learn that women have been sexually abused, raped, or beaten, they rarely explain the full extent of their clients’ victimization and its consequences for their mental and physical health. Prosecutors, in turn, frequently rely on long-debunked stereotypes to discredit women’s accounts of childhood sexual abuse, rape, and intimate partner violence.”</w:t>
      </w:r>
      <w:r w:rsidR="00EA7AE8" w:rsidRPr="00C45026">
        <w:rPr>
          <w:rStyle w:val="FootnoteReference"/>
          <w:bCs/>
        </w:rPr>
        <w:footnoteReference w:id="141"/>
      </w:r>
      <w:r w:rsidR="00BC6396" w:rsidRPr="00C45026">
        <w:rPr>
          <w:bCs/>
        </w:rPr>
        <w:t xml:space="preserve"> Only in “the truly exceptional cases” do </w:t>
      </w:r>
      <w:r w:rsidR="00D26890" w:rsidRPr="00C45026">
        <w:rPr>
          <w:bCs/>
        </w:rPr>
        <w:t>“defense teams present extensive evidence of women’s experiences of violence, accompanied by thoughtful and nuanced expert testimony.”</w:t>
      </w:r>
      <w:r w:rsidR="00D26890" w:rsidRPr="00C45026">
        <w:rPr>
          <w:rStyle w:val="FootnoteReference"/>
          <w:bCs/>
        </w:rPr>
        <w:footnoteReference w:id="142"/>
      </w:r>
      <w:r w:rsidR="00B507DC" w:rsidRPr="00C45026">
        <w:rPr>
          <w:bCs/>
        </w:rPr>
        <w:t xml:space="preserve"> And only “exceptional” capital prosecutors “refrain from invoking harmful stereotypes of women victims of violence.”</w:t>
      </w:r>
      <w:r w:rsidR="00B507DC" w:rsidRPr="00C45026">
        <w:rPr>
          <w:rStyle w:val="FootnoteReference"/>
          <w:bCs/>
        </w:rPr>
        <w:footnoteReference w:id="143"/>
      </w:r>
      <w:r w:rsidR="00265B7A" w:rsidRPr="00C45026">
        <w:rPr>
          <w:bCs/>
        </w:rPr>
        <w:t xml:space="preserve"> Judges and jurors similarly hold misconceptions about abused women, and those biases affect how the criminal legal system </w:t>
      </w:r>
      <w:r w:rsidR="00585ACC" w:rsidRPr="00C45026">
        <w:rPr>
          <w:bCs/>
        </w:rPr>
        <w:t>considers all forms of GBV.</w:t>
      </w:r>
      <w:r w:rsidR="00585ACC" w:rsidRPr="00C45026">
        <w:rPr>
          <w:rStyle w:val="FootnoteReference"/>
          <w:bCs/>
        </w:rPr>
        <w:footnoteReference w:id="144"/>
      </w:r>
      <w:r w:rsidR="00B507DC" w:rsidRPr="00C45026">
        <w:rPr>
          <w:bCs/>
        </w:rPr>
        <w:t xml:space="preserve"> </w:t>
      </w:r>
      <w:r w:rsidR="006E422C" w:rsidRPr="00C45026">
        <w:rPr>
          <w:bCs/>
        </w:rPr>
        <w:t>The article concludes that courts “turn a blind eye to the gendered suffering that often shapes women’s pathways to incarceration and execution.”</w:t>
      </w:r>
      <w:r w:rsidR="006E422C" w:rsidRPr="00C45026">
        <w:rPr>
          <w:rStyle w:val="FootnoteReference"/>
          <w:bCs/>
        </w:rPr>
        <w:footnoteReference w:id="145"/>
      </w:r>
      <w:r w:rsidR="001162B4" w:rsidRPr="00C45026">
        <w:rPr>
          <w:bCs/>
        </w:rPr>
        <w:t xml:space="preserve"> As a result, the </w:t>
      </w:r>
      <w:r w:rsidR="00D90C50" w:rsidRPr="00C45026">
        <w:rPr>
          <w:bCs/>
        </w:rPr>
        <w:t xml:space="preserve">juries and judges </w:t>
      </w:r>
      <w:r w:rsidR="001162B4" w:rsidRPr="00C45026">
        <w:rPr>
          <w:bCs/>
        </w:rPr>
        <w:t>“who sentence women to die rarely comprehend the extensive trauma that the women have endured throughout their lives, and how that trauma relates to their legal and moral culpability.”</w:t>
      </w:r>
      <w:r w:rsidR="001162B4" w:rsidRPr="00C45026">
        <w:rPr>
          <w:rStyle w:val="FootnoteReference"/>
          <w:bCs/>
        </w:rPr>
        <w:footnoteReference w:id="146"/>
      </w:r>
    </w:p>
    <w:p w14:paraId="5BA5FD26" w14:textId="718A0003" w:rsidR="00085935" w:rsidRPr="00C45026" w:rsidRDefault="00111994" w:rsidP="0007698B">
      <w:pPr>
        <w:keepNext/>
        <w:numPr>
          <w:ilvl w:val="0"/>
          <w:numId w:val="8"/>
        </w:numPr>
        <w:spacing w:before="240" w:after="240"/>
        <w:ind w:left="720" w:hanging="360"/>
        <w:jc w:val="both"/>
        <w:rPr>
          <w:b/>
        </w:rPr>
      </w:pPr>
      <w:r w:rsidRPr="00C45026">
        <w:rPr>
          <w:b/>
        </w:rPr>
        <w:t>Suggested recommendations</w:t>
      </w:r>
      <w:r w:rsidR="00255789" w:rsidRPr="00C45026">
        <w:rPr>
          <w:b/>
        </w:rPr>
        <w:t xml:space="preserve"> for</w:t>
      </w:r>
      <w:r w:rsidR="000A66B8" w:rsidRPr="00C45026">
        <w:rPr>
          <w:b/>
        </w:rPr>
        <w:t xml:space="preserve"> the Government of </w:t>
      </w:r>
      <w:r w:rsidR="005422CB" w:rsidRPr="00C45026">
        <w:rPr>
          <w:b/>
        </w:rPr>
        <w:t>the United States</w:t>
      </w:r>
    </w:p>
    <w:p w14:paraId="386B2E4E" w14:textId="775B0F76" w:rsidR="003D75FB" w:rsidRPr="00C45026" w:rsidRDefault="005422CB" w:rsidP="0007698B">
      <w:pPr>
        <w:keepNext/>
        <w:numPr>
          <w:ilvl w:val="0"/>
          <w:numId w:val="7"/>
        </w:numPr>
        <w:spacing w:after="120"/>
        <w:ind w:left="360"/>
        <w:jc w:val="both"/>
      </w:pPr>
      <w:r w:rsidRPr="00C45026">
        <w:t xml:space="preserve">The authors of this report suggest the following recommendations to the government of the United States: </w:t>
      </w:r>
    </w:p>
    <w:p w14:paraId="5A6ECA0B" w14:textId="77591DCA" w:rsidR="00AA04BC" w:rsidRPr="00C45026" w:rsidRDefault="00480E68" w:rsidP="00DA5E03">
      <w:pPr>
        <w:numPr>
          <w:ilvl w:val="0"/>
          <w:numId w:val="10"/>
        </w:numPr>
        <w:spacing w:after="120"/>
        <w:contextualSpacing/>
        <w:jc w:val="both"/>
        <w:rPr>
          <w:rFonts w:eastAsia="Calibri"/>
        </w:rPr>
      </w:pPr>
      <w:r w:rsidRPr="00C45026">
        <w:rPr>
          <w:rFonts w:eastAsia="Calibri"/>
        </w:rPr>
        <w:t xml:space="preserve">Abolish the </w:t>
      </w:r>
      <w:r w:rsidR="00AA04BC" w:rsidRPr="00C45026">
        <w:rPr>
          <w:rFonts w:eastAsia="Calibri"/>
        </w:rPr>
        <w:t xml:space="preserve">federal </w:t>
      </w:r>
      <w:r w:rsidRPr="00C45026">
        <w:rPr>
          <w:rFonts w:eastAsia="Calibri"/>
        </w:rPr>
        <w:t xml:space="preserve">death penalty and </w:t>
      </w:r>
      <w:r w:rsidR="00AA04BC" w:rsidRPr="00C45026">
        <w:rPr>
          <w:rFonts w:eastAsia="Calibri"/>
        </w:rPr>
        <w:t>replace it with a sentence that is fair, proportionate, and consistent with international human rights standards.</w:t>
      </w:r>
    </w:p>
    <w:p w14:paraId="3E9DB2DA" w14:textId="225CD69E" w:rsidR="009C0664" w:rsidRPr="00C45026" w:rsidRDefault="00495D33" w:rsidP="00DA5E03">
      <w:pPr>
        <w:numPr>
          <w:ilvl w:val="0"/>
          <w:numId w:val="10"/>
        </w:numPr>
        <w:spacing w:after="120"/>
        <w:contextualSpacing/>
        <w:jc w:val="both"/>
        <w:rPr>
          <w:rFonts w:eastAsia="Calibri"/>
        </w:rPr>
      </w:pPr>
      <w:r w:rsidRPr="00C45026">
        <w:rPr>
          <w:rFonts w:eastAsia="Calibri"/>
        </w:rPr>
        <w:t>In the meantime</w:t>
      </w:r>
      <w:r w:rsidR="00676C51" w:rsidRPr="00C45026">
        <w:rPr>
          <w:rFonts w:eastAsia="Calibri"/>
        </w:rPr>
        <w:t>:</w:t>
      </w:r>
    </w:p>
    <w:p w14:paraId="1D1FDF55" w14:textId="1A8F8666" w:rsidR="009C0664" w:rsidRPr="00C45026" w:rsidRDefault="00480E68" w:rsidP="001B6B1D">
      <w:pPr>
        <w:numPr>
          <w:ilvl w:val="1"/>
          <w:numId w:val="10"/>
        </w:numPr>
        <w:spacing w:after="120"/>
        <w:contextualSpacing/>
        <w:jc w:val="both"/>
        <w:rPr>
          <w:rFonts w:eastAsia="Calibri"/>
        </w:rPr>
      </w:pPr>
      <w:r w:rsidRPr="00C45026">
        <w:rPr>
          <w:rFonts w:eastAsia="Calibri"/>
        </w:rPr>
        <w:t xml:space="preserve">commute the sentences of </w:t>
      </w:r>
      <w:r w:rsidR="00495D33" w:rsidRPr="00C45026">
        <w:rPr>
          <w:rFonts w:eastAsia="Calibri"/>
        </w:rPr>
        <w:t xml:space="preserve">all persons currently </w:t>
      </w:r>
      <w:r w:rsidRPr="00C45026">
        <w:rPr>
          <w:rFonts w:eastAsia="Calibri"/>
        </w:rPr>
        <w:t>on federal death row.</w:t>
      </w:r>
    </w:p>
    <w:p w14:paraId="4FBCE084" w14:textId="681B0083" w:rsidR="00480E68" w:rsidRPr="00C45026" w:rsidRDefault="00495D33" w:rsidP="009C0664">
      <w:pPr>
        <w:numPr>
          <w:ilvl w:val="1"/>
          <w:numId w:val="10"/>
        </w:numPr>
        <w:spacing w:after="120"/>
        <w:contextualSpacing/>
        <w:jc w:val="both"/>
        <w:rPr>
          <w:rFonts w:eastAsia="Calibri"/>
        </w:rPr>
      </w:pPr>
      <w:r w:rsidRPr="00C45026">
        <w:rPr>
          <w:rFonts w:eastAsia="Calibri"/>
        </w:rPr>
        <w:t xml:space="preserve">establish a de jure </w:t>
      </w:r>
      <w:r w:rsidR="00C86774" w:rsidRPr="00C45026">
        <w:rPr>
          <w:rFonts w:eastAsia="Calibri"/>
        </w:rPr>
        <w:t xml:space="preserve">moratorium both on federal executions and on federal death sentences, </w:t>
      </w:r>
      <w:r w:rsidR="00480E68" w:rsidRPr="00C45026">
        <w:rPr>
          <w:rFonts w:eastAsia="Calibri"/>
        </w:rPr>
        <w:t xml:space="preserve">with a view toward abolition. </w:t>
      </w:r>
    </w:p>
    <w:p w14:paraId="7DB2F822" w14:textId="159CFE6C" w:rsidR="009C0664" w:rsidRPr="00C45026" w:rsidRDefault="00024B3B" w:rsidP="001B6B1D">
      <w:pPr>
        <w:numPr>
          <w:ilvl w:val="1"/>
          <w:numId w:val="10"/>
        </w:numPr>
        <w:spacing w:after="120"/>
        <w:contextualSpacing/>
        <w:jc w:val="both"/>
        <w:rPr>
          <w:rFonts w:eastAsia="Calibri"/>
        </w:rPr>
      </w:pPr>
      <w:r w:rsidRPr="00C45026">
        <w:rPr>
          <w:rFonts w:eastAsia="Calibri"/>
        </w:rPr>
        <w:t xml:space="preserve">amend federal law to ensure that the death penalty is an available punishment only for people who killed and intended to kill, as </w:t>
      </w:r>
      <w:r w:rsidR="00676C51" w:rsidRPr="00C45026">
        <w:rPr>
          <w:rFonts w:eastAsia="Calibri"/>
        </w:rPr>
        <w:t>required under Article 6 of the Covenant.</w:t>
      </w:r>
    </w:p>
    <w:p w14:paraId="661A078A" w14:textId="48F50379" w:rsidR="00480E68" w:rsidRPr="00C45026" w:rsidRDefault="00676C51" w:rsidP="001B6B1D">
      <w:pPr>
        <w:numPr>
          <w:ilvl w:val="1"/>
          <w:numId w:val="10"/>
        </w:numPr>
        <w:spacing w:after="120"/>
        <w:contextualSpacing/>
        <w:jc w:val="both"/>
        <w:rPr>
          <w:rFonts w:eastAsia="Calibri"/>
        </w:rPr>
      </w:pPr>
      <w:r w:rsidRPr="00C45026">
        <w:rPr>
          <w:rFonts w:eastAsia="Calibri"/>
        </w:rPr>
        <w:t>p</w:t>
      </w:r>
      <w:r w:rsidR="00737833" w:rsidRPr="00C45026">
        <w:rPr>
          <w:rFonts w:eastAsia="Calibri"/>
        </w:rPr>
        <w:t xml:space="preserve">ublish an </w:t>
      </w:r>
      <w:r w:rsidR="00480E68" w:rsidRPr="00C45026">
        <w:rPr>
          <w:rFonts w:eastAsia="Calibri"/>
        </w:rPr>
        <w:t xml:space="preserve">executive </w:t>
      </w:r>
      <w:r w:rsidR="00737833" w:rsidRPr="00C45026">
        <w:rPr>
          <w:rFonts w:eastAsia="Calibri"/>
        </w:rPr>
        <w:t xml:space="preserve">order </w:t>
      </w:r>
      <w:r w:rsidR="008B405A" w:rsidRPr="00C45026">
        <w:rPr>
          <w:rFonts w:eastAsia="Calibri"/>
        </w:rPr>
        <w:t xml:space="preserve">prohibiting federal prosecutors from seeking the death penalty and directing </w:t>
      </w:r>
      <w:r w:rsidR="008137EF" w:rsidRPr="00C45026">
        <w:rPr>
          <w:rFonts w:eastAsia="Calibri"/>
        </w:rPr>
        <w:t>the Department of Justice to withdraw support for the death penalty in any post-conviction proceedings</w:t>
      </w:r>
      <w:r w:rsidR="00480E68" w:rsidRPr="00C45026">
        <w:rPr>
          <w:rFonts w:eastAsia="Calibri"/>
        </w:rPr>
        <w:t xml:space="preserve">. </w:t>
      </w:r>
    </w:p>
    <w:p w14:paraId="7A19B475" w14:textId="53ED562F" w:rsidR="00DA5E03" w:rsidRPr="00C45026" w:rsidRDefault="00DA5E03" w:rsidP="00DA5E03">
      <w:pPr>
        <w:numPr>
          <w:ilvl w:val="0"/>
          <w:numId w:val="10"/>
        </w:numPr>
        <w:spacing w:after="120"/>
        <w:contextualSpacing/>
        <w:jc w:val="both"/>
        <w:rPr>
          <w:rFonts w:eastAsia="Calibri"/>
        </w:rPr>
      </w:pPr>
      <w:r w:rsidRPr="00C45026">
        <w:rPr>
          <w:rFonts w:eastAsia="Calibri"/>
        </w:rPr>
        <w:lastRenderedPageBreak/>
        <w:t xml:space="preserve">Create accountability procedures for </w:t>
      </w:r>
      <w:r w:rsidR="00B94100" w:rsidRPr="00C45026">
        <w:rPr>
          <w:rFonts w:eastAsia="Calibri"/>
        </w:rPr>
        <w:t xml:space="preserve">federal </w:t>
      </w:r>
      <w:r w:rsidRPr="00C45026">
        <w:rPr>
          <w:rFonts w:eastAsia="Calibri"/>
        </w:rPr>
        <w:t xml:space="preserve">prosecutors who engage in racially discriminatory jury selection. </w:t>
      </w:r>
    </w:p>
    <w:p w14:paraId="7E726114" w14:textId="77777777" w:rsidR="003D75FB" w:rsidRPr="00C45026" w:rsidRDefault="003D75FB" w:rsidP="003D75FB">
      <w:pPr>
        <w:numPr>
          <w:ilvl w:val="0"/>
          <w:numId w:val="10"/>
        </w:numPr>
        <w:spacing w:after="120"/>
        <w:contextualSpacing/>
        <w:jc w:val="both"/>
        <w:rPr>
          <w:rFonts w:eastAsia="Calibri"/>
        </w:rPr>
      </w:pPr>
      <w:r w:rsidRPr="00C45026">
        <w:rPr>
          <w:rFonts w:eastAsia="Calibri"/>
        </w:rPr>
        <w:t xml:space="preserve">Promulgate and endorse science-based model jury instructions regarding the reliability of eyewitness identifications, including cross-racial identifications. </w:t>
      </w:r>
    </w:p>
    <w:p w14:paraId="05033A60" w14:textId="77777777" w:rsidR="003D75FB" w:rsidRPr="00C45026" w:rsidRDefault="003D75FB" w:rsidP="003D75FB">
      <w:pPr>
        <w:numPr>
          <w:ilvl w:val="0"/>
          <w:numId w:val="10"/>
        </w:numPr>
        <w:spacing w:after="120"/>
        <w:contextualSpacing/>
        <w:jc w:val="both"/>
        <w:rPr>
          <w:rFonts w:eastAsia="Calibri"/>
        </w:rPr>
      </w:pPr>
      <w:r w:rsidRPr="00C45026">
        <w:rPr>
          <w:rFonts w:eastAsia="Calibri"/>
        </w:rPr>
        <w:t xml:space="preserve">Provide training and incentives for law enforcement to adopt model practices for eyewitness identification to reduce the risk of erroneous identifications. </w:t>
      </w:r>
    </w:p>
    <w:p w14:paraId="67E31CF6" w14:textId="61B877FE" w:rsidR="003D75FB" w:rsidRPr="00C45026" w:rsidRDefault="003D75FB" w:rsidP="003D75FB">
      <w:pPr>
        <w:numPr>
          <w:ilvl w:val="0"/>
          <w:numId w:val="10"/>
        </w:numPr>
        <w:spacing w:after="120"/>
        <w:contextualSpacing/>
        <w:jc w:val="both"/>
        <w:rPr>
          <w:rFonts w:eastAsia="Calibri"/>
        </w:rPr>
      </w:pPr>
      <w:r w:rsidRPr="00C45026">
        <w:rPr>
          <w:rFonts w:eastAsia="Calibri"/>
        </w:rPr>
        <w:t xml:space="preserve">Prohibit states from imposing </w:t>
      </w:r>
      <w:r w:rsidR="00535EF8" w:rsidRPr="00C45026">
        <w:rPr>
          <w:rFonts w:eastAsia="Calibri"/>
        </w:rPr>
        <w:t xml:space="preserve">a sentence of </w:t>
      </w:r>
      <w:r w:rsidRPr="00C45026">
        <w:rPr>
          <w:rFonts w:eastAsia="Calibri"/>
        </w:rPr>
        <w:t>death in the absence of a unanimous verdict.</w:t>
      </w:r>
    </w:p>
    <w:p w14:paraId="60989FAA" w14:textId="127BC5AD" w:rsidR="00754064" w:rsidRPr="00C45026" w:rsidRDefault="000C3E8E" w:rsidP="004C579A">
      <w:pPr>
        <w:numPr>
          <w:ilvl w:val="0"/>
          <w:numId w:val="10"/>
        </w:numPr>
        <w:spacing w:after="120"/>
        <w:contextualSpacing/>
        <w:jc w:val="both"/>
        <w:rPr>
          <w:rFonts w:eastAsia="Calibri"/>
        </w:rPr>
      </w:pPr>
      <w:r w:rsidRPr="00C45026">
        <w:rPr>
          <w:rFonts w:eastAsia="Calibri"/>
        </w:rPr>
        <w:t>Prohibit state and federal authorities from carrying out an execution if the person to be executed is not conscious</w:t>
      </w:r>
      <w:r w:rsidR="004C579A" w:rsidRPr="00C45026">
        <w:rPr>
          <w:rFonts w:eastAsia="Calibri"/>
        </w:rPr>
        <w:t xml:space="preserve"> when the death warrant is read or is otherwise unable to make a final statement prior to the execution</w:t>
      </w:r>
      <w:r w:rsidR="00EA5138" w:rsidRPr="00C45026">
        <w:rPr>
          <w:rFonts w:eastAsia="Calibri"/>
        </w:rPr>
        <w:t xml:space="preserve">. </w:t>
      </w:r>
    </w:p>
    <w:p w14:paraId="0EDAEA07" w14:textId="6E060168" w:rsidR="003D75FB" w:rsidRPr="00C45026" w:rsidRDefault="003D75FB" w:rsidP="003D75FB">
      <w:pPr>
        <w:numPr>
          <w:ilvl w:val="0"/>
          <w:numId w:val="10"/>
        </w:numPr>
        <w:jc w:val="both"/>
      </w:pPr>
      <w:r w:rsidRPr="00C45026">
        <w:t>Fully implement the recommendations of the Ad Hoc Committee to Review the Criminal Justice Act as they pertain to providing adequate and adequately funded legal counsel in all capital cases, appeals, and habeas corpus proceedings, including the creation of an independent Defender Commission within the judicial branch that would have the sole authority to set policy and practices related to the provision of federal defense in capital cases.</w:t>
      </w:r>
    </w:p>
    <w:p w14:paraId="7F50CE27" w14:textId="77777777" w:rsidR="003D75FB" w:rsidRPr="00C45026" w:rsidRDefault="003D75FB" w:rsidP="003D75FB">
      <w:pPr>
        <w:numPr>
          <w:ilvl w:val="0"/>
          <w:numId w:val="10"/>
        </w:numPr>
        <w:jc w:val="both"/>
      </w:pPr>
      <w:r w:rsidRPr="00C45026">
        <w:t>Expand federal funding and significantly increase caps for capital counsel compensation and fees and expenses in capital cases, ensuring that caps are automatically adjusted for inflation.</w:t>
      </w:r>
    </w:p>
    <w:p w14:paraId="5A01B689" w14:textId="77777777" w:rsidR="003D75FB" w:rsidRPr="00C45026" w:rsidRDefault="003D75FB" w:rsidP="003D75FB">
      <w:pPr>
        <w:numPr>
          <w:ilvl w:val="0"/>
          <w:numId w:val="10"/>
        </w:numPr>
        <w:jc w:val="both"/>
      </w:pPr>
      <w:r w:rsidRPr="00C45026">
        <w:t>Provide state and federal trial court judges with guidance about the level of experience required for adequate counsel in capital cases, the amount of time required to provide an adequate defense in such cases, the funds counsel needs to provide experts and present a mitigation defense, and the importance of timely appointment of qualified post-conviction counsel.</w:t>
      </w:r>
    </w:p>
    <w:p w14:paraId="0EC49617" w14:textId="77777777" w:rsidR="003D75FB" w:rsidRPr="00C45026" w:rsidRDefault="003D75FB" w:rsidP="003D75FB">
      <w:pPr>
        <w:numPr>
          <w:ilvl w:val="0"/>
          <w:numId w:val="10"/>
        </w:numPr>
        <w:jc w:val="both"/>
      </w:pPr>
      <w:r w:rsidRPr="00C45026">
        <w:t>Reduce funding disparities across districts and circuits for federal capital cases.</w:t>
      </w:r>
    </w:p>
    <w:p w14:paraId="26BEAE8C" w14:textId="77777777" w:rsidR="003D75FB" w:rsidRPr="00C45026" w:rsidRDefault="003D75FB" w:rsidP="003D75FB">
      <w:pPr>
        <w:numPr>
          <w:ilvl w:val="0"/>
          <w:numId w:val="10"/>
        </w:numPr>
        <w:jc w:val="both"/>
      </w:pPr>
      <w:r w:rsidRPr="00C45026">
        <w:t>Develop and offer ongoing, comprehensive training for counsel in capital cases, including post-conviction litigation.</w:t>
      </w:r>
    </w:p>
    <w:p w14:paraId="7C3B018E" w14:textId="77777777" w:rsidR="003D75FB" w:rsidRPr="00C45026" w:rsidRDefault="003D75FB" w:rsidP="003D75FB">
      <w:pPr>
        <w:numPr>
          <w:ilvl w:val="0"/>
          <w:numId w:val="10"/>
        </w:numPr>
        <w:jc w:val="both"/>
        <w:rPr>
          <w:lang w:eastAsia="en-US"/>
        </w:rPr>
      </w:pPr>
      <w:r w:rsidRPr="00C45026">
        <w:t>Require all states that retain the death penalty to fully fund a program to provide competent public defenders in all capital cases and to provide qualified legal assistance to people on death row.</w:t>
      </w:r>
    </w:p>
    <w:p w14:paraId="6F4897D9" w14:textId="7BAA0EE0" w:rsidR="00235693" w:rsidRPr="00C45026" w:rsidRDefault="001972E3" w:rsidP="003D75FB">
      <w:pPr>
        <w:numPr>
          <w:ilvl w:val="0"/>
          <w:numId w:val="10"/>
        </w:numPr>
        <w:jc w:val="both"/>
      </w:pPr>
      <w:r w:rsidRPr="00C45026">
        <w:t>At the federal level, codify gender-specific defenses and mitigation in capital cases, encompassing women’s experiences of trauma, poverty, and gender-based violence. Create incentives for states to do the same.</w:t>
      </w:r>
    </w:p>
    <w:p w14:paraId="4702008B" w14:textId="74292E1C" w:rsidR="00661789" w:rsidRPr="00C45026" w:rsidRDefault="00661789" w:rsidP="003D75FB">
      <w:pPr>
        <w:numPr>
          <w:ilvl w:val="0"/>
          <w:numId w:val="10"/>
        </w:numPr>
        <w:jc w:val="both"/>
      </w:pPr>
      <w:r w:rsidRPr="00C45026">
        <w:t xml:space="preserve">Ensure that all judges presiding over sentencing trials in capital cases receive comprehensive training on gender-based discrimination, </w:t>
      </w:r>
      <w:r w:rsidR="00B90C41" w:rsidRPr="00C45026">
        <w:t>gender-based violence, and tactics of coercive control that may contribute to women committing death-eligible offenses.</w:t>
      </w:r>
    </w:p>
    <w:p w14:paraId="696546E4" w14:textId="7A5733D5" w:rsidR="00B90C41" w:rsidRPr="00C45026" w:rsidRDefault="00B90C41" w:rsidP="003D75FB">
      <w:pPr>
        <w:numPr>
          <w:ilvl w:val="0"/>
          <w:numId w:val="10"/>
        </w:numPr>
        <w:jc w:val="both"/>
      </w:pPr>
      <w:r w:rsidRPr="00C45026">
        <w:t xml:space="preserve">Provide training to all defense counsel who take on capital cases </w:t>
      </w:r>
      <w:r w:rsidR="00262BC1" w:rsidRPr="00C45026">
        <w:t>regarding</w:t>
      </w:r>
      <w:r w:rsidR="00331B05" w:rsidRPr="00C45026">
        <w:t xml:space="preserve"> gender-based violence and</w:t>
      </w:r>
      <w:r w:rsidR="00262BC1" w:rsidRPr="00C45026">
        <w:t xml:space="preserve"> gender-specific mitigation.</w:t>
      </w:r>
    </w:p>
    <w:p w14:paraId="47E6FCD7" w14:textId="1AC9E5A7" w:rsidR="007B3DBD" w:rsidRPr="00C45026" w:rsidRDefault="00C9436D" w:rsidP="003D75FB">
      <w:pPr>
        <w:numPr>
          <w:ilvl w:val="0"/>
          <w:numId w:val="10"/>
        </w:numPr>
        <w:jc w:val="both"/>
      </w:pPr>
      <w:r w:rsidRPr="00C45026">
        <w:t>Collaborate with civil society organizations to e</w:t>
      </w:r>
      <w:r w:rsidR="007B3DBD" w:rsidRPr="00C45026">
        <w:t>nsure that all federal and state</w:t>
      </w:r>
      <w:r w:rsidR="002127B2" w:rsidRPr="00C45026">
        <w:t xml:space="preserve"> prosecutors and other</w:t>
      </w:r>
      <w:r w:rsidR="007B3DBD" w:rsidRPr="00C45026">
        <w:t xml:space="preserve"> </w:t>
      </w:r>
      <w:r w:rsidR="006915F2" w:rsidRPr="00C45026">
        <w:t xml:space="preserve">authorities responsible for making charging decisions and </w:t>
      </w:r>
      <w:r w:rsidR="007B3DBD" w:rsidRPr="00C45026">
        <w:t xml:space="preserve">handling capital cases have </w:t>
      </w:r>
      <w:r w:rsidRPr="00C45026">
        <w:t>comprehensive training on gender stereotypes, gender-based violence</w:t>
      </w:r>
      <w:r w:rsidR="00A8756C" w:rsidRPr="00C45026">
        <w:t>, tactics of coercive control, and women’s experiences of trauma that may place them into conflict with the law</w:t>
      </w:r>
      <w:r w:rsidR="006915F2" w:rsidRPr="00C45026">
        <w:t>.</w:t>
      </w:r>
    </w:p>
    <w:p w14:paraId="6D66B8DD" w14:textId="32FAA465" w:rsidR="00394937" w:rsidRPr="00C45026" w:rsidRDefault="00394937" w:rsidP="003D75FB">
      <w:pPr>
        <w:numPr>
          <w:ilvl w:val="0"/>
          <w:numId w:val="10"/>
        </w:numPr>
        <w:jc w:val="both"/>
      </w:pPr>
      <w:r w:rsidRPr="00C45026">
        <w:lastRenderedPageBreak/>
        <w:t xml:space="preserve">On at least an annual basis, publish comprehensive information on the number of </w:t>
      </w:r>
      <w:r w:rsidR="00B3659D" w:rsidRPr="00C45026">
        <w:t xml:space="preserve">persons under sentence of death and executed over the previous year, disaggregated by </w:t>
      </w:r>
      <w:r w:rsidR="002606D4" w:rsidRPr="00C45026">
        <w:t>sex, gender, gender identity or gender expression, sexual orientation</w:t>
      </w:r>
      <w:r w:rsidR="00FB2C31" w:rsidRPr="00C45026">
        <w:t xml:space="preserve">, age, age of any dependent children, nationality, race/ethnicity, </w:t>
      </w:r>
      <w:r w:rsidR="00C3293F" w:rsidRPr="00C45026">
        <w:t xml:space="preserve">disability, </w:t>
      </w:r>
      <w:r w:rsidR="00FB2C31" w:rsidRPr="00C45026">
        <w:t xml:space="preserve">crime of conviction, date of conviction, court of conviction, relationship to any codefendants or victims, and date of execution (if applicable), to facilitate analysis of </w:t>
      </w:r>
      <w:r w:rsidR="00C3293F" w:rsidRPr="00C45026">
        <w:t xml:space="preserve">how race, </w:t>
      </w:r>
      <w:r w:rsidR="00F9489B" w:rsidRPr="00C45026">
        <w:t>sex</w:t>
      </w:r>
      <w:r w:rsidR="00C3293F" w:rsidRPr="00C45026">
        <w:t xml:space="preserve">, </w:t>
      </w:r>
      <w:r w:rsidR="00F9489B" w:rsidRPr="00C45026">
        <w:t xml:space="preserve">gender, </w:t>
      </w:r>
      <w:r w:rsidR="00C3293F" w:rsidRPr="00C45026">
        <w:t>disability, migrant status</w:t>
      </w:r>
      <w:r w:rsidR="00F9489B" w:rsidRPr="00C45026">
        <w:t xml:space="preserve">, sexual orientation, </w:t>
      </w:r>
      <w:r w:rsidR="000C7B9D" w:rsidRPr="00C45026">
        <w:t xml:space="preserve">and </w:t>
      </w:r>
      <w:r w:rsidR="00F9489B" w:rsidRPr="00C45026">
        <w:t>gender identity</w:t>
      </w:r>
      <w:r w:rsidR="00623B76" w:rsidRPr="00C45026">
        <w:t xml:space="preserve"> influence outcomes in </w:t>
      </w:r>
      <w:r w:rsidR="00EB1AA6" w:rsidRPr="00C45026">
        <w:t xml:space="preserve">capital cases in </w:t>
      </w:r>
      <w:r w:rsidR="00623B76" w:rsidRPr="00C45026">
        <w:t xml:space="preserve">the criminal legal systems of </w:t>
      </w:r>
      <w:r w:rsidR="000C7B9D" w:rsidRPr="00C45026">
        <w:t>the United States.</w:t>
      </w:r>
    </w:p>
    <w:p w14:paraId="7EB79679" w14:textId="20156175" w:rsidR="003D75FB" w:rsidRPr="00C45026" w:rsidRDefault="003D75FB" w:rsidP="003D75FB">
      <w:pPr>
        <w:numPr>
          <w:ilvl w:val="0"/>
          <w:numId w:val="10"/>
        </w:numPr>
        <w:jc w:val="both"/>
      </w:pPr>
      <w:r w:rsidRPr="00C45026">
        <w:t>Adopt legislation and financial incentives for states to implement recommendations promulgated by the Innocence Project regarding compensation and assistance for individuals wrongly sentenced to death: untaxed compensation of at least $100,000 per year on death row; legal assistance for seeking compensation; and adequate and appropriate services, including housing, transportation, education, physical and mental health care, employment assistance, and other reintegration assistance.</w:t>
      </w:r>
    </w:p>
    <w:p w14:paraId="6414A3C1" w14:textId="77777777" w:rsidR="003D75FB" w:rsidRPr="00C45026" w:rsidRDefault="003D75FB" w:rsidP="003D75FB">
      <w:pPr>
        <w:numPr>
          <w:ilvl w:val="0"/>
          <w:numId w:val="10"/>
        </w:numPr>
        <w:spacing w:after="120"/>
        <w:contextualSpacing/>
        <w:jc w:val="both"/>
        <w:rPr>
          <w:rFonts w:eastAsia="Calibri"/>
        </w:rPr>
      </w:pPr>
      <w:r w:rsidRPr="00C45026">
        <w:rPr>
          <w:rFonts w:eastAsia="Calibri"/>
        </w:rPr>
        <w:t xml:space="preserve">Make all persons exonerated from death row automatically eligible for Medicare. </w:t>
      </w:r>
    </w:p>
    <w:p w14:paraId="06DB1070" w14:textId="77777777" w:rsidR="003D75FB" w:rsidRPr="00C45026" w:rsidRDefault="003D75FB" w:rsidP="003D75FB">
      <w:pPr>
        <w:numPr>
          <w:ilvl w:val="0"/>
          <w:numId w:val="10"/>
        </w:numPr>
        <w:jc w:val="both"/>
      </w:pPr>
      <w:r w:rsidRPr="00C45026">
        <w:t>Ensure that there are adequate mechanisms to hold prosecutors, law enforcement, and judges accountable when their conduct leads to wrongful convictions and wrongful death sentences.</w:t>
      </w:r>
    </w:p>
    <w:p w14:paraId="1D124CB1" w14:textId="77777777" w:rsidR="003D75FB" w:rsidRPr="00C45026" w:rsidRDefault="003D75FB" w:rsidP="003D75FB">
      <w:pPr>
        <w:numPr>
          <w:ilvl w:val="0"/>
          <w:numId w:val="10"/>
        </w:numPr>
        <w:jc w:val="both"/>
        <w:rPr>
          <w:rFonts w:eastAsia="Calibri"/>
        </w:rPr>
      </w:pPr>
      <w:r w:rsidRPr="00C45026">
        <w:rPr>
          <w:rFonts w:eastAsia="Calibri"/>
        </w:rPr>
        <w:t xml:space="preserve">Adopt legislation to mandate state compliance with the </w:t>
      </w:r>
      <w:r w:rsidRPr="00C45026">
        <w:rPr>
          <w:rFonts w:eastAsia="Calibri"/>
          <w:i/>
          <w:iCs/>
        </w:rPr>
        <w:t>Avena</w:t>
      </w:r>
      <w:r w:rsidRPr="00C45026">
        <w:rPr>
          <w:rFonts w:eastAsia="Calibri"/>
        </w:rPr>
        <w:t xml:space="preserve"> decision.</w:t>
      </w:r>
    </w:p>
    <w:p w14:paraId="6214D806" w14:textId="77777777" w:rsidR="003D75FB" w:rsidRPr="00C45026" w:rsidRDefault="003D75FB" w:rsidP="003D75FB">
      <w:pPr>
        <w:numPr>
          <w:ilvl w:val="0"/>
          <w:numId w:val="10"/>
        </w:numPr>
        <w:jc w:val="both"/>
      </w:pPr>
      <w:r w:rsidRPr="00C45026">
        <w:rPr>
          <w:rFonts w:eastAsia="Calibri"/>
        </w:rPr>
        <w:t xml:space="preserve">Ensure that all foreign nationals on federal death row receive the review and reconsideration mandated under </w:t>
      </w:r>
      <w:r w:rsidRPr="00C45026">
        <w:rPr>
          <w:rFonts w:eastAsia="Calibri"/>
          <w:i/>
          <w:iCs/>
        </w:rPr>
        <w:t>Avena</w:t>
      </w:r>
      <w:r w:rsidRPr="00C45026">
        <w:rPr>
          <w:rFonts w:eastAsia="Calibri"/>
        </w:rPr>
        <w:t>.</w:t>
      </w:r>
    </w:p>
    <w:p w14:paraId="54B04116" w14:textId="77777777" w:rsidR="003D75FB" w:rsidRPr="00C45026" w:rsidRDefault="003D75FB" w:rsidP="003D75FB">
      <w:pPr>
        <w:numPr>
          <w:ilvl w:val="0"/>
          <w:numId w:val="10"/>
        </w:numPr>
        <w:jc w:val="both"/>
        <w:rPr>
          <w:rFonts w:eastAsia="Calibri"/>
        </w:rPr>
      </w:pPr>
      <w:r w:rsidRPr="00C45026">
        <w:rPr>
          <w:rFonts w:eastAsia="Calibri"/>
        </w:rPr>
        <w:t xml:space="preserve">Bar admission of evidence obtained from foreign nationals who had not been informed of their consular notification rights at the time the evidence was obtained. </w:t>
      </w:r>
    </w:p>
    <w:p w14:paraId="08BDB9D8" w14:textId="77777777" w:rsidR="003D75FB" w:rsidRPr="00C45026" w:rsidRDefault="003D75FB" w:rsidP="003D75FB">
      <w:pPr>
        <w:numPr>
          <w:ilvl w:val="0"/>
          <w:numId w:val="10"/>
        </w:numPr>
        <w:jc w:val="both"/>
        <w:rPr>
          <w:rFonts w:eastAsia="Calibri"/>
        </w:rPr>
      </w:pPr>
      <w:r w:rsidRPr="00C45026">
        <w:rPr>
          <w:rFonts w:eastAsia="Calibri"/>
        </w:rPr>
        <w:t xml:space="preserve">Mandate that all states that retain the death penalty adopt statutory schemes to require law enforcement to inform all suspects of their consular notification rights at the time the </w:t>
      </w:r>
      <w:r w:rsidRPr="00C45026">
        <w:rPr>
          <w:rFonts w:eastAsia="Calibri"/>
          <w:i/>
          <w:iCs/>
        </w:rPr>
        <w:t xml:space="preserve">Miranda </w:t>
      </w:r>
      <w:r w:rsidRPr="00C45026">
        <w:rPr>
          <w:rFonts w:eastAsia="Calibri"/>
        </w:rPr>
        <w:t>notification is given and to impose penalties for failure to notify foreign nationals of their rights.</w:t>
      </w:r>
    </w:p>
    <w:p w14:paraId="10A4ADFB" w14:textId="571A0D5B" w:rsidR="003B2839" w:rsidRPr="00C45026" w:rsidRDefault="003D75FB" w:rsidP="00D24F72">
      <w:pPr>
        <w:numPr>
          <w:ilvl w:val="0"/>
          <w:numId w:val="10"/>
        </w:numPr>
        <w:jc w:val="both"/>
        <w:rPr>
          <w:rFonts w:eastAsia="Calibri"/>
        </w:rPr>
      </w:pPr>
      <w:r w:rsidRPr="00C45026">
        <w:rPr>
          <w:rFonts w:eastAsia="Calibri"/>
        </w:rPr>
        <w:t xml:space="preserve">Expand State Department efforts to train local law enforcement about consular notification requirements, prioritizing jurisdictions where prosecutors have actively sought the death penalty in the last ten years. </w:t>
      </w:r>
    </w:p>
    <w:sectPr w:rsidR="003B2839" w:rsidRPr="00C45026" w:rsidSect="004B1E4E">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B226AA" w14:textId="77777777" w:rsidR="00032B19" w:rsidRDefault="00032B19">
      <w:r>
        <w:separator/>
      </w:r>
    </w:p>
  </w:endnote>
  <w:endnote w:type="continuationSeparator" w:id="0">
    <w:p w14:paraId="2ED701B0" w14:textId="77777777" w:rsidR="00032B19" w:rsidRDefault="00032B19">
      <w:r>
        <w:continuationSeparator/>
      </w:r>
    </w:p>
  </w:endnote>
  <w:endnote w:type="continuationNotice" w:id="1">
    <w:p w14:paraId="098D4313" w14:textId="77777777" w:rsidR="00032B19" w:rsidRDefault="00032B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A011C0"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6F10A5B9" w:rsidR="00804604" w:rsidRPr="00345B90" w:rsidRDefault="00127439"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  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091C3" w14:textId="77777777" w:rsidR="00032B19" w:rsidRDefault="00032B19">
      <w:r>
        <w:separator/>
      </w:r>
    </w:p>
  </w:footnote>
  <w:footnote w:type="continuationSeparator" w:id="0">
    <w:p w14:paraId="6031CF87" w14:textId="77777777" w:rsidR="00032B19" w:rsidRDefault="00032B19">
      <w:r>
        <w:continuationSeparator/>
      </w:r>
    </w:p>
  </w:footnote>
  <w:footnote w:type="continuationNotice" w:id="1">
    <w:p w14:paraId="1FF959AB" w14:textId="77777777" w:rsidR="00032B19" w:rsidRDefault="00032B19"/>
  </w:footnote>
  <w:footnote w:id="2">
    <w:p w14:paraId="711C2451" w14:textId="142F5106" w:rsidR="002A2FE6" w:rsidRPr="00550954" w:rsidRDefault="002A2FE6" w:rsidP="00550954">
      <w:pPr>
        <w:pStyle w:val="FootnoteText"/>
        <w:rPr>
          <w:sz w:val="20"/>
          <w:szCs w:val="20"/>
        </w:rPr>
      </w:pPr>
      <w:r w:rsidRPr="00550954">
        <w:rPr>
          <w:rStyle w:val="FootnoteReference"/>
          <w:sz w:val="20"/>
          <w:szCs w:val="20"/>
        </w:rPr>
        <w:footnoteRef/>
      </w:r>
      <w:r w:rsidRPr="00550954">
        <w:rPr>
          <w:sz w:val="20"/>
          <w:szCs w:val="20"/>
        </w:rPr>
        <w:t xml:space="preserve"> </w:t>
      </w:r>
      <w:r w:rsidR="00E64E16" w:rsidRPr="00550954">
        <w:rPr>
          <w:sz w:val="20"/>
          <w:szCs w:val="20"/>
        </w:rPr>
        <w:t xml:space="preserve">Sandra </w:t>
      </w:r>
      <w:r w:rsidR="00A44ACF" w:rsidRPr="00550954">
        <w:rPr>
          <w:kern w:val="0"/>
          <w:sz w:val="20"/>
          <w:szCs w:val="20"/>
        </w:rPr>
        <w:t xml:space="preserve">Babcock and </w:t>
      </w:r>
      <w:r w:rsidR="00E64E16" w:rsidRPr="00550954">
        <w:rPr>
          <w:kern w:val="0"/>
          <w:sz w:val="20"/>
          <w:szCs w:val="20"/>
        </w:rPr>
        <w:t xml:space="preserve">Nathalie </w:t>
      </w:r>
      <w:r w:rsidR="00A44ACF" w:rsidRPr="00550954">
        <w:rPr>
          <w:kern w:val="0"/>
          <w:sz w:val="20"/>
          <w:szCs w:val="20"/>
        </w:rPr>
        <w:t xml:space="preserve">Greenfield, </w:t>
      </w:r>
      <w:r w:rsidR="00A44ACF" w:rsidRPr="00550954">
        <w:rPr>
          <w:i/>
          <w:iCs/>
          <w:kern w:val="0"/>
          <w:sz w:val="20"/>
          <w:szCs w:val="20"/>
        </w:rPr>
        <w:t>Gender, Violence, and the Death Penalty</w:t>
      </w:r>
      <w:r w:rsidR="00A44ACF" w:rsidRPr="00550954">
        <w:rPr>
          <w:kern w:val="0"/>
          <w:sz w:val="20"/>
          <w:szCs w:val="20"/>
        </w:rPr>
        <w:t xml:space="preserve"> (April 10, 2023)</w:t>
      </w:r>
      <w:r w:rsidR="00E64E16" w:rsidRPr="00550954">
        <w:rPr>
          <w:kern w:val="0"/>
          <w:sz w:val="20"/>
          <w:szCs w:val="20"/>
        </w:rPr>
        <w:t>, forthcoming,</w:t>
      </w:r>
      <w:r w:rsidR="00A44ACF" w:rsidRPr="00550954">
        <w:rPr>
          <w:kern w:val="0"/>
          <w:sz w:val="20"/>
          <w:szCs w:val="20"/>
        </w:rPr>
        <w:t xml:space="preserve"> California Western International Law Journal, Vol. 53 (2023), Available at SSRN: https://ssrn.com/abstract=4416558.</w:t>
      </w:r>
    </w:p>
  </w:footnote>
  <w:footnote w:id="3">
    <w:p w14:paraId="152AE000" w14:textId="77777777"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0" w:name="_Hlk139972607"/>
      <w:r w:rsidRPr="00550954">
        <w:rPr>
          <w:sz w:val="20"/>
          <w:szCs w:val="20"/>
        </w:rPr>
        <w:t xml:space="preserve">Human Rights Committee, </w:t>
      </w:r>
      <w:r w:rsidRPr="00550954">
        <w:rPr>
          <w:i/>
          <w:iCs/>
          <w:sz w:val="20"/>
          <w:szCs w:val="20"/>
        </w:rPr>
        <w:t xml:space="preserve">List of Issues prior to submission of the fifth periodic report of the United States, </w:t>
      </w:r>
      <w:r w:rsidRPr="00550954">
        <w:rPr>
          <w:sz w:val="20"/>
          <w:szCs w:val="20"/>
        </w:rPr>
        <w:t>(Apr. 18, 2019), U.N. Doc. CCPR/C/USA/QPR/5, ¶ 13(a)–(b).</w:t>
      </w:r>
      <w:bookmarkEnd w:id="0"/>
    </w:p>
  </w:footnote>
  <w:footnote w:id="4">
    <w:p w14:paraId="28E0119B" w14:textId="15F5E479"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r w:rsidR="0007698B" w:rsidRPr="00550954">
        <w:rPr>
          <w:i/>
          <w:iCs/>
          <w:sz w:val="20"/>
          <w:szCs w:val="20"/>
        </w:rPr>
        <w:t>Id.</w:t>
      </w:r>
      <w:r w:rsidR="0007698B" w:rsidRPr="00550954">
        <w:rPr>
          <w:sz w:val="20"/>
          <w:szCs w:val="20"/>
        </w:rPr>
        <w:t xml:space="preserve"> </w:t>
      </w:r>
      <w:r w:rsidRPr="00550954">
        <w:rPr>
          <w:sz w:val="20"/>
          <w:szCs w:val="20"/>
        </w:rPr>
        <w:t>¶ 13(c)–(e).</w:t>
      </w:r>
    </w:p>
  </w:footnote>
  <w:footnote w:id="5">
    <w:p w14:paraId="3710243A" w14:textId="091BC5B6"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r w:rsidR="0007698B" w:rsidRPr="00550954">
        <w:rPr>
          <w:i/>
          <w:iCs/>
          <w:sz w:val="20"/>
          <w:szCs w:val="20"/>
        </w:rPr>
        <w:t>Id.</w:t>
      </w:r>
      <w:r w:rsidR="0007698B" w:rsidRPr="00550954">
        <w:rPr>
          <w:sz w:val="20"/>
          <w:szCs w:val="20"/>
        </w:rPr>
        <w:t xml:space="preserve"> </w:t>
      </w:r>
      <w:r w:rsidRPr="00550954">
        <w:rPr>
          <w:sz w:val="20"/>
          <w:szCs w:val="20"/>
        </w:rPr>
        <w:t>¶ 13(f).</w:t>
      </w:r>
    </w:p>
  </w:footnote>
  <w:footnote w:id="6">
    <w:p w14:paraId="014A9267" w14:textId="34CD365A"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r w:rsidR="0007698B" w:rsidRPr="00550954">
        <w:rPr>
          <w:i/>
          <w:iCs/>
          <w:sz w:val="20"/>
          <w:szCs w:val="20"/>
        </w:rPr>
        <w:t>Id.</w:t>
      </w:r>
      <w:r w:rsidR="0007698B" w:rsidRPr="00550954">
        <w:rPr>
          <w:sz w:val="20"/>
          <w:szCs w:val="20"/>
        </w:rPr>
        <w:t xml:space="preserve"> </w:t>
      </w:r>
      <w:r w:rsidRPr="00550954">
        <w:rPr>
          <w:sz w:val="20"/>
          <w:szCs w:val="20"/>
        </w:rPr>
        <w:t>¶ 13.</w:t>
      </w:r>
    </w:p>
  </w:footnote>
  <w:footnote w:id="7">
    <w:p w14:paraId="24DF17EA" w14:textId="77777777"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1" w:name="_Hlk140068091"/>
      <w:r w:rsidRPr="00550954">
        <w:rPr>
          <w:sz w:val="20"/>
          <w:szCs w:val="20"/>
        </w:rPr>
        <w:t xml:space="preserve">Human Rights Committee, </w:t>
      </w:r>
      <w:r w:rsidRPr="00550954">
        <w:rPr>
          <w:i/>
          <w:iCs/>
          <w:sz w:val="20"/>
          <w:szCs w:val="20"/>
        </w:rPr>
        <w:t>Fifth periodic report submitted by the United States under article 40 of the Covenant pursuant to the optional reporting procedure, due in 2020</w:t>
      </w:r>
      <w:r w:rsidRPr="00550954">
        <w:rPr>
          <w:sz w:val="20"/>
          <w:szCs w:val="20"/>
        </w:rPr>
        <w:t>, (Nov. 11, 2021), U.N. Doc. CCPR/C/USA/5, ¶ 45.</w:t>
      </w:r>
    </w:p>
    <w:bookmarkEnd w:id="1"/>
  </w:footnote>
  <w:footnote w:id="8">
    <w:p w14:paraId="1DA54314" w14:textId="50FFA754"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r w:rsidR="00427A4A" w:rsidRPr="00550954">
        <w:rPr>
          <w:i/>
          <w:iCs/>
          <w:sz w:val="20"/>
          <w:szCs w:val="20"/>
        </w:rPr>
        <w:t>Id.</w:t>
      </w:r>
      <w:r w:rsidR="00427A4A" w:rsidRPr="00550954">
        <w:rPr>
          <w:sz w:val="20"/>
          <w:szCs w:val="20"/>
        </w:rPr>
        <w:t xml:space="preserve"> </w:t>
      </w:r>
      <w:r w:rsidRPr="00550954">
        <w:rPr>
          <w:sz w:val="20"/>
          <w:szCs w:val="20"/>
        </w:rPr>
        <w:t>¶ 36.</w:t>
      </w:r>
    </w:p>
  </w:footnote>
  <w:footnote w:id="9">
    <w:p w14:paraId="5B491733" w14:textId="615001B9" w:rsidR="008C29E8" w:rsidRPr="00550954" w:rsidRDefault="008C29E8" w:rsidP="00550954">
      <w:pPr>
        <w:pStyle w:val="FootnoteText"/>
        <w:rPr>
          <w:sz w:val="20"/>
          <w:szCs w:val="20"/>
        </w:rPr>
      </w:pPr>
      <w:r w:rsidRPr="00550954">
        <w:rPr>
          <w:rStyle w:val="FootnoteReference"/>
          <w:sz w:val="20"/>
          <w:szCs w:val="20"/>
        </w:rPr>
        <w:footnoteRef/>
      </w:r>
      <w:r w:rsidRPr="00550954">
        <w:rPr>
          <w:sz w:val="20"/>
          <w:szCs w:val="20"/>
        </w:rPr>
        <w:t xml:space="preserve"> </w:t>
      </w:r>
      <w:r w:rsidR="00427A4A" w:rsidRPr="00550954">
        <w:rPr>
          <w:i/>
          <w:iCs/>
          <w:sz w:val="20"/>
          <w:szCs w:val="20"/>
        </w:rPr>
        <w:t>Id.</w:t>
      </w:r>
      <w:r w:rsidRPr="00550954">
        <w:rPr>
          <w:sz w:val="20"/>
          <w:szCs w:val="20"/>
        </w:rPr>
        <w:t xml:space="preserve"> ¶¶ 37–38.</w:t>
      </w:r>
    </w:p>
  </w:footnote>
  <w:footnote w:id="10">
    <w:p w14:paraId="268883B8" w14:textId="28D38493" w:rsidR="0039605B" w:rsidRPr="00550954" w:rsidRDefault="0039605B" w:rsidP="00550954">
      <w:pPr>
        <w:pStyle w:val="FootnoteText"/>
        <w:rPr>
          <w:sz w:val="20"/>
          <w:szCs w:val="20"/>
        </w:rPr>
      </w:pPr>
      <w:r w:rsidRPr="00550954">
        <w:rPr>
          <w:rStyle w:val="FootnoteReference"/>
          <w:sz w:val="20"/>
          <w:szCs w:val="20"/>
        </w:rPr>
        <w:footnoteRef/>
      </w:r>
      <w:r w:rsidRPr="00550954">
        <w:rPr>
          <w:sz w:val="20"/>
          <w:szCs w:val="20"/>
        </w:rPr>
        <w:t xml:space="preserve"> </w:t>
      </w:r>
      <w:r w:rsidR="00427A4A" w:rsidRPr="00550954">
        <w:rPr>
          <w:i/>
          <w:iCs/>
          <w:sz w:val="20"/>
          <w:szCs w:val="20"/>
        </w:rPr>
        <w:t>Id.</w:t>
      </w:r>
      <w:r w:rsidRPr="00550954">
        <w:rPr>
          <w:sz w:val="20"/>
          <w:szCs w:val="20"/>
        </w:rPr>
        <w:t xml:space="preserve"> ¶ 39.</w:t>
      </w:r>
    </w:p>
  </w:footnote>
  <w:footnote w:id="11">
    <w:p w14:paraId="680B17CA" w14:textId="3DBB5F4F"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r w:rsidR="00427A4A" w:rsidRPr="00550954">
        <w:rPr>
          <w:i/>
          <w:iCs/>
          <w:sz w:val="20"/>
          <w:szCs w:val="20"/>
        </w:rPr>
        <w:t>Id.</w:t>
      </w:r>
      <w:r w:rsidR="00427A4A" w:rsidRPr="00550954">
        <w:rPr>
          <w:sz w:val="20"/>
          <w:szCs w:val="20"/>
        </w:rPr>
        <w:t xml:space="preserve"> </w:t>
      </w:r>
      <w:r w:rsidRPr="00550954">
        <w:rPr>
          <w:sz w:val="20"/>
          <w:szCs w:val="20"/>
        </w:rPr>
        <w:t xml:space="preserve">¶ 40. </w:t>
      </w:r>
    </w:p>
  </w:footnote>
  <w:footnote w:id="12">
    <w:p w14:paraId="0C9C8773" w14:textId="541CA214" w:rsidR="00392FAF" w:rsidRPr="00550954" w:rsidRDefault="00392FAF" w:rsidP="00550954">
      <w:pPr>
        <w:pStyle w:val="FootnoteText"/>
        <w:rPr>
          <w:sz w:val="20"/>
          <w:szCs w:val="20"/>
        </w:rPr>
      </w:pPr>
      <w:r w:rsidRPr="00550954">
        <w:rPr>
          <w:rStyle w:val="FootnoteReference"/>
          <w:sz w:val="20"/>
          <w:szCs w:val="20"/>
        </w:rPr>
        <w:footnoteRef/>
      </w:r>
      <w:bookmarkStart w:id="2" w:name="_Hlk141363197"/>
      <w:r w:rsidRPr="00550954">
        <w:rPr>
          <w:sz w:val="20"/>
          <w:szCs w:val="20"/>
        </w:rPr>
        <w:t xml:space="preserve"> </w:t>
      </w:r>
      <w:r w:rsidR="00427A4A" w:rsidRPr="00550954">
        <w:rPr>
          <w:i/>
          <w:iCs/>
          <w:sz w:val="20"/>
          <w:szCs w:val="20"/>
        </w:rPr>
        <w:t>Id.</w:t>
      </w:r>
      <w:r w:rsidR="00427A4A" w:rsidRPr="00550954">
        <w:rPr>
          <w:sz w:val="20"/>
          <w:szCs w:val="20"/>
        </w:rPr>
        <w:t xml:space="preserve"> </w:t>
      </w:r>
      <w:r w:rsidRPr="00550954">
        <w:rPr>
          <w:sz w:val="20"/>
          <w:szCs w:val="20"/>
        </w:rPr>
        <w:t>¶¶ 41–43.</w:t>
      </w:r>
      <w:bookmarkEnd w:id="2"/>
    </w:p>
  </w:footnote>
  <w:footnote w:id="13">
    <w:p w14:paraId="6C050783" w14:textId="5784A17D"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Death Penalty Info</w:t>
      </w:r>
      <w:r w:rsidR="00C02F66" w:rsidRPr="00550954">
        <w:rPr>
          <w:smallCaps/>
          <w:sz w:val="20"/>
          <w:szCs w:val="20"/>
        </w:rPr>
        <w:t>.</w:t>
      </w:r>
      <w:r w:rsidRPr="00550954">
        <w:rPr>
          <w:smallCaps/>
          <w:sz w:val="20"/>
          <w:szCs w:val="20"/>
        </w:rPr>
        <w:t xml:space="preserve"> C</w:t>
      </w:r>
      <w:r w:rsidR="00C02F66" w:rsidRPr="00550954">
        <w:rPr>
          <w:smallCaps/>
          <w:sz w:val="20"/>
          <w:szCs w:val="20"/>
        </w:rPr>
        <w:t>tr.</w:t>
      </w:r>
      <w:r w:rsidRPr="00550954">
        <w:rPr>
          <w:sz w:val="20"/>
          <w:szCs w:val="20"/>
        </w:rPr>
        <w:t xml:space="preserve">, </w:t>
      </w:r>
      <w:r w:rsidRPr="00550954">
        <w:rPr>
          <w:i/>
          <w:iCs/>
          <w:sz w:val="20"/>
          <w:szCs w:val="20"/>
        </w:rPr>
        <w:t>State by State</w:t>
      </w:r>
      <w:r w:rsidRPr="00550954">
        <w:rPr>
          <w:sz w:val="20"/>
          <w:szCs w:val="20"/>
        </w:rPr>
        <w:t xml:space="preserve">, </w:t>
      </w:r>
      <w:r w:rsidR="00C02F66" w:rsidRPr="00550954">
        <w:rPr>
          <w:sz w:val="20"/>
          <w:szCs w:val="20"/>
        </w:rPr>
        <w:t>https://deathpenaltyinfo.org/state-and-federal-info/state-by-state (last visited July 12, 2023)</w:t>
      </w:r>
      <w:r w:rsidRPr="00550954">
        <w:rPr>
          <w:sz w:val="20"/>
          <w:szCs w:val="20"/>
        </w:rPr>
        <w:t xml:space="preserve">. </w:t>
      </w:r>
    </w:p>
  </w:footnote>
  <w:footnote w:id="14">
    <w:p w14:paraId="17FE2A66" w14:textId="7770DF6D" w:rsidR="00392FAF" w:rsidRPr="00550954" w:rsidRDefault="00392FAF" w:rsidP="00550954">
      <w:pPr>
        <w:pStyle w:val="FootnoteText"/>
        <w:rPr>
          <w:i/>
          <w:iCs/>
          <w:sz w:val="20"/>
          <w:szCs w:val="20"/>
        </w:rPr>
      </w:pPr>
      <w:r w:rsidRPr="00550954">
        <w:rPr>
          <w:rStyle w:val="FootnoteReference"/>
          <w:sz w:val="20"/>
          <w:szCs w:val="20"/>
        </w:rPr>
        <w:footnoteRef/>
      </w:r>
      <w:r w:rsidRPr="00550954">
        <w:rPr>
          <w:sz w:val="20"/>
          <w:szCs w:val="20"/>
        </w:rPr>
        <w:t xml:space="preserve"> Virginia, Colorado, and New Hampshire all abolished the death penalty in 2021, 2020, and 2019, respectively. </w:t>
      </w:r>
      <w:r w:rsidR="009D581D" w:rsidRPr="00550954">
        <w:rPr>
          <w:smallCaps/>
          <w:sz w:val="20"/>
          <w:szCs w:val="20"/>
        </w:rPr>
        <w:t>Death Penalty Info. Ctr.</w:t>
      </w:r>
      <w:r w:rsidR="009D581D" w:rsidRPr="00550954">
        <w:rPr>
          <w:sz w:val="20"/>
          <w:szCs w:val="20"/>
        </w:rPr>
        <w:t xml:space="preserve">, </w:t>
      </w:r>
      <w:r w:rsidR="009D581D" w:rsidRPr="00550954">
        <w:rPr>
          <w:i/>
          <w:iCs/>
          <w:sz w:val="20"/>
          <w:szCs w:val="20"/>
        </w:rPr>
        <w:t>State by State</w:t>
      </w:r>
      <w:r w:rsidR="009D581D" w:rsidRPr="00550954">
        <w:rPr>
          <w:sz w:val="20"/>
          <w:szCs w:val="20"/>
        </w:rPr>
        <w:t xml:space="preserve">, https://deathpenaltyinfo.org/state-and-federal-info/state-by-state (last visited July 12, 2023). </w:t>
      </w:r>
    </w:p>
  </w:footnote>
  <w:footnote w:id="15">
    <w:p w14:paraId="0CAD3DA2" w14:textId="069DD2CE"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John Gramlich, </w:t>
      </w:r>
      <w:r w:rsidRPr="00550954">
        <w:rPr>
          <w:i/>
          <w:iCs/>
          <w:sz w:val="20"/>
          <w:szCs w:val="20"/>
        </w:rPr>
        <w:t>10 Facts About the Death Penalty in the U.S.</w:t>
      </w:r>
      <w:r w:rsidRPr="00550954">
        <w:rPr>
          <w:sz w:val="20"/>
          <w:szCs w:val="20"/>
        </w:rPr>
        <w:t xml:space="preserve">, </w:t>
      </w:r>
      <w:r w:rsidRPr="00550954">
        <w:rPr>
          <w:smallCaps/>
          <w:sz w:val="20"/>
          <w:szCs w:val="20"/>
        </w:rPr>
        <w:t>Pew Research C</w:t>
      </w:r>
      <w:r w:rsidR="00C02F66" w:rsidRPr="00550954">
        <w:rPr>
          <w:smallCaps/>
          <w:sz w:val="20"/>
          <w:szCs w:val="20"/>
        </w:rPr>
        <w:t>tr.</w:t>
      </w:r>
      <w:r w:rsidRPr="00550954">
        <w:rPr>
          <w:sz w:val="20"/>
          <w:szCs w:val="20"/>
        </w:rPr>
        <w:t xml:space="preserve"> </w:t>
      </w:r>
      <w:r w:rsidR="00C02F66" w:rsidRPr="00550954">
        <w:rPr>
          <w:sz w:val="20"/>
          <w:szCs w:val="20"/>
        </w:rPr>
        <w:t>(</w:t>
      </w:r>
      <w:r w:rsidRPr="00550954">
        <w:rPr>
          <w:sz w:val="20"/>
          <w:szCs w:val="20"/>
        </w:rPr>
        <w:t>July 19, 2021</w:t>
      </w:r>
      <w:r w:rsidR="00C02F66" w:rsidRPr="00550954">
        <w:rPr>
          <w:sz w:val="20"/>
          <w:szCs w:val="20"/>
        </w:rPr>
        <w:t>)</w:t>
      </w:r>
      <w:r w:rsidRPr="00550954">
        <w:rPr>
          <w:sz w:val="20"/>
          <w:szCs w:val="20"/>
        </w:rPr>
        <w:t xml:space="preserve">, https://www.pewresearch.org/short-reads/2021/07/19/10-facts-about-the-death-penalty-in-the-u-s/ (last visited July 12, 2023). </w:t>
      </w:r>
    </w:p>
  </w:footnote>
  <w:footnote w:id="16">
    <w:p w14:paraId="6D223AA1" w14:textId="2B5D36C0"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California, Pennsylvania, and Oregon currently have a gubernatorial moratorium on the death penalty. </w:t>
      </w:r>
      <w:r w:rsidR="006931BF" w:rsidRPr="00550954">
        <w:rPr>
          <w:smallCaps/>
          <w:sz w:val="20"/>
          <w:szCs w:val="20"/>
        </w:rPr>
        <w:t>Death Penalty Info. Ctr.</w:t>
      </w:r>
      <w:r w:rsidR="006931BF" w:rsidRPr="00550954">
        <w:rPr>
          <w:sz w:val="20"/>
          <w:szCs w:val="20"/>
        </w:rPr>
        <w:t xml:space="preserve">, </w:t>
      </w:r>
      <w:r w:rsidR="006931BF" w:rsidRPr="00550954">
        <w:rPr>
          <w:i/>
          <w:iCs/>
          <w:sz w:val="20"/>
          <w:szCs w:val="20"/>
        </w:rPr>
        <w:t>State by State</w:t>
      </w:r>
      <w:r w:rsidR="006931BF" w:rsidRPr="00550954">
        <w:rPr>
          <w:sz w:val="20"/>
          <w:szCs w:val="20"/>
        </w:rPr>
        <w:t xml:space="preserve">, https://deathpenaltyinfo.org/state-and-federal-info/state-by-state (last visited July 12, 2023). </w:t>
      </w:r>
    </w:p>
  </w:footnote>
  <w:footnote w:id="17">
    <w:p w14:paraId="553016F7" w14:textId="34DF9EC1"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Ohio currently has a hold on executions due to lack of access to drugs used for lethal injection. Arizona Governor Katie Hobbs stated, “Under my administration, an execution will not occur until the people of Arizona can have confidence that the state is not violation the law in carrying out the gravest of penalties” but has not declared an official moratorium. </w:t>
      </w:r>
      <w:r w:rsidR="00C02F66" w:rsidRPr="00550954">
        <w:rPr>
          <w:i/>
          <w:iCs/>
          <w:sz w:val="20"/>
          <w:szCs w:val="20"/>
        </w:rPr>
        <w:t>Id.</w:t>
      </w:r>
    </w:p>
  </w:footnote>
  <w:footnote w:id="18">
    <w:p w14:paraId="30EDF1E6" w14:textId="6970260C" w:rsidR="00392FAF" w:rsidRPr="00550954" w:rsidRDefault="00392FAF" w:rsidP="00550954">
      <w:pPr>
        <w:pStyle w:val="FootnoteText"/>
        <w:rPr>
          <w:smallCaps/>
          <w:sz w:val="20"/>
          <w:szCs w:val="20"/>
        </w:rPr>
      </w:pPr>
      <w:r w:rsidRPr="00550954">
        <w:rPr>
          <w:rStyle w:val="FootnoteReference"/>
          <w:sz w:val="20"/>
          <w:szCs w:val="20"/>
        </w:rPr>
        <w:footnoteRef/>
      </w:r>
      <w:r w:rsidRPr="00550954">
        <w:rPr>
          <w:sz w:val="20"/>
          <w:szCs w:val="20"/>
        </w:rPr>
        <w:t xml:space="preserve"> </w:t>
      </w:r>
      <w:bookmarkStart w:id="3" w:name="_Hlk140067410"/>
      <w:r w:rsidRPr="00550954">
        <w:rPr>
          <w:smallCaps/>
          <w:sz w:val="20"/>
          <w:szCs w:val="20"/>
        </w:rPr>
        <w:t>Dep</w:t>
      </w:r>
      <w:r w:rsidR="00C02F66" w:rsidRPr="00550954">
        <w:rPr>
          <w:smallCaps/>
          <w:sz w:val="20"/>
          <w:szCs w:val="20"/>
        </w:rPr>
        <w:t>t.</w:t>
      </w:r>
      <w:r w:rsidRPr="00550954">
        <w:rPr>
          <w:smallCaps/>
          <w:sz w:val="20"/>
          <w:szCs w:val="20"/>
        </w:rPr>
        <w:t xml:space="preserve"> of Justice</w:t>
      </w:r>
      <w:r w:rsidRPr="00550954">
        <w:rPr>
          <w:sz w:val="20"/>
          <w:szCs w:val="20"/>
        </w:rPr>
        <w:t xml:space="preserve">, </w:t>
      </w:r>
      <w:r w:rsidRPr="00550954">
        <w:rPr>
          <w:i/>
          <w:sz w:val="20"/>
          <w:szCs w:val="20"/>
        </w:rPr>
        <w:t>Moratorium on Federal Executions Pending Review of Policies and Procedures</w:t>
      </w:r>
      <w:r w:rsidRPr="00550954">
        <w:rPr>
          <w:sz w:val="20"/>
          <w:szCs w:val="20"/>
        </w:rPr>
        <w:t xml:space="preserve"> </w:t>
      </w:r>
      <w:r w:rsidR="00C02F66" w:rsidRPr="00550954">
        <w:rPr>
          <w:sz w:val="20"/>
          <w:szCs w:val="20"/>
        </w:rPr>
        <w:t>(</w:t>
      </w:r>
      <w:r w:rsidRPr="00550954">
        <w:rPr>
          <w:sz w:val="20"/>
          <w:szCs w:val="20"/>
        </w:rPr>
        <w:t>July 1, 2021</w:t>
      </w:r>
      <w:r w:rsidR="00C02F66" w:rsidRPr="00550954">
        <w:rPr>
          <w:sz w:val="20"/>
          <w:szCs w:val="20"/>
        </w:rPr>
        <w:t>)</w:t>
      </w:r>
      <w:r w:rsidRPr="00550954">
        <w:rPr>
          <w:sz w:val="20"/>
          <w:szCs w:val="20"/>
        </w:rPr>
        <w:t>,</w:t>
      </w:r>
      <w:r w:rsidR="00C02F66" w:rsidRPr="00550954">
        <w:rPr>
          <w:sz w:val="20"/>
          <w:szCs w:val="20"/>
        </w:rPr>
        <w:t xml:space="preserve"> </w:t>
      </w:r>
      <w:r w:rsidRPr="00550954">
        <w:rPr>
          <w:sz w:val="20"/>
          <w:szCs w:val="20"/>
        </w:rPr>
        <w:t xml:space="preserve">https://www.justice.gov/opa/page/file/1408636/download (last visited July 12, 2023). </w:t>
      </w:r>
      <w:bookmarkEnd w:id="3"/>
    </w:p>
  </w:footnote>
  <w:footnote w:id="19">
    <w:p w14:paraId="6595FFEC" w14:textId="0C99C344" w:rsidR="00392FAF" w:rsidRPr="00550954" w:rsidRDefault="00392FAF" w:rsidP="00550954">
      <w:pPr>
        <w:pStyle w:val="FootnoteText"/>
        <w:rPr>
          <w:sz w:val="20"/>
          <w:szCs w:val="20"/>
        </w:rPr>
      </w:pPr>
      <w:r w:rsidRPr="00550954">
        <w:rPr>
          <w:rStyle w:val="FootnoteReference"/>
          <w:sz w:val="20"/>
          <w:szCs w:val="20"/>
        </w:rPr>
        <w:footnoteRef/>
      </w:r>
      <w:r w:rsidRPr="00550954">
        <w:rPr>
          <w:sz w:val="20"/>
          <w:szCs w:val="20"/>
        </w:rPr>
        <w:t xml:space="preserve"> Alanna Durkin Richer &amp; Michael Tarm, </w:t>
      </w:r>
      <w:r w:rsidRPr="00550954">
        <w:rPr>
          <w:i/>
          <w:iCs/>
          <w:sz w:val="20"/>
          <w:szCs w:val="20"/>
        </w:rPr>
        <w:t>Biden’s Justice Dept. Keeps Hard Line in Death Row Case</w:t>
      </w:r>
      <w:r w:rsidRPr="00550954">
        <w:rPr>
          <w:sz w:val="20"/>
          <w:szCs w:val="20"/>
        </w:rPr>
        <w:t>, AP News</w:t>
      </w:r>
      <w:r w:rsidR="00C02F66" w:rsidRPr="00550954">
        <w:rPr>
          <w:sz w:val="20"/>
          <w:szCs w:val="20"/>
        </w:rPr>
        <w:t xml:space="preserve"> (</w:t>
      </w:r>
      <w:r w:rsidRPr="00550954">
        <w:rPr>
          <w:sz w:val="20"/>
          <w:szCs w:val="20"/>
        </w:rPr>
        <w:t>Mar. 26, 2023</w:t>
      </w:r>
      <w:r w:rsidR="00C02F66" w:rsidRPr="00550954">
        <w:rPr>
          <w:sz w:val="20"/>
          <w:szCs w:val="20"/>
        </w:rPr>
        <w:t>)</w:t>
      </w:r>
      <w:r w:rsidRPr="00550954">
        <w:rPr>
          <w:sz w:val="20"/>
          <w:szCs w:val="20"/>
        </w:rPr>
        <w:t>, https://apnews.com/article/federal-executions-president-joe-biden-attorney-general-merrick-garland-death-row-987c9f078d527220d75e728fa68d26a1</w:t>
      </w:r>
      <w:r w:rsidRPr="00550954">
        <w:rPr>
          <w:rStyle w:val="Hyperlink"/>
          <w:color w:val="auto"/>
          <w:sz w:val="20"/>
          <w:szCs w:val="20"/>
          <w:u w:val="none"/>
        </w:rPr>
        <w:t xml:space="preserve"> (last visited July 12, 2023). </w:t>
      </w:r>
    </w:p>
  </w:footnote>
  <w:footnote w:id="20">
    <w:p w14:paraId="5147A466" w14:textId="4D20FED5" w:rsidR="00551B31" w:rsidRPr="00550954" w:rsidRDefault="00551B31" w:rsidP="00550954">
      <w:pPr>
        <w:pStyle w:val="FootnoteText"/>
        <w:rPr>
          <w:sz w:val="20"/>
          <w:szCs w:val="20"/>
        </w:rPr>
      </w:pPr>
      <w:r w:rsidRPr="00550954">
        <w:rPr>
          <w:rStyle w:val="FootnoteReference"/>
          <w:sz w:val="20"/>
          <w:szCs w:val="20"/>
        </w:rPr>
        <w:footnoteRef/>
      </w:r>
      <w:r w:rsidRPr="00550954">
        <w:rPr>
          <w:sz w:val="20"/>
          <w:szCs w:val="20"/>
        </w:rPr>
        <w:t xml:space="preserve"> Human Rights Committee, </w:t>
      </w:r>
      <w:r w:rsidRPr="00550954">
        <w:rPr>
          <w:i/>
          <w:iCs/>
          <w:sz w:val="20"/>
          <w:szCs w:val="20"/>
        </w:rPr>
        <w:t>Fifth periodic report submitted by the United States under article 40 of the Covenant pursuant to the optional reporting procedure, due in 2020</w:t>
      </w:r>
      <w:r w:rsidRPr="00550954">
        <w:rPr>
          <w:sz w:val="20"/>
          <w:szCs w:val="20"/>
        </w:rPr>
        <w:t xml:space="preserve">, (Nov. 11, 2021), U.N. Doc. CCPR/C/USA/5, ¶ 36. </w:t>
      </w:r>
    </w:p>
  </w:footnote>
  <w:footnote w:id="21">
    <w:p w14:paraId="447AC940" w14:textId="72884C93" w:rsidR="00551B31" w:rsidRPr="00550954" w:rsidRDefault="00551B31" w:rsidP="00550954">
      <w:pPr>
        <w:pStyle w:val="FootnoteText"/>
        <w:rPr>
          <w:sz w:val="20"/>
          <w:szCs w:val="20"/>
        </w:rPr>
      </w:pPr>
      <w:r w:rsidRPr="00550954">
        <w:rPr>
          <w:rStyle w:val="FootnoteReference"/>
          <w:sz w:val="20"/>
          <w:szCs w:val="20"/>
        </w:rPr>
        <w:footnoteRef/>
      </w:r>
      <w:r w:rsidRPr="00550954">
        <w:rPr>
          <w:sz w:val="20"/>
          <w:szCs w:val="20"/>
        </w:rPr>
        <w:t xml:space="preserve"> </w:t>
      </w:r>
      <w:r w:rsidR="00DD5DE5" w:rsidRPr="00550954">
        <w:rPr>
          <w:smallCaps/>
          <w:sz w:val="20"/>
          <w:szCs w:val="20"/>
        </w:rPr>
        <w:t>American</w:t>
      </w:r>
      <w:r w:rsidR="000A6396" w:rsidRPr="00550954">
        <w:rPr>
          <w:smallCaps/>
          <w:sz w:val="20"/>
          <w:szCs w:val="20"/>
        </w:rPr>
        <w:t xml:space="preserve"> progress</w:t>
      </w:r>
      <w:r w:rsidRPr="00550954">
        <w:rPr>
          <w:sz w:val="20"/>
          <w:szCs w:val="20"/>
        </w:rPr>
        <w:t xml:space="preserve">, </w:t>
      </w:r>
      <w:r w:rsidRPr="00550954">
        <w:rPr>
          <w:i/>
          <w:iCs/>
          <w:sz w:val="20"/>
          <w:szCs w:val="20"/>
        </w:rPr>
        <w:t>3 ways 1994 Crime Bill Continues to Hurt Communities of Color</w:t>
      </w:r>
      <w:r w:rsidRPr="00550954">
        <w:rPr>
          <w:sz w:val="20"/>
          <w:szCs w:val="20"/>
        </w:rPr>
        <w:t xml:space="preserve"> (May 10, 2019), https://www.americanprogress.org/article/3-ways-1994-crime-bill-continues-hurt-communities-color/.</w:t>
      </w:r>
    </w:p>
  </w:footnote>
  <w:footnote w:id="22">
    <w:p w14:paraId="3587812E" w14:textId="6F0CAE41" w:rsidR="00551B31" w:rsidRPr="00550954" w:rsidRDefault="00551B31" w:rsidP="00550954">
      <w:pPr>
        <w:pStyle w:val="FootnoteText"/>
        <w:rPr>
          <w:sz w:val="20"/>
          <w:szCs w:val="20"/>
        </w:rPr>
      </w:pPr>
      <w:r w:rsidRPr="00550954">
        <w:rPr>
          <w:rStyle w:val="FootnoteReference"/>
          <w:sz w:val="20"/>
          <w:szCs w:val="20"/>
        </w:rPr>
        <w:footnoteRef/>
      </w:r>
      <w:r w:rsidRPr="00550954">
        <w:rPr>
          <w:sz w:val="20"/>
          <w:szCs w:val="20"/>
        </w:rPr>
        <w:t xml:space="preserve"> </w:t>
      </w:r>
      <w:r w:rsidR="000A6396" w:rsidRPr="00550954">
        <w:rPr>
          <w:i/>
          <w:iCs/>
          <w:sz w:val="20"/>
          <w:szCs w:val="20"/>
        </w:rPr>
        <w:t>See</w:t>
      </w:r>
      <w:r w:rsidR="006B4EE9" w:rsidRPr="00550954">
        <w:rPr>
          <w:i/>
          <w:iCs/>
          <w:sz w:val="20"/>
          <w:szCs w:val="20"/>
        </w:rPr>
        <w:t xml:space="preserve"> id.</w:t>
      </w:r>
    </w:p>
  </w:footnote>
  <w:footnote w:id="23">
    <w:p w14:paraId="2A738EE4" w14:textId="163607D5" w:rsidR="00551B31" w:rsidRPr="00550954" w:rsidRDefault="00551B31" w:rsidP="00550954">
      <w:pPr>
        <w:pStyle w:val="FootnoteText"/>
        <w:rPr>
          <w:sz w:val="20"/>
          <w:szCs w:val="20"/>
        </w:rPr>
      </w:pPr>
      <w:r w:rsidRPr="00550954">
        <w:rPr>
          <w:rStyle w:val="FootnoteReference"/>
          <w:sz w:val="20"/>
          <w:szCs w:val="20"/>
        </w:rPr>
        <w:footnoteRef/>
      </w:r>
      <w:r w:rsidRPr="00550954">
        <w:rPr>
          <w:i/>
          <w:iCs/>
          <w:sz w:val="20"/>
          <w:szCs w:val="20"/>
        </w:rPr>
        <w:t xml:space="preserve"> </w:t>
      </w:r>
      <w:r w:rsidR="000A6396" w:rsidRPr="00550954">
        <w:rPr>
          <w:i/>
          <w:iCs/>
          <w:sz w:val="20"/>
          <w:szCs w:val="20"/>
        </w:rPr>
        <w:t xml:space="preserve">See </w:t>
      </w:r>
      <w:r w:rsidR="006B4EE9" w:rsidRPr="00550954">
        <w:rPr>
          <w:i/>
          <w:iCs/>
          <w:sz w:val="20"/>
          <w:szCs w:val="20"/>
        </w:rPr>
        <w:t>id.</w:t>
      </w:r>
    </w:p>
  </w:footnote>
  <w:footnote w:id="24">
    <w:p w14:paraId="108B72D9" w14:textId="645D73CD"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5" w:name="_Hlk141363359"/>
      <w:r w:rsidR="00392FAF" w:rsidRPr="00550954">
        <w:rPr>
          <w:smallCaps/>
          <w:sz w:val="20"/>
          <w:szCs w:val="20"/>
        </w:rPr>
        <w:t>Death Penalty Information Center</w:t>
      </w:r>
      <w:bookmarkEnd w:id="5"/>
      <w:r w:rsidRPr="00550954">
        <w:rPr>
          <w:sz w:val="20"/>
          <w:szCs w:val="20"/>
        </w:rPr>
        <w:t xml:space="preserve">, </w:t>
      </w:r>
      <w:r w:rsidRPr="00550954">
        <w:rPr>
          <w:i/>
          <w:iCs/>
          <w:sz w:val="20"/>
          <w:szCs w:val="20"/>
        </w:rPr>
        <w:t>Federal Death Penalty: Executions Under the Federal Death Penalty</w:t>
      </w:r>
      <w:r w:rsidR="000A6396" w:rsidRPr="00550954">
        <w:rPr>
          <w:sz w:val="20"/>
          <w:szCs w:val="20"/>
        </w:rPr>
        <w:t>,</w:t>
      </w:r>
      <w:r w:rsidRPr="00550954">
        <w:rPr>
          <w:sz w:val="20"/>
          <w:szCs w:val="20"/>
        </w:rPr>
        <w:t xml:space="preserve"> </w:t>
      </w:r>
      <w:r w:rsidR="000A6396" w:rsidRPr="00550954">
        <w:rPr>
          <w:sz w:val="20"/>
          <w:szCs w:val="20"/>
        </w:rPr>
        <w:t>https://deathpenaltyinfo.org/state-and-federal-info/federal-death-penalty/executions-under-the-federal-death-penalty (last visited July 15, 2023).</w:t>
      </w:r>
    </w:p>
  </w:footnote>
  <w:footnote w:id="25">
    <w:p w14:paraId="50C1ABF9" w14:textId="2A54B510"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6B4EE9" w:rsidRPr="00550954">
        <w:rPr>
          <w:i/>
          <w:iCs/>
          <w:sz w:val="20"/>
          <w:szCs w:val="20"/>
        </w:rPr>
        <w:t>Id.</w:t>
      </w:r>
    </w:p>
  </w:footnote>
  <w:footnote w:id="26">
    <w:p w14:paraId="30EF51B0" w14:textId="5B195C85"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Prison Policy Initiative</w:t>
      </w:r>
      <w:r w:rsidRPr="00550954">
        <w:rPr>
          <w:sz w:val="20"/>
          <w:szCs w:val="20"/>
        </w:rPr>
        <w:t xml:space="preserve">, </w:t>
      </w:r>
      <w:r w:rsidRPr="00550954">
        <w:rPr>
          <w:i/>
          <w:iCs/>
          <w:sz w:val="20"/>
          <w:szCs w:val="20"/>
        </w:rPr>
        <w:t xml:space="preserve">Black People are Overrepresented on </w:t>
      </w:r>
      <w:r w:rsidR="00442294" w:rsidRPr="00550954">
        <w:rPr>
          <w:i/>
          <w:iCs/>
          <w:sz w:val="20"/>
          <w:szCs w:val="20"/>
        </w:rPr>
        <w:t>D</w:t>
      </w:r>
      <w:r w:rsidRPr="00550954">
        <w:rPr>
          <w:i/>
          <w:iCs/>
          <w:sz w:val="20"/>
          <w:szCs w:val="20"/>
        </w:rPr>
        <w:t xml:space="preserve">eath </w:t>
      </w:r>
      <w:r w:rsidR="00442294" w:rsidRPr="00550954">
        <w:rPr>
          <w:i/>
          <w:iCs/>
          <w:sz w:val="20"/>
          <w:szCs w:val="20"/>
        </w:rPr>
        <w:t>R</w:t>
      </w:r>
      <w:r w:rsidRPr="00550954">
        <w:rPr>
          <w:i/>
          <w:iCs/>
          <w:sz w:val="20"/>
          <w:szCs w:val="20"/>
        </w:rPr>
        <w:t xml:space="preserve">ow, </w:t>
      </w:r>
      <w:r w:rsidR="00442294" w:rsidRPr="00550954">
        <w:rPr>
          <w:i/>
          <w:iCs/>
          <w:sz w:val="20"/>
          <w:szCs w:val="20"/>
        </w:rPr>
        <w:t>W</w:t>
      </w:r>
      <w:r w:rsidRPr="00550954">
        <w:rPr>
          <w:i/>
          <w:iCs/>
          <w:sz w:val="20"/>
          <w:szCs w:val="20"/>
        </w:rPr>
        <w:t xml:space="preserve">hile </w:t>
      </w:r>
      <w:r w:rsidR="00442294" w:rsidRPr="00550954">
        <w:rPr>
          <w:i/>
          <w:iCs/>
          <w:sz w:val="20"/>
          <w:szCs w:val="20"/>
        </w:rPr>
        <w:t>W</w:t>
      </w:r>
      <w:r w:rsidRPr="00550954">
        <w:rPr>
          <w:i/>
          <w:iCs/>
          <w:sz w:val="20"/>
          <w:szCs w:val="20"/>
        </w:rPr>
        <w:t xml:space="preserve">hite </w:t>
      </w:r>
      <w:r w:rsidR="00442294" w:rsidRPr="00550954">
        <w:rPr>
          <w:i/>
          <w:iCs/>
          <w:sz w:val="20"/>
          <w:szCs w:val="20"/>
        </w:rPr>
        <w:t>P</w:t>
      </w:r>
      <w:r w:rsidRPr="00550954">
        <w:rPr>
          <w:i/>
          <w:iCs/>
          <w:sz w:val="20"/>
          <w:szCs w:val="20"/>
        </w:rPr>
        <w:t xml:space="preserve">eople are </w:t>
      </w:r>
      <w:r w:rsidR="00442294" w:rsidRPr="00550954">
        <w:rPr>
          <w:i/>
          <w:iCs/>
          <w:sz w:val="20"/>
          <w:szCs w:val="20"/>
        </w:rPr>
        <w:t>U</w:t>
      </w:r>
      <w:r w:rsidRPr="00550954">
        <w:rPr>
          <w:i/>
          <w:iCs/>
          <w:sz w:val="20"/>
          <w:szCs w:val="20"/>
        </w:rPr>
        <w:t>nderrepresented</w:t>
      </w:r>
      <w:r w:rsidRPr="00550954">
        <w:rPr>
          <w:sz w:val="20"/>
          <w:szCs w:val="20"/>
        </w:rPr>
        <w:t>, https://www.prisonpolicy.org/graphs/deathrowbyrace2020.html (</w:t>
      </w:r>
      <w:r w:rsidR="00442294" w:rsidRPr="00550954">
        <w:rPr>
          <w:sz w:val="20"/>
          <w:szCs w:val="20"/>
        </w:rPr>
        <w:t>l</w:t>
      </w:r>
      <w:r w:rsidRPr="00550954">
        <w:rPr>
          <w:sz w:val="20"/>
          <w:szCs w:val="20"/>
        </w:rPr>
        <w:t>ast visited July 19, 2023).</w:t>
      </w:r>
    </w:p>
  </w:footnote>
  <w:footnote w:id="27">
    <w:p w14:paraId="681DABCB" w14:textId="7781F1ED"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6B4EE9" w:rsidRPr="00550954">
        <w:rPr>
          <w:i/>
          <w:iCs/>
          <w:sz w:val="20"/>
          <w:szCs w:val="20"/>
        </w:rPr>
        <w:t>Id.</w:t>
      </w:r>
      <w:r w:rsidR="006B4EE9" w:rsidRPr="00550954">
        <w:rPr>
          <w:sz w:val="20"/>
          <w:szCs w:val="20"/>
        </w:rPr>
        <w:t xml:space="preserve"> </w:t>
      </w:r>
    </w:p>
  </w:footnote>
  <w:footnote w:id="28">
    <w:p w14:paraId="4E796808" w14:textId="2B67B4A4" w:rsidR="0086142D" w:rsidRPr="00550954" w:rsidRDefault="0086142D"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Jurors Sentence Robert Bowers to Death for 2018 Synagogue Shooting</w:t>
      </w:r>
      <w:r w:rsidRPr="00550954">
        <w:rPr>
          <w:sz w:val="20"/>
          <w:szCs w:val="20"/>
        </w:rPr>
        <w:t xml:space="preserve">, Death Penalty Information Center, Aug. 3, 2023, </w:t>
      </w:r>
      <w:r w:rsidR="00DE53DF" w:rsidRPr="00550954">
        <w:rPr>
          <w:sz w:val="20"/>
          <w:szCs w:val="20"/>
        </w:rPr>
        <w:t>https://deathpenaltyinfo.org/news/jurors-sentence-robert-bowers-to-death-for-2018-synagogue-shooting.</w:t>
      </w:r>
    </w:p>
  </w:footnote>
  <w:footnote w:id="29">
    <w:p w14:paraId="29D916F9" w14:textId="72EB9F0D" w:rsidR="00DE53DF" w:rsidRPr="00550954" w:rsidRDefault="00DE53DF" w:rsidP="00550954">
      <w:pPr>
        <w:pStyle w:val="FootnoteText"/>
        <w:rPr>
          <w:sz w:val="20"/>
          <w:szCs w:val="20"/>
        </w:rPr>
      </w:pPr>
      <w:r w:rsidRPr="00550954">
        <w:rPr>
          <w:rStyle w:val="FootnoteReference"/>
          <w:sz w:val="20"/>
          <w:szCs w:val="20"/>
        </w:rPr>
        <w:footnoteRef/>
      </w:r>
      <w:r w:rsidRPr="00550954">
        <w:rPr>
          <w:sz w:val="20"/>
          <w:szCs w:val="20"/>
        </w:rPr>
        <w:t xml:space="preserve"> </w:t>
      </w:r>
      <w:r w:rsidR="006B4EE9" w:rsidRPr="00550954">
        <w:rPr>
          <w:i/>
          <w:iCs/>
          <w:sz w:val="20"/>
          <w:szCs w:val="20"/>
        </w:rPr>
        <w:t>Id.</w:t>
      </w:r>
    </w:p>
  </w:footnote>
  <w:footnote w:id="30">
    <w:p w14:paraId="0051FE04" w14:textId="6892722B" w:rsidR="00943BDC" w:rsidRPr="00550954" w:rsidRDefault="00943BDC" w:rsidP="00550954">
      <w:pPr>
        <w:pStyle w:val="FootnoteText"/>
        <w:rPr>
          <w:sz w:val="20"/>
          <w:szCs w:val="20"/>
        </w:rPr>
      </w:pPr>
      <w:r w:rsidRPr="00550954">
        <w:rPr>
          <w:rStyle w:val="FootnoteReference"/>
          <w:sz w:val="20"/>
          <w:szCs w:val="20"/>
        </w:rPr>
        <w:footnoteRef/>
      </w:r>
      <w:r w:rsidRPr="00550954">
        <w:rPr>
          <w:sz w:val="20"/>
          <w:szCs w:val="20"/>
        </w:rPr>
        <w:t xml:space="preserve"> </w:t>
      </w:r>
      <w:r w:rsidR="006B4EE9" w:rsidRPr="00550954">
        <w:rPr>
          <w:i/>
          <w:iCs/>
          <w:sz w:val="20"/>
          <w:szCs w:val="20"/>
        </w:rPr>
        <w:t>Id.</w:t>
      </w:r>
    </w:p>
  </w:footnote>
  <w:footnote w:id="31">
    <w:p w14:paraId="5554894D" w14:textId="14FEB0E6" w:rsidR="00A066B1" w:rsidRPr="00550954" w:rsidRDefault="00A066B1" w:rsidP="00550954">
      <w:pPr>
        <w:pStyle w:val="FootnoteText"/>
        <w:rPr>
          <w:sz w:val="20"/>
          <w:szCs w:val="20"/>
        </w:rPr>
      </w:pPr>
      <w:r w:rsidRPr="00550954">
        <w:rPr>
          <w:rStyle w:val="FootnoteReference"/>
          <w:sz w:val="20"/>
          <w:szCs w:val="20"/>
        </w:rPr>
        <w:footnoteRef/>
      </w:r>
      <w:r w:rsidR="00392FAF" w:rsidRPr="00550954">
        <w:rPr>
          <w:sz w:val="20"/>
          <w:szCs w:val="20"/>
        </w:rPr>
        <w:t xml:space="preserve"> </w:t>
      </w:r>
      <w:r w:rsidR="00392FAF" w:rsidRPr="00550954">
        <w:rPr>
          <w:smallCaps/>
          <w:sz w:val="20"/>
          <w:szCs w:val="20"/>
        </w:rPr>
        <w:t>Death Penalty Information Center</w:t>
      </w:r>
      <w:r w:rsidRPr="00550954">
        <w:rPr>
          <w:sz w:val="20"/>
          <w:szCs w:val="20"/>
        </w:rPr>
        <w:t>,</w:t>
      </w:r>
      <w:r w:rsidRPr="00550954">
        <w:rPr>
          <w:i/>
          <w:sz w:val="20"/>
          <w:szCs w:val="20"/>
        </w:rPr>
        <w:t xml:space="preserve"> The Death Penalty in 2022: Year End Report </w:t>
      </w:r>
      <w:r w:rsidRPr="00550954">
        <w:rPr>
          <w:iCs/>
          <w:sz w:val="20"/>
          <w:szCs w:val="20"/>
        </w:rPr>
        <w:t>(Dec. 16, 2022),</w:t>
      </w:r>
      <w:r w:rsidRPr="00550954">
        <w:rPr>
          <w:sz w:val="20"/>
          <w:szCs w:val="20"/>
        </w:rPr>
        <w:t xml:space="preserve"> </w:t>
      </w:r>
      <w:r w:rsidRPr="00550954">
        <w:rPr>
          <w:iCs/>
          <w:sz w:val="20"/>
          <w:szCs w:val="20"/>
        </w:rPr>
        <w:t xml:space="preserve">https://deathpenaltyinfo.org/facts-and-research/dpic-reports/dpic-year-end-reports/the-death-penalty-in-2022-year-end-report. </w:t>
      </w:r>
    </w:p>
  </w:footnote>
  <w:footnote w:id="32">
    <w:p w14:paraId="272420CC" w14:textId="05A2425B" w:rsidR="00A066B1" w:rsidRPr="00550954" w:rsidRDefault="00A066B1" w:rsidP="00550954">
      <w:pPr>
        <w:pStyle w:val="FootnoteText"/>
        <w:rPr>
          <w:sz w:val="20"/>
          <w:szCs w:val="20"/>
        </w:rPr>
      </w:pPr>
      <w:r w:rsidRPr="00550954">
        <w:rPr>
          <w:rStyle w:val="FootnoteReference"/>
          <w:sz w:val="20"/>
          <w:szCs w:val="20"/>
        </w:rPr>
        <w:footnoteRef/>
      </w:r>
      <w:r w:rsidRPr="00550954">
        <w:rPr>
          <w:i/>
          <w:iCs/>
          <w:sz w:val="20"/>
          <w:szCs w:val="20"/>
        </w:rPr>
        <w:t xml:space="preserve"> </w:t>
      </w:r>
      <w:r w:rsidR="006B4EE9" w:rsidRPr="00550954">
        <w:rPr>
          <w:i/>
          <w:iCs/>
          <w:sz w:val="20"/>
          <w:szCs w:val="20"/>
        </w:rPr>
        <w:t>Id.</w:t>
      </w:r>
      <w:r w:rsidR="003150F1" w:rsidRPr="00550954">
        <w:rPr>
          <w:iCs/>
          <w:sz w:val="20"/>
          <w:szCs w:val="20"/>
        </w:rPr>
        <w:t xml:space="preserve"> </w:t>
      </w:r>
    </w:p>
  </w:footnote>
  <w:footnote w:id="33">
    <w:p w14:paraId="300AF313" w14:textId="76EDB653"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The Associated Press</w:t>
      </w:r>
      <w:r w:rsidRPr="00550954">
        <w:rPr>
          <w:sz w:val="20"/>
          <w:szCs w:val="20"/>
        </w:rPr>
        <w:t xml:space="preserve">, </w:t>
      </w:r>
      <w:r w:rsidRPr="00550954">
        <w:rPr>
          <w:i/>
          <w:iCs/>
          <w:sz w:val="20"/>
          <w:szCs w:val="20"/>
        </w:rPr>
        <w:t>Biden’s Justice Dept. Keeps Hard Line in Death Row Cases</w:t>
      </w:r>
      <w:r w:rsidRPr="00550954">
        <w:rPr>
          <w:sz w:val="20"/>
          <w:szCs w:val="20"/>
        </w:rPr>
        <w:t xml:space="preserve">, </w:t>
      </w:r>
      <w:r w:rsidR="00442294" w:rsidRPr="00550954">
        <w:rPr>
          <w:sz w:val="20"/>
          <w:szCs w:val="20"/>
        </w:rPr>
        <w:t>https://apnews.com/article/federal-executions-president-joe-biden-attorney-general-merrick-garland-death-row-987c9f078d527220d75e728fa68d26a1 (last visited July 27, 2023).</w:t>
      </w:r>
    </w:p>
  </w:footnote>
  <w:footnote w:id="34">
    <w:p w14:paraId="2F1BE5E3" w14:textId="77777777"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Federal Government Resumes Executions After 17-Year Hiatus, Executes Seven Prisoners in Three Months, American Bar Association, </w:t>
      </w:r>
      <w:r w:rsidRPr="00550954">
        <w:rPr>
          <w:i/>
          <w:sz w:val="20"/>
          <w:szCs w:val="20"/>
        </w:rPr>
        <w:t xml:space="preserve">available at </w:t>
      </w:r>
      <w:r w:rsidRPr="00550954">
        <w:rPr>
          <w:sz w:val="20"/>
          <w:szCs w:val="20"/>
        </w:rPr>
        <w:t>https://www.americanbar.org/groups/committees/</w:t>
      </w:r>
    </w:p>
    <w:p w14:paraId="5C4F01F7" w14:textId="77777777" w:rsidR="00A066B1" w:rsidRPr="00550954" w:rsidRDefault="00A066B1" w:rsidP="00550954">
      <w:pPr>
        <w:pStyle w:val="FootnoteText"/>
        <w:rPr>
          <w:sz w:val="20"/>
          <w:szCs w:val="20"/>
        </w:rPr>
      </w:pPr>
      <w:r w:rsidRPr="00550954">
        <w:rPr>
          <w:sz w:val="20"/>
          <w:szCs w:val="20"/>
        </w:rPr>
        <w:t>death_penalty_representation/project_press/2020/fall-2020/federal-government-executes-seven-in-three-months/ (last visited July 17, 2023).</w:t>
      </w:r>
    </w:p>
  </w:footnote>
  <w:footnote w:id="35">
    <w:p w14:paraId="5E0B4C07" w14:textId="13F09EE9"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6B4EE9" w:rsidRPr="00550954">
        <w:rPr>
          <w:i/>
          <w:iCs/>
          <w:sz w:val="20"/>
          <w:szCs w:val="20"/>
        </w:rPr>
        <w:t>Id.</w:t>
      </w:r>
    </w:p>
  </w:footnote>
  <w:footnote w:id="36">
    <w:p w14:paraId="72708693" w14:textId="4ACAF731"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392FAF" w:rsidRPr="00550954">
        <w:rPr>
          <w:smallCaps/>
          <w:sz w:val="20"/>
          <w:szCs w:val="20"/>
        </w:rPr>
        <w:t>Death Penalty Information Center</w:t>
      </w:r>
      <w:r w:rsidRPr="00550954">
        <w:rPr>
          <w:sz w:val="20"/>
          <w:szCs w:val="20"/>
        </w:rPr>
        <w:t>,</w:t>
      </w:r>
      <w:r w:rsidRPr="00550954">
        <w:rPr>
          <w:i/>
          <w:sz w:val="20"/>
          <w:szCs w:val="20"/>
        </w:rPr>
        <w:t xml:space="preserve"> The Death Penalty in 2021: Year End Report </w:t>
      </w:r>
      <w:r w:rsidRPr="00550954">
        <w:rPr>
          <w:iCs/>
          <w:sz w:val="20"/>
          <w:szCs w:val="20"/>
        </w:rPr>
        <w:t>(Dec. 16, 2021),</w:t>
      </w:r>
      <w:r w:rsidRPr="00550954">
        <w:rPr>
          <w:sz w:val="20"/>
          <w:szCs w:val="20"/>
        </w:rPr>
        <w:t xml:space="preserve"> </w:t>
      </w:r>
      <w:r w:rsidRPr="00550954">
        <w:rPr>
          <w:iCs/>
          <w:sz w:val="20"/>
          <w:szCs w:val="20"/>
        </w:rPr>
        <w:t>https://deathpenaltyinfo.org/facts-and-research/dpic-reports/dpic-year-end-reports/the-death-penalty-in-2021-year-end-report.</w:t>
      </w:r>
    </w:p>
  </w:footnote>
  <w:footnote w:id="37">
    <w:p w14:paraId="61E7B408" w14:textId="6EDD7C0E"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6B4EE9" w:rsidRPr="00550954">
        <w:rPr>
          <w:i/>
          <w:iCs/>
          <w:sz w:val="20"/>
          <w:szCs w:val="20"/>
        </w:rPr>
        <w:t>Id.</w:t>
      </w:r>
    </w:p>
  </w:footnote>
  <w:footnote w:id="38">
    <w:p w14:paraId="58009459" w14:textId="683E6320"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World Coalition Against the Death Penalty</w:t>
      </w:r>
      <w:r w:rsidRPr="00550954">
        <w:rPr>
          <w:sz w:val="20"/>
          <w:szCs w:val="20"/>
        </w:rPr>
        <w:t xml:space="preserve">, </w:t>
      </w:r>
      <w:r w:rsidRPr="00550954">
        <w:rPr>
          <w:i/>
          <w:iCs/>
          <w:sz w:val="20"/>
          <w:szCs w:val="20"/>
        </w:rPr>
        <w:t>United States: Legal States of the Death Penalty</w:t>
      </w:r>
      <w:r w:rsidRPr="00550954">
        <w:rPr>
          <w:sz w:val="20"/>
          <w:szCs w:val="20"/>
        </w:rPr>
        <w:t>, https://worldcoalition.org/pays/united-states/ (</w:t>
      </w:r>
      <w:r w:rsidR="00DD5DE5" w:rsidRPr="00550954">
        <w:rPr>
          <w:sz w:val="20"/>
          <w:szCs w:val="20"/>
        </w:rPr>
        <w:t>l</w:t>
      </w:r>
      <w:r w:rsidRPr="00550954">
        <w:rPr>
          <w:sz w:val="20"/>
          <w:szCs w:val="20"/>
        </w:rPr>
        <w:t>ast visited July 17, 2023).</w:t>
      </w:r>
    </w:p>
  </w:footnote>
  <w:footnote w:id="39">
    <w:p w14:paraId="2947FBAA" w14:textId="41C135D7"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NAACP Legal Defense Educational Fund</w:t>
      </w:r>
      <w:r w:rsidRPr="00550954">
        <w:rPr>
          <w:sz w:val="20"/>
          <w:szCs w:val="20"/>
        </w:rPr>
        <w:t xml:space="preserve">, </w:t>
      </w:r>
      <w:r w:rsidRPr="00550954">
        <w:rPr>
          <w:i/>
          <w:iCs/>
          <w:sz w:val="20"/>
          <w:szCs w:val="20"/>
        </w:rPr>
        <w:t>Death Row U.S.A. Fall 2022</w:t>
      </w:r>
      <w:r w:rsidRPr="00550954">
        <w:rPr>
          <w:sz w:val="20"/>
          <w:szCs w:val="20"/>
        </w:rPr>
        <w:t>, https://www.naacpldf.org/wp-content/uploads/DRUSAFall2022.pdf (</w:t>
      </w:r>
      <w:r w:rsidR="00515AAB" w:rsidRPr="00550954">
        <w:rPr>
          <w:sz w:val="20"/>
          <w:szCs w:val="20"/>
        </w:rPr>
        <w:t>l</w:t>
      </w:r>
      <w:r w:rsidRPr="00550954">
        <w:rPr>
          <w:sz w:val="20"/>
          <w:szCs w:val="20"/>
        </w:rPr>
        <w:t>ast visited July 15, 2023).</w:t>
      </w:r>
    </w:p>
  </w:footnote>
  <w:footnote w:id="40">
    <w:p w14:paraId="498E80B9" w14:textId="7CA1DCBE"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365561" w:rsidRPr="00550954">
        <w:rPr>
          <w:i/>
          <w:iCs/>
          <w:sz w:val="20"/>
          <w:szCs w:val="20"/>
        </w:rPr>
        <w:t>Id.</w:t>
      </w:r>
    </w:p>
  </w:footnote>
  <w:footnote w:id="41">
    <w:p w14:paraId="7AED1C7C" w14:textId="63609322"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8" w:name="_Hlk140663069"/>
      <w:r w:rsidR="00392FAF" w:rsidRPr="00550954">
        <w:rPr>
          <w:smallCaps/>
          <w:sz w:val="20"/>
          <w:szCs w:val="20"/>
        </w:rPr>
        <w:t>Death Penalty Information Center</w:t>
      </w:r>
      <w:r w:rsidRPr="00550954">
        <w:rPr>
          <w:sz w:val="20"/>
          <w:szCs w:val="20"/>
        </w:rPr>
        <w:t>,</w:t>
      </w:r>
      <w:r w:rsidRPr="00550954">
        <w:rPr>
          <w:i/>
          <w:sz w:val="20"/>
          <w:szCs w:val="20"/>
        </w:rPr>
        <w:t xml:space="preserve"> The Death Penalty in 2020: Year End Report </w:t>
      </w:r>
      <w:r w:rsidRPr="00550954">
        <w:rPr>
          <w:iCs/>
          <w:sz w:val="20"/>
          <w:szCs w:val="20"/>
        </w:rPr>
        <w:t>(Dec. 16, 2020),</w:t>
      </w:r>
      <w:r w:rsidRPr="00550954">
        <w:rPr>
          <w:sz w:val="20"/>
          <w:szCs w:val="20"/>
        </w:rPr>
        <w:t xml:space="preserve"> https://deathpenaltyinfo.org/facts-and-research/dpic-reports/dpic-year-end-reports/the-death-penalty-in-2020-year-end-report</w:t>
      </w:r>
      <w:bookmarkEnd w:id="8"/>
      <w:r w:rsidRPr="00550954">
        <w:rPr>
          <w:sz w:val="20"/>
          <w:szCs w:val="20"/>
        </w:rPr>
        <w:t>.</w:t>
      </w:r>
    </w:p>
  </w:footnote>
  <w:footnote w:id="42">
    <w:p w14:paraId="0362DB88" w14:textId="7C07B379" w:rsidR="0052387F" w:rsidRPr="00550954" w:rsidRDefault="0052387F"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Execution Database</w:t>
      </w:r>
      <w:r w:rsidRPr="00550954">
        <w:rPr>
          <w:sz w:val="20"/>
          <w:szCs w:val="20"/>
        </w:rPr>
        <w:t>, Death Penalty Information Center</w:t>
      </w:r>
      <w:r w:rsidR="00FB5199" w:rsidRPr="00550954">
        <w:rPr>
          <w:sz w:val="20"/>
          <w:szCs w:val="20"/>
        </w:rPr>
        <w:t>, https://deathpenaltyinfo.org/database/executions?year=2023&amp;sort=state/asc (last visited Sept. 5, 2023).</w:t>
      </w:r>
    </w:p>
  </w:footnote>
  <w:footnote w:id="43">
    <w:p w14:paraId="756AB4BC" w14:textId="1C9F8758" w:rsidR="00A066B1" w:rsidRPr="00550954" w:rsidRDefault="00A066B1" w:rsidP="00550954">
      <w:pPr>
        <w:pStyle w:val="FootnoteText"/>
        <w:rPr>
          <w:sz w:val="20"/>
          <w:szCs w:val="20"/>
        </w:rPr>
      </w:pPr>
      <w:r w:rsidRPr="00550954">
        <w:rPr>
          <w:rStyle w:val="FootnoteReference"/>
          <w:sz w:val="20"/>
          <w:szCs w:val="20"/>
        </w:rPr>
        <w:footnoteRef/>
      </w:r>
      <w:r w:rsidR="00A64707" w:rsidRPr="00550954">
        <w:rPr>
          <w:smallCaps/>
          <w:sz w:val="20"/>
          <w:szCs w:val="20"/>
        </w:rPr>
        <w:t xml:space="preserve"> </w:t>
      </w:r>
      <w:r w:rsidR="00A8621F" w:rsidRPr="00550954">
        <w:rPr>
          <w:smallCaps/>
          <w:sz w:val="20"/>
          <w:szCs w:val="20"/>
        </w:rPr>
        <w:t>Death Penalty Information Center</w:t>
      </w:r>
      <w:r w:rsidR="00A8621F" w:rsidRPr="00550954">
        <w:rPr>
          <w:sz w:val="20"/>
          <w:szCs w:val="20"/>
        </w:rPr>
        <w:t>,</w:t>
      </w:r>
      <w:r w:rsidR="00A8621F" w:rsidRPr="00550954">
        <w:rPr>
          <w:i/>
          <w:sz w:val="20"/>
          <w:szCs w:val="20"/>
        </w:rPr>
        <w:t xml:space="preserve"> The Death Penalty in 2022: Year End Report </w:t>
      </w:r>
      <w:r w:rsidR="00A8621F" w:rsidRPr="00550954">
        <w:rPr>
          <w:iCs/>
          <w:sz w:val="20"/>
          <w:szCs w:val="20"/>
        </w:rPr>
        <w:t>(Dec. 16, 2022),</w:t>
      </w:r>
      <w:r w:rsidR="00A8621F" w:rsidRPr="00550954">
        <w:rPr>
          <w:sz w:val="20"/>
          <w:szCs w:val="20"/>
        </w:rPr>
        <w:t xml:space="preserve"> </w:t>
      </w:r>
      <w:r w:rsidR="00A8621F" w:rsidRPr="00550954">
        <w:rPr>
          <w:iCs/>
          <w:sz w:val="20"/>
          <w:szCs w:val="20"/>
        </w:rPr>
        <w:t xml:space="preserve">https://deathpenaltyinfo.org/facts-and-research/dpic-reports/dpic-year-end-reports/the-death-penalty-in-2022-year-end-report. </w:t>
      </w:r>
    </w:p>
  </w:footnote>
  <w:footnote w:id="44">
    <w:p w14:paraId="19A47B86" w14:textId="21CBDC5A"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365561" w:rsidRPr="00550954">
        <w:rPr>
          <w:i/>
          <w:iCs/>
          <w:sz w:val="20"/>
          <w:szCs w:val="20"/>
        </w:rPr>
        <w:t>Id.</w:t>
      </w:r>
      <w:r w:rsidR="00A8621F" w:rsidRPr="00550954">
        <w:rPr>
          <w:iCs/>
          <w:sz w:val="20"/>
          <w:szCs w:val="20"/>
        </w:rPr>
        <w:t xml:space="preserve"> </w:t>
      </w:r>
    </w:p>
  </w:footnote>
  <w:footnote w:id="45">
    <w:p w14:paraId="56237475" w14:textId="3CD737ED" w:rsidR="00A066B1" w:rsidRPr="00550954" w:rsidRDefault="00A066B1" w:rsidP="00550954">
      <w:pPr>
        <w:pStyle w:val="FootnoteText"/>
        <w:rPr>
          <w:sz w:val="20"/>
          <w:szCs w:val="20"/>
        </w:rPr>
      </w:pPr>
      <w:r w:rsidRPr="00550954">
        <w:rPr>
          <w:rStyle w:val="FootnoteReference"/>
          <w:sz w:val="20"/>
          <w:szCs w:val="20"/>
        </w:rPr>
        <w:footnoteRef/>
      </w:r>
      <w:r w:rsidRPr="00550954">
        <w:rPr>
          <w:i/>
          <w:iCs/>
          <w:sz w:val="20"/>
          <w:szCs w:val="20"/>
        </w:rPr>
        <w:t xml:space="preserve"> </w:t>
      </w:r>
      <w:r w:rsidR="00365561" w:rsidRPr="00550954">
        <w:rPr>
          <w:i/>
          <w:iCs/>
          <w:sz w:val="20"/>
          <w:szCs w:val="20"/>
        </w:rPr>
        <w:t>Id.</w:t>
      </w:r>
      <w:r w:rsidR="00A8621F" w:rsidRPr="00550954">
        <w:rPr>
          <w:iCs/>
          <w:sz w:val="20"/>
          <w:szCs w:val="20"/>
        </w:rPr>
        <w:t xml:space="preserve"> </w:t>
      </w:r>
    </w:p>
  </w:footnote>
  <w:footnote w:id="46">
    <w:p w14:paraId="29378FDC" w14:textId="4EF37DF2" w:rsidR="00A066B1" w:rsidRPr="00550954" w:rsidRDefault="00A066B1" w:rsidP="00550954">
      <w:pPr>
        <w:pStyle w:val="FootnoteText"/>
        <w:rPr>
          <w:sz w:val="20"/>
          <w:szCs w:val="20"/>
        </w:rPr>
      </w:pPr>
      <w:r w:rsidRPr="00550954">
        <w:rPr>
          <w:rStyle w:val="FootnoteReference"/>
          <w:sz w:val="20"/>
          <w:szCs w:val="20"/>
        </w:rPr>
        <w:footnoteRef/>
      </w:r>
      <w:r w:rsidRPr="00550954">
        <w:rPr>
          <w:sz w:val="20"/>
          <w:szCs w:val="20"/>
        </w:rPr>
        <w:t xml:space="preserve"> </w:t>
      </w:r>
      <w:r w:rsidR="00365561" w:rsidRPr="00550954">
        <w:rPr>
          <w:i/>
          <w:iCs/>
          <w:sz w:val="20"/>
          <w:szCs w:val="20"/>
        </w:rPr>
        <w:t>Id.</w:t>
      </w:r>
      <w:r w:rsidR="00A8621F" w:rsidRPr="00550954">
        <w:rPr>
          <w:iCs/>
          <w:sz w:val="20"/>
          <w:szCs w:val="20"/>
        </w:rPr>
        <w:t xml:space="preserve"> </w:t>
      </w:r>
    </w:p>
  </w:footnote>
  <w:footnote w:id="47">
    <w:p w14:paraId="4D29C4FE" w14:textId="5DE162B7" w:rsidR="00325C7C" w:rsidRPr="00550954" w:rsidRDefault="00325C7C" w:rsidP="00550954">
      <w:pPr>
        <w:pStyle w:val="FootnoteText"/>
        <w:rPr>
          <w:sz w:val="20"/>
          <w:szCs w:val="20"/>
        </w:rPr>
      </w:pPr>
      <w:r w:rsidRPr="00550954">
        <w:rPr>
          <w:rStyle w:val="FootnoteReference"/>
          <w:sz w:val="20"/>
          <w:szCs w:val="20"/>
        </w:rPr>
        <w:footnoteRef/>
      </w:r>
      <w:r w:rsidRPr="00550954">
        <w:rPr>
          <w:sz w:val="20"/>
          <w:szCs w:val="20"/>
        </w:rPr>
        <w:t xml:space="preserve"> Human Rights Committee, </w:t>
      </w:r>
      <w:r w:rsidRPr="00550954">
        <w:rPr>
          <w:i/>
          <w:iCs/>
          <w:sz w:val="20"/>
          <w:szCs w:val="20"/>
        </w:rPr>
        <w:t>Fifth periodic report submitted by the United States under article 40 of the Covenant pursuant to the optional reporting procedure, due in 2020,</w:t>
      </w:r>
      <w:r w:rsidRPr="00550954">
        <w:rPr>
          <w:sz w:val="20"/>
          <w:szCs w:val="20"/>
        </w:rPr>
        <w:t xml:space="preserve"> (Nov. 11, 2021), U.N. Doc. CCPR/C/USA/5, ¶ 39. </w:t>
      </w:r>
    </w:p>
  </w:footnote>
  <w:footnote w:id="48">
    <w:p w14:paraId="0E245B46" w14:textId="22BBC3E3" w:rsidR="00461B82" w:rsidRPr="00550954" w:rsidRDefault="00461B82"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Death Penalty Information Center</w:t>
      </w:r>
      <w:r w:rsidRPr="00550954">
        <w:rPr>
          <w:sz w:val="20"/>
          <w:szCs w:val="20"/>
        </w:rPr>
        <w:t xml:space="preserve">, </w:t>
      </w:r>
      <w:r w:rsidRPr="00550954">
        <w:rPr>
          <w:i/>
          <w:iCs/>
          <w:sz w:val="20"/>
          <w:szCs w:val="20"/>
        </w:rPr>
        <w:t>Botched Executions</w:t>
      </w:r>
      <w:r w:rsidR="00515AAB" w:rsidRPr="00550954">
        <w:rPr>
          <w:sz w:val="20"/>
          <w:szCs w:val="20"/>
        </w:rPr>
        <w:t xml:space="preserve">, https://deathpenaltyinfo.org/executions/botched-executions (last </w:t>
      </w:r>
      <w:r w:rsidR="001D25D3" w:rsidRPr="00550954">
        <w:rPr>
          <w:sz w:val="20"/>
          <w:szCs w:val="20"/>
        </w:rPr>
        <w:t>visited</w:t>
      </w:r>
      <w:r w:rsidR="00515AAB" w:rsidRPr="00550954">
        <w:rPr>
          <w:sz w:val="20"/>
          <w:szCs w:val="20"/>
        </w:rPr>
        <w:t xml:space="preserve"> July 17, 2023).</w:t>
      </w:r>
    </w:p>
  </w:footnote>
  <w:footnote w:id="49">
    <w:p w14:paraId="4BF3EB08" w14:textId="4B51001F" w:rsidR="00FB396A" w:rsidRPr="00550954" w:rsidRDefault="00FB396A" w:rsidP="00550954">
      <w:pPr>
        <w:pStyle w:val="FootnoteText"/>
        <w:tabs>
          <w:tab w:val="left" w:pos="9180"/>
        </w:tabs>
        <w:rPr>
          <w:i/>
          <w:iCs/>
          <w:sz w:val="20"/>
          <w:szCs w:val="20"/>
        </w:rPr>
      </w:pPr>
      <w:r w:rsidRPr="00550954">
        <w:rPr>
          <w:rStyle w:val="FootnoteReference"/>
          <w:sz w:val="20"/>
          <w:szCs w:val="20"/>
        </w:rPr>
        <w:footnoteRef/>
      </w:r>
      <w:r w:rsidRPr="00550954">
        <w:rPr>
          <w:rStyle w:val="FootnoteReference"/>
          <w:sz w:val="20"/>
          <w:szCs w:val="20"/>
        </w:rPr>
        <w:t xml:space="preserve"> </w:t>
      </w:r>
      <w:r w:rsidR="00094F43" w:rsidRPr="00550954">
        <w:rPr>
          <w:i/>
          <w:iCs/>
          <w:sz w:val="20"/>
          <w:szCs w:val="20"/>
        </w:rPr>
        <w:t>Id.</w:t>
      </w:r>
    </w:p>
  </w:footnote>
  <w:footnote w:id="50">
    <w:p w14:paraId="4BF87A24" w14:textId="68964C4E" w:rsidR="00754064" w:rsidRPr="00550954" w:rsidRDefault="00754064" w:rsidP="00550954">
      <w:pPr>
        <w:pStyle w:val="FootnoteText"/>
        <w:rPr>
          <w:sz w:val="20"/>
          <w:szCs w:val="20"/>
        </w:rPr>
      </w:pPr>
      <w:r w:rsidRPr="00550954">
        <w:rPr>
          <w:rStyle w:val="FootnoteReference"/>
          <w:sz w:val="20"/>
          <w:szCs w:val="20"/>
        </w:rPr>
        <w:footnoteRef/>
      </w:r>
      <w:r w:rsidR="00A11B2C" w:rsidRPr="00550954">
        <w:rPr>
          <w:smallCaps/>
          <w:sz w:val="20"/>
          <w:szCs w:val="20"/>
        </w:rPr>
        <w:t xml:space="preserve"> </w:t>
      </w:r>
      <w:r w:rsidR="00094F43" w:rsidRPr="00550954">
        <w:rPr>
          <w:i/>
          <w:iCs/>
          <w:sz w:val="20"/>
          <w:szCs w:val="20"/>
        </w:rPr>
        <w:t>Id.</w:t>
      </w:r>
    </w:p>
  </w:footnote>
  <w:footnote w:id="51">
    <w:p w14:paraId="4442F5D0" w14:textId="41A1DECD" w:rsidR="00754064" w:rsidRPr="00550954" w:rsidRDefault="00754064"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Death Penalty Information Center</w:t>
      </w:r>
      <w:r w:rsidRPr="00550954">
        <w:rPr>
          <w:sz w:val="20"/>
          <w:szCs w:val="20"/>
        </w:rPr>
        <w:t>,</w:t>
      </w:r>
      <w:r w:rsidRPr="00550954">
        <w:rPr>
          <w:i/>
          <w:iCs/>
          <w:sz w:val="20"/>
          <w:szCs w:val="20"/>
        </w:rPr>
        <w:t xml:space="preserve"> Methods of Execution</w:t>
      </w:r>
      <w:r w:rsidR="00515AAB" w:rsidRPr="00550954">
        <w:rPr>
          <w:sz w:val="20"/>
          <w:szCs w:val="20"/>
        </w:rPr>
        <w:t>,</w:t>
      </w:r>
      <w:r w:rsidRPr="00550954">
        <w:rPr>
          <w:sz w:val="20"/>
          <w:szCs w:val="20"/>
        </w:rPr>
        <w:t xml:space="preserve"> </w:t>
      </w:r>
      <w:r w:rsidR="00515AAB" w:rsidRPr="00550954">
        <w:rPr>
          <w:sz w:val="20"/>
          <w:szCs w:val="20"/>
        </w:rPr>
        <w:t xml:space="preserve">https://deathpenaltyinfo.org/executions/methods-of-execution (last </w:t>
      </w:r>
      <w:r w:rsidR="001D25D3" w:rsidRPr="00550954">
        <w:rPr>
          <w:sz w:val="20"/>
          <w:szCs w:val="20"/>
        </w:rPr>
        <w:t>visited</w:t>
      </w:r>
      <w:r w:rsidR="00515AAB" w:rsidRPr="00550954">
        <w:rPr>
          <w:sz w:val="20"/>
          <w:szCs w:val="20"/>
        </w:rPr>
        <w:t xml:space="preserve"> July 17, 2023).</w:t>
      </w:r>
    </w:p>
  </w:footnote>
  <w:footnote w:id="52">
    <w:p w14:paraId="4C1CE41C" w14:textId="2A51EDE4" w:rsidR="0028101E" w:rsidRPr="00550954" w:rsidRDefault="0028101E" w:rsidP="00550954">
      <w:pPr>
        <w:pStyle w:val="FootnoteText"/>
        <w:rPr>
          <w:sz w:val="20"/>
          <w:szCs w:val="20"/>
        </w:rPr>
      </w:pPr>
      <w:r w:rsidRPr="00550954">
        <w:rPr>
          <w:rStyle w:val="FootnoteReference"/>
          <w:sz w:val="20"/>
          <w:szCs w:val="20"/>
        </w:rPr>
        <w:footnoteRef/>
      </w:r>
      <w:r w:rsidRPr="00550954">
        <w:rPr>
          <w:sz w:val="20"/>
          <w:szCs w:val="20"/>
        </w:rPr>
        <w:t xml:space="preserve"> </w:t>
      </w:r>
      <w:r w:rsidR="00094F43" w:rsidRPr="00550954">
        <w:rPr>
          <w:i/>
          <w:iCs/>
          <w:sz w:val="20"/>
          <w:szCs w:val="20"/>
        </w:rPr>
        <w:t>Id.</w:t>
      </w:r>
      <w:r w:rsidRPr="00550954">
        <w:rPr>
          <w:sz w:val="20"/>
          <w:szCs w:val="20"/>
        </w:rPr>
        <w:t>.</w:t>
      </w:r>
    </w:p>
  </w:footnote>
  <w:footnote w:id="53">
    <w:p w14:paraId="3EA798EA" w14:textId="27C63760" w:rsidR="008673F9" w:rsidRPr="00550954" w:rsidRDefault="008673F9" w:rsidP="00550954">
      <w:pPr>
        <w:pStyle w:val="FootnoteText"/>
        <w:rPr>
          <w:sz w:val="20"/>
          <w:szCs w:val="20"/>
        </w:rPr>
      </w:pPr>
      <w:r w:rsidRPr="00550954">
        <w:rPr>
          <w:rStyle w:val="FootnoteReference"/>
          <w:sz w:val="20"/>
          <w:szCs w:val="20"/>
        </w:rPr>
        <w:footnoteRef/>
      </w:r>
      <w:r w:rsidRPr="00550954">
        <w:rPr>
          <w:sz w:val="20"/>
          <w:szCs w:val="20"/>
        </w:rPr>
        <w:t xml:space="preserve"> Death Penalty Information Center, </w:t>
      </w:r>
      <w:r w:rsidR="00A66D49" w:rsidRPr="00550954">
        <w:rPr>
          <w:i/>
          <w:iCs/>
          <w:sz w:val="20"/>
          <w:szCs w:val="20"/>
        </w:rPr>
        <w:t>Botched Executions</w:t>
      </w:r>
      <w:r w:rsidR="00A66D49" w:rsidRPr="00550954">
        <w:rPr>
          <w:sz w:val="20"/>
          <w:szCs w:val="20"/>
        </w:rPr>
        <w:t xml:space="preserve">, https://deathpenaltyinfo.org/executions/botched-executions (last visited Sept. 5, 2023). </w:t>
      </w:r>
    </w:p>
  </w:footnote>
  <w:footnote w:id="54">
    <w:p w14:paraId="278BDEC5" w14:textId="7D9AEC40" w:rsidR="009D6807" w:rsidRPr="00550954" w:rsidRDefault="009D6807" w:rsidP="00550954">
      <w:pPr>
        <w:pStyle w:val="FootnoteText"/>
        <w:rPr>
          <w:sz w:val="20"/>
          <w:szCs w:val="20"/>
        </w:rPr>
      </w:pPr>
      <w:r w:rsidRPr="00550954">
        <w:rPr>
          <w:rStyle w:val="FootnoteReference"/>
          <w:sz w:val="20"/>
          <w:szCs w:val="20"/>
        </w:rPr>
        <w:footnoteRef/>
      </w:r>
      <w:r w:rsidRPr="00550954">
        <w:rPr>
          <w:sz w:val="20"/>
          <w:szCs w:val="20"/>
        </w:rPr>
        <w:t xml:space="preserve"> </w:t>
      </w:r>
      <w:r w:rsidR="00094F43" w:rsidRPr="00550954">
        <w:rPr>
          <w:i/>
          <w:iCs/>
          <w:sz w:val="20"/>
          <w:szCs w:val="20"/>
        </w:rPr>
        <w:t>Id.</w:t>
      </w:r>
      <w:r w:rsidRPr="00550954">
        <w:rPr>
          <w:sz w:val="20"/>
          <w:szCs w:val="20"/>
        </w:rPr>
        <w:t xml:space="preserve"> </w:t>
      </w:r>
    </w:p>
  </w:footnote>
  <w:footnote w:id="55">
    <w:p w14:paraId="6C466BE3" w14:textId="79F6218E" w:rsidR="00754064" w:rsidRPr="00550954" w:rsidRDefault="00754064" w:rsidP="00550954">
      <w:pPr>
        <w:pStyle w:val="FootnoteText"/>
        <w:rPr>
          <w:sz w:val="20"/>
          <w:szCs w:val="20"/>
        </w:rPr>
      </w:pPr>
      <w:r w:rsidRPr="00550954">
        <w:rPr>
          <w:rStyle w:val="FootnoteReference"/>
          <w:sz w:val="20"/>
          <w:szCs w:val="20"/>
        </w:rPr>
        <w:footnoteRef/>
      </w:r>
      <w:r w:rsidRPr="00550954">
        <w:rPr>
          <w:sz w:val="20"/>
          <w:szCs w:val="20"/>
        </w:rPr>
        <w:t xml:space="preserve"> Death Penalty Information Center, “Lethal Injection” accessed July 17, 2023, https://deathpenaltyinfo.org/executions/lethal-injection</w:t>
      </w:r>
      <w:r w:rsidR="00A11B2C" w:rsidRPr="00550954">
        <w:rPr>
          <w:sz w:val="20"/>
          <w:szCs w:val="20"/>
        </w:rPr>
        <w:t>.</w:t>
      </w:r>
    </w:p>
  </w:footnote>
  <w:footnote w:id="56">
    <w:p w14:paraId="6FEBDFE1" w14:textId="28BA8BBA" w:rsidR="00754064" w:rsidRPr="00550954" w:rsidRDefault="00754064" w:rsidP="00550954">
      <w:pPr>
        <w:pStyle w:val="FootnoteText"/>
        <w:rPr>
          <w:sz w:val="20"/>
          <w:szCs w:val="20"/>
        </w:rPr>
      </w:pPr>
      <w:r w:rsidRPr="00550954">
        <w:rPr>
          <w:rStyle w:val="FootnoteReference"/>
          <w:sz w:val="20"/>
          <w:szCs w:val="20"/>
        </w:rPr>
        <w:footnoteRef/>
      </w:r>
      <w:r w:rsidRPr="00550954">
        <w:rPr>
          <w:sz w:val="20"/>
          <w:szCs w:val="20"/>
        </w:rPr>
        <w:t xml:space="preserve"> </w:t>
      </w:r>
      <w:r w:rsidR="00094F43" w:rsidRPr="00550954">
        <w:rPr>
          <w:i/>
          <w:iCs/>
          <w:sz w:val="20"/>
          <w:szCs w:val="20"/>
        </w:rPr>
        <w:t>Id.</w:t>
      </w:r>
    </w:p>
  </w:footnote>
  <w:footnote w:id="57">
    <w:p w14:paraId="0431F2F9" w14:textId="6A37DF8D" w:rsidR="00754064" w:rsidRPr="00550954" w:rsidRDefault="00754064" w:rsidP="00550954">
      <w:pPr>
        <w:pStyle w:val="FootnoteText"/>
        <w:rPr>
          <w:sz w:val="20"/>
          <w:szCs w:val="20"/>
        </w:rPr>
      </w:pPr>
      <w:r w:rsidRPr="00550954">
        <w:rPr>
          <w:rStyle w:val="FootnoteReference"/>
          <w:sz w:val="20"/>
          <w:szCs w:val="20"/>
        </w:rPr>
        <w:footnoteRef/>
      </w:r>
      <w:r w:rsidRPr="00550954">
        <w:rPr>
          <w:sz w:val="20"/>
          <w:szCs w:val="20"/>
        </w:rPr>
        <w:t xml:space="preserve"> </w:t>
      </w:r>
      <w:r w:rsidR="00094F43" w:rsidRPr="00550954">
        <w:rPr>
          <w:i/>
          <w:iCs/>
          <w:sz w:val="20"/>
          <w:szCs w:val="20"/>
        </w:rPr>
        <w:t>Id.</w:t>
      </w:r>
    </w:p>
  </w:footnote>
  <w:footnote w:id="58">
    <w:p w14:paraId="6874E6F4" w14:textId="41D55B08" w:rsidR="00754064" w:rsidRPr="00550954" w:rsidRDefault="00754064" w:rsidP="00550954">
      <w:pPr>
        <w:pStyle w:val="FootnoteText"/>
        <w:rPr>
          <w:sz w:val="20"/>
          <w:szCs w:val="20"/>
        </w:rPr>
      </w:pPr>
      <w:r w:rsidRPr="00550954">
        <w:rPr>
          <w:rStyle w:val="FootnoteReference"/>
          <w:sz w:val="20"/>
          <w:szCs w:val="20"/>
        </w:rPr>
        <w:footnoteRef/>
      </w:r>
      <w:r w:rsidRPr="00550954">
        <w:rPr>
          <w:sz w:val="20"/>
          <w:szCs w:val="20"/>
        </w:rPr>
        <w:t xml:space="preserve"> Death Penalty Information Center, “Family Sues Alabama Over Longest Known Execution in US History” accessed July 17, 2023, https://deathpenaltyinfo.org/news/family-sues-alabama-over-longest-known-execution-in-u-s-history</w:t>
      </w:r>
      <w:r w:rsidR="00A11B2C" w:rsidRPr="00550954">
        <w:rPr>
          <w:sz w:val="20"/>
          <w:szCs w:val="20"/>
        </w:rPr>
        <w:t>.</w:t>
      </w:r>
    </w:p>
  </w:footnote>
  <w:footnote w:id="59">
    <w:p w14:paraId="5B62277A" w14:textId="134327B4" w:rsidR="00754064" w:rsidRPr="00550954" w:rsidRDefault="00754064" w:rsidP="00550954">
      <w:pPr>
        <w:pStyle w:val="FootnoteText"/>
        <w:rPr>
          <w:sz w:val="20"/>
          <w:szCs w:val="20"/>
        </w:rPr>
      </w:pPr>
      <w:r w:rsidRPr="00550954">
        <w:rPr>
          <w:rStyle w:val="FootnoteReference"/>
          <w:sz w:val="20"/>
          <w:szCs w:val="20"/>
        </w:rPr>
        <w:footnoteRef/>
      </w:r>
      <w:r w:rsidRPr="00550954">
        <w:rPr>
          <w:sz w:val="20"/>
          <w:szCs w:val="20"/>
        </w:rPr>
        <w:t xml:space="preserve"> </w:t>
      </w:r>
      <w:r w:rsidR="00094F43" w:rsidRPr="00550954">
        <w:rPr>
          <w:i/>
          <w:iCs/>
          <w:sz w:val="20"/>
          <w:szCs w:val="20"/>
        </w:rPr>
        <w:t>Id.</w:t>
      </w:r>
    </w:p>
  </w:footnote>
  <w:footnote w:id="60">
    <w:p w14:paraId="25F3D74D" w14:textId="471A9452" w:rsidR="0018076F" w:rsidRPr="00550954" w:rsidRDefault="0018076F" w:rsidP="00550954">
      <w:pPr>
        <w:pStyle w:val="FootnoteText"/>
        <w:rPr>
          <w:sz w:val="20"/>
          <w:szCs w:val="20"/>
        </w:rPr>
      </w:pPr>
      <w:r w:rsidRPr="00550954">
        <w:rPr>
          <w:rStyle w:val="FootnoteReference"/>
          <w:sz w:val="20"/>
          <w:szCs w:val="20"/>
        </w:rPr>
        <w:footnoteRef/>
      </w:r>
      <w:r w:rsidR="008C7DA9" w:rsidRPr="00550954">
        <w:rPr>
          <w:sz w:val="20"/>
          <w:szCs w:val="20"/>
        </w:rPr>
        <w:t xml:space="preserve"> Human Rights Committee, </w:t>
      </w:r>
      <w:r w:rsidR="008C7DA9" w:rsidRPr="00550954">
        <w:rPr>
          <w:i/>
          <w:iCs/>
          <w:sz w:val="20"/>
          <w:szCs w:val="20"/>
        </w:rPr>
        <w:t>Fifth periodic report submitted by the United States under article 40 of the Covenant pursuant to the optional reporting procedure, due in 2020,</w:t>
      </w:r>
      <w:r w:rsidR="008C7DA9" w:rsidRPr="00550954">
        <w:rPr>
          <w:sz w:val="20"/>
          <w:szCs w:val="20"/>
        </w:rPr>
        <w:t xml:space="preserve"> (Nov. 11, 2021), U.N. Doc. CCPR/C/USA/5,</w:t>
      </w:r>
      <w:r w:rsidRPr="00550954">
        <w:rPr>
          <w:sz w:val="20"/>
          <w:szCs w:val="20"/>
        </w:rPr>
        <w:t xml:space="preserve"> ¶ 40. </w:t>
      </w:r>
    </w:p>
  </w:footnote>
  <w:footnote w:id="61">
    <w:p w14:paraId="0D2A33D4" w14:textId="22043118" w:rsidR="00A9384C" w:rsidRPr="00550954" w:rsidRDefault="00A9384C" w:rsidP="00550954">
      <w:pPr>
        <w:pStyle w:val="FootnoteText"/>
        <w:rPr>
          <w:sz w:val="20"/>
          <w:szCs w:val="20"/>
        </w:rPr>
      </w:pPr>
      <w:r w:rsidRPr="00550954">
        <w:rPr>
          <w:rStyle w:val="FootnoteReference"/>
          <w:sz w:val="20"/>
          <w:szCs w:val="20"/>
        </w:rPr>
        <w:footnoteRef/>
      </w:r>
      <w:r w:rsidRPr="00550954">
        <w:rPr>
          <w:sz w:val="20"/>
          <w:szCs w:val="20"/>
        </w:rPr>
        <w:t xml:space="preserve"> </w:t>
      </w:r>
      <w:r w:rsidR="008C7DA9" w:rsidRPr="00550954">
        <w:rPr>
          <w:smallCaps/>
          <w:sz w:val="20"/>
          <w:szCs w:val="20"/>
        </w:rPr>
        <w:t>Equal Jus</w:t>
      </w:r>
      <w:r w:rsidR="001D70BA" w:rsidRPr="00550954">
        <w:rPr>
          <w:smallCaps/>
          <w:sz w:val="20"/>
          <w:szCs w:val="20"/>
        </w:rPr>
        <w:t>t.</w:t>
      </w:r>
      <w:r w:rsidR="008C7DA9" w:rsidRPr="00550954">
        <w:rPr>
          <w:smallCaps/>
          <w:sz w:val="20"/>
          <w:szCs w:val="20"/>
        </w:rPr>
        <w:t xml:space="preserve"> Initiative</w:t>
      </w:r>
      <w:r w:rsidR="008C7DA9" w:rsidRPr="00550954">
        <w:rPr>
          <w:sz w:val="20"/>
          <w:szCs w:val="20"/>
        </w:rPr>
        <w:t xml:space="preserve">, </w:t>
      </w:r>
      <w:r w:rsidR="00347C44" w:rsidRPr="00550954">
        <w:rPr>
          <w:i/>
          <w:iCs/>
          <w:sz w:val="20"/>
          <w:szCs w:val="20"/>
        </w:rPr>
        <w:t>Death Penalty</w:t>
      </w:r>
      <w:r w:rsidR="00347C44" w:rsidRPr="00550954">
        <w:rPr>
          <w:sz w:val="20"/>
          <w:szCs w:val="20"/>
        </w:rPr>
        <w:t>, https://eji.org/issues/death-penalty/ (last visited July 12, 2023).</w:t>
      </w:r>
    </w:p>
  </w:footnote>
  <w:footnote w:id="62">
    <w:p w14:paraId="5109E622" w14:textId="554E7952" w:rsidR="00A9384C" w:rsidRPr="00550954" w:rsidRDefault="00A9384C" w:rsidP="00550954">
      <w:pPr>
        <w:pStyle w:val="FootnoteText"/>
        <w:rPr>
          <w:sz w:val="20"/>
          <w:szCs w:val="20"/>
        </w:rPr>
      </w:pPr>
      <w:r w:rsidRPr="00550954">
        <w:rPr>
          <w:rStyle w:val="FootnoteReference"/>
          <w:sz w:val="20"/>
          <w:szCs w:val="20"/>
        </w:rPr>
        <w:footnoteRef/>
      </w:r>
      <w:r w:rsidRPr="00550954">
        <w:rPr>
          <w:sz w:val="20"/>
          <w:szCs w:val="20"/>
        </w:rPr>
        <w:t xml:space="preserve"> </w:t>
      </w:r>
      <w:r w:rsidR="00347C44" w:rsidRPr="00550954">
        <w:rPr>
          <w:smallCaps/>
          <w:sz w:val="20"/>
          <w:szCs w:val="20"/>
        </w:rPr>
        <w:t>Death Penalty Info</w:t>
      </w:r>
      <w:r w:rsidR="001D70BA" w:rsidRPr="00550954">
        <w:rPr>
          <w:smallCaps/>
          <w:sz w:val="20"/>
          <w:szCs w:val="20"/>
        </w:rPr>
        <w:t>.</w:t>
      </w:r>
      <w:r w:rsidR="003A6534" w:rsidRPr="00550954">
        <w:rPr>
          <w:smallCaps/>
          <w:sz w:val="20"/>
          <w:szCs w:val="20"/>
        </w:rPr>
        <w:t xml:space="preserve"> </w:t>
      </w:r>
      <w:r w:rsidR="00347C44" w:rsidRPr="00550954">
        <w:rPr>
          <w:smallCaps/>
          <w:sz w:val="20"/>
          <w:szCs w:val="20"/>
        </w:rPr>
        <w:t>C</w:t>
      </w:r>
      <w:r w:rsidR="001D70BA" w:rsidRPr="00550954">
        <w:rPr>
          <w:smallCaps/>
          <w:sz w:val="20"/>
          <w:szCs w:val="20"/>
        </w:rPr>
        <w:t>tr.</w:t>
      </w:r>
      <w:r w:rsidR="00347C44" w:rsidRPr="00550954">
        <w:rPr>
          <w:sz w:val="20"/>
          <w:szCs w:val="20"/>
        </w:rPr>
        <w:t xml:space="preserve">, </w:t>
      </w:r>
      <w:r w:rsidR="00347C44" w:rsidRPr="00550954">
        <w:rPr>
          <w:i/>
          <w:iCs/>
          <w:sz w:val="20"/>
          <w:szCs w:val="20"/>
        </w:rPr>
        <w:t>Innocence Databas</w:t>
      </w:r>
      <w:r w:rsidR="001D70BA" w:rsidRPr="00550954">
        <w:rPr>
          <w:i/>
          <w:iCs/>
          <w:sz w:val="20"/>
          <w:szCs w:val="20"/>
        </w:rPr>
        <w:t>e</w:t>
      </w:r>
      <w:r w:rsidR="00347C44" w:rsidRPr="00550954">
        <w:rPr>
          <w:sz w:val="20"/>
          <w:szCs w:val="20"/>
        </w:rPr>
        <w:t xml:space="preserve">, </w:t>
      </w:r>
      <w:r w:rsidR="001D70BA" w:rsidRPr="00550954">
        <w:rPr>
          <w:rFonts w:eastAsia="Calibri"/>
          <w:color w:val="000000" w:themeColor="text1"/>
          <w:sz w:val="20"/>
          <w:szCs w:val="20"/>
        </w:rPr>
        <w:t>https://deathpenaltyinfo.org/policy-issues/innocence (last visited July 12, 2023)</w:t>
      </w:r>
      <w:r w:rsidR="00347C44" w:rsidRPr="00550954">
        <w:rPr>
          <w:color w:val="000000" w:themeColor="text1"/>
          <w:sz w:val="20"/>
          <w:szCs w:val="20"/>
        </w:rPr>
        <w:t>.</w:t>
      </w:r>
    </w:p>
  </w:footnote>
  <w:footnote w:id="63">
    <w:p w14:paraId="1B2CDA6C" w14:textId="64013BAF" w:rsidR="007659F6" w:rsidRPr="00550954" w:rsidRDefault="007659F6" w:rsidP="00550954">
      <w:pPr>
        <w:pStyle w:val="FootnoteText"/>
        <w:rPr>
          <w:sz w:val="20"/>
          <w:szCs w:val="20"/>
        </w:rPr>
      </w:pPr>
      <w:r w:rsidRPr="00550954">
        <w:rPr>
          <w:rStyle w:val="FootnoteReference"/>
          <w:sz w:val="20"/>
          <w:szCs w:val="20"/>
        </w:rPr>
        <w:footnoteRef/>
      </w:r>
      <w:r w:rsidRPr="00550954">
        <w:rPr>
          <w:sz w:val="20"/>
          <w:szCs w:val="20"/>
        </w:rPr>
        <w:t xml:space="preserve"> Death Penalty Information Center, </w:t>
      </w:r>
      <w:r w:rsidRPr="00550954">
        <w:rPr>
          <w:i/>
          <w:iCs/>
          <w:sz w:val="20"/>
          <w:szCs w:val="20"/>
        </w:rPr>
        <w:t>DPIC Analysis: At Least a Dozen Exonerations in 2021 Involved the Wrongful Threat or Pursuit of the Death Penalty</w:t>
      </w:r>
      <w:r w:rsidRPr="00550954">
        <w:rPr>
          <w:sz w:val="20"/>
          <w:szCs w:val="20"/>
        </w:rPr>
        <w:t xml:space="preserve">, Aug. 26, 2022, </w:t>
      </w:r>
      <w:r w:rsidR="008801D8" w:rsidRPr="00550954">
        <w:rPr>
          <w:sz w:val="20"/>
          <w:szCs w:val="20"/>
        </w:rPr>
        <w:t>https://deathpenaltyinfo.org/news/dpic-analysis-at-least-a-dozen-exonerations-in-2021-involved-the-wrongful-threat-or-pursuit-of-the-death-penalty.</w:t>
      </w:r>
    </w:p>
  </w:footnote>
  <w:footnote w:id="64">
    <w:p w14:paraId="283E1637" w14:textId="69A24388" w:rsidR="002833BA" w:rsidRPr="00550954" w:rsidRDefault="002833BA" w:rsidP="00550954">
      <w:pPr>
        <w:pStyle w:val="FootnoteText"/>
        <w:rPr>
          <w:sz w:val="20"/>
          <w:szCs w:val="20"/>
        </w:rPr>
      </w:pPr>
      <w:r w:rsidRPr="00550954">
        <w:rPr>
          <w:rStyle w:val="FootnoteReference"/>
          <w:sz w:val="20"/>
          <w:szCs w:val="20"/>
        </w:rPr>
        <w:footnoteRef/>
      </w:r>
      <w:r w:rsidRPr="00550954">
        <w:rPr>
          <w:sz w:val="20"/>
          <w:szCs w:val="20"/>
        </w:rPr>
        <w:t xml:space="preserve"> </w:t>
      </w:r>
      <w:r w:rsidR="00957C33" w:rsidRPr="00550954">
        <w:rPr>
          <w:rFonts w:eastAsia="Calibri"/>
          <w:smallCaps/>
          <w:color w:val="000000" w:themeColor="text1"/>
          <w:sz w:val="20"/>
          <w:szCs w:val="20"/>
        </w:rPr>
        <w:t>Death Penalty Info</w:t>
      </w:r>
      <w:r w:rsidR="001D70BA" w:rsidRPr="00550954">
        <w:rPr>
          <w:rFonts w:eastAsia="Calibri"/>
          <w:smallCaps/>
          <w:color w:val="000000" w:themeColor="text1"/>
          <w:sz w:val="20"/>
          <w:szCs w:val="20"/>
        </w:rPr>
        <w:t>.</w:t>
      </w:r>
      <w:r w:rsidR="00957C33" w:rsidRPr="00550954">
        <w:rPr>
          <w:rFonts w:eastAsia="Calibri"/>
          <w:smallCaps/>
          <w:color w:val="000000" w:themeColor="text1"/>
          <w:sz w:val="20"/>
          <w:szCs w:val="20"/>
        </w:rPr>
        <w:t xml:space="preserve"> C</w:t>
      </w:r>
      <w:r w:rsidR="001D70BA" w:rsidRPr="00550954">
        <w:rPr>
          <w:rFonts w:eastAsia="Calibri"/>
          <w:smallCaps/>
          <w:color w:val="000000" w:themeColor="text1"/>
          <w:sz w:val="20"/>
          <w:szCs w:val="20"/>
        </w:rPr>
        <w:t>tr.</w:t>
      </w:r>
      <w:r w:rsidR="00957C33" w:rsidRPr="00550954">
        <w:rPr>
          <w:rFonts w:eastAsia="Calibri"/>
          <w:smallCaps/>
          <w:color w:val="000000" w:themeColor="text1"/>
          <w:sz w:val="20"/>
          <w:szCs w:val="20"/>
        </w:rPr>
        <w:t xml:space="preserve">, </w:t>
      </w:r>
      <w:r w:rsidR="00957C33" w:rsidRPr="00550954">
        <w:rPr>
          <w:i/>
          <w:iCs/>
          <w:color w:val="000000" w:themeColor="text1"/>
          <w:sz w:val="20"/>
          <w:szCs w:val="20"/>
        </w:rPr>
        <w:t>Exonerations by Race</w:t>
      </w:r>
      <w:r w:rsidR="00957C33" w:rsidRPr="00550954">
        <w:rPr>
          <w:color w:val="000000" w:themeColor="text1"/>
          <w:sz w:val="20"/>
          <w:szCs w:val="20"/>
        </w:rPr>
        <w:t xml:space="preserve">, </w:t>
      </w:r>
      <w:r w:rsidR="001D70BA" w:rsidRPr="00550954">
        <w:rPr>
          <w:color w:val="000000" w:themeColor="text1"/>
          <w:sz w:val="20"/>
          <w:szCs w:val="20"/>
        </w:rPr>
        <w:t>https://deathpenaltyinfo.org/policy-issues/innocence/exonerations-by-race (last visited July 12, 2023)</w:t>
      </w:r>
      <w:r w:rsidR="00347C44" w:rsidRPr="00550954">
        <w:rPr>
          <w:color w:val="000000" w:themeColor="text1"/>
          <w:sz w:val="20"/>
          <w:szCs w:val="20"/>
        </w:rPr>
        <w:t>.</w:t>
      </w:r>
    </w:p>
  </w:footnote>
  <w:footnote w:id="65">
    <w:p w14:paraId="451CFD5A" w14:textId="314D7C3D" w:rsidR="00957C33" w:rsidRPr="00550954" w:rsidRDefault="00957C33" w:rsidP="00550954">
      <w:pPr>
        <w:pStyle w:val="FootnoteText"/>
        <w:rPr>
          <w:sz w:val="20"/>
          <w:szCs w:val="20"/>
        </w:rPr>
      </w:pPr>
      <w:r w:rsidRPr="00550954">
        <w:rPr>
          <w:rStyle w:val="FootnoteReference"/>
          <w:sz w:val="20"/>
          <w:szCs w:val="20"/>
        </w:rPr>
        <w:footnoteRef/>
      </w:r>
      <w:r w:rsidRPr="00550954">
        <w:rPr>
          <w:sz w:val="20"/>
          <w:szCs w:val="20"/>
        </w:rPr>
        <w:t xml:space="preserve"> </w:t>
      </w:r>
      <w:r w:rsidR="003A1AD4" w:rsidRPr="00550954">
        <w:rPr>
          <w:smallCaps/>
          <w:sz w:val="20"/>
          <w:szCs w:val="20"/>
        </w:rPr>
        <w:t>Death Penalty Info.</w:t>
      </w:r>
      <w:r w:rsidR="0027528E" w:rsidRPr="00550954">
        <w:rPr>
          <w:smallCaps/>
          <w:sz w:val="20"/>
          <w:szCs w:val="20"/>
        </w:rPr>
        <w:t xml:space="preserve"> </w:t>
      </w:r>
      <w:r w:rsidR="003A1AD4" w:rsidRPr="00550954">
        <w:rPr>
          <w:smallCaps/>
          <w:sz w:val="20"/>
          <w:szCs w:val="20"/>
        </w:rPr>
        <w:t>Ctr.</w:t>
      </w:r>
      <w:r w:rsidR="003A1AD4" w:rsidRPr="00550954">
        <w:rPr>
          <w:sz w:val="20"/>
          <w:szCs w:val="20"/>
        </w:rPr>
        <w:t xml:space="preserve">, </w:t>
      </w:r>
      <w:r w:rsidR="003A1AD4" w:rsidRPr="00550954">
        <w:rPr>
          <w:i/>
          <w:iCs/>
          <w:sz w:val="20"/>
          <w:szCs w:val="20"/>
        </w:rPr>
        <w:t>Innocence Database</w:t>
      </w:r>
      <w:r w:rsidR="003A1AD4" w:rsidRPr="00550954">
        <w:rPr>
          <w:sz w:val="20"/>
          <w:szCs w:val="20"/>
        </w:rPr>
        <w:t xml:space="preserve">, </w:t>
      </w:r>
      <w:r w:rsidR="003A1AD4" w:rsidRPr="00550954">
        <w:rPr>
          <w:rFonts w:eastAsia="Calibri"/>
          <w:color w:val="000000" w:themeColor="text1"/>
          <w:sz w:val="20"/>
          <w:szCs w:val="20"/>
        </w:rPr>
        <w:t>https://deathpenaltyinfo.org/policy-issues/innocence (last visited July 12, 2023)</w:t>
      </w:r>
      <w:r w:rsidR="003A1AD4" w:rsidRPr="00550954">
        <w:rPr>
          <w:color w:val="000000" w:themeColor="text1"/>
          <w:sz w:val="20"/>
          <w:szCs w:val="20"/>
        </w:rPr>
        <w:t>.</w:t>
      </w:r>
    </w:p>
  </w:footnote>
  <w:footnote w:id="66">
    <w:p w14:paraId="42BE2636" w14:textId="69B4F76A" w:rsidR="00957C33" w:rsidRPr="00550954" w:rsidRDefault="00957C33" w:rsidP="00550954">
      <w:pPr>
        <w:pStyle w:val="FootnoteText"/>
        <w:rPr>
          <w:sz w:val="20"/>
          <w:szCs w:val="20"/>
        </w:rPr>
      </w:pPr>
      <w:r w:rsidRPr="00550954">
        <w:rPr>
          <w:rStyle w:val="FootnoteReference"/>
          <w:sz w:val="20"/>
          <w:szCs w:val="20"/>
        </w:rPr>
        <w:footnoteRef/>
      </w:r>
      <w:r w:rsidRPr="00550954">
        <w:rPr>
          <w:sz w:val="20"/>
          <w:szCs w:val="20"/>
        </w:rPr>
        <w:t xml:space="preserve"> </w:t>
      </w:r>
      <w:r w:rsidR="001635F6" w:rsidRPr="00550954">
        <w:rPr>
          <w:smallCaps/>
          <w:color w:val="000000" w:themeColor="text1"/>
          <w:sz w:val="20"/>
          <w:szCs w:val="20"/>
        </w:rPr>
        <w:t>The Innocence Project</w:t>
      </w:r>
      <w:r w:rsidR="001635F6" w:rsidRPr="00550954">
        <w:rPr>
          <w:color w:val="000000" w:themeColor="text1"/>
          <w:sz w:val="20"/>
          <w:szCs w:val="20"/>
        </w:rPr>
        <w:t xml:space="preserve">, </w:t>
      </w:r>
      <w:r w:rsidR="001635F6" w:rsidRPr="00550954">
        <w:rPr>
          <w:i/>
          <w:iCs/>
          <w:color w:val="000000" w:themeColor="text1"/>
          <w:sz w:val="20"/>
          <w:szCs w:val="20"/>
        </w:rPr>
        <w:t>DNA Exonerations in the United States</w:t>
      </w:r>
      <w:r w:rsidR="001635F6" w:rsidRPr="00550954">
        <w:rPr>
          <w:color w:val="000000" w:themeColor="text1"/>
          <w:sz w:val="20"/>
          <w:szCs w:val="20"/>
        </w:rPr>
        <w:t xml:space="preserve">, </w:t>
      </w:r>
      <w:r w:rsidR="001D70BA" w:rsidRPr="00550954">
        <w:rPr>
          <w:color w:val="000000" w:themeColor="text1"/>
          <w:sz w:val="20"/>
          <w:szCs w:val="20"/>
        </w:rPr>
        <w:t>https://innocenceproject.org/dna-exonerations-in-the-united-states/ (last visited July 12, 2023).</w:t>
      </w:r>
    </w:p>
  </w:footnote>
  <w:footnote w:id="67">
    <w:p w14:paraId="4050DA27" w14:textId="74555D4D" w:rsidR="001635F6" w:rsidRPr="00550954" w:rsidRDefault="001635F6" w:rsidP="00550954">
      <w:pPr>
        <w:pStyle w:val="FootnoteText"/>
        <w:rPr>
          <w:sz w:val="20"/>
          <w:szCs w:val="20"/>
        </w:rPr>
      </w:pPr>
      <w:r w:rsidRPr="00550954">
        <w:rPr>
          <w:rStyle w:val="FootnoteReference"/>
          <w:sz w:val="20"/>
          <w:szCs w:val="20"/>
        </w:rPr>
        <w:footnoteRef/>
      </w:r>
      <w:r w:rsidRPr="00550954">
        <w:rPr>
          <w:sz w:val="20"/>
          <w:szCs w:val="20"/>
        </w:rPr>
        <w:t xml:space="preserve"> </w:t>
      </w:r>
      <w:r w:rsidR="00347C44" w:rsidRPr="00550954">
        <w:rPr>
          <w:sz w:val="20"/>
          <w:szCs w:val="20"/>
        </w:rPr>
        <w:t xml:space="preserve">Michael Barbella, </w:t>
      </w:r>
      <w:r w:rsidRPr="00550954">
        <w:rPr>
          <w:i/>
          <w:iCs/>
          <w:color w:val="000000" w:themeColor="text1"/>
          <w:sz w:val="20"/>
          <w:szCs w:val="20"/>
        </w:rPr>
        <w:t>More than meets the eye in cross-racial IDs</w:t>
      </w:r>
      <w:r w:rsidRPr="00550954">
        <w:rPr>
          <w:color w:val="000000" w:themeColor="text1"/>
          <w:sz w:val="20"/>
          <w:szCs w:val="20"/>
        </w:rPr>
        <w:t xml:space="preserve">, </w:t>
      </w:r>
      <w:r w:rsidR="0055155B" w:rsidRPr="00550954">
        <w:rPr>
          <w:smallCaps/>
          <w:color w:val="000000" w:themeColor="text1"/>
          <w:sz w:val="20"/>
          <w:szCs w:val="20"/>
        </w:rPr>
        <w:t xml:space="preserve">N.J. </w:t>
      </w:r>
      <w:r w:rsidRPr="00550954">
        <w:rPr>
          <w:smallCaps/>
          <w:color w:val="000000" w:themeColor="text1"/>
          <w:sz w:val="20"/>
          <w:szCs w:val="20"/>
        </w:rPr>
        <w:t>State Bar Found</w:t>
      </w:r>
      <w:r w:rsidR="0055155B" w:rsidRPr="00550954">
        <w:rPr>
          <w:smallCaps/>
          <w:color w:val="000000" w:themeColor="text1"/>
          <w:sz w:val="20"/>
          <w:szCs w:val="20"/>
        </w:rPr>
        <w:t>.</w:t>
      </w:r>
      <w:r w:rsidR="001D70BA" w:rsidRPr="00550954">
        <w:rPr>
          <w:color w:val="000000" w:themeColor="text1"/>
          <w:sz w:val="20"/>
          <w:szCs w:val="20"/>
        </w:rPr>
        <w:t xml:space="preserve"> (</w:t>
      </w:r>
      <w:r w:rsidR="00347C44" w:rsidRPr="00550954">
        <w:rPr>
          <w:color w:val="000000" w:themeColor="text1"/>
          <w:sz w:val="20"/>
          <w:szCs w:val="20"/>
        </w:rPr>
        <w:t>May 7, 202</w:t>
      </w:r>
      <w:r w:rsidR="001D70BA" w:rsidRPr="00550954">
        <w:rPr>
          <w:color w:val="000000" w:themeColor="text1"/>
          <w:sz w:val="20"/>
          <w:szCs w:val="20"/>
        </w:rPr>
        <w:t>1)</w:t>
      </w:r>
      <w:r w:rsidRPr="00550954">
        <w:rPr>
          <w:color w:val="000000" w:themeColor="text1"/>
          <w:sz w:val="20"/>
          <w:szCs w:val="20"/>
        </w:rPr>
        <w:t xml:space="preserve">, </w:t>
      </w:r>
      <w:r w:rsidR="00347C44" w:rsidRPr="00550954">
        <w:rPr>
          <w:color w:val="000000" w:themeColor="text1"/>
          <w:sz w:val="20"/>
          <w:szCs w:val="20"/>
        </w:rPr>
        <w:t>https://njsbf.org/2021/05/07/more-than-meets-the-eye-in-cross-racial-ids/ (last visited July 12, 2023).</w:t>
      </w:r>
    </w:p>
  </w:footnote>
  <w:footnote w:id="68">
    <w:p w14:paraId="3E6B9F5E" w14:textId="37430E98" w:rsidR="00F80C1F" w:rsidRPr="00550954" w:rsidRDefault="00F80C1F" w:rsidP="00550954">
      <w:pPr>
        <w:pStyle w:val="FootnoteText"/>
        <w:rPr>
          <w:sz w:val="20"/>
          <w:szCs w:val="20"/>
        </w:rPr>
      </w:pPr>
      <w:r w:rsidRPr="00550954">
        <w:rPr>
          <w:rStyle w:val="FootnoteReference"/>
          <w:sz w:val="20"/>
          <w:szCs w:val="20"/>
        </w:rPr>
        <w:footnoteRef/>
      </w:r>
      <w:r w:rsidRPr="00550954">
        <w:rPr>
          <w:sz w:val="20"/>
          <w:szCs w:val="20"/>
        </w:rPr>
        <w:t xml:space="preserve"> </w:t>
      </w:r>
      <w:r w:rsidR="008D0997" w:rsidRPr="00550954">
        <w:rPr>
          <w:smallCaps/>
          <w:sz w:val="20"/>
          <w:szCs w:val="20"/>
        </w:rPr>
        <w:t>Dept. of Justice</w:t>
      </w:r>
      <w:r w:rsidR="008D0997" w:rsidRPr="00550954">
        <w:rPr>
          <w:sz w:val="20"/>
          <w:szCs w:val="20"/>
        </w:rPr>
        <w:t xml:space="preserve">, </w:t>
      </w:r>
      <w:r w:rsidR="008D0997" w:rsidRPr="00550954">
        <w:rPr>
          <w:i/>
          <w:iCs/>
          <w:sz w:val="20"/>
          <w:szCs w:val="20"/>
        </w:rPr>
        <w:t>The Federal Death Penalty System: Supplementary Data, Analysis and Revised Protocols for Capital Case Review</w:t>
      </w:r>
      <w:r w:rsidR="0055155B" w:rsidRPr="00550954">
        <w:rPr>
          <w:sz w:val="20"/>
          <w:szCs w:val="20"/>
        </w:rPr>
        <w:t xml:space="preserve"> </w:t>
      </w:r>
      <w:r w:rsidR="001D70BA" w:rsidRPr="00550954">
        <w:rPr>
          <w:sz w:val="20"/>
          <w:szCs w:val="20"/>
        </w:rPr>
        <w:t>(</w:t>
      </w:r>
      <w:r w:rsidR="008D0997" w:rsidRPr="00550954">
        <w:rPr>
          <w:sz w:val="20"/>
          <w:szCs w:val="20"/>
        </w:rPr>
        <w:t>June 6, 2001</w:t>
      </w:r>
      <w:r w:rsidR="001D70BA" w:rsidRPr="00550954">
        <w:rPr>
          <w:sz w:val="20"/>
          <w:szCs w:val="20"/>
        </w:rPr>
        <w:t>)</w:t>
      </w:r>
      <w:r w:rsidR="008D0997" w:rsidRPr="00550954">
        <w:rPr>
          <w:sz w:val="20"/>
          <w:szCs w:val="20"/>
        </w:rPr>
        <w:t>, https://www.justice.gov/archive/dag/pubdoc/deathpenaltystudy.htm#:~:text=If%20the%20jury%20does%20recommend,18%20U.S.C. (</w:t>
      </w:r>
      <w:r w:rsidR="0055155B" w:rsidRPr="00550954">
        <w:rPr>
          <w:sz w:val="20"/>
          <w:szCs w:val="20"/>
        </w:rPr>
        <w:t>l</w:t>
      </w:r>
      <w:r w:rsidR="008F04FE" w:rsidRPr="00550954">
        <w:rPr>
          <w:sz w:val="20"/>
          <w:szCs w:val="20"/>
        </w:rPr>
        <w:t>ast</w:t>
      </w:r>
      <w:r w:rsidR="008D0997" w:rsidRPr="00550954">
        <w:rPr>
          <w:sz w:val="20"/>
          <w:szCs w:val="20"/>
        </w:rPr>
        <w:t xml:space="preserve"> visited July 12, 2023). </w:t>
      </w:r>
    </w:p>
  </w:footnote>
  <w:footnote w:id="69">
    <w:p w14:paraId="209EC3DB" w14:textId="01F9A4EE" w:rsidR="007864D3" w:rsidRPr="00550954" w:rsidRDefault="007864D3"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9" w:name="_Hlk141276388"/>
      <w:bookmarkStart w:id="10" w:name="_Hlk139985830"/>
      <w:r w:rsidR="0055155B" w:rsidRPr="00550954">
        <w:rPr>
          <w:smallCaps/>
          <w:sz w:val="20"/>
          <w:szCs w:val="20"/>
        </w:rPr>
        <w:t>Death Penalty Info. Ctr</w:t>
      </w:r>
      <w:bookmarkEnd w:id="9"/>
      <w:r w:rsidR="0055155B" w:rsidRPr="00550954">
        <w:rPr>
          <w:smallCaps/>
          <w:sz w:val="20"/>
          <w:szCs w:val="20"/>
        </w:rPr>
        <w:t>.</w:t>
      </w:r>
      <w:r w:rsidR="0055155B" w:rsidRPr="00550954">
        <w:rPr>
          <w:i/>
          <w:iCs/>
          <w:sz w:val="20"/>
          <w:szCs w:val="20"/>
        </w:rPr>
        <w:t xml:space="preserve">, </w:t>
      </w:r>
      <w:r w:rsidR="008D0997" w:rsidRPr="00550954">
        <w:rPr>
          <w:i/>
          <w:iCs/>
          <w:sz w:val="20"/>
          <w:szCs w:val="20"/>
        </w:rPr>
        <w:t>Exoneration Data Suggests Non-Unanimous Death-Sentencing Statutes Heighten Risk of Wrongful Convictions</w:t>
      </w:r>
      <w:r w:rsidR="008D0997" w:rsidRPr="00550954">
        <w:rPr>
          <w:sz w:val="20"/>
          <w:szCs w:val="20"/>
        </w:rPr>
        <w:t xml:space="preserve"> </w:t>
      </w:r>
      <w:r w:rsidR="0055155B" w:rsidRPr="00550954">
        <w:rPr>
          <w:sz w:val="20"/>
          <w:szCs w:val="20"/>
        </w:rPr>
        <w:t>(</w:t>
      </w:r>
      <w:r w:rsidR="008D0997" w:rsidRPr="00550954">
        <w:rPr>
          <w:sz w:val="20"/>
          <w:szCs w:val="20"/>
        </w:rPr>
        <w:t>Mar. 13, 2020</w:t>
      </w:r>
      <w:r w:rsidR="0055155B" w:rsidRPr="00550954">
        <w:rPr>
          <w:sz w:val="20"/>
          <w:szCs w:val="20"/>
        </w:rPr>
        <w:t>)</w:t>
      </w:r>
      <w:r w:rsidR="008D0997" w:rsidRPr="00550954">
        <w:rPr>
          <w:sz w:val="20"/>
          <w:szCs w:val="20"/>
        </w:rPr>
        <w:t>, https://deathpenaltyinfo.org/news/dpic-analysis-exoneration-data-suggests-non-unanimous-death-sentencing-statutes-heighten-risk-of-wrongful-convictions</w:t>
      </w:r>
      <w:bookmarkEnd w:id="10"/>
      <w:r w:rsidRPr="00550954">
        <w:rPr>
          <w:sz w:val="20"/>
          <w:szCs w:val="20"/>
        </w:rPr>
        <w:t xml:space="preserve"> </w:t>
      </w:r>
      <w:r w:rsidR="008D0997" w:rsidRPr="00550954">
        <w:rPr>
          <w:sz w:val="20"/>
          <w:szCs w:val="20"/>
        </w:rPr>
        <w:t xml:space="preserve">(last visited July 12, 2023). </w:t>
      </w:r>
    </w:p>
  </w:footnote>
  <w:footnote w:id="70">
    <w:p w14:paraId="324D204D" w14:textId="40E00A1D" w:rsidR="001439BF" w:rsidRPr="00550954" w:rsidRDefault="001439BF" w:rsidP="00550954">
      <w:pPr>
        <w:pStyle w:val="FootnoteText"/>
        <w:rPr>
          <w:sz w:val="20"/>
          <w:szCs w:val="20"/>
        </w:rPr>
      </w:pPr>
      <w:r w:rsidRPr="00550954">
        <w:rPr>
          <w:rStyle w:val="FootnoteReference"/>
          <w:sz w:val="20"/>
          <w:szCs w:val="20"/>
        </w:rPr>
        <w:footnoteRef/>
      </w:r>
      <w:r w:rsidRPr="00550954">
        <w:rPr>
          <w:sz w:val="20"/>
          <w:szCs w:val="20"/>
        </w:rPr>
        <w:t xml:space="preserve"> </w:t>
      </w:r>
      <w:r w:rsidR="00835C3E" w:rsidRPr="00550954">
        <w:rPr>
          <w:sz w:val="20"/>
          <w:szCs w:val="20"/>
        </w:rPr>
        <w:t xml:space="preserve"> </w:t>
      </w:r>
      <w:r w:rsidR="00F53530" w:rsidRPr="00550954">
        <w:rPr>
          <w:i/>
          <w:iCs/>
          <w:sz w:val="20"/>
          <w:szCs w:val="20"/>
        </w:rPr>
        <w:t>Id.</w:t>
      </w:r>
      <w:r w:rsidR="00A11B2C" w:rsidRPr="00550954">
        <w:rPr>
          <w:sz w:val="20"/>
          <w:szCs w:val="20"/>
        </w:rPr>
        <w:t xml:space="preserve"> </w:t>
      </w:r>
    </w:p>
  </w:footnote>
  <w:footnote w:id="71">
    <w:p w14:paraId="0458B7E4" w14:textId="20D4FE92" w:rsidR="007864D3" w:rsidRPr="00550954" w:rsidRDefault="007864D3"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11" w:name="_Hlk139977170"/>
      <w:r w:rsidR="008D0997" w:rsidRPr="00550954">
        <w:rPr>
          <w:sz w:val="20"/>
          <w:szCs w:val="20"/>
        </w:rPr>
        <w:t xml:space="preserve">Noah Berg &amp; Jasmine </w:t>
      </w:r>
      <w:proofErr w:type="spellStart"/>
      <w:r w:rsidR="008D0997" w:rsidRPr="00550954">
        <w:rPr>
          <w:sz w:val="20"/>
          <w:szCs w:val="20"/>
        </w:rPr>
        <w:t>Shokoor</w:t>
      </w:r>
      <w:proofErr w:type="spellEnd"/>
      <w:r w:rsidR="008D0997" w:rsidRPr="00550954">
        <w:rPr>
          <w:sz w:val="20"/>
          <w:szCs w:val="20"/>
        </w:rPr>
        <w:t xml:space="preserve">, </w:t>
      </w:r>
      <w:r w:rsidR="008D0997" w:rsidRPr="00550954">
        <w:rPr>
          <w:i/>
          <w:iCs/>
          <w:sz w:val="20"/>
          <w:szCs w:val="20"/>
        </w:rPr>
        <w:t>Florida’s Multifaceted Expansion of the Death Penalty Raises Constitutional Concerns</w:t>
      </w:r>
      <w:r w:rsidR="008D0997" w:rsidRPr="00550954">
        <w:rPr>
          <w:sz w:val="20"/>
          <w:szCs w:val="20"/>
        </w:rPr>
        <w:t xml:space="preserve">, </w:t>
      </w:r>
      <w:r w:rsidR="008D0997" w:rsidRPr="00550954">
        <w:rPr>
          <w:smallCaps/>
          <w:sz w:val="20"/>
          <w:szCs w:val="20"/>
        </w:rPr>
        <w:t>Am</w:t>
      </w:r>
      <w:r w:rsidR="009F4164" w:rsidRPr="00550954">
        <w:rPr>
          <w:smallCaps/>
          <w:sz w:val="20"/>
          <w:szCs w:val="20"/>
        </w:rPr>
        <w:t>.</w:t>
      </w:r>
      <w:r w:rsidR="008D0997" w:rsidRPr="00550954">
        <w:rPr>
          <w:smallCaps/>
          <w:sz w:val="20"/>
          <w:szCs w:val="20"/>
        </w:rPr>
        <w:t xml:space="preserve"> Bar </w:t>
      </w:r>
      <w:proofErr w:type="spellStart"/>
      <w:r w:rsidR="008D0997" w:rsidRPr="00550954">
        <w:rPr>
          <w:smallCaps/>
          <w:sz w:val="20"/>
          <w:szCs w:val="20"/>
        </w:rPr>
        <w:t>Ass</w:t>
      </w:r>
      <w:r w:rsidR="0055155B" w:rsidRPr="00550954">
        <w:rPr>
          <w:smallCaps/>
          <w:sz w:val="20"/>
          <w:szCs w:val="20"/>
        </w:rPr>
        <w:t>’n</w:t>
      </w:r>
      <w:proofErr w:type="spellEnd"/>
      <w:r w:rsidR="0055155B" w:rsidRPr="00550954">
        <w:rPr>
          <w:sz w:val="20"/>
          <w:szCs w:val="20"/>
        </w:rPr>
        <w:t xml:space="preserve"> (</w:t>
      </w:r>
      <w:r w:rsidR="008D0997" w:rsidRPr="00550954">
        <w:rPr>
          <w:sz w:val="20"/>
          <w:szCs w:val="20"/>
        </w:rPr>
        <w:t>May 4, 2023</w:t>
      </w:r>
      <w:r w:rsidR="0055155B" w:rsidRPr="00550954">
        <w:rPr>
          <w:sz w:val="20"/>
          <w:szCs w:val="20"/>
        </w:rPr>
        <w:t>)</w:t>
      </w:r>
      <w:r w:rsidR="008D0997" w:rsidRPr="00550954">
        <w:rPr>
          <w:sz w:val="20"/>
          <w:szCs w:val="20"/>
        </w:rPr>
        <w:t>, https://www.americanbar.org/groups/committees/death_penalty_representation/publications/project_blog/florida-expands-the-death-penalty/</w:t>
      </w:r>
      <w:r w:rsidRPr="00550954">
        <w:rPr>
          <w:sz w:val="20"/>
          <w:szCs w:val="20"/>
        </w:rPr>
        <w:t xml:space="preserve"> </w:t>
      </w:r>
      <w:bookmarkEnd w:id="11"/>
      <w:r w:rsidR="008D0997" w:rsidRPr="00550954">
        <w:rPr>
          <w:sz w:val="20"/>
          <w:szCs w:val="20"/>
        </w:rPr>
        <w:t xml:space="preserve">(last visited July 12, 2023). </w:t>
      </w:r>
    </w:p>
  </w:footnote>
  <w:footnote w:id="72">
    <w:p w14:paraId="30F00DC6" w14:textId="471853A5" w:rsidR="000615B5" w:rsidRPr="00550954" w:rsidRDefault="000615B5" w:rsidP="00550954">
      <w:pPr>
        <w:pStyle w:val="FootnoteText"/>
        <w:rPr>
          <w:sz w:val="20"/>
          <w:szCs w:val="20"/>
        </w:rPr>
      </w:pPr>
      <w:r w:rsidRPr="00550954">
        <w:rPr>
          <w:rStyle w:val="FootnoteReference"/>
          <w:sz w:val="20"/>
          <w:szCs w:val="20"/>
        </w:rPr>
        <w:footnoteRef/>
      </w:r>
      <w:r w:rsidRPr="00550954">
        <w:rPr>
          <w:sz w:val="20"/>
          <w:szCs w:val="20"/>
        </w:rPr>
        <w:t xml:space="preserve"> </w:t>
      </w:r>
      <w:r w:rsidR="00F53530" w:rsidRPr="00550954">
        <w:rPr>
          <w:i/>
          <w:iCs/>
          <w:sz w:val="20"/>
          <w:szCs w:val="20"/>
        </w:rPr>
        <w:t>Id.</w:t>
      </w:r>
      <w:r w:rsidR="00A11B2C" w:rsidRPr="00550954">
        <w:rPr>
          <w:sz w:val="20"/>
          <w:szCs w:val="20"/>
        </w:rPr>
        <w:t xml:space="preserve"> </w:t>
      </w:r>
    </w:p>
  </w:footnote>
  <w:footnote w:id="73">
    <w:p w14:paraId="05F77199" w14:textId="1175B47E" w:rsidR="000615B5" w:rsidRPr="00550954" w:rsidRDefault="000615B5" w:rsidP="00550954">
      <w:pPr>
        <w:pStyle w:val="FootnoteText"/>
        <w:rPr>
          <w:sz w:val="20"/>
          <w:szCs w:val="20"/>
        </w:rPr>
      </w:pPr>
      <w:r w:rsidRPr="00550954">
        <w:rPr>
          <w:rStyle w:val="FootnoteReference"/>
          <w:sz w:val="20"/>
          <w:szCs w:val="20"/>
        </w:rPr>
        <w:footnoteRef/>
      </w:r>
      <w:r w:rsidRPr="00550954">
        <w:rPr>
          <w:sz w:val="20"/>
          <w:szCs w:val="20"/>
        </w:rPr>
        <w:t xml:space="preserve"> </w:t>
      </w:r>
      <w:r w:rsidR="0055155B" w:rsidRPr="00550954">
        <w:rPr>
          <w:smallCaps/>
          <w:sz w:val="20"/>
          <w:szCs w:val="20"/>
        </w:rPr>
        <w:t>Death Penalty Info. Ctr.,</w:t>
      </w:r>
      <w:r w:rsidR="0055155B" w:rsidRPr="00550954">
        <w:rPr>
          <w:i/>
          <w:iCs/>
          <w:sz w:val="20"/>
          <w:szCs w:val="20"/>
        </w:rPr>
        <w:t xml:space="preserve"> </w:t>
      </w:r>
      <w:r w:rsidR="008D0997" w:rsidRPr="00550954">
        <w:rPr>
          <w:i/>
          <w:iCs/>
          <w:sz w:val="20"/>
          <w:szCs w:val="20"/>
        </w:rPr>
        <w:t>Missouri Supreme Court Hears Case on ‘Hung Jury’ Death Sentence</w:t>
      </w:r>
      <w:r w:rsidR="0055155B" w:rsidRPr="00550954">
        <w:rPr>
          <w:sz w:val="20"/>
          <w:szCs w:val="20"/>
        </w:rPr>
        <w:t xml:space="preserve"> (</w:t>
      </w:r>
      <w:r w:rsidR="008D0997" w:rsidRPr="00550954">
        <w:rPr>
          <w:sz w:val="20"/>
          <w:szCs w:val="20"/>
        </w:rPr>
        <w:t>Jan. 29, 2019</w:t>
      </w:r>
      <w:r w:rsidR="0055155B" w:rsidRPr="00550954">
        <w:rPr>
          <w:sz w:val="20"/>
          <w:szCs w:val="20"/>
        </w:rPr>
        <w:t>)</w:t>
      </w:r>
      <w:r w:rsidR="008D0997" w:rsidRPr="00550954">
        <w:rPr>
          <w:sz w:val="20"/>
          <w:szCs w:val="20"/>
        </w:rPr>
        <w:t>,</w:t>
      </w:r>
      <w:r w:rsidR="008D0997" w:rsidRPr="00550954">
        <w:rPr>
          <w:i/>
          <w:iCs/>
          <w:sz w:val="20"/>
          <w:szCs w:val="20"/>
        </w:rPr>
        <w:t xml:space="preserve"> </w:t>
      </w:r>
      <w:r w:rsidR="008D0997" w:rsidRPr="00550954">
        <w:rPr>
          <w:sz w:val="20"/>
          <w:szCs w:val="20"/>
        </w:rPr>
        <w:t xml:space="preserve">https://deathpenaltyinfo.org/news/missouri-supreme-court-hears-case-on-hung-jury-death-sentences (last visited July 12, 2023). </w:t>
      </w:r>
      <w:r w:rsidRPr="00550954">
        <w:rPr>
          <w:sz w:val="20"/>
          <w:szCs w:val="20"/>
        </w:rPr>
        <w:t xml:space="preserve"> </w:t>
      </w:r>
    </w:p>
  </w:footnote>
  <w:footnote w:id="74">
    <w:p w14:paraId="3422C13E" w14:textId="0156ECD7" w:rsidR="00852401" w:rsidRPr="00550954" w:rsidRDefault="00852401"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12" w:name="_Hlk141276437"/>
      <w:r w:rsidR="0055155B" w:rsidRPr="00550954">
        <w:rPr>
          <w:smallCaps/>
          <w:sz w:val="20"/>
          <w:szCs w:val="20"/>
        </w:rPr>
        <w:t>Death Penalty Info. Ctr.,</w:t>
      </w:r>
      <w:bookmarkEnd w:id="12"/>
      <w:r w:rsidR="0055155B" w:rsidRPr="00550954">
        <w:rPr>
          <w:smallCaps/>
          <w:sz w:val="20"/>
          <w:szCs w:val="20"/>
        </w:rPr>
        <w:t xml:space="preserve"> </w:t>
      </w:r>
      <w:r w:rsidR="00970905" w:rsidRPr="00550954">
        <w:rPr>
          <w:i/>
          <w:iCs/>
          <w:sz w:val="20"/>
          <w:szCs w:val="20"/>
        </w:rPr>
        <w:t>Missouri Judge Sentences Defendant to Death After 11 Jurors Had Voted for Life Sentence</w:t>
      </w:r>
      <w:r w:rsidR="00970905" w:rsidRPr="00550954">
        <w:rPr>
          <w:sz w:val="20"/>
          <w:szCs w:val="20"/>
        </w:rPr>
        <w:t xml:space="preserve"> </w:t>
      </w:r>
      <w:r w:rsidR="0055155B" w:rsidRPr="00550954">
        <w:rPr>
          <w:sz w:val="20"/>
          <w:szCs w:val="20"/>
        </w:rPr>
        <w:t>(</w:t>
      </w:r>
      <w:r w:rsidR="00970905" w:rsidRPr="00550954">
        <w:rPr>
          <w:sz w:val="20"/>
          <w:szCs w:val="20"/>
        </w:rPr>
        <w:t>Oct. 12, 2017</w:t>
      </w:r>
      <w:r w:rsidR="0055155B" w:rsidRPr="00550954">
        <w:rPr>
          <w:sz w:val="20"/>
          <w:szCs w:val="20"/>
        </w:rPr>
        <w:t>)</w:t>
      </w:r>
      <w:r w:rsidR="00970905" w:rsidRPr="00550954">
        <w:rPr>
          <w:sz w:val="20"/>
          <w:szCs w:val="20"/>
        </w:rPr>
        <w:t>, https://deathpenaltyinfo.org/news/missouri-judge-sentences-defendant-to-death-after-11-jurors-had-voted-for-life-sentence</w:t>
      </w:r>
      <w:r w:rsidR="00970905" w:rsidRPr="00550954">
        <w:rPr>
          <w:rStyle w:val="Hyperlink"/>
          <w:color w:val="auto"/>
          <w:sz w:val="20"/>
          <w:szCs w:val="20"/>
          <w:u w:val="none"/>
        </w:rPr>
        <w:t xml:space="preserve"> (last visited July 12, 2023)</w:t>
      </w:r>
      <w:r w:rsidRPr="00550954">
        <w:rPr>
          <w:sz w:val="20"/>
          <w:szCs w:val="20"/>
        </w:rPr>
        <w:t>. Rice’s conviction was later overturned by the Missouri Supreme Court and he was resentenced to life without parole</w:t>
      </w:r>
      <w:r w:rsidR="00970905" w:rsidRPr="00550954">
        <w:rPr>
          <w:sz w:val="20"/>
          <w:szCs w:val="20"/>
        </w:rPr>
        <w:t xml:space="preserve">. </w:t>
      </w:r>
      <w:r w:rsidR="0055155B" w:rsidRPr="00550954">
        <w:rPr>
          <w:smallCaps/>
          <w:sz w:val="20"/>
          <w:szCs w:val="20"/>
        </w:rPr>
        <w:t xml:space="preserve">Death Penalty Info. Ctr., </w:t>
      </w:r>
      <w:r w:rsidR="00970905" w:rsidRPr="00550954">
        <w:rPr>
          <w:i/>
          <w:iCs/>
          <w:sz w:val="20"/>
          <w:szCs w:val="20"/>
        </w:rPr>
        <w:t>Judge Rejects Missouri’s First Jury Recommendation of Death in Nine Years, Says Mitigating Evidence Requires Life Sentence for Marvin Rice</w:t>
      </w:r>
      <w:r w:rsidR="00970905" w:rsidRPr="00550954">
        <w:rPr>
          <w:sz w:val="20"/>
          <w:szCs w:val="20"/>
        </w:rPr>
        <w:t xml:space="preserve"> </w:t>
      </w:r>
      <w:r w:rsidR="00516786" w:rsidRPr="00550954">
        <w:rPr>
          <w:sz w:val="20"/>
          <w:szCs w:val="20"/>
        </w:rPr>
        <w:t>(</w:t>
      </w:r>
      <w:r w:rsidR="00970905" w:rsidRPr="00550954">
        <w:rPr>
          <w:sz w:val="20"/>
          <w:szCs w:val="20"/>
        </w:rPr>
        <w:t>May 26, 2022</w:t>
      </w:r>
      <w:r w:rsidR="00516786" w:rsidRPr="00550954">
        <w:rPr>
          <w:sz w:val="20"/>
          <w:szCs w:val="20"/>
        </w:rPr>
        <w:t>)</w:t>
      </w:r>
      <w:r w:rsidR="00970905" w:rsidRPr="00550954">
        <w:rPr>
          <w:sz w:val="20"/>
          <w:szCs w:val="20"/>
        </w:rPr>
        <w:t>, https://deathpenaltyinfo.org/news/judge-rejects-missouris-first-jury-recommendation-of-death-in-nine-years-says-mitigating-evidence-requires-life-sentence-for-marvin-rice (last visited July 12, 2023).</w:t>
      </w:r>
      <w:r w:rsidRPr="00550954">
        <w:rPr>
          <w:sz w:val="20"/>
          <w:szCs w:val="20"/>
        </w:rPr>
        <w:t xml:space="preserve"> </w:t>
      </w:r>
    </w:p>
  </w:footnote>
  <w:footnote w:id="75">
    <w:p w14:paraId="111D9B6A" w14:textId="77777777" w:rsidR="006738F5" w:rsidRPr="00550954" w:rsidRDefault="006738F5"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Death Penalty Info. Ctr.</w:t>
      </w:r>
      <w:r w:rsidRPr="00550954">
        <w:rPr>
          <w:sz w:val="20"/>
          <w:szCs w:val="20"/>
        </w:rPr>
        <w:t xml:space="preserve">, </w:t>
      </w:r>
      <w:r w:rsidRPr="00550954">
        <w:rPr>
          <w:i/>
          <w:iCs/>
          <w:sz w:val="20"/>
          <w:szCs w:val="20"/>
        </w:rPr>
        <w:t>Death Penalty Representation Background</w:t>
      </w:r>
      <w:r w:rsidRPr="00550954">
        <w:rPr>
          <w:sz w:val="20"/>
          <w:szCs w:val="20"/>
        </w:rPr>
        <w:t>, https://deathpenaltyinfo.org/policy-issues/death-penalty-representation/background (last visited July 12, 2023).</w:t>
      </w:r>
    </w:p>
  </w:footnote>
  <w:footnote w:id="76">
    <w:p w14:paraId="6FD19AFC" w14:textId="038AC634" w:rsidR="00835C3E" w:rsidRPr="00550954" w:rsidRDefault="00835C3E" w:rsidP="00550954">
      <w:pPr>
        <w:pStyle w:val="FootnoteText"/>
        <w:rPr>
          <w:sz w:val="20"/>
          <w:szCs w:val="20"/>
        </w:rPr>
      </w:pPr>
      <w:r w:rsidRPr="00550954">
        <w:rPr>
          <w:rStyle w:val="FootnoteReference"/>
          <w:sz w:val="20"/>
          <w:szCs w:val="20"/>
        </w:rPr>
        <w:footnoteRef/>
      </w:r>
      <w:r w:rsidRPr="00550954">
        <w:rPr>
          <w:sz w:val="20"/>
          <w:szCs w:val="20"/>
        </w:rPr>
        <w:t xml:space="preserve"> </w:t>
      </w:r>
      <w:r w:rsidR="00970905" w:rsidRPr="00550954">
        <w:rPr>
          <w:smallCaps/>
          <w:sz w:val="20"/>
          <w:szCs w:val="20"/>
        </w:rPr>
        <w:t>U.S. Const.</w:t>
      </w:r>
      <w:r w:rsidR="00970905" w:rsidRPr="00550954">
        <w:rPr>
          <w:sz w:val="20"/>
          <w:szCs w:val="20"/>
        </w:rPr>
        <w:t xml:space="preserve"> amend. VI.</w:t>
      </w:r>
    </w:p>
  </w:footnote>
  <w:footnote w:id="77">
    <w:p w14:paraId="24D1A85D" w14:textId="152D0E1B" w:rsidR="007D2EAE" w:rsidRPr="00550954" w:rsidRDefault="007D2EAE"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Strickland v. Washington</w:t>
      </w:r>
      <w:r w:rsidRPr="00550954">
        <w:rPr>
          <w:sz w:val="20"/>
          <w:szCs w:val="20"/>
        </w:rPr>
        <w:t xml:space="preserve">, 466 U.S. 688 (1984). </w:t>
      </w:r>
    </w:p>
  </w:footnote>
  <w:footnote w:id="78">
    <w:p w14:paraId="570E9B3E" w14:textId="047AA0F6" w:rsidR="0081016F" w:rsidRPr="00550954" w:rsidRDefault="0081016F" w:rsidP="00550954">
      <w:pPr>
        <w:pStyle w:val="FootnoteText"/>
        <w:rPr>
          <w:sz w:val="20"/>
          <w:szCs w:val="20"/>
        </w:rPr>
      </w:pPr>
      <w:r w:rsidRPr="00550954">
        <w:rPr>
          <w:rStyle w:val="FootnoteReference"/>
          <w:sz w:val="20"/>
          <w:szCs w:val="20"/>
        </w:rPr>
        <w:footnoteRef/>
      </w:r>
      <w:r w:rsidRPr="00550954">
        <w:rPr>
          <w:sz w:val="20"/>
          <w:szCs w:val="20"/>
        </w:rPr>
        <w:t xml:space="preserve"> </w:t>
      </w:r>
      <w:r w:rsidR="00DB0073" w:rsidRPr="00550954">
        <w:rPr>
          <w:smallCaps/>
          <w:sz w:val="20"/>
          <w:szCs w:val="20"/>
        </w:rPr>
        <w:t>Am</w:t>
      </w:r>
      <w:r w:rsidR="009F4164" w:rsidRPr="00550954">
        <w:rPr>
          <w:smallCaps/>
          <w:sz w:val="20"/>
          <w:szCs w:val="20"/>
        </w:rPr>
        <w:t xml:space="preserve">. </w:t>
      </w:r>
      <w:r w:rsidR="00DB0073" w:rsidRPr="00550954">
        <w:rPr>
          <w:smallCaps/>
          <w:sz w:val="20"/>
          <w:szCs w:val="20"/>
        </w:rPr>
        <w:t xml:space="preserve"> Bar </w:t>
      </w:r>
      <w:proofErr w:type="spellStart"/>
      <w:r w:rsidR="00DB0073" w:rsidRPr="00550954">
        <w:rPr>
          <w:smallCaps/>
          <w:sz w:val="20"/>
          <w:szCs w:val="20"/>
        </w:rPr>
        <w:t>Ass</w:t>
      </w:r>
      <w:r w:rsidR="00516786" w:rsidRPr="00550954">
        <w:rPr>
          <w:smallCaps/>
          <w:sz w:val="20"/>
          <w:szCs w:val="20"/>
        </w:rPr>
        <w:t>’</w:t>
      </w:r>
      <w:r w:rsidR="00DB0073" w:rsidRPr="00550954">
        <w:rPr>
          <w:smallCaps/>
          <w:sz w:val="20"/>
          <w:szCs w:val="20"/>
        </w:rPr>
        <w:t>n</w:t>
      </w:r>
      <w:proofErr w:type="spellEnd"/>
      <w:r w:rsidR="00DB0073" w:rsidRPr="00550954">
        <w:rPr>
          <w:smallCaps/>
          <w:sz w:val="20"/>
          <w:szCs w:val="20"/>
        </w:rPr>
        <w:t xml:space="preserve">, </w:t>
      </w:r>
      <w:r w:rsidR="00DB0073" w:rsidRPr="00550954">
        <w:rPr>
          <w:i/>
          <w:iCs/>
          <w:sz w:val="20"/>
          <w:szCs w:val="20"/>
        </w:rPr>
        <w:t>Guidelines for the Appointment and Performance of Defense Counsel in Death Penalty Cases</w:t>
      </w:r>
      <w:r w:rsidR="00516786" w:rsidRPr="00550954">
        <w:rPr>
          <w:sz w:val="20"/>
          <w:szCs w:val="20"/>
        </w:rPr>
        <w:t xml:space="preserve"> (</w:t>
      </w:r>
      <w:r w:rsidR="00DB0073" w:rsidRPr="00550954">
        <w:rPr>
          <w:sz w:val="20"/>
          <w:szCs w:val="20"/>
        </w:rPr>
        <w:t>Feb</w:t>
      </w:r>
      <w:r w:rsidR="00516786" w:rsidRPr="00550954">
        <w:rPr>
          <w:sz w:val="20"/>
          <w:szCs w:val="20"/>
        </w:rPr>
        <w:t xml:space="preserve">. </w:t>
      </w:r>
      <w:r w:rsidR="00DB0073" w:rsidRPr="00550954">
        <w:rPr>
          <w:sz w:val="20"/>
          <w:szCs w:val="20"/>
        </w:rPr>
        <w:t>2003</w:t>
      </w:r>
      <w:r w:rsidR="00516786" w:rsidRPr="00550954">
        <w:rPr>
          <w:sz w:val="20"/>
          <w:szCs w:val="20"/>
        </w:rPr>
        <w:t>)</w:t>
      </w:r>
      <w:r w:rsidR="00DB0073" w:rsidRPr="00550954">
        <w:rPr>
          <w:sz w:val="20"/>
          <w:szCs w:val="20"/>
        </w:rPr>
        <w:t>,</w:t>
      </w:r>
      <w:r w:rsidR="00DB0073" w:rsidRPr="00550954">
        <w:rPr>
          <w:i/>
          <w:iCs/>
          <w:sz w:val="20"/>
          <w:szCs w:val="20"/>
        </w:rPr>
        <w:t xml:space="preserve"> </w:t>
      </w:r>
      <w:r w:rsidR="00DB0073" w:rsidRPr="00550954">
        <w:rPr>
          <w:sz w:val="20"/>
          <w:szCs w:val="20"/>
        </w:rPr>
        <w:t>https://dpic-cdn.org/production/legacy/2003ABAGuidelines.pdf (last visited July 19, 2023)</w:t>
      </w:r>
      <w:r w:rsidR="007742EB" w:rsidRPr="00550954">
        <w:rPr>
          <w:sz w:val="20"/>
          <w:szCs w:val="20"/>
        </w:rPr>
        <w:t xml:space="preserve">; </w:t>
      </w:r>
      <w:r w:rsidR="00DB0073" w:rsidRPr="00550954">
        <w:rPr>
          <w:smallCaps/>
          <w:sz w:val="20"/>
          <w:szCs w:val="20"/>
        </w:rPr>
        <w:t>Dept. of Justice</w:t>
      </w:r>
      <w:r w:rsidR="00DB0073" w:rsidRPr="00550954">
        <w:rPr>
          <w:sz w:val="20"/>
          <w:szCs w:val="20"/>
        </w:rPr>
        <w:t xml:space="preserve">, </w:t>
      </w:r>
      <w:r w:rsidR="00DB0073" w:rsidRPr="00550954">
        <w:rPr>
          <w:i/>
          <w:iCs/>
          <w:sz w:val="20"/>
          <w:szCs w:val="20"/>
        </w:rPr>
        <w:t>Compendium of Standards for Indigent Defense Systems</w:t>
      </w:r>
      <w:r w:rsidR="00516786" w:rsidRPr="00550954">
        <w:rPr>
          <w:sz w:val="20"/>
          <w:szCs w:val="20"/>
        </w:rPr>
        <w:t xml:space="preserve"> (</w:t>
      </w:r>
      <w:r w:rsidR="00DB0073" w:rsidRPr="00550954">
        <w:rPr>
          <w:sz w:val="20"/>
          <w:szCs w:val="20"/>
        </w:rPr>
        <w:t>Dec</w:t>
      </w:r>
      <w:r w:rsidR="00516786" w:rsidRPr="00550954">
        <w:rPr>
          <w:sz w:val="20"/>
          <w:szCs w:val="20"/>
        </w:rPr>
        <w:t>.</w:t>
      </w:r>
      <w:r w:rsidR="00DB0073" w:rsidRPr="00550954">
        <w:rPr>
          <w:sz w:val="20"/>
          <w:szCs w:val="20"/>
        </w:rPr>
        <w:t xml:space="preserve"> 2000</w:t>
      </w:r>
      <w:r w:rsidR="00516786" w:rsidRPr="00550954">
        <w:rPr>
          <w:sz w:val="20"/>
          <w:szCs w:val="20"/>
        </w:rPr>
        <w:t>),</w:t>
      </w:r>
      <w:r w:rsidR="00DB0073" w:rsidRPr="00550954">
        <w:rPr>
          <w:sz w:val="20"/>
          <w:szCs w:val="20"/>
        </w:rPr>
        <w:t xml:space="preserve"> https://dpic-cdn.org/production/legacy/DOJStandards_2000.pdf</w:t>
      </w:r>
      <w:r w:rsidR="007742EB" w:rsidRPr="00550954">
        <w:rPr>
          <w:sz w:val="20"/>
          <w:szCs w:val="20"/>
        </w:rPr>
        <w:t xml:space="preserve"> </w:t>
      </w:r>
      <w:r w:rsidR="00DB0073" w:rsidRPr="00550954">
        <w:rPr>
          <w:sz w:val="20"/>
          <w:szCs w:val="20"/>
        </w:rPr>
        <w:t xml:space="preserve">(last visited July 19, 2023). </w:t>
      </w:r>
    </w:p>
  </w:footnote>
  <w:footnote w:id="79">
    <w:p w14:paraId="20387FC4" w14:textId="2852E0B5" w:rsidR="007742EB" w:rsidRPr="00550954" w:rsidRDefault="007742EB"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See e.g.</w:t>
      </w:r>
      <w:r w:rsidRPr="00550954">
        <w:rPr>
          <w:sz w:val="20"/>
          <w:szCs w:val="20"/>
        </w:rPr>
        <w:t xml:space="preserve">, </w:t>
      </w:r>
      <w:r w:rsidRPr="00550954">
        <w:rPr>
          <w:smallCaps/>
          <w:sz w:val="20"/>
          <w:szCs w:val="20"/>
        </w:rPr>
        <w:t>A</w:t>
      </w:r>
      <w:r w:rsidR="009F4164" w:rsidRPr="00550954">
        <w:rPr>
          <w:smallCaps/>
          <w:sz w:val="20"/>
          <w:szCs w:val="20"/>
        </w:rPr>
        <w:t>la.</w:t>
      </w:r>
      <w:r w:rsidRPr="00550954">
        <w:rPr>
          <w:smallCaps/>
          <w:sz w:val="20"/>
          <w:szCs w:val="20"/>
        </w:rPr>
        <w:t xml:space="preserve"> Code</w:t>
      </w:r>
      <w:r w:rsidRPr="00550954">
        <w:rPr>
          <w:sz w:val="20"/>
          <w:szCs w:val="20"/>
        </w:rPr>
        <w:t xml:space="preserve"> § 13A-5-52 (2022) (requiring only that each person who is unable to afford legal counsel be appointed counsel with “no less than five years prior experience in the active practice of criminal law”). </w:t>
      </w:r>
    </w:p>
  </w:footnote>
  <w:footnote w:id="80">
    <w:p w14:paraId="3C981ECB" w14:textId="65B88CC5" w:rsidR="00A37CD1" w:rsidRPr="00550954" w:rsidRDefault="00A37CD1"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13" w:name="_Hlk141278035"/>
      <w:r w:rsidR="00970905" w:rsidRPr="00550954">
        <w:rPr>
          <w:smallCaps/>
          <w:sz w:val="20"/>
          <w:szCs w:val="20"/>
        </w:rPr>
        <w:t>Equal Just</w:t>
      </w:r>
      <w:r w:rsidR="00516786" w:rsidRPr="00550954">
        <w:rPr>
          <w:smallCaps/>
          <w:sz w:val="20"/>
          <w:szCs w:val="20"/>
        </w:rPr>
        <w:t>.</w:t>
      </w:r>
      <w:r w:rsidR="00970905" w:rsidRPr="00550954">
        <w:rPr>
          <w:smallCaps/>
          <w:sz w:val="20"/>
          <w:szCs w:val="20"/>
        </w:rPr>
        <w:t xml:space="preserve"> Initiative</w:t>
      </w:r>
      <w:bookmarkEnd w:id="13"/>
      <w:r w:rsidR="00970905" w:rsidRPr="00550954">
        <w:rPr>
          <w:sz w:val="20"/>
          <w:szCs w:val="20"/>
        </w:rPr>
        <w:t xml:space="preserve">, </w:t>
      </w:r>
      <w:r w:rsidR="00970905" w:rsidRPr="00550954">
        <w:rPr>
          <w:i/>
          <w:iCs/>
          <w:sz w:val="20"/>
          <w:szCs w:val="20"/>
        </w:rPr>
        <w:t>Alabama’s Death Penalty</w:t>
      </w:r>
      <w:r w:rsidR="00970905" w:rsidRPr="00550954">
        <w:rPr>
          <w:sz w:val="20"/>
          <w:szCs w:val="20"/>
        </w:rPr>
        <w:t xml:space="preserve">, </w:t>
      </w:r>
      <w:r w:rsidR="00516786" w:rsidRPr="00550954">
        <w:rPr>
          <w:sz w:val="20"/>
          <w:szCs w:val="20"/>
        </w:rPr>
        <w:t>https://eji.org/issues/alabama-death-penalty/ (last visited July 12, 2023)</w:t>
      </w:r>
      <w:r w:rsidR="00970905" w:rsidRPr="00550954">
        <w:rPr>
          <w:sz w:val="20"/>
          <w:szCs w:val="20"/>
        </w:rPr>
        <w:t>.</w:t>
      </w:r>
    </w:p>
  </w:footnote>
  <w:footnote w:id="81">
    <w:p w14:paraId="4CE9EE1D" w14:textId="3FB89FB1" w:rsidR="00A37CD1" w:rsidRPr="00550954" w:rsidRDefault="00A37CD1" w:rsidP="00550954">
      <w:pPr>
        <w:pStyle w:val="FootnoteText"/>
        <w:rPr>
          <w:i/>
          <w:iCs/>
          <w:sz w:val="20"/>
          <w:szCs w:val="20"/>
        </w:rPr>
      </w:pPr>
      <w:r w:rsidRPr="00550954">
        <w:rPr>
          <w:rStyle w:val="FootnoteReference"/>
          <w:sz w:val="20"/>
          <w:szCs w:val="20"/>
        </w:rPr>
        <w:footnoteRef/>
      </w:r>
      <w:r w:rsidRPr="00550954">
        <w:rPr>
          <w:sz w:val="20"/>
          <w:szCs w:val="20"/>
        </w:rPr>
        <w:t xml:space="preserve"> </w:t>
      </w:r>
      <w:r w:rsidR="00724DC8" w:rsidRPr="00550954">
        <w:rPr>
          <w:i/>
          <w:iCs/>
          <w:sz w:val="20"/>
          <w:szCs w:val="20"/>
        </w:rPr>
        <w:t>Id.</w:t>
      </w:r>
    </w:p>
  </w:footnote>
  <w:footnote w:id="82">
    <w:p w14:paraId="43CAF122" w14:textId="40B8DD9E" w:rsidR="00A37CD1" w:rsidRPr="00550954" w:rsidRDefault="00A37CD1" w:rsidP="00550954">
      <w:pPr>
        <w:pStyle w:val="FootnoteText"/>
        <w:rPr>
          <w:sz w:val="20"/>
          <w:szCs w:val="20"/>
        </w:rPr>
      </w:pPr>
      <w:r w:rsidRPr="00550954">
        <w:rPr>
          <w:rStyle w:val="FootnoteReference"/>
          <w:sz w:val="20"/>
          <w:szCs w:val="20"/>
        </w:rPr>
        <w:footnoteRef/>
      </w:r>
      <w:r w:rsidR="00516786" w:rsidRPr="00550954">
        <w:rPr>
          <w:sz w:val="20"/>
          <w:szCs w:val="20"/>
        </w:rPr>
        <w:t xml:space="preserve"> </w:t>
      </w:r>
      <w:r w:rsidR="003D4637" w:rsidRPr="00550954">
        <w:rPr>
          <w:smallCaps/>
          <w:sz w:val="20"/>
          <w:szCs w:val="20"/>
        </w:rPr>
        <w:t>Death Penalty Info. Ctr.</w:t>
      </w:r>
      <w:r w:rsidR="003D4637" w:rsidRPr="00550954">
        <w:rPr>
          <w:sz w:val="20"/>
          <w:szCs w:val="20"/>
        </w:rPr>
        <w:t xml:space="preserve">, </w:t>
      </w:r>
      <w:r w:rsidR="003D4637" w:rsidRPr="00550954">
        <w:rPr>
          <w:i/>
          <w:iCs/>
          <w:sz w:val="20"/>
          <w:szCs w:val="20"/>
        </w:rPr>
        <w:t>Death Penalty Representation Background</w:t>
      </w:r>
      <w:r w:rsidR="003D4637" w:rsidRPr="00550954">
        <w:rPr>
          <w:sz w:val="20"/>
          <w:szCs w:val="20"/>
        </w:rPr>
        <w:t>, https://deathpenaltyinfo.org/policy-issues/death-penalty-representation/background (last visited July 12, 2023).</w:t>
      </w:r>
    </w:p>
  </w:footnote>
  <w:footnote w:id="83">
    <w:p w14:paraId="592A68F5" w14:textId="736C7C0F" w:rsidR="00E47885" w:rsidRPr="00550954" w:rsidRDefault="00E47885" w:rsidP="00550954">
      <w:pPr>
        <w:pStyle w:val="FootnoteText"/>
        <w:rPr>
          <w:sz w:val="20"/>
          <w:szCs w:val="20"/>
        </w:rPr>
      </w:pPr>
      <w:r w:rsidRPr="00550954">
        <w:rPr>
          <w:rStyle w:val="FootnoteReference"/>
          <w:sz w:val="20"/>
          <w:szCs w:val="20"/>
        </w:rPr>
        <w:footnoteRef/>
      </w:r>
      <w:r w:rsidRPr="00550954">
        <w:rPr>
          <w:sz w:val="20"/>
          <w:szCs w:val="20"/>
        </w:rPr>
        <w:t xml:space="preserve"> </w:t>
      </w:r>
      <w:r w:rsidR="00DC229C" w:rsidRPr="00550954">
        <w:rPr>
          <w:smallCaps/>
          <w:sz w:val="20"/>
          <w:szCs w:val="20"/>
        </w:rPr>
        <w:t>Capital Punishment in Context</w:t>
      </w:r>
      <w:r w:rsidR="00DC229C" w:rsidRPr="00550954">
        <w:rPr>
          <w:sz w:val="20"/>
          <w:szCs w:val="20"/>
        </w:rPr>
        <w:t>,</w:t>
      </w:r>
      <w:r w:rsidR="00DC229C" w:rsidRPr="00550954">
        <w:rPr>
          <w:i/>
          <w:iCs/>
          <w:sz w:val="20"/>
          <w:szCs w:val="20"/>
        </w:rPr>
        <w:t xml:space="preserve"> Post-Conviction in Capital Cases</w:t>
      </w:r>
      <w:r w:rsidR="00DC229C" w:rsidRPr="00550954">
        <w:rPr>
          <w:sz w:val="20"/>
          <w:szCs w:val="20"/>
        </w:rPr>
        <w:t>,</w:t>
      </w:r>
      <w:r w:rsidR="00516786" w:rsidRPr="00550954">
        <w:rPr>
          <w:sz w:val="20"/>
          <w:szCs w:val="20"/>
        </w:rPr>
        <w:t xml:space="preserve"> https://capitalpunishmentincontext.org/issues/postconviction (last visited July 12, 2023)</w:t>
      </w:r>
      <w:r w:rsidR="00DC229C" w:rsidRPr="00550954">
        <w:rPr>
          <w:sz w:val="20"/>
          <w:szCs w:val="20"/>
        </w:rPr>
        <w:t>.</w:t>
      </w:r>
    </w:p>
  </w:footnote>
  <w:footnote w:id="84">
    <w:p w14:paraId="423370B1" w14:textId="33BDA2FA" w:rsidR="00E47885" w:rsidRPr="00550954" w:rsidRDefault="00E47885"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Herrera v. Collins</w:t>
      </w:r>
      <w:r w:rsidRPr="00550954">
        <w:rPr>
          <w:sz w:val="20"/>
          <w:szCs w:val="20"/>
        </w:rPr>
        <w:t xml:space="preserve">, 506 U.S. 390 (1993). </w:t>
      </w:r>
    </w:p>
  </w:footnote>
  <w:footnote w:id="85">
    <w:p w14:paraId="10122712" w14:textId="4213A1CA" w:rsidR="00E47885" w:rsidRPr="00550954" w:rsidRDefault="00E47885" w:rsidP="00550954">
      <w:pPr>
        <w:pStyle w:val="FootnoteText"/>
        <w:rPr>
          <w:sz w:val="20"/>
          <w:szCs w:val="20"/>
        </w:rPr>
      </w:pPr>
      <w:r w:rsidRPr="00550954">
        <w:rPr>
          <w:rStyle w:val="FootnoteReference"/>
          <w:sz w:val="20"/>
          <w:szCs w:val="20"/>
        </w:rPr>
        <w:footnoteRef/>
      </w:r>
      <w:r w:rsidRPr="00550954">
        <w:rPr>
          <w:sz w:val="20"/>
          <w:szCs w:val="20"/>
        </w:rPr>
        <w:t xml:space="preserve"> </w:t>
      </w:r>
      <w:r w:rsidR="003D4637" w:rsidRPr="00550954">
        <w:rPr>
          <w:smallCaps/>
          <w:sz w:val="20"/>
          <w:szCs w:val="20"/>
        </w:rPr>
        <w:t>Capital Punishment in Context</w:t>
      </w:r>
      <w:r w:rsidR="003D4637" w:rsidRPr="00550954">
        <w:rPr>
          <w:sz w:val="20"/>
          <w:szCs w:val="20"/>
        </w:rPr>
        <w:t>,</w:t>
      </w:r>
      <w:r w:rsidR="003D4637" w:rsidRPr="00550954">
        <w:rPr>
          <w:i/>
          <w:iCs/>
          <w:sz w:val="20"/>
          <w:szCs w:val="20"/>
        </w:rPr>
        <w:t xml:space="preserve"> Post-Conviction in Capital Cases</w:t>
      </w:r>
      <w:r w:rsidR="003D4637" w:rsidRPr="00550954">
        <w:rPr>
          <w:sz w:val="20"/>
          <w:szCs w:val="20"/>
        </w:rPr>
        <w:t>, https://capitalpunishmentincontext.org/issues/postconviction (last visited July 12, 2023).</w:t>
      </w:r>
    </w:p>
  </w:footnote>
  <w:footnote w:id="86">
    <w:p w14:paraId="2D2B00E7" w14:textId="3D678AA1" w:rsidR="00D6269E" w:rsidRPr="00550954" w:rsidRDefault="00D6269E"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14" w:name="_Hlk141278004"/>
      <w:bookmarkStart w:id="15" w:name="_Hlk140562925"/>
      <w:r w:rsidR="00DC229C" w:rsidRPr="00550954">
        <w:rPr>
          <w:smallCaps/>
          <w:sz w:val="20"/>
          <w:szCs w:val="20"/>
        </w:rPr>
        <w:t>Death Penalty Info</w:t>
      </w:r>
      <w:r w:rsidR="00516786" w:rsidRPr="00550954">
        <w:rPr>
          <w:smallCaps/>
          <w:sz w:val="20"/>
          <w:szCs w:val="20"/>
        </w:rPr>
        <w:t xml:space="preserve">. </w:t>
      </w:r>
      <w:r w:rsidR="00DC229C" w:rsidRPr="00550954">
        <w:rPr>
          <w:smallCaps/>
          <w:sz w:val="20"/>
          <w:szCs w:val="20"/>
        </w:rPr>
        <w:t>C</w:t>
      </w:r>
      <w:r w:rsidR="00516786" w:rsidRPr="00550954">
        <w:rPr>
          <w:smallCaps/>
          <w:sz w:val="20"/>
          <w:szCs w:val="20"/>
        </w:rPr>
        <w:t>tr.</w:t>
      </w:r>
      <w:bookmarkEnd w:id="14"/>
      <w:r w:rsidR="00DC229C" w:rsidRPr="00550954">
        <w:rPr>
          <w:sz w:val="20"/>
          <w:szCs w:val="20"/>
        </w:rPr>
        <w:t xml:space="preserve">, </w:t>
      </w:r>
      <w:r w:rsidR="00DC229C" w:rsidRPr="00550954">
        <w:rPr>
          <w:i/>
          <w:iCs/>
          <w:sz w:val="20"/>
          <w:szCs w:val="20"/>
        </w:rPr>
        <w:t>Costs</w:t>
      </w:r>
      <w:r w:rsidR="00DC229C" w:rsidRPr="00550954">
        <w:rPr>
          <w:sz w:val="20"/>
          <w:szCs w:val="20"/>
        </w:rPr>
        <w:t xml:space="preserve">, </w:t>
      </w:r>
      <w:r w:rsidR="00516786" w:rsidRPr="00550954">
        <w:rPr>
          <w:sz w:val="20"/>
          <w:szCs w:val="20"/>
        </w:rPr>
        <w:t>https://deathpenaltyinfo.org/policy-issues/costs (last visited July 12, 2023)</w:t>
      </w:r>
      <w:r w:rsidR="00DC229C" w:rsidRPr="00550954">
        <w:rPr>
          <w:sz w:val="20"/>
          <w:szCs w:val="20"/>
        </w:rPr>
        <w:t>.</w:t>
      </w:r>
      <w:bookmarkEnd w:id="15"/>
    </w:p>
  </w:footnote>
  <w:footnote w:id="87">
    <w:p w14:paraId="043C2191" w14:textId="1D4FF016" w:rsidR="00EF27F5" w:rsidRPr="00550954" w:rsidRDefault="00EF27F5" w:rsidP="00550954">
      <w:pPr>
        <w:pStyle w:val="FootnoteText"/>
        <w:rPr>
          <w:sz w:val="20"/>
          <w:szCs w:val="20"/>
        </w:rPr>
      </w:pPr>
      <w:r w:rsidRPr="00550954">
        <w:rPr>
          <w:rStyle w:val="FootnoteReference"/>
          <w:sz w:val="20"/>
          <w:szCs w:val="20"/>
        </w:rPr>
        <w:footnoteRef/>
      </w:r>
      <w:r w:rsidRPr="00550954">
        <w:rPr>
          <w:sz w:val="20"/>
          <w:szCs w:val="20"/>
        </w:rPr>
        <w:t xml:space="preserve"> </w:t>
      </w:r>
      <w:r w:rsidR="00516786" w:rsidRPr="00550954">
        <w:rPr>
          <w:smallCaps/>
          <w:sz w:val="20"/>
          <w:szCs w:val="20"/>
        </w:rPr>
        <w:t xml:space="preserve">Death Penalty Info. Ctr., </w:t>
      </w:r>
      <w:r w:rsidR="00DC229C" w:rsidRPr="00550954">
        <w:rPr>
          <w:i/>
          <w:iCs/>
          <w:sz w:val="20"/>
          <w:szCs w:val="20"/>
        </w:rPr>
        <w:t>Alabama Court Removes Key Appeal Protection for Death Sentenced Defendants</w:t>
      </w:r>
      <w:r w:rsidR="00516786" w:rsidRPr="00550954">
        <w:rPr>
          <w:sz w:val="20"/>
          <w:szCs w:val="20"/>
        </w:rPr>
        <w:t xml:space="preserve"> (</w:t>
      </w:r>
      <w:r w:rsidR="00DC229C" w:rsidRPr="00550954">
        <w:rPr>
          <w:sz w:val="20"/>
          <w:szCs w:val="20"/>
        </w:rPr>
        <w:t>Jan. 25, 2023</w:t>
      </w:r>
      <w:r w:rsidR="00516786" w:rsidRPr="00550954">
        <w:rPr>
          <w:sz w:val="20"/>
          <w:szCs w:val="20"/>
        </w:rPr>
        <w:t>)</w:t>
      </w:r>
      <w:r w:rsidR="00DC229C" w:rsidRPr="00550954">
        <w:rPr>
          <w:sz w:val="20"/>
          <w:szCs w:val="20"/>
        </w:rPr>
        <w:t xml:space="preserve">, https://deathpenaltyinfo.org/news/alabama-court-removes-key-appeal-protection-for-death-sentenced-defendants (last visited July 12, 2023). </w:t>
      </w:r>
    </w:p>
  </w:footnote>
  <w:footnote w:id="88">
    <w:p w14:paraId="1D1DA858" w14:textId="026197B5" w:rsidR="00903B2C" w:rsidRPr="00550954" w:rsidRDefault="00903B2C" w:rsidP="00550954">
      <w:pPr>
        <w:pStyle w:val="FootnoteText"/>
        <w:rPr>
          <w:sz w:val="20"/>
          <w:szCs w:val="20"/>
        </w:rPr>
      </w:pPr>
      <w:r w:rsidRPr="00550954">
        <w:rPr>
          <w:rStyle w:val="FootnoteReference"/>
          <w:sz w:val="20"/>
          <w:szCs w:val="20"/>
        </w:rPr>
        <w:footnoteRef/>
      </w:r>
      <w:r w:rsidRPr="00550954">
        <w:rPr>
          <w:sz w:val="20"/>
          <w:szCs w:val="20"/>
        </w:rPr>
        <w:t xml:space="preserve"> </w:t>
      </w:r>
      <w:r w:rsidR="00E92156" w:rsidRPr="00550954">
        <w:rPr>
          <w:i/>
          <w:iCs/>
          <w:sz w:val="20"/>
          <w:szCs w:val="20"/>
        </w:rPr>
        <w:t>Id.</w:t>
      </w:r>
      <w:r w:rsidR="00A11B2C" w:rsidRPr="00550954">
        <w:rPr>
          <w:sz w:val="20"/>
          <w:szCs w:val="20"/>
        </w:rPr>
        <w:t xml:space="preserve"> </w:t>
      </w:r>
    </w:p>
  </w:footnote>
  <w:footnote w:id="89">
    <w:p w14:paraId="283A3CF3" w14:textId="748940F2" w:rsidR="00903B2C" w:rsidRPr="00550954" w:rsidRDefault="00903B2C" w:rsidP="00550954">
      <w:pPr>
        <w:pStyle w:val="FootnoteText"/>
        <w:rPr>
          <w:sz w:val="20"/>
          <w:szCs w:val="20"/>
        </w:rPr>
      </w:pPr>
      <w:r w:rsidRPr="00550954">
        <w:rPr>
          <w:rStyle w:val="FootnoteReference"/>
          <w:sz w:val="20"/>
          <w:szCs w:val="20"/>
        </w:rPr>
        <w:footnoteRef/>
      </w:r>
      <w:r w:rsidRPr="00550954">
        <w:rPr>
          <w:sz w:val="20"/>
          <w:szCs w:val="20"/>
        </w:rPr>
        <w:t xml:space="preserve"> </w:t>
      </w:r>
      <w:r w:rsidR="00516786" w:rsidRPr="00550954">
        <w:rPr>
          <w:smallCaps/>
          <w:sz w:val="20"/>
          <w:szCs w:val="20"/>
        </w:rPr>
        <w:t>Equal Just. Initiative</w:t>
      </w:r>
      <w:r w:rsidR="00516786" w:rsidRPr="00550954">
        <w:rPr>
          <w:i/>
          <w:iCs/>
          <w:sz w:val="20"/>
          <w:szCs w:val="20"/>
        </w:rPr>
        <w:t xml:space="preserve">, </w:t>
      </w:r>
      <w:r w:rsidR="00DC229C" w:rsidRPr="00550954">
        <w:rPr>
          <w:i/>
          <w:iCs/>
          <w:sz w:val="20"/>
          <w:szCs w:val="20"/>
        </w:rPr>
        <w:t>Alabama Supreme Court Eliminates Critical Safeguard Against Wrongful Convictions in Death Penalty Cases</w:t>
      </w:r>
      <w:r w:rsidR="00DC229C" w:rsidRPr="00550954">
        <w:rPr>
          <w:sz w:val="20"/>
          <w:szCs w:val="20"/>
        </w:rPr>
        <w:t xml:space="preserve"> </w:t>
      </w:r>
      <w:r w:rsidR="00516786" w:rsidRPr="00550954">
        <w:rPr>
          <w:sz w:val="20"/>
          <w:szCs w:val="20"/>
        </w:rPr>
        <w:t>(</w:t>
      </w:r>
      <w:r w:rsidR="00DC229C" w:rsidRPr="00550954">
        <w:rPr>
          <w:sz w:val="20"/>
          <w:szCs w:val="20"/>
        </w:rPr>
        <w:t>Jan. 17, 2023</w:t>
      </w:r>
      <w:r w:rsidR="00516786" w:rsidRPr="00550954">
        <w:rPr>
          <w:sz w:val="20"/>
          <w:szCs w:val="20"/>
        </w:rPr>
        <w:t>)</w:t>
      </w:r>
      <w:r w:rsidR="00DC229C" w:rsidRPr="00550954">
        <w:rPr>
          <w:sz w:val="20"/>
          <w:szCs w:val="20"/>
        </w:rPr>
        <w:t>, https://eji.org/news/alabama-supreme-court-eliminates-critical-safeguard-against-wrongful-convictions-in-death-penalty-cases/ (last visited July 12, 2023).</w:t>
      </w:r>
    </w:p>
  </w:footnote>
  <w:footnote w:id="90">
    <w:p w14:paraId="1E344A64" w14:textId="31EF0F55" w:rsidR="00903B2C" w:rsidRPr="00550954" w:rsidRDefault="00903B2C" w:rsidP="00550954">
      <w:pPr>
        <w:pStyle w:val="FootnoteText"/>
        <w:rPr>
          <w:sz w:val="20"/>
          <w:szCs w:val="20"/>
        </w:rPr>
      </w:pPr>
      <w:r w:rsidRPr="00550954">
        <w:rPr>
          <w:rStyle w:val="FootnoteReference"/>
          <w:sz w:val="20"/>
          <w:szCs w:val="20"/>
        </w:rPr>
        <w:footnoteRef/>
      </w:r>
      <w:r w:rsidRPr="00550954">
        <w:rPr>
          <w:sz w:val="20"/>
          <w:szCs w:val="20"/>
        </w:rPr>
        <w:t xml:space="preserve"> </w:t>
      </w:r>
      <w:r w:rsidR="00384CDD" w:rsidRPr="00550954">
        <w:rPr>
          <w:smallCaps/>
          <w:sz w:val="20"/>
          <w:szCs w:val="20"/>
        </w:rPr>
        <w:t xml:space="preserve">Death Penalty Info. Ctr., </w:t>
      </w:r>
      <w:r w:rsidR="00384CDD" w:rsidRPr="00550954">
        <w:rPr>
          <w:i/>
          <w:iCs/>
          <w:sz w:val="20"/>
          <w:szCs w:val="20"/>
        </w:rPr>
        <w:t>Alabama Court Removes Key Appeal Protection for Death Sentenced Defendants</w:t>
      </w:r>
      <w:r w:rsidR="00384CDD" w:rsidRPr="00550954">
        <w:rPr>
          <w:sz w:val="20"/>
          <w:szCs w:val="20"/>
        </w:rPr>
        <w:t xml:space="preserve"> (Jan. 25, 2023), https://deathpenaltyinfo.org/news/alabama-court-removes-key-appeal-protection-for-death-sentenced-defendants (last visited July 12, 2023). </w:t>
      </w:r>
    </w:p>
  </w:footnote>
  <w:footnote w:id="91">
    <w:p w14:paraId="41D9468D" w14:textId="03A93266" w:rsidR="00D6269E" w:rsidRPr="00550954" w:rsidRDefault="00D6269E" w:rsidP="00550954">
      <w:pPr>
        <w:pStyle w:val="FootnoteText"/>
        <w:rPr>
          <w:sz w:val="20"/>
          <w:szCs w:val="20"/>
        </w:rPr>
      </w:pPr>
      <w:r w:rsidRPr="00550954">
        <w:rPr>
          <w:rStyle w:val="FootnoteReference"/>
          <w:sz w:val="20"/>
          <w:szCs w:val="20"/>
        </w:rPr>
        <w:footnoteRef/>
      </w:r>
      <w:bookmarkStart w:id="17" w:name="_Hlk140059986"/>
      <w:r w:rsidR="007C6462" w:rsidRPr="00550954">
        <w:rPr>
          <w:smallCaps/>
          <w:color w:val="000000" w:themeColor="text1"/>
          <w:sz w:val="20"/>
          <w:szCs w:val="20"/>
        </w:rPr>
        <w:t xml:space="preserve"> </w:t>
      </w:r>
      <w:r w:rsidR="009B46F2" w:rsidRPr="00550954">
        <w:rPr>
          <w:smallCaps/>
          <w:color w:val="000000" w:themeColor="text1"/>
          <w:sz w:val="20"/>
          <w:szCs w:val="20"/>
        </w:rPr>
        <w:t>T</w:t>
      </w:r>
      <w:r w:rsidR="00DC229C" w:rsidRPr="00550954">
        <w:rPr>
          <w:smallCaps/>
          <w:color w:val="000000" w:themeColor="text1"/>
          <w:sz w:val="20"/>
          <w:szCs w:val="20"/>
        </w:rPr>
        <w:t>he Innocence Project</w:t>
      </w:r>
      <w:r w:rsidR="009B46F2" w:rsidRPr="00550954">
        <w:rPr>
          <w:color w:val="000000" w:themeColor="text1"/>
          <w:sz w:val="20"/>
          <w:szCs w:val="20"/>
        </w:rPr>
        <w:t xml:space="preserve">, </w:t>
      </w:r>
      <w:r w:rsidR="009B46F2" w:rsidRPr="00550954">
        <w:rPr>
          <w:i/>
          <w:iCs/>
          <w:color w:val="000000" w:themeColor="text1"/>
          <w:sz w:val="20"/>
          <w:szCs w:val="20"/>
        </w:rPr>
        <w:t>Compensating the Wrongly Convicted</w:t>
      </w:r>
      <w:r w:rsidR="009B46F2" w:rsidRPr="00550954">
        <w:rPr>
          <w:color w:val="000000" w:themeColor="text1"/>
          <w:sz w:val="20"/>
          <w:szCs w:val="20"/>
        </w:rPr>
        <w:t>,</w:t>
      </w:r>
      <w:r w:rsidR="00516786" w:rsidRPr="00550954">
        <w:rPr>
          <w:color w:val="000000" w:themeColor="text1"/>
          <w:sz w:val="20"/>
          <w:szCs w:val="20"/>
        </w:rPr>
        <w:t xml:space="preserve"> </w:t>
      </w:r>
      <w:r w:rsidR="00E42EF0" w:rsidRPr="00550954">
        <w:rPr>
          <w:color w:val="000000" w:themeColor="text1"/>
          <w:sz w:val="20"/>
          <w:szCs w:val="20"/>
        </w:rPr>
        <w:t>https://www.innocenceproject.org/compensating-wrongly-convicted/</w:t>
      </w:r>
      <w:bookmarkEnd w:id="17"/>
      <w:r w:rsidR="00E42EF0" w:rsidRPr="00550954">
        <w:rPr>
          <w:color w:val="000000" w:themeColor="text1"/>
          <w:sz w:val="20"/>
          <w:szCs w:val="20"/>
        </w:rPr>
        <w:t xml:space="preserve"> (last visited July 12, 2023)</w:t>
      </w:r>
      <w:r w:rsidR="009B46F2" w:rsidRPr="00550954">
        <w:rPr>
          <w:color w:val="000000" w:themeColor="text1"/>
          <w:sz w:val="20"/>
          <w:szCs w:val="20"/>
        </w:rPr>
        <w:t>;</w:t>
      </w:r>
      <w:bookmarkStart w:id="18" w:name="_Hlk140060205"/>
      <w:r w:rsidRPr="00550954">
        <w:rPr>
          <w:sz w:val="20"/>
          <w:szCs w:val="20"/>
        </w:rPr>
        <w:t xml:space="preserve"> </w:t>
      </w:r>
      <w:r w:rsidR="00DC229C" w:rsidRPr="00550954">
        <w:rPr>
          <w:i/>
          <w:iCs/>
          <w:sz w:val="20"/>
          <w:szCs w:val="20"/>
        </w:rPr>
        <w:t>see also</w:t>
      </w:r>
      <w:r w:rsidR="00DC229C" w:rsidRPr="00550954">
        <w:rPr>
          <w:sz w:val="20"/>
          <w:szCs w:val="20"/>
        </w:rPr>
        <w:t xml:space="preserve"> </w:t>
      </w:r>
      <w:bookmarkStart w:id="19" w:name="_Hlk140665800"/>
      <w:r w:rsidRPr="00550954">
        <w:rPr>
          <w:smallCaps/>
          <w:color w:val="000000" w:themeColor="text1"/>
          <w:sz w:val="20"/>
          <w:szCs w:val="20"/>
        </w:rPr>
        <w:t>The innocence Project,</w:t>
      </w:r>
      <w:r w:rsidRPr="00550954">
        <w:rPr>
          <w:i/>
          <w:color w:val="000000" w:themeColor="text1"/>
          <w:sz w:val="20"/>
          <w:szCs w:val="20"/>
        </w:rPr>
        <w:t xml:space="preserve"> Making up for Lost Time: What the Wrongfully Convicted Endure and How to Provide Fair Compensation</w:t>
      </w:r>
      <w:r w:rsidR="00516786" w:rsidRPr="00550954">
        <w:rPr>
          <w:iCs/>
          <w:color w:val="000000" w:themeColor="text1"/>
          <w:sz w:val="20"/>
          <w:szCs w:val="20"/>
        </w:rPr>
        <w:t xml:space="preserve"> (</w:t>
      </w:r>
      <w:r w:rsidR="00E42EF0" w:rsidRPr="00550954">
        <w:rPr>
          <w:color w:val="000000" w:themeColor="text1"/>
          <w:sz w:val="20"/>
          <w:szCs w:val="20"/>
        </w:rPr>
        <w:t>Dec. 2, 2009</w:t>
      </w:r>
      <w:r w:rsidR="00516786" w:rsidRPr="00550954">
        <w:rPr>
          <w:color w:val="000000" w:themeColor="text1"/>
          <w:sz w:val="20"/>
          <w:szCs w:val="20"/>
        </w:rPr>
        <w:t>)</w:t>
      </w:r>
      <w:r w:rsidR="00E42EF0" w:rsidRPr="00550954">
        <w:rPr>
          <w:color w:val="000000" w:themeColor="text1"/>
          <w:sz w:val="20"/>
          <w:szCs w:val="20"/>
        </w:rPr>
        <w:t xml:space="preserve">, https://innocenceproject.org/news/executive-summary-making-up-for-lost-time-what-the-wrongfully-convicted-endure-and-how-to-provide-fair-compensation/ (last visited July 19, 2023). </w:t>
      </w:r>
      <w:bookmarkEnd w:id="18"/>
      <w:bookmarkEnd w:id="19"/>
    </w:p>
  </w:footnote>
  <w:footnote w:id="92">
    <w:p w14:paraId="16A7121A" w14:textId="4F6A157B" w:rsidR="009B46F2" w:rsidRPr="00550954" w:rsidRDefault="009B46F2" w:rsidP="00550954">
      <w:pPr>
        <w:pStyle w:val="FootnoteText"/>
        <w:rPr>
          <w:sz w:val="20"/>
          <w:szCs w:val="20"/>
        </w:rPr>
      </w:pPr>
      <w:r w:rsidRPr="00550954">
        <w:rPr>
          <w:rStyle w:val="FootnoteReference"/>
          <w:sz w:val="20"/>
          <w:szCs w:val="20"/>
        </w:rPr>
        <w:footnoteRef/>
      </w:r>
      <w:r w:rsidRPr="00550954">
        <w:rPr>
          <w:sz w:val="20"/>
          <w:szCs w:val="20"/>
        </w:rPr>
        <w:t xml:space="preserve"> 28 </w:t>
      </w:r>
      <w:r w:rsidRPr="00550954">
        <w:rPr>
          <w:smallCaps/>
          <w:sz w:val="20"/>
          <w:szCs w:val="20"/>
        </w:rPr>
        <w:t>U.S.C.</w:t>
      </w:r>
      <w:r w:rsidRPr="00550954">
        <w:rPr>
          <w:sz w:val="20"/>
          <w:szCs w:val="20"/>
        </w:rPr>
        <w:t xml:space="preserve"> § 2513.</w:t>
      </w:r>
    </w:p>
  </w:footnote>
  <w:footnote w:id="93">
    <w:p w14:paraId="7B8CE772" w14:textId="31A3FBDB" w:rsidR="009B46F2" w:rsidRPr="00550954" w:rsidRDefault="009B46F2" w:rsidP="00550954">
      <w:pPr>
        <w:pStyle w:val="FootnoteText"/>
        <w:rPr>
          <w:sz w:val="20"/>
          <w:szCs w:val="20"/>
        </w:rPr>
      </w:pPr>
      <w:r w:rsidRPr="00550954">
        <w:rPr>
          <w:rStyle w:val="FootnoteReference"/>
          <w:sz w:val="20"/>
          <w:szCs w:val="20"/>
        </w:rPr>
        <w:footnoteRef/>
      </w:r>
      <w:r w:rsidRPr="00550954">
        <w:rPr>
          <w:sz w:val="20"/>
          <w:szCs w:val="20"/>
        </w:rPr>
        <w:t xml:space="preserve"> </w:t>
      </w:r>
      <w:r w:rsidR="009F4164" w:rsidRPr="00550954">
        <w:rPr>
          <w:i/>
          <w:iCs/>
          <w:sz w:val="20"/>
          <w:szCs w:val="20"/>
        </w:rPr>
        <w:t>Key Provisions in Wrongful Conviction Compensation Laws</w:t>
      </w:r>
      <w:r w:rsidR="009F4164" w:rsidRPr="00550954">
        <w:rPr>
          <w:sz w:val="20"/>
          <w:szCs w:val="20"/>
        </w:rPr>
        <w:t xml:space="preserve">, </w:t>
      </w:r>
      <w:r w:rsidR="009F4164" w:rsidRPr="00550954">
        <w:rPr>
          <w:smallCaps/>
          <w:sz w:val="20"/>
          <w:szCs w:val="20"/>
        </w:rPr>
        <w:t>Univ. of Mich.</w:t>
      </w:r>
      <w:r w:rsidR="009F4164" w:rsidRPr="00550954">
        <w:rPr>
          <w:sz w:val="20"/>
          <w:szCs w:val="20"/>
        </w:rPr>
        <w:t xml:space="preserve"> (May 27, 2022), https://www.law.umich.edu/special/exoneration/Documents/IP%20-%20Key%20Provisions.pdf (last visited July 26, 2023).</w:t>
      </w:r>
    </w:p>
  </w:footnote>
  <w:footnote w:id="94">
    <w:p w14:paraId="2183FCF4" w14:textId="494995D8" w:rsidR="009B46F2" w:rsidRPr="00550954" w:rsidRDefault="009B46F2" w:rsidP="00550954">
      <w:pPr>
        <w:pStyle w:val="FootnoteText"/>
        <w:rPr>
          <w:sz w:val="20"/>
          <w:szCs w:val="20"/>
        </w:rPr>
      </w:pPr>
      <w:r w:rsidRPr="00550954">
        <w:rPr>
          <w:rStyle w:val="FootnoteReference"/>
          <w:sz w:val="20"/>
          <w:szCs w:val="20"/>
        </w:rPr>
        <w:footnoteRef/>
      </w:r>
      <w:r w:rsidRPr="00550954">
        <w:rPr>
          <w:sz w:val="20"/>
          <w:szCs w:val="20"/>
        </w:rPr>
        <w:t xml:space="preserve"> </w:t>
      </w:r>
      <w:r w:rsidR="00E42EF0" w:rsidRPr="00550954">
        <w:rPr>
          <w:smallCaps/>
          <w:color w:val="000000" w:themeColor="text1"/>
          <w:sz w:val="20"/>
          <w:szCs w:val="20"/>
        </w:rPr>
        <w:t>The innocence Project,</w:t>
      </w:r>
      <w:r w:rsidR="00E42EF0" w:rsidRPr="00550954">
        <w:rPr>
          <w:i/>
          <w:color w:val="000000" w:themeColor="text1"/>
          <w:sz w:val="20"/>
          <w:szCs w:val="20"/>
        </w:rPr>
        <w:t xml:space="preserve"> Making up for Lost Time: What the Wrongfully Convicted Endure and How to Provide Fair Compensation</w:t>
      </w:r>
      <w:r w:rsidR="009F4164" w:rsidRPr="00550954">
        <w:rPr>
          <w:iCs/>
          <w:color w:val="000000" w:themeColor="text1"/>
          <w:sz w:val="20"/>
          <w:szCs w:val="20"/>
        </w:rPr>
        <w:t xml:space="preserve"> (</w:t>
      </w:r>
      <w:r w:rsidR="00E42EF0" w:rsidRPr="00550954">
        <w:rPr>
          <w:color w:val="000000" w:themeColor="text1"/>
          <w:sz w:val="20"/>
          <w:szCs w:val="20"/>
        </w:rPr>
        <w:t>Dec. 2, 2009</w:t>
      </w:r>
      <w:r w:rsidR="009F4164" w:rsidRPr="00550954">
        <w:rPr>
          <w:color w:val="000000" w:themeColor="text1"/>
          <w:sz w:val="20"/>
          <w:szCs w:val="20"/>
        </w:rPr>
        <w:t>)</w:t>
      </w:r>
      <w:r w:rsidR="00E42EF0" w:rsidRPr="00550954">
        <w:rPr>
          <w:color w:val="000000" w:themeColor="text1"/>
          <w:sz w:val="20"/>
          <w:szCs w:val="20"/>
        </w:rPr>
        <w:t xml:space="preserve">, https://innocenceproject.org/news/executive-summary-making-up-for-lost-time-what-the-wrongfully-convicted-endure-and-how-to-provide-fair-compensation/ (last visited July 19, 2023). </w:t>
      </w:r>
    </w:p>
  </w:footnote>
  <w:footnote w:id="95">
    <w:p w14:paraId="181E8D46" w14:textId="77E848DC" w:rsidR="007C6462" w:rsidRPr="00550954" w:rsidRDefault="007C6462" w:rsidP="00550954">
      <w:pPr>
        <w:pStyle w:val="FootnoteText"/>
        <w:rPr>
          <w:i/>
          <w:iCs/>
          <w:sz w:val="20"/>
          <w:szCs w:val="20"/>
        </w:rPr>
      </w:pPr>
      <w:r w:rsidRPr="00550954">
        <w:rPr>
          <w:rStyle w:val="FootnoteReference"/>
          <w:sz w:val="20"/>
          <w:szCs w:val="20"/>
        </w:rPr>
        <w:footnoteRef/>
      </w:r>
      <w:r w:rsidRPr="00550954">
        <w:rPr>
          <w:sz w:val="20"/>
          <w:szCs w:val="20"/>
        </w:rPr>
        <w:t xml:space="preserve"> </w:t>
      </w:r>
      <w:r w:rsidR="00E92156" w:rsidRPr="00550954">
        <w:rPr>
          <w:i/>
          <w:iCs/>
          <w:sz w:val="20"/>
          <w:szCs w:val="20"/>
        </w:rPr>
        <w:t>Id.</w:t>
      </w:r>
      <w:r w:rsidR="00A11B2C" w:rsidRPr="00550954">
        <w:rPr>
          <w:color w:val="000000" w:themeColor="text1"/>
          <w:sz w:val="20"/>
          <w:szCs w:val="20"/>
        </w:rPr>
        <w:t xml:space="preserve"> </w:t>
      </w:r>
    </w:p>
  </w:footnote>
  <w:footnote w:id="96">
    <w:p w14:paraId="62D4A60E" w14:textId="4C8E9803" w:rsidR="009B46F2" w:rsidRPr="00550954" w:rsidRDefault="009B46F2" w:rsidP="00550954">
      <w:pPr>
        <w:pStyle w:val="FootnoteText"/>
        <w:rPr>
          <w:sz w:val="20"/>
          <w:szCs w:val="20"/>
        </w:rPr>
      </w:pPr>
      <w:r w:rsidRPr="00550954">
        <w:rPr>
          <w:rStyle w:val="FootnoteReference"/>
          <w:sz w:val="20"/>
          <w:szCs w:val="20"/>
        </w:rPr>
        <w:footnoteRef/>
      </w:r>
      <w:r w:rsidRPr="00550954">
        <w:rPr>
          <w:sz w:val="20"/>
          <w:szCs w:val="20"/>
        </w:rPr>
        <w:t xml:space="preserve"> </w:t>
      </w:r>
      <w:r w:rsidR="00E42EF0" w:rsidRPr="00550954">
        <w:rPr>
          <w:i/>
          <w:iCs/>
          <w:sz w:val="20"/>
          <w:szCs w:val="20"/>
        </w:rPr>
        <w:t>Compensation for Exonerees</w:t>
      </w:r>
      <w:r w:rsidR="00E42EF0" w:rsidRPr="00550954">
        <w:rPr>
          <w:sz w:val="20"/>
          <w:szCs w:val="20"/>
        </w:rPr>
        <w:t xml:space="preserve">, </w:t>
      </w:r>
      <w:r w:rsidR="00E42EF0" w:rsidRPr="00550954">
        <w:rPr>
          <w:smallCaps/>
          <w:sz w:val="20"/>
          <w:szCs w:val="20"/>
        </w:rPr>
        <w:t>Univ</w:t>
      </w:r>
      <w:r w:rsidR="009F4164" w:rsidRPr="00550954">
        <w:rPr>
          <w:smallCaps/>
          <w:sz w:val="20"/>
          <w:szCs w:val="20"/>
        </w:rPr>
        <w:t>.</w:t>
      </w:r>
      <w:r w:rsidR="00E42EF0" w:rsidRPr="00550954">
        <w:rPr>
          <w:smallCaps/>
          <w:sz w:val="20"/>
          <w:szCs w:val="20"/>
        </w:rPr>
        <w:t xml:space="preserve"> of Mich</w:t>
      </w:r>
      <w:r w:rsidR="009F4164" w:rsidRPr="00550954">
        <w:rPr>
          <w:smallCaps/>
          <w:sz w:val="20"/>
          <w:szCs w:val="20"/>
        </w:rPr>
        <w:t>.</w:t>
      </w:r>
      <w:r w:rsidR="00E42EF0" w:rsidRPr="00550954">
        <w:rPr>
          <w:sz w:val="20"/>
          <w:szCs w:val="20"/>
        </w:rPr>
        <w:t xml:space="preserve"> https://www.law.umich.edu/special/exoneration/Documents/Compensation%20Primer.pdf (last visited July 19, 2023). </w:t>
      </w:r>
    </w:p>
  </w:footnote>
  <w:footnote w:id="97">
    <w:p w14:paraId="1C1DD78E" w14:textId="50731B3C" w:rsidR="007C6462" w:rsidRPr="00550954" w:rsidRDefault="007C6462"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color w:val="000000" w:themeColor="text1"/>
          <w:sz w:val="20"/>
          <w:szCs w:val="20"/>
        </w:rPr>
        <w:t xml:space="preserve">Matt Schudel, </w:t>
      </w:r>
      <w:r w:rsidRPr="00550954">
        <w:rPr>
          <w:i/>
          <w:iCs/>
          <w:color w:val="000000" w:themeColor="text1"/>
          <w:sz w:val="20"/>
          <w:szCs w:val="20"/>
        </w:rPr>
        <w:t>Glenn Ford, wrongfully convicted in Louisiana murder case, dies at 65</w:t>
      </w:r>
      <w:r w:rsidRPr="00550954">
        <w:rPr>
          <w:color w:val="000000" w:themeColor="text1"/>
          <w:sz w:val="20"/>
          <w:szCs w:val="20"/>
        </w:rPr>
        <w:t xml:space="preserve">, </w:t>
      </w:r>
      <w:r w:rsidRPr="00550954">
        <w:rPr>
          <w:smallCaps/>
          <w:color w:val="000000" w:themeColor="text1"/>
          <w:sz w:val="20"/>
          <w:szCs w:val="20"/>
        </w:rPr>
        <w:t>Wash</w:t>
      </w:r>
      <w:r w:rsidR="009F4164" w:rsidRPr="00550954">
        <w:rPr>
          <w:smallCaps/>
          <w:color w:val="000000" w:themeColor="text1"/>
          <w:sz w:val="20"/>
          <w:szCs w:val="20"/>
        </w:rPr>
        <w:t>.</w:t>
      </w:r>
      <w:r w:rsidRPr="00550954">
        <w:rPr>
          <w:smallCaps/>
          <w:color w:val="000000" w:themeColor="text1"/>
          <w:sz w:val="20"/>
          <w:szCs w:val="20"/>
        </w:rPr>
        <w:t xml:space="preserve"> Post</w:t>
      </w:r>
      <w:r w:rsidR="009F4164" w:rsidRPr="00550954">
        <w:rPr>
          <w:color w:val="000000" w:themeColor="text1"/>
          <w:sz w:val="20"/>
          <w:szCs w:val="20"/>
        </w:rPr>
        <w:t xml:space="preserve"> (</w:t>
      </w:r>
      <w:r w:rsidRPr="00550954">
        <w:rPr>
          <w:color w:val="000000" w:themeColor="text1"/>
          <w:sz w:val="20"/>
          <w:szCs w:val="20"/>
        </w:rPr>
        <w:t>July 4, 2015</w:t>
      </w:r>
      <w:r w:rsidR="009F4164" w:rsidRPr="00550954">
        <w:rPr>
          <w:color w:val="000000" w:themeColor="text1"/>
          <w:sz w:val="20"/>
          <w:szCs w:val="20"/>
        </w:rPr>
        <w:t>)</w:t>
      </w:r>
      <w:r w:rsidRPr="00550954">
        <w:rPr>
          <w:color w:val="000000" w:themeColor="text1"/>
          <w:sz w:val="20"/>
          <w:szCs w:val="20"/>
        </w:rPr>
        <w:t xml:space="preserve">, </w:t>
      </w:r>
      <w:bookmarkStart w:id="21" w:name="OLE_LINK31"/>
      <w:r w:rsidRPr="00550954">
        <w:rPr>
          <w:color w:val="000000" w:themeColor="text1"/>
          <w:sz w:val="20"/>
          <w:szCs w:val="20"/>
        </w:rPr>
        <w:t xml:space="preserve">https://www.washingtonpost.com/national/glenn-ford-wrongfully-convicted-in-louisiana-murder-case-dies-at-65/2015/07/04/0dfa3cec-2266-11e5-84d5-eb37ee8eaa61_story.html </w:t>
      </w:r>
      <w:bookmarkEnd w:id="21"/>
      <w:r w:rsidRPr="00550954">
        <w:rPr>
          <w:color w:val="000000" w:themeColor="text1"/>
          <w:sz w:val="20"/>
          <w:szCs w:val="20"/>
        </w:rPr>
        <w:t>(last visited July 12, 2023)</w:t>
      </w:r>
      <w:r w:rsidR="00DC229C" w:rsidRPr="00550954">
        <w:rPr>
          <w:color w:val="000000" w:themeColor="text1"/>
          <w:sz w:val="20"/>
          <w:szCs w:val="20"/>
        </w:rPr>
        <w:t>.</w:t>
      </w:r>
    </w:p>
  </w:footnote>
  <w:footnote w:id="98">
    <w:p w14:paraId="2511436E" w14:textId="6CDB472E" w:rsidR="007C6462" w:rsidRPr="00550954" w:rsidRDefault="007C6462" w:rsidP="00550954">
      <w:pPr>
        <w:pStyle w:val="FootnoteText"/>
        <w:rPr>
          <w:iCs/>
          <w:sz w:val="20"/>
          <w:szCs w:val="20"/>
        </w:rPr>
      </w:pPr>
      <w:r w:rsidRPr="00550954">
        <w:rPr>
          <w:rStyle w:val="FootnoteReference"/>
          <w:sz w:val="20"/>
          <w:szCs w:val="20"/>
        </w:rPr>
        <w:footnoteRef/>
      </w:r>
      <w:r w:rsidRPr="00550954">
        <w:rPr>
          <w:sz w:val="20"/>
          <w:szCs w:val="20"/>
        </w:rPr>
        <w:t xml:space="preserve"> </w:t>
      </w:r>
      <w:r w:rsidR="005835D8" w:rsidRPr="00550954">
        <w:rPr>
          <w:smallCaps/>
          <w:color w:val="000000" w:themeColor="text1"/>
          <w:sz w:val="20"/>
          <w:szCs w:val="20"/>
        </w:rPr>
        <w:t>The innocence Project,</w:t>
      </w:r>
      <w:r w:rsidR="005835D8" w:rsidRPr="00550954">
        <w:rPr>
          <w:i/>
          <w:color w:val="000000" w:themeColor="text1"/>
          <w:sz w:val="20"/>
          <w:szCs w:val="20"/>
        </w:rPr>
        <w:t xml:space="preserve"> Making up for Lost Time: What the Wrongfully Convicted Endure and How to Provide Fair Compensation</w:t>
      </w:r>
      <w:r w:rsidR="005835D8" w:rsidRPr="00550954">
        <w:rPr>
          <w:iCs/>
          <w:color w:val="000000" w:themeColor="text1"/>
          <w:sz w:val="20"/>
          <w:szCs w:val="20"/>
        </w:rPr>
        <w:t xml:space="preserve"> (</w:t>
      </w:r>
      <w:r w:rsidR="005835D8" w:rsidRPr="00550954">
        <w:rPr>
          <w:color w:val="000000" w:themeColor="text1"/>
          <w:sz w:val="20"/>
          <w:szCs w:val="20"/>
        </w:rPr>
        <w:t xml:space="preserve">Dec. 2, 2009), https://innocenceproject.org/news/executive-summary-making-up-for-lost-time-what-the-wrongfully-convicted-endure-and-how-to-provide-fair-compensation/ (last visited July 19, 2023). </w:t>
      </w:r>
    </w:p>
  </w:footnote>
  <w:footnote w:id="99">
    <w:p w14:paraId="6633395A" w14:textId="729987FF" w:rsidR="005C1D99" w:rsidRPr="00550954" w:rsidRDefault="005C1D99" w:rsidP="00550954">
      <w:pPr>
        <w:pStyle w:val="FootnoteText"/>
        <w:rPr>
          <w:sz w:val="20"/>
          <w:szCs w:val="20"/>
        </w:rPr>
      </w:pPr>
      <w:r w:rsidRPr="00550954">
        <w:rPr>
          <w:rStyle w:val="FootnoteReference"/>
          <w:sz w:val="20"/>
          <w:szCs w:val="20"/>
        </w:rPr>
        <w:footnoteRef/>
      </w:r>
      <w:r w:rsidRPr="00550954">
        <w:rPr>
          <w:sz w:val="20"/>
          <w:szCs w:val="20"/>
        </w:rPr>
        <w:t xml:space="preserve"> </w:t>
      </w:r>
      <w:r w:rsidR="00DC229C" w:rsidRPr="00550954">
        <w:rPr>
          <w:sz w:val="20"/>
          <w:szCs w:val="20"/>
        </w:rPr>
        <w:t xml:space="preserve">Human Rights Committee, </w:t>
      </w:r>
      <w:r w:rsidR="00DC229C" w:rsidRPr="00550954">
        <w:rPr>
          <w:i/>
          <w:iCs/>
          <w:sz w:val="20"/>
          <w:szCs w:val="20"/>
        </w:rPr>
        <w:t>Fifth periodic report submitted by the United States under article 40 of the Covenant pursuant to the optional reporting procedure, due in 2020</w:t>
      </w:r>
      <w:r w:rsidR="00DC229C" w:rsidRPr="00550954">
        <w:rPr>
          <w:sz w:val="20"/>
          <w:szCs w:val="20"/>
        </w:rPr>
        <w:t xml:space="preserve">, (Nov. 11, 2021), U.N. Doc. CCPR/C/USA/5, </w:t>
      </w:r>
      <w:r w:rsidRPr="00550954">
        <w:rPr>
          <w:sz w:val="20"/>
          <w:szCs w:val="20"/>
        </w:rPr>
        <w:t>¶ 41.</w:t>
      </w:r>
    </w:p>
  </w:footnote>
  <w:footnote w:id="100">
    <w:p w14:paraId="6DD7335A" w14:textId="232EB2DE" w:rsidR="000F5E50" w:rsidRPr="00550954" w:rsidRDefault="000F5E50" w:rsidP="00550954">
      <w:pPr>
        <w:pStyle w:val="FootnoteText"/>
        <w:rPr>
          <w:sz w:val="20"/>
          <w:szCs w:val="20"/>
        </w:rPr>
      </w:pPr>
      <w:r w:rsidRPr="00550954">
        <w:rPr>
          <w:rStyle w:val="FootnoteReference"/>
          <w:sz w:val="20"/>
          <w:szCs w:val="20"/>
        </w:rPr>
        <w:footnoteRef/>
      </w:r>
      <w:r w:rsidRPr="00550954">
        <w:rPr>
          <w:sz w:val="20"/>
          <w:szCs w:val="20"/>
        </w:rPr>
        <w:t xml:space="preserve"> 28 C.F.R. § 50.5.</w:t>
      </w:r>
    </w:p>
  </w:footnote>
  <w:footnote w:id="101">
    <w:p w14:paraId="0F97E001" w14:textId="7902D7B8" w:rsidR="000F5E50" w:rsidRPr="00550954" w:rsidRDefault="000F5E50" w:rsidP="00550954">
      <w:pPr>
        <w:pStyle w:val="FootnoteText"/>
        <w:rPr>
          <w:sz w:val="20"/>
          <w:szCs w:val="20"/>
        </w:rPr>
      </w:pPr>
      <w:r w:rsidRPr="00550954">
        <w:rPr>
          <w:rStyle w:val="FootnoteReference"/>
          <w:sz w:val="20"/>
          <w:szCs w:val="20"/>
        </w:rPr>
        <w:footnoteRef/>
      </w:r>
      <w:r w:rsidRPr="00550954">
        <w:rPr>
          <w:sz w:val="20"/>
          <w:szCs w:val="20"/>
        </w:rPr>
        <w:t xml:space="preserve"> </w:t>
      </w:r>
      <w:r w:rsidR="00B67D2D" w:rsidRPr="00550954">
        <w:rPr>
          <w:smallCaps/>
          <w:sz w:val="20"/>
          <w:szCs w:val="20"/>
        </w:rPr>
        <w:t>Death Penalty Info</w:t>
      </w:r>
      <w:r w:rsidR="009F4164" w:rsidRPr="00550954">
        <w:rPr>
          <w:smallCaps/>
          <w:sz w:val="20"/>
          <w:szCs w:val="20"/>
        </w:rPr>
        <w:t>.</w:t>
      </w:r>
      <w:r w:rsidR="00B67D2D" w:rsidRPr="00550954">
        <w:rPr>
          <w:smallCaps/>
          <w:sz w:val="20"/>
          <w:szCs w:val="20"/>
        </w:rPr>
        <w:t xml:space="preserve"> C</w:t>
      </w:r>
      <w:r w:rsidR="009F4164" w:rsidRPr="00550954">
        <w:rPr>
          <w:smallCaps/>
          <w:sz w:val="20"/>
          <w:szCs w:val="20"/>
        </w:rPr>
        <w:t>tr.</w:t>
      </w:r>
      <w:r w:rsidR="00B67D2D" w:rsidRPr="00550954">
        <w:rPr>
          <w:sz w:val="20"/>
          <w:szCs w:val="20"/>
        </w:rPr>
        <w:t xml:space="preserve">, </w:t>
      </w:r>
      <w:r w:rsidR="009F4164" w:rsidRPr="00550954">
        <w:rPr>
          <w:i/>
          <w:iCs/>
          <w:sz w:val="20"/>
          <w:szCs w:val="20"/>
        </w:rPr>
        <w:t>P</w:t>
      </w:r>
      <w:r w:rsidR="00B67D2D" w:rsidRPr="00550954">
        <w:rPr>
          <w:i/>
          <w:iCs/>
          <w:sz w:val="20"/>
          <w:szCs w:val="20"/>
        </w:rPr>
        <w:t>risoners on Death Row as of October 1, 2022 (per Death Row USA)</w:t>
      </w:r>
      <w:r w:rsidR="00B67D2D" w:rsidRPr="00550954">
        <w:rPr>
          <w:sz w:val="20"/>
          <w:szCs w:val="20"/>
        </w:rPr>
        <w:t xml:space="preserve">, </w:t>
      </w:r>
      <w:r w:rsidR="009F4164" w:rsidRPr="00550954">
        <w:rPr>
          <w:sz w:val="20"/>
          <w:szCs w:val="20"/>
        </w:rPr>
        <w:t>https://deathpenaltyinfo.org/death-row/overview (last visited July 19, 2023)</w:t>
      </w:r>
      <w:r w:rsidR="00B67D2D" w:rsidRPr="00550954">
        <w:rPr>
          <w:sz w:val="20"/>
          <w:szCs w:val="20"/>
        </w:rPr>
        <w:t>.</w:t>
      </w:r>
    </w:p>
  </w:footnote>
  <w:footnote w:id="102">
    <w:p w14:paraId="42E8183F" w14:textId="4865A2E5" w:rsidR="0028216F" w:rsidRPr="00550954" w:rsidRDefault="0028216F" w:rsidP="00550954">
      <w:pPr>
        <w:pStyle w:val="FootnoteText"/>
        <w:rPr>
          <w:sz w:val="20"/>
          <w:szCs w:val="20"/>
        </w:rPr>
      </w:pPr>
      <w:r w:rsidRPr="00550954">
        <w:rPr>
          <w:rStyle w:val="FootnoteReference"/>
          <w:sz w:val="20"/>
          <w:szCs w:val="20"/>
        </w:rPr>
        <w:footnoteRef/>
      </w:r>
      <w:r w:rsidRPr="00550954">
        <w:rPr>
          <w:sz w:val="20"/>
          <w:szCs w:val="20"/>
        </w:rPr>
        <w:t xml:space="preserve"> </w:t>
      </w:r>
      <w:r w:rsidR="00DC229C" w:rsidRPr="00550954">
        <w:rPr>
          <w:sz w:val="20"/>
          <w:szCs w:val="20"/>
        </w:rPr>
        <w:t xml:space="preserve">Cindy G. Buys, </w:t>
      </w:r>
      <w:r w:rsidR="00DC229C" w:rsidRPr="00550954">
        <w:rPr>
          <w:i/>
          <w:iCs/>
          <w:sz w:val="20"/>
          <w:szCs w:val="20"/>
        </w:rPr>
        <w:t>Researching the Vienna Convention on Consular Relations Notification Requirement</w:t>
      </w:r>
      <w:r w:rsidR="00DC229C" w:rsidRPr="00550954">
        <w:rPr>
          <w:sz w:val="20"/>
          <w:szCs w:val="20"/>
        </w:rPr>
        <w:t>,</w:t>
      </w:r>
      <w:r w:rsidR="00DC229C" w:rsidRPr="00550954">
        <w:rPr>
          <w:smallCaps/>
          <w:sz w:val="20"/>
          <w:szCs w:val="20"/>
        </w:rPr>
        <w:t xml:space="preserve"> </w:t>
      </w:r>
      <w:r w:rsidR="008222D8" w:rsidRPr="00550954">
        <w:rPr>
          <w:smallCaps/>
          <w:sz w:val="20"/>
          <w:szCs w:val="20"/>
        </w:rPr>
        <w:t xml:space="preserve">NYU </w:t>
      </w:r>
      <w:proofErr w:type="spellStart"/>
      <w:r w:rsidR="008222D8" w:rsidRPr="00550954">
        <w:rPr>
          <w:smallCaps/>
          <w:sz w:val="20"/>
          <w:szCs w:val="20"/>
        </w:rPr>
        <w:t>GlobaLex</w:t>
      </w:r>
      <w:proofErr w:type="spellEnd"/>
      <w:r w:rsidR="009F4164" w:rsidRPr="00550954">
        <w:rPr>
          <w:sz w:val="20"/>
          <w:szCs w:val="20"/>
        </w:rPr>
        <w:t xml:space="preserve"> (</w:t>
      </w:r>
      <w:r w:rsidR="008222D8" w:rsidRPr="00550954">
        <w:rPr>
          <w:sz w:val="20"/>
          <w:szCs w:val="20"/>
        </w:rPr>
        <w:t>Feb. 2023</w:t>
      </w:r>
      <w:r w:rsidR="009F4164" w:rsidRPr="00550954">
        <w:rPr>
          <w:sz w:val="20"/>
          <w:szCs w:val="20"/>
        </w:rPr>
        <w:t>)</w:t>
      </w:r>
      <w:r w:rsidR="008222D8" w:rsidRPr="00550954">
        <w:rPr>
          <w:sz w:val="20"/>
          <w:szCs w:val="20"/>
        </w:rPr>
        <w:t xml:space="preserve">, https://www.nyulawglobal.org/globalex/Vienna_Convention_Consular_Relations1.html#u.s.-state-statutes-that-address-consular-notification-in-case-of-arrest-or-detention-of-a-foreign-national-1 (last visited July 12, 2023). </w:t>
      </w:r>
    </w:p>
  </w:footnote>
  <w:footnote w:id="103">
    <w:p w14:paraId="72E3EAD7" w14:textId="77777777" w:rsidR="0028216F" w:rsidRPr="00550954" w:rsidRDefault="0028216F"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color w:val="000000" w:themeColor="text1"/>
          <w:sz w:val="20"/>
          <w:szCs w:val="20"/>
        </w:rPr>
        <w:t>Medellín v. Texas</w:t>
      </w:r>
      <w:r w:rsidRPr="00550954">
        <w:rPr>
          <w:color w:val="000000" w:themeColor="text1"/>
          <w:sz w:val="20"/>
          <w:szCs w:val="20"/>
        </w:rPr>
        <w:t>, 552 U.S. 491 (2008).</w:t>
      </w:r>
    </w:p>
  </w:footnote>
  <w:footnote w:id="104">
    <w:p w14:paraId="26F12376" w14:textId="46A4BBBC" w:rsidR="005422CB" w:rsidRPr="00550954" w:rsidRDefault="005422CB" w:rsidP="00550954">
      <w:pPr>
        <w:pStyle w:val="FootnoteText"/>
        <w:rPr>
          <w:color w:val="000000" w:themeColor="text1"/>
          <w:sz w:val="20"/>
          <w:szCs w:val="20"/>
        </w:rPr>
      </w:pPr>
      <w:r w:rsidRPr="00550954">
        <w:rPr>
          <w:rStyle w:val="FootnoteReference"/>
          <w:sz w:val="20"/>
          <w:szCs w:val="20"/>
        </w:rPr>
        <w:footnoteRef/>
      </w:r>
      <w:r w:rsidR="00550954" w:rsidRPr="00550954">
        <w:rPr>
          <w:smallCaps/>
          <w:color w:val="000000" w:themeColor="text1"/>
          <w:sz w:val="20"/>
          <w:szCs w:val="20"/>
        </w:rPr>
        <w:t xml:space="preserve"> </w:t>
      </w:r>
      <w:r w:rsidRPr="00550954">
        <w:rPr>
          <w:smallCaps/>
          <w:color w:val="000000" w:themeColor="text1"/>
          <w:sz w:val="20"/>
          <w:szCs w:val="20"/>
        </w:rPr>
        <w:t>U.S. Dep</w:t>
      </w:r>
      <w:proofErr w:type="spellStart"/>
      <w:r w:rsidRPr="00550954">
        <w:rPr>
          <w:smallCaps/>
          <w:color w:val="000000" w:themeColor="text1"/>
          <w:sz w:val="20"/>
          <w:szCs w:val="20"/>
        </w:rPr>
        <w:t>’t</w:t>
      </w:r>
      <w:proofErr w:type="spellEnd"/>
      <w:r w:rsidRPr="00550954">
        <w:rPr>
          <w:smallCaps/>
          <w:color w:val="000000" w:themeColor="text1"/>
          <w:sz w:val="20"/>
          <w:szCs w:val="20"/>
        </w:rPr>
        <w:t xml:space="preserve"> of State, </w:t>
      </w:r>
      <w:r w:rsidRPr="00550954">
        <w:rPr>
          <w:i/>
          <w:smallCaps/>
          <w:color w:val="000000" w:themeColor="text1"/>
          <w:sz w:val="20"/>
          <w:szCs w:val="20"/>
        </w:rPr>
        <w:t>Consular Notification and Access</w:t>
      </w:r>
      <w:r w:rsidRPr="00550954">
        <w:rPr>
          <w:i/>
          <w:color w:val="000000" w:themeColor="text1"/>
          <w:sz w:val="20"/>
          <w:szCs w:val="20"/>
        </w:rPr>
        <w:t xml:space="preserve"> </w:t>
      </w:r>
      <w:r w:rsidRPr="00550954">
        <w:rPr>
          <w:color w:val="000000" w:themeColor="text1"/>
          <w:sz w:val="20"/>
          <w:szCs w:val="20"/>
        </w:rPr>
        <w:t xml:space="preserve">(2018), </w:t>
      </w:r>
      <w:r w:rsidRPr="00550954">
        <w:rPr>
          <w:i/>
          <w:color w:val="000000" w:themeColor="text1"/>
          <w:sz w:val="20"/>
          <w:szCs w:val="20"/>
        </w:rPr>
        <w:t>available at</w:t>
      </w:r>
      <w:r w:rsidRPr="00550954">
        <w:rPr>
          <w:color w:val="000000" w:themeColor="text1"/>
          <w:sz w:val="20"/>
          <w:szCs w:val="20"/>
        </w:rPr>
        <w:t xml:space="preserve"> https://travel.state.gov/content/dam/travel/CNAtrainingresources/CNA%20Manual%205th%20Edition_September%202018.pdf.</w:t>
      </w:r>
      <w:r w:rsidRPr="00550954">
        <w:rPr>
          <w:i/>
          <w:color w:val="000000" w:themeColor="text1"/>
          <w:sz w:val="20"/>
          <w:szCs w:val="20"/>
        </w:rPr>
        <w:t xml:space="preserve"> </w:t>
      </w:r>
      <w:r w:rsidRPr="00550954">
        <w:rPr>
          <w:color w:val="000000" w:themeColor="text1"/>
          <w:sz w:val="20"/>
          <w:szCs w:val="20"/>
        </w:rPr>
        <w:t>(last visited</w:t>
      </w:r>
      <w:r w:rsidR="00E42EF0" w:rsidRPr="00550954">
        <w:rPr>
          <w:color w:val="000000" w:themeColor="text1"/>
          <w:sz w:val="20"/>
          <w:szCs w:val="20"/>
        </w:rPr>
        <w:t xml:space="preserve"> July 18, 2023</w:t>
      </w:r>
      <w:r w:rsidRPr="00550954">
        <w:rPr>
          <w:color w:val="000000" w:themeColor="text1"/>
          <w:sz w:val="20"/>
          <w:szCs w:val="20"/>
        </w:rPr>
        <w:t xml:space="preserve">). </w:t>
      </w:r>
    </w:p>
  </w:footnote>
  <w:footnote w:id="105">
    <w:p w14:paraId="675D0FE5" w14:textId="3A7AF2CE" w:rsidR="006C0B91" w:rsidRPr="00550954" w:rsidRDefault="006C0B91" w:rsidP="00550954">
      <w:pPr>
        <w:pStyle w:val="FootnoteText"/>
        <w:rPr>
          <w:i/>
          <w:iCs/>
          <w:sz w:val="20"/>
          <w:szCs w:val="20"/>
        </w:rPr>
      </w:pPr>
      <w:r w:rsidRPr="00550954">
        <w:rPr>
          <w:rStyle w:val="FootnoteReference"/>
          <w:sz w:val="20"/>
          <w:szCs w:val="20"/>
        </w:rPr>
        <w:footnoteRef/>
      </w:r>
      <w:r w:rsidRPr="00550954">
        <w:rPr>
          <w:sz w:val="20"/>
          <w:szCs w:val="20"/>
        </w:rPr>
        <w:t xml:space="preserve"> </w:t>
      </w:r>
      <w:r w:rsidRPr="00550954">
        <w:rPr>
          <w:i/>
          <w:iCs/>
          <w:sz w:val="20"/>
          <w:szCs w:val="20"/>
        </w:rPr>
        <w:t>See</w:t>
      </w:r>
      <w:r w:rsidR="0080022E" w:rsidRPr="00550954">
        <w:rPr>
          <w:i/>
          <w:iCs/>
          <w:sz w:val="20"/>
          <w:szCs w:val="20"/>
        </w:rPr>
        <w:t xml:space="preserve"> id.</w:t>
      </w:r>
      <w:r w:rsidR="00A11B2C" w:rsidRPr="00550954">
        <w:rPr>
          <w:color w:val="000000" w:themeColor="text1"/>
          <w:sz w:val="20"/>
          <w:szCs w:val="20"/>
        </w:rPr>
        <w:t xml:space="preserve"> </w:t>
      </w:r>
    </w:p>
  </w:footnote>
  <w:footnote w:id="106">
    <w:p w14:paraId="48B1FD46" w14:textId="10A2FC66" w:rsidR="006C0B91" w:rsidRPr="00550954" w:rsidRDefault="006C0B91" w:rsidP="00550954">
      <w:pPr>
        <w:pStyle w:val="FootnoteText"/>
        <w:rPr>
          <w:sz w:val="20"/>
          <w:szCs w:val="20"/>
        </w:rPr>
      </w:pPr>
      <w:r w:rsidRPr="00550954">
        <w:rPr>
          <w:rStyle w:val="FootnoteReference"/>
          <w:sz w:val="20"/>
          <w:szCs w:val="20"/>
        </w:rPr>
        <w:footnoteRef/>
      </w:r>
      <w:r w:rsidRPr="00550954">
        <w:rPr>
          <w:sz w:val="20"/>
          <w:szCs w:val="20"/>
        </w:rPr>
        <w:t xml:space="preserve"> </w:t>
      </w:r>
      <w:r w:rsidR="00E42EF0" w:rsidRPr="00550954">
        <w:rPr>
          <w:smallCaps/>
          <w:sz w:val="20"/>
          <w:szCs w:val="20"/>
        </w:rPr>
        <w:t>Death Penalty Inf</w:t>
      </w:r>
      <w:r w:rsidR="009F4164" w:rsidRPr="00550954">
        <w:rPr>
          <w:smallCaps/>
          <w:sz w:val="20"/>
          <w:szCs w:val="20"/>
        </w:rPr>
        <w:t>o.</w:t>
      </w:r>
      <w:r w:rsidR="00E42EF0" w:rsidRPr="00550954">
        <w:rPr>
          <w:smallCaps/>
          <w:sz w:val="20"/>
          <w:szCs w:val="20"/>
        </w:rPr>
        <w:t xml:space="preserve"> C</w:t>
      </w:r>
      <w:r w:rsidR="009F4164" w:rsidRPr="00550954">
        <w:rPr>
          <w:smallCaps/>
          <w:sz w:val="20"/>
          <w:szCs w:val="20"/>
        </w:rPr>
        <w:t>tr.</w:t>
      </w:r>
      <w:r w:rsidR="00E42EF0" w:rsidRPr="00550954">
        <w:rPr>
          <w:sz w:val="20"/>
          <w:szCs w:val="20"/>
        </w:rPr>
        <w:t xml:space="preserve">, </w:t>
      </w:r>
      <w:r w:rsidR="00E42EF0" w:rsidRPr="00550954">
        <w:rPr>
          <w:i/>
          <w:iCs/>
          <w:sz w:val="20"/>
          <w:szCs w:val="20"/>
        </w:rPr>
        <w:t>Case Outcomes of Foreign Nationals</w:t>
      </w:r>
      <w:r w:rsidR="003D75FB" w:rsidRPr="00550954">
        <w:rPr>
          <w:i/>
          <w:iCs/>
          <w:sz w:val="20"/>
          <w:szCs w:val="20"/>
        </w:rPr>
        <w:t xml:space="preserve"> as of January 30, 2022</w:t>
      </w:r>
      <w:r w:rsidR="003D75FB" w:rsidRPr="00550954">
        <w:rPr>
          <w:sz w:val="20"/>
          <w:szCs w:val="20"/>
        </w:rPr>
        <w:t xml:space="preserve">, </w:t>
      </w:r>
      <w:r w:rsidR="009F4164" w:rsidRPr="00550954">
        <w:rPr>
          <w:sz w:val="20"/>
          <w:szCs w:val="20"/>
        </w:rPr>
        <w:t>https://deathpenaltyinfo.org/death-row/foreign-nationals/case-outcomes-of-foreign-nationals (last visited July 18, 2023)</w:t>
      </w:r>
      <w:r w:rsidR="003D75FB" w:rsidRPr="00550954">
        <w:rPr>
          <w:sz w:val="20"/>
          <w:szCs w:val="20"/>
        </w:rPr>
        <w:t>.</w:t>
      </w:r>
    </w:p>
  </w:footnote>
  <w:footnote w:id="107">
    <w:p w14:paraId="5994C5E3" w14:textId="5A757BBB" w:rsidR="006C0B91" w:rsidRPr="00550954" w:rsidRDefault="006C0B91" w:rsidP="00550954">
      <w:pPr>
        <w:pStyle w:val="FootnoteText"/>
        <w:rPr>
          <w:sz w:val="20"/>
          <w:szCs w:val="20"/>
        </w:rPr>
      </w:pPr>
      <w:r w:rsidRPr="00550954">
        <w:rPr>
          <w:rStyle w:val="FootnoteReference"/>
          <w:sz w:val="20"/>
          <w:szCs w:val="20"/>
        </w:rPr>
        <w:footnoteRef/>
      </w:r>
      <w:r w:rsidRPr="00550954">
        <w:rPr>
          <w:sz w:val="20"/>
          <w:szCs w:val="20"/>
        </w:rPr>
        <w:t xml:space="preserve"> </w:t>
      </w:r>
      <w:r w:rsidR="003D75FB" w:rsidRPr="00550954">
        <w:rPr>
          <w:smallCaps/>
          <w:sz w:val="20"/>
          <w:szCs w:val="20"/>
        </w:rPr>
        <w:t>Death Penalty Info</w:t>
      </w:r>
      <w:r w:rsidR="009F4164" w:rsidRPr="00550954">
        <w:rPr>
          <w:smallCaps/>
          <w:sz w:val="20"/>
          <w:szCs w:val="20"/>
        </w:rPr>
        <w:t>. Ctr.</w:t>
      </w:r>
      <w:r w:rsidR="003D75FB" w:rsidRPr="00550954">
        <w:rPr>
          <w:sz w:val="20"/>
          <w:szCs w:val="20"/>
        </w:rPr>
        <w:t>,</w:t>
      </w:r>
      <w:r w:rsidR="003D75FB" w:rsidRPr="00550954">
        <w:rPr>
          <w:i/>
          <w:iCs/>
          <w:sz w:val="20"/>
          <w:szCs w:val="20"/>
        </w:rPr>
        <w:t xml:space="preserve"> Foreign Nationals Under Sentence of Death in the U.S.</w:t>
      </w:r>
      <w:r w:rsidR="009F4164" w:rsidRPr="00550954">
        <w:rPr>
          <w:sz w:val="20"/>
          <w:szCs w:val="20"/>
        </w:rPr>
        <w:t>, https://deathpenaltyinfo.org/death-row/foreign-nationals/foreign-nationals-under-sentence-of-death-in-the-u-s (last visited July 12, 2023)</w:t>
      </w:r>
      <w:r w:rsidR="003D75FB" w:rsidRPr="00550954">
        <w:rPr>
          <w:sz w:val="20"/>
          <w:szCs w:val="20"/>
        </w:rPr>
        <w:t>.</w:t>
      </w:r>
    </w:p>
  </w:footnote>
  <w:footnote w:id="108">
    <w:p w14:paraId="6B0F4DE7" w14:textId="15F4A1A7" w:rsidR="0031193B" w:rsidRPr="00550954" w:rsidRDefault="0031193B" w:rsidP="00550954">
      <w:pPr>
        <w:pStyle w:val="FootnoteText"/>
        <w:rPr>
          <w:sz w:val="20"/>
          <w:szCs w:val="20"/>
        </w:rPr>
      </w:pPr>
      <w:r w:rsidRPr="00550954">
        <w:rPr>
          <w:rStyle w:val="FootnoteReference"/>
          <w:sz w:val="20"/>
          <w:szCs w:val="20"/>
        </w:rPr>
        <w:footnoteRef/>
      </w:r>
      <w:r w:rsidRPr="00550954">
        <w:rPr>
          <w:sz w:val="20"/>
          <w:szCs w:val="20"/>
        </w:rPr>
        <w:t xml:space="preserve"> Human Rights Committee, </w:t>
      </w:r>
      <w:r w:rsidRPr="00550954">
        <w:rPr>
          <w:i/>
          <w:iCs/>
          <w:sz w:val="20"/>
          <w:szCs w:val="20"/>
        </w:rPr>
        <w:t xml:space="preserve">List of Issues prior to submission of the fifth periodic report of the United States, </w:t>
      </w:r>
      <w:r w:rsidRPr="00550954">
        <w:rPr>
          <w:sz w:val="20"/>
          <w:szCs w:val="20"/>
        </w:rPr>
        <w:t xml:space="preserve">(Apr. 18, 2019), U.N. Doc. CCPR/C/USA/QPR/5, ¶ </w:t>
      </w:r>
      <w:r w:rsidR="001F7261" w:rsidRPr="00550954">
        <w:rPr>
          <w:sz w:val="20"/>
          <w:szCs w:val="20"/>
        </w:rPr>
        <w:t>7</w:t>
      </w:r>
      <w:r w:rsidRPr="00550954">
        <w:rPr>
          <w:sz w:val="20"/>
          <w:szCs w:val="20"/>
        </w:rPr>
        <w:t>.</w:t>
      </w:r>
    </w:p>
  </w:footnote>
  <w:footnote w:id="109">
    <w:p w14:paraId="1CD9D630" w14:textId="0B2A9A18" w:rsidR="00434701" w:rsidRPr="00550954" w:rsidRDefault="00434701" w:rsidP="00550954">
      <w:pPr>
        <w:pStyle w:val="FootnoteText"/>
        <w:rPr>
          <w:sz w:val="20"/>
          <w:szCs w:val="20"/>
        </w:rPr>
      </w:pPr>
      <w:r w:rsidRPr="00550954">
        <w:rPr>
          <w:rStyle w:val="FootnoteReference"/>
          <w:sz w:val="20"/>
          <w:szCs w:val="20"/>
        </w:rPr>
        <w:footnoteRef/>
      </w:r>
      <w:r w:rsidRPr="00550954">
        <w:rPr>
          <w:sz w:val="20"/>
          <w:szCs w:val="20"/>
        </w:rPr>
        <w:t xml:space="preserve"> Human Rights Committee, </w:t>
      </w:r>
      <w:r w:rsidRPr="00550954">
        <w:rPr>
          <w:i/>
          <w:iCs/>
          <w:sz w:val="20"/>
          <w:szCs w:val="20"/>
        </w:rPr>
        <w:t>Fifth periodic report submitted by the United States under article 40 of the Covenant pursuant to the optional reporting procedure, due in 2020</w:t>
      </w:r>
      <w:r w:rsidRPr="00550954">
        <w:rPr>
          <w:sz w:val="20"/>
          <w:szCs w:val="20"/>
        </w:rPr>
        <w:t xml:space="preserve">, (Nov. 11, 2021), U.N. Doc. CCPR/C/USA/5, ¶ </w:t>
      </w:r>
      <w:r w:rsidR="00F17927" w:rsidRPr="00550954">
        <w:rPr>
          <w:sz w:val="20"/>
          <w:szCs w:val="20"/>
        </w:rPr>
        <w:t>17</w:t>
      </w:r>
      <w:r w:rsidRPr="00550954">
        <w:rPr>
          <w:sz w:val="20"/>
          <w:szCs w:val="20"/>
        </w:rPr>
        <w:t>.</w:t>
      </w:r>
    </w:p>
  </w:footnote>
  <w:footnote w:id="110">
    <w:p w14:paraId="0E2B3E27" w14:textId="77777777"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w:t>
      </w:r>
      <w:bookmarkStart w:id="22" w:name="_Hlk141364054"/>
      <w:r w:rsidRPr="00550954">
        <w:rPr>
          <w:smallCaps/>
          <w:sz w:val="20"/>
          <w:szCs w:val="20"/>
        </w:rPr>
        <w:t>Death Penalty Information Center</w:t>
      </w:r>
      <w:r w:rsidRPr="00550954">
        <w:rPr>
          <w:sz w:val="20"/>
          <w:szCs w:val="20"/>
        </w:rPr>
        <w:t>,</w:t>
      </w:r>
      <w:r w:rsidRPr="00550954">
        <w:rPr>
          <w:i/>
          <w:sz w:val="20"/>
          <w:szCs w:val="20"/>
        </w:rPr>
        <w:t xml:space="preserve"> The Death Penalty in 2022: Year End Report </w:t>
      </w:r>
      <w:r w:rsidRPr="00550954">
        <w:rPr>
          <w:iCs/>
          <w:sz w:val="20"/>
          <w:szCs w:val="20"/>
        </w:rPr>
        <w:t>(Dec. 16, 2022),</w:t>
      </w:r>
      <w:r w:rsidRPr="00550954">
        <w:rPr>
          <w:sz w:val="20"/>
          <w:szCs w:val="20"/>
        </w:rPr>
        <w:t xml:space="preserve"> </w:t>
      </w:r>
      <w:r w:rsidRPr="00550954">
        <w:rPr>
          <w:iCs/>
          <w:sz w:val="20"/>
          <w:szCs w:val="20"/>
        </w:rPr>
        <w:t xml:space="preserve">https://deathpenaltyinfo.org/facts-and-research/dpic-reports/dpic-year-end-reports/the-death-penalty-in-2022-year-end-report. </w:t>
      </w:r>
      <w:bookmarkEnd w:id="22"/>
    </w:p>
  </w:footnote>
  <w:footnote w:id="111">
    <w:p w14:paraId="2BFC2354" w14:textId="35AFCB54"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w:t>
      </w:r>
      <w:r w:rsidR="0080022E" w:rsidRPr="00550954">
        <w:rPr>
          <w:i/>
          <w:iCs/>
          <w:sz w:val="20"/>
          <w:szCs w:val="20"/>
        </w:rPr>
        <w:t>Id.</w:t>
      </w:r>
      <w:r w:rsidRPr="00550954">
        <w:rPr>
          <w:iCs/>
          <w:sz w:val="20"/>
          <w:szCs w:val="20"/>
        </w:rPr>
        <w:t xml:space="preserve"> </w:t>
      </w:r>
    </w:p>
  </w:footnote>
  <w:footnote w:id="112">
    <w:p w14:paraId="02E41A19" w14:textId="77777777"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Death Penalty Information Center</w:t>
      </w:r>
      <w:r w:rsidRPr="00550954">
        <w:rPr>
          <w:sz w:val="20"/>
          <w:szCs w:val="20"/>
        </w:rPr>
        <w:t xml:space="preserve">, </w:t>
      </w:r>
      <w:r w:rsidRPr="00550954">
        <w:rPr>
          <w:i/>
          <w:iCs/>
          <w:sz w:val="20"/>
          <w:szCs w:val="20"/>
        </w:rPr>
        <w:t>Overview: Racial Demographics</w:t>
      </w:r>
      <w:r w:rsidRPr="00550954">
        <w:rPr>
          <w:sz w:val="20"/>
          <w:szCs w:val="20"/>
        </w:rPr>
        <w:t>, https://deathpenaltyinfo.org/death-row/overview/demographics (last visited July 17, 2023).</w:t>
      </w:r>
    </w:p>
  </w:footnote>
  <w:footnote w:id="113">
    <w:p w14:paraId="03C9D6A0" w14:textId="77777777" w:rsidR="0000379E" w:rsidRPr="00550954" w:rsidRDefault="0000379E" w:rsidP="00550954">
      <w:pPr>
        <w:pStyle w:val="FootnoteText"/>
        <w:rPr>
          <w:sz w:val="20"/>
          <w:szCs w:val="20"/>
        </w:rPr>
      </w:pPr>
      <w:r w:rsidRPr="00550954">
        <w:rPr>
          <w:rStyle w:val="FootnoteReference"/>
          <w:sz w:val="20"/>
          <w:szCs w:val="20"/>
        </w:rPr>
        <w:footnoteRef/>
      </w:r>
      <w:r w:rsidRPr="00550954">
        <w:rPr>
          <w:smallCaps/>
          <w:sz w:val="20"/>
          <w:szCs w:val="20"/>
        </w:rPr>
        <w:t xml:space="preserve"> Death Penalty Information Center</w:t>
      </w:r>
      <w:r w:rsidRPr="00550954">
        <w:rPr>
          <w:sz w:val="20"/>
          <w:szCs w:val="20"/>
        </w:rPr>
        <w:t>,</w:t>
      </w:r>
      <w:r w:rsidRPr="00550954">
        <w:rPr>
          <w:i/>
          <w:sz w:val="20"/>
          <w:szCs w:val="20"/>
        </w:rPr>
        <w:t xml:space="preserve"> The Death Penalty in 2022: Year End Report </w:t>
      </w:r>
      <w:r w:rsidRPr="00550954">
        <w:rPr>
          <w:iCs/>
          <w:sz w:val="20"/>
          <w:szCs w:val="20"/>
        </w:rPr>
        <w:t>(Dec. 16, 2022),</w:t>
      </w:r>
      <w:r w:rsidRPr="00550954">
        <w:rPr>
          <w:sz w:val="20"/>
          <w:szCs w:val="20"/>
        </w:rPr>
        <w:t xml:space="preserve"> </w:t>
      </w:r>
      <w:r w:rsidRPr="00550954">
        <w:rPr>
          <w:iCs/>
          <w:sz w:val="20"/>
          <w:szCs w:val="20"/>
        </w:rPr>
        <w:t xml:space="preserve">https://deathpenaltyinfo.org/facts-and-research/dpic-reports/dpic-year-end-reports/the-death-penalty-in-2022-year-end-report. </w:t>
      </w:r>
    </w:p>
  </w:footnote>
  <w:footnote w:id="114">
    <w:p w14:paraId="713B6BAD" w14:textId="77777777"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Human Rights Committee, </w:t>
      </w:r>
      <w:r w:rsidRPr="00550954">
        <w:rPr>
          <w:i/>
          <w:iCs/>
          <w:sz w:val="20"/>
          <w:szCs w:val="20"/>
        </w:rPr>
        <w:t>Fifth periodic report submitted by the United States under article 40 of the Covenant pursuant to the optional reporting procedure, due in 2020</w:t>
      </w:r>
      <w:r w:rsidRPr="00550954">
        <w:rPr>
          <w:sz w:val="20"/>
          <w:szCs w:val="20"/>
        </w:rPr>
        <w:t>, (Nov. 11, 2021), U.N. Doc. CCPR/C/USA/5, ¶ 37.</w:t>
      </w:r>
    </w:p>
  </w:footnote>
  <w:footnote w:id="115">
    <w:p w14:paraId="0F9EBB7C" w14:textId="77777777"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Equal Justice Initiative</w:t>
      </w:r>
      <w:r w:rsidRPr="00550954">
        <w:rPr>
          <w:sz w:val="20"/>
          <w:szCs w:val="20"/>
        </w:rPr>
        <w:t xml:space="preserve">, </w:t>
      </w:r>
      <w:r w:rsidRPr="00550954">
        <w:rPr>
          <w:i/>
          <w:sz w:val="20"/>
          <w:szCs w:val="20"/>
        </w:rPr>
        <w:t>Race and The Jury</w:t>
      </w:r>
      <w:r w:rsidRPr="00550954">
        <w:rPr>
          <w:sz w:val="20"/>
          <w:szCs w:val="20"/>
        </w:rPr>
        <w:t>, https://eji.org/report/race-and-the-jury/a-history-of-discrimination-in-jury-selection/#chapter-1 (last visited July 15, 2023).</w:t>
      </w:r>
    </w:p>
  </w:footnote>
  <w:footnote w:id="116">
    <w:p w14:paraId="578B411D" w14:textId="77777777"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smallCaps/>
          <w:sz w:val="20"/>
          <w:szCs w:val="20"/>
        </w:rPr>
        <w:t>Death Penalty Information Center</w:t>
      </w:r>
      <w:r w:rsidRPr="00550954">
        <w:rPr>
          <w:sz w:val="20"/>
          <w:szCs w:val="20"/>
        </w:rPr>
        <w:t xml:space="preserve">, </w:t>
      </w:r>
      <w:r w:rsidRPr="00550954">
        <w:rPr>
          <w:i/>
          <w:iCs/>
          <w:sz w:val="20"/>
          <w:szCs w:val="20"/>
        </w:rPr>
        <w:t>Prosecutorial Accountability: Discrimination in Jury Selection</w:t>
      </w:r>
      <w:r w:rsidRPr="00550954">
        <w:rPr>
          <w:sz w:val="20"/>
          <w:szCs w:val="20"/>
        </w:rPr>
        <w:t xml:space="preserve">, https://deathpenaltyinfo.org/policy-issues/prosecutorial-accountability/discrimination-in-jury-selection (last visited July 17, 2023). </w:t>
      </w:r>
    </w:p>
  </w:footnote>
  <w:footnote w:id="117">
    <w:p w14:paraId="144DD0CD" w14:textId="1F0B85AA" w:rsidR="0000379E" w:rsidRPr="00550954" w:rsidRDefault="0000379E" w:rsidP="00550954">
      <w:pPr>
        <w:pStyle w:val="FootnoteText"/>
        <w:rPr>
          <w:sz w:val="20"/>
          <w:szCs w:val="20"/>
        </w:rPr>
      </w:pPr>
      <w:r w:rsidRPr="00550954">
        <w:rPr>
          <w:rStyle w:val="FootnoteReference"/>
          <w:sz w:val="20"/>
          <w:szCs w:val="20"/>
        </w:rPr>
        <w:footnoteRef/>
      </w:r>
      <w:r w:rsidRPr="00550954">
        <w:rPr>
          <w:sz w:val="20"/>
          <w:szCs w:val="20"/>
        </w:rPr>
        <w:t xml:space="preserve"> </w:t>
      </w:r>
      <w:r w:rsidR="0080022E" w:rsidRPr="00550954">
        <w:rPr>
          <w:i/>
          <w:iCs/>
          <w:sz w:val="20"/>
          <w:szCs w:val="20"/>
        </w:rPr>
        <w:t>Id.</w:t>
      </w:r>
      <w:r w:rsidRPr="00550954">
        <w:rPr>
          <w:sz w:val="20"/>
          <w:szCs w:val="20"/>
        </w:rPr>
        <w:t xml:space="preserve"> </w:t>
      </w:r>
    </w:p>
  </w:footnote>
  <w:footnote w:id="118">
    <w:p w14:paraId="08500518" w14:textId="406B439F" w:rsidR="0000379E" w:rsidRPr="00550954" w:rsidRDefault="0000379E" w:rsidP="00550954">
      <w:pPr>
        <w:pStyle w:val="FootnoteText"/>
        <w:rPr>
          <w:sz w:val="20"/>
          <w:szCs w:val="20"/>
        </w:rPr>
      </w:pPr>
      <w:r w:rsidRPr="00550954">
        <w:rPr>
          <w:rStyle w:val="FootnoteReference"/>
          <w:sz w:val="20"/>
          <w:szCs w:val="20"/>
        </w:rPr>
        <w:footnoteRef/>
      </w:r>
      <w:r w:rsidRPr="00550954">
        <w:rPr>
          <w:i/>
          <w:iCs/>
          <w:sz w:val="20"/>
          <w:szCs w:val="20"/>
        </w:rPr>
        <w:t xml:space="preserve"> </w:t>
      </w:r>
      <w:r w:rsidR="0080022E" w:rsidRPr="00550954">
        <w:rPr>
          <w:i/>
          <w:iCs/>
          <w:sz w:val="20"/>
          <w:szCs w:val="20"/>
        </w:rPr>
        <w:t>Id.</w:t>
      </w:r>
      <w:r w:rsidRPr="00550954">
        <w:rPr>
          <w:sz w:val="20"/>
          <w:szCs w:val="20"/>
        </w:rPr>
        <w:t xml:space="preserve"> </w:t>
      </w:r>
    </w:p>
  </w:footnote>
  <w:footnote w:id="119">
    <w:p w14:paraId="00E01B2D" w14:textId="2BC4CEC1" w:rsidR="0000379E" w:rsidRPr="00550954" w:rsidRDefault="0000379E" w:rsidP="00550954">
      <w:pPr>
        <w:pStyle w:val="FootnoteText"/>
        <w:tabs>
          <w:tab w:val="left" w:pos="9180"/>
        </w:tabs>
        <w:rPr>
          <w:sz w:val="20"/>
          <w:szCs w:val="20"/>
        </w:rPr>
      </w:pPr>
      <w:r w:rsidRPr="00550954">
        <w:rPr>
          <w:rStyle w:val="FootnoteReference"/>
          <w:sz w:val="20"/>
          <w:szCs w:val="20"/>
        </w:rPr>
        <w:footnoteRef/>
      </w:r>
      <w:r w:rsidRPr="00550954">
        <w:rPr>
          <w:sz w:val="20"/>
          <w:szCs w:val="20"/>
        </w:rPr>
        <w:t xml:space="preserve"> </w:t>
      </w:r>
      <w:r w:rsidR="0080022E" w:rsidRPr="00550954">
        <w:rPr>
          <w:i/>
          <w:iCs/>
          <w:sz w:val="20"/>
          <w:szCs w:val="20"/>
        </w:rPr>
        <w:t>Id.</w:t>
      </w:r>
      <w:r w:rsidRPr="00550954">
        <w:rPr>
          <w:sz w:val="20"/>
          <w:szCs w:val="20"/>
        </w:rPr>
        <w:t xml:space="preserve"> </w:t>
      </w:r>
    </w:p>
  </w:footnote>
  <w:footnote w:id="120">
    <w:p w14:paraId="63C7051B" w14:textId="2DDDC392" w:rsidR="00A55C27" w:rsidRPr="00550954" w:rsidRDefault="00A55C27" w:rsidP="00550954">
      <w:pPr>
        <w:pStyle w:val="FootnoteText"/>
        <w:rPr>
          <w:sz w:val="20"/>
          <w:szCs w:val="20"/>
        </w:rPr>
      </w:pPr>
      <w:r w:rsidRPr="00550954">
        <w:rPr>
          <w:rStyle w:val="FootnoteReference"/>
          <w:sz w:val="20"/>
          <w:szCs w:val="20"/>
        </w:rPr>
        <w:footnoteRef/>
      </w:r>
      <w:r w:rsidRPr="00550954">
        <w:rPr>
          <w:sz w:val="20"/>
          <w:szCs w:val="20"/>
        </w:rPr>
        <w:t xml:space="preserve"> </w:t>
      </w:r>
      <w:r w:rsidR="00911F11" w:rsidRPr="00550954">
        <w:rPr>
          <w:sz w:val="20"/>
          <w:szCs w:val="20"/>
        </w:rPr>
        <w:t xml:space="preserve">Human Rights Committee, </w:t>
      </w:r>
      <w:r w:rsidR="00911F11" w:rsidRPr="00550954">
        <w:rPr>
          <w:i/>
          <w:iCs/>
          <w:sz w:val="20"/>
          <w:szCs w:val="20"/>
        </w:rPr>
        <w:t>Fifth periodic report submitted by the United States under article 40 of the Covenant pursuant to the optional reporting procedure, due in 2020</w:t>
      </w:r>
      <w:r w:rsidR="00911F11" w:rsidRPr="00550954">
        <w:rPr>
          <w:sz w:val="20"/>
          <w:szCs w:val="20"/>
        </w:rPr>
        <w:t xml:space="preserve">, (Nov. 11, 2021), U.N. Doc. CCPR/C/USA/5, ¶ </w:t>
      </w:r>
      <w:r w:rsidR="00D42994" w:rsidRPr="00550954">
        <w:rPr>
          <w:sz w:val="20"/>
          <w:szCs w:val="20"/>
        </w:rPr>
        <w:t>21</w:t>
      </w:r>
      <w:r w:rsidR="00911F11" w:rsidRPr="00550954">
        <w:rPr>
          <w:sz w:val="20"/>
          <w:szCs w:val="20"/>
        </w:rPr>
        <w:t>.</w:t>
      </w:r>
    </w:p>
  </w:footnote>
  <w:footnote w:id="121">
    <w:p w14:paraId="694979C9" w14:textId="2E7BEB28" w:rsidR="00A55C27" w:rsidRPr="00550954" w:rsidRDefault="00A55C27"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22">
    <w:p w14:paraId="5D1B8252" w14:textId="49172984" w:rsidR="001057E1" w:rsidRPr="00550954" w:rsidRDefault="001057E1" w:rsidP="00550954">
      <w:pPr>
        <w:pStyle w:val="FootnoteText"/>
        <w:rPr>
          <w:sz w:val="20"/>
          <w:szCs w:val="20"/>
        </w:rPr>
      </w:pPr>
      <w:r w:rsidRPr="00550954">
        <w:rPr>
          <w:rStyle w:val="FootnoteReference"/>
          <w:sz w:val="20"/>
          <w:szCs w:val="20"/>
        </w:rPr>
        <w:footnoteRef/>
      </w:r>
      <w:r w:rsidRPr="00550954">
        <w:rPr>
          <w:sz w:val="20"/>
          <w:szCs w:val="20"/>
        </w:rPr>
        <w:t xml:space="preserve"> Mississippi Center for Justice</w:t>
      </w:r>
      <w:r w:rsidR="004B14FA" w:rsidRPr="00550954">
        <w:rPr>
          <w:sz w:val="20"/>
          <w:szCs w:val="20"/>
        </w:rPr>
        <w:t xml:space="preserve">, </w:t>
      </w:r>
      <w:r w:rsidR="004B14FA" w:rsidRPr="00550954">
        <w:rPr>
          <w:i/>
          <w:iCs/>
          <w:sz w:val="20"/>
          <w:szCs w:val="20"/>
        </w:rPr>
        <w:t>Curtis Flowers to Receive $500,000 for Wrongful Imprisonment</w:t>
      </w:r>
      <w:r w:rsidR="004B14FA" w:rsidRPr="00550954">
        <w:rPr>
          <w:sz w:val="20"/>
          <w:szCs w:val="20"/>
        </w:rPr>
        <w:t>, Mar. 3, 2021, https://mscenterforjustice.org/curtis-flowers-to-receive-500000-for-wrongful-imprisonment/.</w:t>
      </w:r>
    </w:p>
  </w:footnote>
  <w:footnote w:id="123">
    <w:p w14:paraId="600D7A9F" w14:textId="0B762B64" w:rsidR="002D57F6" w:rsidRPr="00550954" w:rsidRDefault="002D57F6" w:rsidP="00550954">
      <w:pPr>
        <w:pStyle w:val="FootnoteText"/>
        <w:rPr>
          <w:sz w:val="20"/>
          <w:szCs w:val="20"/>
        </w:rPr>
      </w:pPr>
      <w:r w:rsidRPr="00550954">
        <w:rPr>
          <w:rStyle w:val="FootnoteReference"/>
          <w:sz w:val="20"/>
          <w:szCs w:val="20"/>
        </w:rPr>
        <w:footnoteRef/>
      </w:r>
      <w:r w:rsidRPr="00550954">
        <w:rPr>
          <w:sz w:val="20"/>
          <w:szCs w:val="20"/>
        </w:rPr>
        <w:t xml:space="preserve"> Sandra </w:t>
      </w:r>
      <w:r w:rsidRPr="00550954">
        <w:rPr>
          <w:kern w:val="0"/>
          <w:sz w:val="20"/>
          <w:szCs w:val="20"/>
        </w:rPr>
        <w:t xml:space="preserve">Babcock and Nathalie Greenfield, </w:t>
      </w:r>
      <w:r w:rsidRPr="00550954">
        <w:rPr>
          <w:i/>
          <w:iCs/>
          <w:kern w:val="0"/>
          <w:sz w:val="20"/>
          <w:szCs w:val="20"/>
        </w:rPr>
        <w:t>Gender, Violence, and the Death Penalty</w:t>
      </w:r>
      <w:r w:rsidRPr="00550954">
        <w:rPr>
          <w:kern w:val="0"/>
          <w:sz w:val="20"/>
          <w:szCs w:val="20"/>
        </w:rPr>
        <w:t xml:space="preserve"> (April 10, 2023), forthcoming, California Western International Law Journal, Vol. 53 (2023), at 1-2. Available at SSRN: https://ssrn.com/abstract=4416558.</w:t>
      </w:r>
    </w:p>
  </w:footnote>
  <w:footnote w:id="124">
    <w:p w14:paraId="1449EAA7" w14:textId="043DEEDD" w:rsidR="00D472DC" w:rsidRPr="00550954" w:rsidRDefault="00D472DC"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6.</w:t>
      </w:r>
    </w:p>
  </w:footnote>
  <w:footnote w:id="125">
    <w:p w14:paraId="1D407891" w14:textId="2D385831" w:rsidR="004D5EE3" w:rsidRPr="00550954" w:rsidRDefault="004D5EE3"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 xml:space="preserve">Id. </w:t>
      </w:r>
      <w:r w:rsidRPr="00550954">
        <w:rPr>
          <w:sz w:val="20"/>
          <w:szCs w:val="20"/>
        </w:rPr>
        <w:t>at 7.</w:t>
      </w:r>
    </w:p>
  </w:footnote>
  <w:footnote w:id="126">
    <w:p w14:paraId="7DFCB11B" w14:textId="54F84973" w:rsidR="00161F4A" w:rsidRPr="00550954" w:rsidRDefault="00161F4A"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27">
    <w:p w14:paraId="0B1E5D34" w14:textId="62335FF5" w:rsidR="006804BF" w:rsidRPr="00550954" w:rsidRDefault="006804BF"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28">
    <w:p w14:paraId="6F524331" w14:textId="6194755D" w:rsidR="0090644D" w:rsidRPr="00550954" w:rsidRDefault="0090644D"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29">
    <w:p w14:paraId="785F9A6B" w14:textId="184D595E" w:rsidR="004E4B13" w:rsidRPr="00550954" w:rsidRDefault="004E4B13" w:rsidP="00550954">
      <w:pPr>
        <w:pStyle w:val="FootnoteText"/>
        <w:rPr>
          <w:sz w:val="20"/>
          <w:szCs w:val="20"/>
        </w:rPr>
      </w:pPr>
      <w:r w:rsidRPr="00550954">
        <w:rPr>
          <w:rStyle w:val="FootnoteReference"/>
          <w:sz w:val="20"/>
          <w:szCs w:val="20"/>
        </w:rPr>
        <w:footnoteRef/>
      </w:r>
      <w:r w:rsidRPr="00550954">
        <w:rPr>
          <w:sz w:val="20"/>
          <w:szCs w:val="20"/>
        </w:rPr>
        <w:t xml:space="preserve"> </w:t>
      </w:r>
      <w:r w:rsidR="007E0DA0" w:rsidRPr="00550954">
        <w:rPr>
          <w:sz w:val="20"/>
          <w:szCs w:val="20"/>
        </w:rPr>
        <w:t>Ibid. (some internal quotation marks omitted).</w:t>
      </w:r>
    </w:p>
  </w:footnote>
  <w:footnote w:id="130">
    <w:p w14:paraId="65FBC2EC" w14:textId="02E22730" w:rsidR="004B2D5D" w:rsidRPr="00550954" w:rsidRDefault="004B2D5D"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31">
    <w:p w14:paraId="62BDE8D1" w14:textId="65F2457C" w:rsidR="005F083E" w:rsidRPr="00550954" w:rsidRDefault="005F083E"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28.</w:t>
      </w:r>
    </w:p>
  </w:footnote>
  <w:footnote w:id="132">
    <w:p w14:paraId="0D3439FC" w14:textId="716DB56C" w:rsidR="00C94EAC" w:rsidRPr="00550954" w:rsidRDefault="00C94EAC"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21.</w:t>
      </w:r>
    </w:p>
  </w:footnote>
  <w:footnote w:id="133">
    <w:p w14:paraId="55562791" w14:textId="77816B24" w:rsidR="000F5853" w:rsidRPr="00550954" w:rsidRDefault="000F5853"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34">
    <w:p w14:paraId="53BF137C" w14:textId="6CC4ED40" w:rsidR="003F64D3" w:rsidRPr="00550954" w:rsidRDefault="003F64D3"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23.</w:t>
      </w:r>
    </w:p>
  </w:footnote>
  <w:footnote w:id="135">
    <w:p w14:paraId="1956E1CC" w14:textId="07CBE8D4" w:rsidR="009459A7" w:rsidRPr="00550954" w:rsidRDefault="009459A7"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12.</w:t>
      </w:r>
    </w:p>
  </w:footnote>
  <w:footnote w:id="136">
    <w:p w14:paraId="77FE7A56" w14:textId="16427924" w:rsidR="001A5F19" w:rsidRPr="00550954" w:rsidRDefault="001A5F19"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37">
    <w:p w14:paraId="6BA9028E" w14:textId="40E1B3DB" w:rsidR="00506B76" w:rsidRPr="00550954" w:rsidRDefault="00506B76" w:rsidP="00550954">
      <w:pPr>
        <w:pStyle w:val="FootnoteText"/>
        <w:rPr>
          <w:sz w:val="20"/>
          <w:szCs w:val="20"/>
        </w:rPr>
      </w:pPr>
      <w:r w:rsidRPr="00550954">
        <w:rPr>
          <w:rStyle w:val="FootnoteReference"/>
          <w:sz w:val="20"/>
          <w:szCs w:val="20"/>
        </w:rPr>
        <w:footnoteRef/>
      </w:r>
      <w:r w:rsidRPr="00550954">
        <w:rPr>
          <w:sz w:val="20"/>
          <w:szCs w:val="20"/>
        </w:rPr>
        <w:t xml:space="preserve"> Ibid. (internal quotation marks omitted) (quoting </w:t>
      </w:r>
      <w:proofErr w:type="spellStart"/>
      <w:r w:rsidRPr="00550954">
        <w:rPr>
          <w:sz w:val="20"/>
          <w:szCs w:val="20"/>
        </w:rPr>
        <w:t>Travariana</w:t>
      </w:r>
      <w:proofErr w:type="spellEnd"/>
      <w:r w:rsidRPr="00550954">
        <w:rPr>
          <w:sz w:val="20"/>
          <w:szCs w:val="20"/>
        </w:rPr>
        <w:t xml:space="preserve"> Mason, </w:t>
      </w:r>
      <w:r w:rsidRPr="00550954">
        <w:rPr>
          <w:i/>
          <w:iCs/>
          <w:sz w:val="20"/>
          <w:szCs w:val="20"/>
        </w:rPr>
        <w:t>Extreme Sentences Disproportionately Impact and Harm Black Women</w:t>
      </w:r>
      <w:r w:rsidRPr="00550954">
        <w:rPr>
          <w:sz w:val="20"/>
          <w:szCs w:val="20"/>
        </w:rPr>
        <w:t xml:space="preserve">, National Black Women’s Justice Institute (Sept. 23, 2021), </w:t>
      </w:r>
      <w:r w:rsidR="00E0354C" w:rsidRPr="00550954">
        <w:rPr>
          <w:sz w:val="20"/>
          <w:szCs w:val="20"/>
        </w:rPr>
        <w:t>https://www.nbwji.org/post/extreme-sentences-disproportionately-impactand-harm-black-women</w:t>
      </w:r>
      <w:r w:rsidR="0007698B" w:rsidRPr="00550954">
        <w:rPr>
          <w:sz w:val="20"/>
          <w:szCs w:val="20"/>
        </w:rPr>
        <w:t>)</w:t>
      </w:r>
      <w:r w:rsidR="00E0354C" w:rsidRPr="00550954">
        <w:rPr>
          <w:sz w:val="20"/>
          <w:szCs w:val="20"/>
        </w:rPr>
        <w:t>.</w:t>
      </w:r>
    </w:p>
  </w:footnote>
  <w:footnote w:id="138">
    <w:p w14:paraId="2135F3E7" w14:textId="6BA38060" w:rsidR="009B18C3" w:rsidRPr="00550954" w:rsidRDefault="009B18C3"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13.</w:t>
      </w:r>
    </w:p>
  </w:footnote>
  <w:footnote w:id="139">
    <w:p w14:paraId="68EC2AC0" w14:textId="705618FD" w:rsidR="006A00DA" w:rsidRPr="00550954" w:rsidRDefault="006A00DA"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40">
    <w:p w14:paraId="5F705A68" w14:textId="41359DC4" w:rsidR="00BB55E8" w:rsidRPr="00550954" w:rsidRDefault="00BB55E8" w:rsidP="00550954">
      <w:pPr>
        <w:pStyle w:val="FootnoteText"/>
        <w:rPr>
          <w:sz w:val="20"/>
          <w:szCs w:val="20"/>
        </w:rPr>
      </w:pPr>
      <w:r w:rsidRPr="00550954">
        <w:rPr>
          <w:rStyle w:val="FootnoteReference"/>
          <w:sz w:val="20"/>
          <w:szCs w:val="20"/>
        </w:rPr>
        <w:footnoteRef/>
      </w:r>
      <w:r w:rsidRPr="00550954">
        <w:rPr>
          <w:sz w:val="20"/>
          <w:szCs w:val="20"/>
        </w:rPr>
        <w:t xml:space="preserve"> Ibid. (footnote omitted).</w:t>
      </w:r>
    </w:p>
  </w:footnote>
  <w:footnote w:id="141">
    <w:p w14:paraId="200197CF" w14:textId="30E2F3A2" w:rsidR="00EA7AE8" w:rsidRPr="00550954" w:rsidRDefault="00EA7AE8"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32 (footnotes omitted).</w:t>
      </w:r>
    </w:p>
  </w:footnote>
  <w:footnote w:id="142">
    <w:p w14:paraId="58ABE5F9" w14:textId="4BB355EB" w:rsidR="00D26890" w:rsidRPr="00550954" w:rsidRDefault="00D26890"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43</w:t>
      </w:r>
    </w:p>
  </w:footnote>
  <w:footnote w:id="143">
    <w:p w14:paraId="131E8D83" w14:textId="1C007959" w:rsidR="00B507DC" w:rsidRPr="00550954" w:rsidRDefault="00B507DC" w:rsidP="00550954">
      <w:pPr>
        <w:pStyle w:val="FootnoteText"/>
        <w:rPr>
          <w:sz w:val="20"/>
          <w:szCs w:val="20"/>
        </w:rPr>
      </w:pPr>
      <w:r w:rsidRPr="00550954">
        <w:rPr>
          <w:rStyle w:val="FootnoteReference"/>
          <w:sz w:val="20"/>
          <w:szCs w:val="20"/>
        </w:rPr>
        <w:footnoteRef/>
      </w:r>
      <w:r w:rsidRPr="00550954">
        <w:rPr>
          <w:sz w:val="20"/>
          <w:szCs w:val="20"/>
        </w:rPr>
        <w:t xml:space="preserve"> Ibid.</w:t>
      </w:r>
    </w:p>
  </w:footnote>
  <w:footnote w:id="144">
    <w:p w14:paraId="3F519522" w14:textId="672D0378" w:rsidR="00585ACC" w:rsidRPr="00550954" w:rsidRDefault="00585ACC"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00D26890" w:rsidRPr="00550954">
        <w:rPr>
          <w:i/>
          <w:iCs/>
          <w:sz w:val="20"/>
          <w:szCs w:val="20"/>
        </w:rPr>
        <w:t xml:space="preserve"> </w:t>
      </w:r>
      <w:r w:rsidR="00D26890" w:rsidRPr="00550954">
        <w:rPr>
          <w:sz w:val="20"/>
          <w:szCs w:val="20"/>
        </w:rPr>
        <w:t>at 32.</w:t>
      </w:r>
    </w:p>
  </w:footnote>
  <w:footnote w:id="145">
    <w:p w14:paraId="190E452A" w14:textId="0D06CC52" w:rsidR="006E422C" w:rsidRPr="00550954" w:rsidRDefault="006E422C"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48.</w:t>
      </w:r>
    </w:p>
  </w:footnote>
  <w:footnote w:id="146">
    <w:p w14:paraId="2A7FC2E9" w14:textId="545A8CD1" w:rsidR="001162B4" w:rsidRPr="00550954" w:rsidRDefault="001162B4" w:rsidP="00550954">
      <w:pPr>
        <w:pStyle w:val="FootnoteText"/>
        <w:rPr>
          <w:sz w:val="20"/>
          <w:szCs w:val="20"/>
        </w:rPr>
      </w:pPr>
      <w:r w:rsidRPr="00550954">
        <w:rPr>
          <w:rStyle w:val="FootnoteReference"/>
          <w:sz w:val="20"/>
          <w:szCs w:val="20"/>
        </w:rPr>
        <w:footnoteRef/>
      </w:r>
      <w:r w:rsidRPr="00550954">
        <w:rPr>
          <w:sz w:val="20"/>
          <w:szCs w:val="20"/>
        </w:rPr>
        <w:t xml:space="preserve"> </w:t>
      </w:r>
      <w:r w:rsidRPr="00550954">
        <w:rPr>
          <w:i/>
          <w:iCs/>
          <w:sz w:val="20"/>
          <w:szCs w:val="20"/>
        </w:rPr>
        <w:t>Id.</w:t>
      </w:r>
      <w:r w:rsidRPr="00550954">
        <w:rPr>
          <w:sz w:val="20"/>
          <w:szCs w:val="20"/>
        </w:rPr>
        <w:t xml:space="preserve"> at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03D8BC6" w:rsidR="00804604" w:rsidRDefault="008C763F">
    <w:pPr>
      <w:pStyle w:val="Header"/>
    </w:pPr>
    <w:r>
      <w:rPr>
        <w:noProof/>
      </w:rPr>
      <w:drawing>
        <wp:anchor distT="0" distB="0" distL="114300" distR="114300" simplePos="0" relativeHeight="251658240" behindDoc="1" locked="0" layoutInCell="1" allowOverlap="1" wp14:anchorId="0D691956" wp14:editId="365D8CF5">
          <wp:simplePos x="0" y="0"/>
          <wp:positionH relativeFrom="column">
            <wp:posOffset>4162425</wp:posOffset>
          </wp:positionH>
          <wp:positionV relativeFrom="paragraph">
            <wp:posOffset>-77470</wp:posOffset>
          </wp:positionV>
          <wp:extent cx="2087245" cy="800100"/>
          <wp:effectExtent l="0" t="0" r="8255" b="0"/>
          <wp:wrapTight wrapText="bothSides">
            <wp:wrapPolygon edited="0">
              <wp:start x="0" y="0"/>
              <wp:lineTo x="0" y="21086"/>
              <wp:lineTo x="21488" y="21086"/>
              <wp:lineTo x="214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724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75AD">
      <w:rPr>
        <w:rFonts w:ascii="Palatino Linotype" w:hAnsi="Palatino Linotype"/>
        <w:noProof/>
        <w:sz w:val="22"/>
        <w:szCs w:val="22"/>
        <w:shd w:val="clear" w:color="auto" w:fill="FFFFFF"/>
      </w:rPr>
      <w:drawing>
        <wp:anchor distT="0" distB="0" distL="114300" distR="114300" simplePos="0" relativeHeight="251660289" behindDoc="0" locked="0" layoutInCell="1" allowOverlap="1" wp14:anchorId="5F5F86DD" wp14:editId="5BBC3454">
          <wp:simplePos x="0" y="0"/>
          <wp:positionH relativeFrom="column">
            <wp:posOffset>1779270</wp:posOffset>
          </wp:positionH>
          <wp:positionV relativeFrom="paragraph">
            <wp:posOffset>-162560</wp:posOffset>
          </wp:positionV>
          <wp:extent cx="2379980" cy="884555"/>
          <wp:effectExtent l="0" t="0" r="0" b="0"/>
          <wp:wrapThrough wrapText="bothSides">
            <wp:wrapPolygon edited="0">
              <wp:start x="3112" y="4187"/>
              <wp:lineTo x="2248" y="6978"/>
              <wp:lineTo x="1902" y="8838"/>
              <wp:lineTo x="2075" y="14421"/>
              <wp:lineTo x="7261" y="17212"/>
              <wp:lineTo x="10719" y="18142"/>
              <wp:lineTo x="11757" y="18142"/>
              <wp:lineTo x="15560" y="17212"/>
              <wp:lineTo x="15042" y="13025"/>
              <wp:lineTo x="19883" y="12095"/>
              <wp:lineTo x="19883" y="7908"/>
              <wp:lineTo x="5187" y="4187"/>
              <wp:lineTo x="3112" y="4187"/>
            </wp:wrapPolygon>
          </wp:wrapThrough>
          <wp:docPr id="6" name="Picture 6"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79980"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F014B084"/>
    <w:lvl w:ilvl="0" w:tplc="693E04FC">
      <w:start w:val="1"/>
      <w:numFmt w:val="decimal"/>
      <w:lvlText w:val="%1."/>
      <w:lvlJc w:val="left"/>
      <w:pPr>
        <w:ind w:left="720" w:hanging="360"/>
      </w:pPr>
      <w:rPr>
        <w:b w:val="0"/>
        <w:bCs w:val="0"/>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EE03372"/>
    <w:multiLevelType w:val="hybridMultilevel"/>
    <w:tmpl w:val="FEC42C4E"/>
    <w:lvl w:ilvl="0" w:tplc="02DE5C32">
      <w:start w:val="1"/>
      <w:numFmt w:val="decimal"/>
      <w:lvlText w:val="%1."/>
      <w:lvlJc w:val="left"/>
      <w:pPr>
        <w:tabs>
          <w:tab w:val="num" w:pos="360"/>
        </w:tabs>
        <w:ind w:left="0" w:firstLine="0"/>
      </w:pPr>
      <w:rPr>
        <w:rFonts w:ascii="Times New Roman" w:hAnsi="Times New Roman" w:cs="Times New Roman" w:hint="default"/>
        <w:b w:val="0"/>
        <w:bCs/>
        <w:sz w:val="24"/>
        <w:szCs w:val="24"/>
      </w:rPr>
    </w:lvl>
    <w:lvl w:ilvl="1" w:tplc="00010409">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75833"/>
    <w:multiLevelType w:val="hybridMultilevel"/>
    <w:tmpl w:val="E1F4EBA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15:restartNumberingAfterBreak="0">
    <w:nsid w:val="7CE64484"/>
    <w:multiLevelType w:val="hybridMultilevel"/>
    <w:tmpl w:val="7474120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915969075">
    <w:abstractNumId w:val="5"/>
  </w:num>
  <w:num w:numId="2" w16cid:durableId="2029719975">
    <w:abstractNumId w:val="4"/>
  </w:num>
  <w:num w:numId="3" w16cid:durableId="1539776804">
    <w:abstractNumId w:val="8"/>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9"/>
  </w:num>
  <w:num w:numId="9" w16cid:durableId="1023946614">
    <w:abstractNumId w:val="1"/>
  </w:num>
  <w:num w:numId="10" w16cid:durableId="661545980">
    <w:abstractNumId w:val="11"/>
  </w:num>
  <w:num w:numId="11" w16cid:durableId="1631091585">
    <w:abstractNumId w:val="10"/>
  </w:num>
  <w:num w:numId="12" w16cid:durableId="197086890">
    <w:abstractNumId w:val="7"/>
  </w:num>
  <w:num w:numId="13" w16cid:durableId="196943335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379E"/>
    <w:rsid w:val="00003EDF"/>
    <w:rsid w:val="000133E2"/>
    <w:rsid w:val="0001495C"/>
    <w:rsid w:val="00015AA6"/>
    <w:rsid w:val="000210A7"/>
    <w:rsid w:val="00024B3B"/>
    <w:rsid w:val="00030F59"/>
    <w:rsid w:val="0003242D"/>
    <w:rsid w:val="00032B19"/>
    <w:rsid w:val="000342B6"/>
    <w:rsid w:val="00046377"/>
    <w:rsid w:val="00056CF5"/>
    <w:rsid w:val="0005746F"/>
    <w:rsid w:val="000615B5"/>
    <w:rsid w:val="000618C2"/>
    <w:rsid w:val="00066A39"/>
    <w:rsid w:val="000734A4"/>
    <w:rsid w:val="0007698B"/>
    <w:rsid w:val="00080023"/>
    <w:rsid w:val="0008238F"/>
    <w:rsid w:val="00085935"/>
    <w:rsid w:val="000910FC"/>
    <w:rsid w:val="00094F43"/>
    <w:rsid w:val="0009644E"/>
    <w:rsid w:val="0009744B"/>
    <w:rsid w:val="000A1F17"/>
    <w:rsid w:val="000A6396"/>
    <w:rsid w:val="000A66B8"/>
    <w:rsid w:val="000B042D"/>
    <w:rsid w:val="000B3520"/>
    <w:rsid w:val="000B4DB3"/>
    <w:rsid w:val="000C3E8E"/>
    <w:rsid w:val="000C6340"/>
    <w:rsid w:val="000C7B9D"/>
    <w:rsid w:val="000D056E"/>
    <w:rsid w:val="000D0680"/>
    <w:rsid w:val="000E0E96"/>
    <w:rsid w:val="000E1DDC"/>
    <w:rsid w:val="000E57B4"/>
    <w:rsid w:val="000E7926"/>
    <w:rsid w:val="000F1E67"/>
    <w:rsid w:val="000F56E0"/>
    <w:rsid w:val="000F5853"/>
    <w:rsid w:val="000F5BD5"/>
    <w:rsid w:val="000F5E50"/>
    <w:rsid w:val="000F6455"/>
    <w:rsid w:val="001008D1"/>
    <w:rsid w:val="001057E1"/>
    <w:rsid w:val="00111994"/>
    <w:rsid w:val="001162B4"/>
    <w:rsid w:val="001170F4"/>
    <w:rsid w:val="00121409"/>
    <w:rsid w:val="001215B4"/>
    <w:rsid w:val="00123576"/>
    <w:rsid w:val="00123A1D"/>
    <w:rsid w:val="00127439"/>
    <w:rsid w:val="00136514"/>
    <w:rsid w:val="00143423"/>
    <w:rsid w:val="001439BF"/>
    <w:rsid w:val="0014473B"/>
    <w:rsid w:val="00147EA4"/>
    <w:rsid w:val="00150B86"/>
    <w:rsid w:val="00151557"/>
    <w:rsid w:val="00151AB3"/>
    <w:rsid w:val="00152829"/>
    <w:rsid w:val="001565F9"/>
    <w:rsid w:val="00160BDA"/>
    <w:rsid w:val="00161F4A"/>
    <w:rsid w:val="001635F6"/>
    <w:rsid w:val="00166AAC"/>
    <w:rsid w:val="0018076F"/>
    <w:rsid w:val="00181B2A"/>
    <w:rsid w:val="00181EF5"/>
    <w:rsid w:val="0018642B"/>
    <w:rsid w:val="001972E3"/>
    <w:rsid w:val="001A1B44"/>
    <w:rsid w:val="001A59C1"/>
    <w:rsid w:val="001A5ED5"/>
    <w:rsid w:val="001A5F19"/>
    <w:rsid w:val="001A7AF4"/>
    <w:rsid w:val="001B1AC4"/>
    <w:rsid w:val="001B227C"/>
    <w:rsid w:val="001B27D7"/>
    <w:rsid w:val="001B46C2"/>
    <w:rsid w:val="001B5A38"/>
    <w:rsid w:val="001B6B1D"/>
    <w:rsid w:val="001B799A"/>
    <w:rsid w:val="001C42EB"/>
    <w:rsid w:val="001C6E62"/>
    <w:rsid w:val="001D25D3"/>
    <w:rsid w:val="001D5584"/>
    <w:rsid w:val="001D5E0A"/>
    <w:rsid w:val="001D70BA"/>
    <w:rsid w:val="001F00DE"/>
    <w:rsid w:val="001F7261"/>
    <w:rsid w:val="002127B2"/>
    <w:rsid w:val="00216D2C"/>
    <w:rsid w:val="00220D48"/>
    <w:rsid w:val="0023174F"/>
    <w:rsid w:val="00231908"/>
    <w:rsid w:val="00235693"/>
    <w:rsid w:val="00235AE0"/>
    <w:rsid w:val="002367A9"/>
    <w:rsid w:val="00237C8C"/>
    <w:rsid w:val="00242F64"/>
    <w:rsid w:val="002439A3"/>
    <w:rsid w:val="00243E14"/>
    <w:rsid w:val="00244111"/>
    <w:rsid w:val="00255789"/>
    <w:rsid w:val="002606D4"/>
    <w:rsid w:val="00261950"/>
    <w:rsid w:val="00262075"/>
    <w:rsid w:val="00262BC1"/>
    <w:rsid w:val="00265B7A"/>
    <w:rsid w:val="00272519"/>
    <w:rsid w:val="002734D9"/>
    <w:rsid w:val="00273933"/>
    <w:rsid w:val="0027528E"/>
    <w:rsid w:val="002755E6"/>
    <w:rsid w:val="00277CFB"/>
    <w:rsid w:val="0028101E"/>
    <w:rsid w:val="0028216F"/>
    <w:rsid w:val="00282223"/>
    <w:rsid w:val="002833BA"/>
    <w:rsid w:val="00291BE8"/>
    <w:rsid w:val="002A0797"/>
    <w:rsid w:val="002A2FE6"/>
    <w:rsid w:val="002A4838"/>
    <w:rsid w:val="002B37F1"/>
    <w:rsid w:val="002C57BC"/>
    <w:rsid w:val="002D36C6"/>
    <w:rsid w:val="002D57F6"/>
    <w:rsid w:val="002D64A7"/>
    <w:rsid w:val="002E34EA"/>
    <w:rsid w:val="002E46A1"/>
    <w:rsid w:val="002F6C20"/>
    <w:rsid w:val="002F7A11"/>
    <w:rsid w:val="0031193B"/>
    <w:rsid w:val="00312145"/>
    <w:rsid w:val="0031476F"/>
    <w:rsid w:val="003150F1"/>
    <w:rsid w:val="00315C53"/>
    <w:rsid w:val="00322CB1"/>
    <w:rsid w:val="0032305F"/>
    <w:rsid w:val="00325C7C"/>
    <w:rsid w:val="00331B05"/>
    <w:rsid w:val="003369A6"/>
    <w:rsid w:val="003371BA"/>
    <w:rsid w:val="003378AB"/>
    <w:rsid w:val="003378FE"/>
    <w:rsid w:val="00340484"/>
    <w:rsid w:val="00344140"/>
    <w:rsid w:val="00344556"/>
    <w:rsid w:val="00345B90"/>
    <w:rsid w:val="00347C44"/>
    <w:rsid w:val="0035378E"/>
    <w:rsid w:val="0035424D"/>
    <w:rsid w:val="00363714"/>
    <w:rsid w:val="00365561"/>
    <w:rsid w:val="0037026C"/>
    <w:rsid w:val="00372720"/>
    <w:rsid w:val="00374FD8"/>
    <w:rsid w:val="00377976"/>
    <w:rsid w:val="00384CDD"/>
    <w:rsid w:val="00390AC3"/>
    <w:rsid w:val="00392FAF"/>
    <w:rsid w:val="003937C6"/>
    <w:rsid w:val="00394937"/>
    <w:rsid w:val="00394990"/>
    <w:rsid w:val="0039605B"/>
    <w:rsid w:val="003A0BC2"/>
    <w:rsid w:val="003A1AD4"/>
    <w:rsid w:val="003A1D3E"/>
    <w:rsid w:val="003A6534"/>
    <w:rsid w:val="003A6F6D"/>
    <w:rsid w:val="003B2839"/>
    <w:rsid w:val="003C1E49"/>
    <w:rsid w:val="003C293B"/>
    <w:rsid w:val="003C3818"/>
    <w:rsid w:val="003C60FE"/>
    <w:rsid w:val="003D1AB4"/>
    <w:rsid w:val="003D2B48"/>
    <w:rsid w:val="003D4637"/>
    <w:rsid w:val="003D608F"/>
    <w:rsid w:val="003D75FB"/>
    <w:rsid w:val="003D7929"/>
    <w:rsid w:val="003E6A6D"/>
    <w:rsid w:val="003E76E5"/>
    <w:rsid w:val="003F4845"/>
    <w:rsid w:val="003F602C"/>
    <w:rsid w:val="003F64D3"/>
    <w:rsid w:val="003F6EFC"/>
    <w:rsid w:val="004076CD"/>
    <w:rsid w:val="00407901"/>
    <w:rsid w:val="0041526B"/>
    <w:rsid w:val="00417CE5"/>
    <w:rsid w:val="00423389"/>
    <w:rsid w:val="00427A4A"/>
    <w:rsid w:val="00427EE6"/>
    <w:rsid w:val="00430A63"/>
    <w:rsid w:val="0043413A"/>
    <w:rsid w:val="00434701"/>
    <w:rsid w:val="00442294"/>
    <w:rsid w:val="00443864"/>
    <w:rsid w:val="00446170"/>
    <w:rsid w:val="00450118"/>
    <w:rsid w:val="00450405"/>
    <w:rsid w:val="00453314"/>
    <w:rsid w:val="0045572F"/>
    <w:rsid w:val="00461B82"/>
    <w:rsid w:val="00462310"/>
    <w:rsid w:val="0047249A"/>
    <w:rsid w:val="00476CC4"/>
    <w:rsid w:val="00480E68"/>
    <w:rsid w:val="004866AE"/>
    <w:rsid w:val="00494F8D"/>
    <w:rsid w:val="00495D33"/>
    <w:rsid w:val="004A17D9"/>
    <w:rsid w:val="004A5B01"/>
    <w:rsid w:val="004A7D93"/>
    <w:rsid w:val="004A7FF9"/>
    <w:rsid w:val="004B02C5"/>
    <w:rsid w:val="004B14FA"/>
    <w:rsid w:val="004B1983"/>
    <w:rsid w:val="004B1E4E"/>
    <w:rsid w:val="004B2D5D"/>
    <w:rsid w:val="004B4CAF"/>
    <w:rsid w:val="004B6338"/>
    <w:rsid w:val="004B73AF"/>
    <w:rsid w:val="004C579A"/>
    <w:rsid w:val="004D2568"/>
    <w:rsid w:val="004D2A7F"/>
    <w:rsid w:val="004D3EE9"/>
    <w:rsid w:val="004D4421"/>
    <w:rsid w:val="004D4447"/>
    <w:rsid w:val="004D51DD"/>
    <w:rsid w:val="004D5EE3"/>
    <w:rsid w:val="004E150B"/>
    <w:rsid w:val="004E4B13"/>
    <w:rsid w:val="004E612B"/>
    <w:rsid w:val="004E7176"/>
    <w:rsid w:val="004E783D"/>
    <w:rsid w:val="004F2465"/>
    <w:rsid w:val="004F34E5"/>
    <w:rsid w:val="004F77C1"/>
    <w:rsid w:val="00506B76"/>
    <w:rsid w:val="005132BB"/>
    <w:rsid w:val="0051494C"/>
    <w:rsid w:val="00515AAB"/>
    <w:rsid w:val="00516786"/>
    <w:rsid w:val="00516AED"/>
    <w:rsid w:val="00522464"/>
    <w:rsid w:val="0052387F"/>
    <w:rsid w:val="00524166"/>
    <w:rsid w:val="00524C18"/>
    <w:rsid w:val="005308CE"/>
    <w:rsid w:val="00531223"/>
    <w:rsid w:val="0053280D"/>
    <w:rsid w:val="005336C2"/>
    <w:rsid w:val="00533DCE"/>
    <w:rsid w:val="00535EF8"/>
    <w:rsid w:val="005403E3"/>
    <w:rsid w:val="005422CB"/>
    <w:rsid w:val="00550954"/>
    <w:rsid w:val="0055155B"/>
    <w:rsid w:val="00551B31"/>
    <w:rsid w:val="0055461C"/>
    <w:rsid w:val="0055533D"/>
    <w:rsid w:val="0056447E"/>
    <w:rsid w:val="00567F1B"/>
    <w:rsid w:val="00567FD1"/>
    <w:rsid w:val="00571EF6"/>
    <w:rsid w:val="005753AB"/>
    <w:rsid w:val="005831F2"/>
    <w:rsid w:val="005835D8"/>
    <w:rsid w:val="00585613"/>
    <w:rsid w:val="00585ACC"/>
    <w:rsid w:val="00596F8B"/>
    <w:rsid w:val="0059754B"/>
    <w:rsid w:val="005A3756"/>
    <w:rsid w:val="005B0A5C"/>
    <w:rsid w:val="005B0C1B"/>
    <w:rsid w:val="005B249A"/>
    <w:rsid w:val="005C183B"/>
    <w:rsid w:val="005C1D99"/>
    <w:rsid w:val="005C58B6"/>
    <w:rsid w:val="005C5BF7"/>
    <w:rsid w:val="005D2E4B"/>
    <w:rsid w:val="005D4A9F"/>
    <w:rsid w:val="005D4E31"/>
    <w:rsid w:val="005D4EE6"/>
    <w:rsid w:val="005D5F82"/>
    <w:rsid w:val="005F083E"/>
    <w:rsid w:val="005F2A19"/>
    <w:rsid w:val="005F78CE"/>
    <w:rsid w:val="0060568A"/>
    <w:rsid w:val="0060622C"/>
    <w:rsid w:val="00607C19"/>
    <w:rsid w:val="00611C95"/>
    <w:rsid w:val="0061778F"/>
    <w:rsid w:val="00621D66"/>
    <w:rsid w:val="00623B76"/>
    <w:rsid w:val="00624A10"/>
    <w:rsid w:val="00626C39"/>
    <w:rsid w:val="00637995"/>
    <w:rsid w:val="00641067"/>
    <w:rsid w:val="00643D7A"/>
    <w:rsid w:val="0064494E"/>
    <w:rsid w:val="00646581"/>
    <w:rsid w:val="00646D29"/>
    <w:rsid w:val="006600EF"/>
    <w:rsid w:val="00660E14"/>
    <w:rsid w:val="00661789"/>
    <w:rsid w:val="0066318F"/>
    <w:rsid w:val="00670B21"/>
    <w:rsid w:val="00671305"/>
    <w:rsid w:val="0067362D"/>
    <w:rsid w:val="006738F5"/>
    <w:rsid w:val="00674329"/>
    <w:rsid w:val="00676C51"/>
    <w:rsid w:val="006804BF"/>
    <w:rsid w:val="00680B24"/>
    <w:rsid w:val="00680C0E"/>
    <w:rsid w:val="00685307"/>
    <w:rsid w:val="006915F2"/>
    <w:rsid w:val="006927DD"/>
    <w:rsid w:val="006931BF"/>
    <w:rsid w:val="006A00DA"/>
    <w:rsid w:val="006B045E"/>
    <w:rsid w:val="006B4EE9"/>
    <w:rsid w:val="006B7B89"/>
    <w:rsid w:val="006C0B91"/>
    <w:rsid w:val="006D16DB"/>
    <w:rsid w:val="006D39C4"/>
    <w:rsid w:val="006D4954"/>
    <w:rsid w:val="006E3597"/>
    <w:rsid w:val="006E422C"/>
    <w:rsid w:val="006E7D5B"/>
    <w:rsid w:val="006F51E1"/>
    <w:rsid w:val="006F582F"/>
    <w:rsid w:val="007064C2"/>
    <w:rsid w:val="007143B8"/>
    <w:rsid w:val="00721D5F"/>
    <w:rsid w:val="0072424B"/>
    <w:rsid w:val="00724DC8"/>
    <w:rsid w:val="007316AA"/>
    <w:rsid w:val="00737833"/>
    <w:rsid w:val="00741B9C"/>
    <w:rsid w:val="0074273E"/>
    <w:rsid w:val="00744825"/>
    <w:rsid w:val="00746FCB"/>
    <w:rsid w:val="00753B88"/>
    <w:rsid w:val="00754064"/>
    <w:rsid w:val="00757A1C"/>
    <w:rsid w:val="007637D8"/>
    <w:rsid w:val="00763922"/>
    <w:rsid w:val="00764D93"/>
    <w:rsid w:val="007659F6"/>
    <w:rsid w:val="00765EBC"/>
    <w:rsid w:val="00771819"/>
    <w:rsid w:val="0077231B"/>
    <w:rsid w:val="007742EB"/>
    <w:rsid w:val="00774643"/>
    <w:rsid w:val="007764DA"/>
    <w:rsid w:val="00777885"/>
    <w:rsid w:val="007838DE"/>
    <w:rsid w:val="007864D3"/>
    <w:rsid w:val="00791DD1"/>
    <w:rsid w:val="00793BEF"/>
    <w:rsid w:val="007A64C1"/>
    <w:rsid w:val="007B2C6D"/>
    <w:rsid w:val="007B3DBD"/>
    <w:rsid w:val="007B46CD"/>
    <w:rsid w:val="007C4387"/>
    <w:rsid w:val="007C6045"/>
    <w:rsid w:val="007C6462"/>
    <w:rsid w:val="007C7CCE"/>
    <w:rsid w:val="007D1B16"/>
    <w:rsid w:val="007D2313"/>
    <w:rsid w:val="007D2EAE"/>
    <w:rsid w:val="007D2FB7"/>
    <w:rsid w:val="007D7BD6"/>
    <w:rsid w:val="007E0DA0"/>
    <w:rsid w:val="007E79C4"/>
    <w:rsid w:val="007F23A8"/>
    <w:rsid w:val="0080022E"/>
    <w:rsid w:val="00803EBA"/>
    <w:rsid w:val="00804604"/>
    <w:rsid w:val="00804A65"/>
    <w:rsid w:val="00807070"/>
    <w:rsid w:val="0081016F"/>
    <w:rsid w:val="008104BA"/>
    <w:rsid w:val="0081221D"/>
    <w:rsid w:val="008137EF"/>
    <w:rsid w:val="008162D6"/>
    <w:rsid w:val="00821438"/>
    <w:rsid w:val="00821925"/>
    <w:rsid w:val="008222D8"/>
    <w:rsid w:val="00826961"/>
    <w:rsid w:val="00830E44"/>
    <w:rsid w:val="0083107F"/>
    <w:rsid w:val="00835C3E"/>
    <w:rsid w:val="00836428"/>
    <w:rsid w:val="00847C78"/>
    <w:rsid w:val="00852401"/>
    <w:rsid w:val="00852B97"/>
    <w:rsid w:val="0086142D"/>
    <w:rsid w:val="008673F9"/>
    <w:rsid w:val="00870521"/>
    <w:rsid w:val="00872F16"/>
    <w:rsid w:val="0087518F"/>
    <w:rsid w:val="0087642D"/>
    <w:rsid w:val="008801D8"/>
    <w:rsid w:val="00880264"/>
    <w:rsid w:val="008806CE"/>
    <w:rsid w:val="008852EF"/>
    <w:rsid w:val="008856D7"/>
    <w:rsid w:val="00886032"/>
    <w:rsid w:val="00890056"/>
    <w:rsid w:val="0089523C"/>
    <w:rsid w:val="008A1F34"/>
    <w:rsid w:val="008B2D5C"/>
    <w:rsid w:val="008B405A"/>
    <w:rsid w:val="008C29E8"/>
    <w:rsid w:val="008C3B9B"/>
    <w:rsid w:val="008C6F1C"/>
    <w:rsid w:val="008C763F"/>
    <w:rsid w:val="008C7B1F"/>
    <w:rsid w:val="008C7B63"/>
    <w:rsid w:val="008C7DA9"/>
    <w:rsid w:val="008D0997"/>
    <w:rsid w:val="008D0E96"/>
    <w:rsid w:val="008D2134"/>
    <w:rsid w:val="008D36C7"/>
    <w:rsid w:val="008D6C77"/>
    <w:rsid w:val="008E0859"/>
    <w:rsid w:val="008E27E4"/>
    <w:rsid w:val="008E4798"/>
    <w:rsid w:val="008E4E98"/>
    <w:rsid w:val="008F04FE"/>
    <w:rsid w:val="008F0BDD"/>
    <w:rsid w:val="008F2F99"/>
    <w:rsid w:val="008F6084"/>
    <w:rsid w:val="008F6133"/>
    <w:rsid w:val="00903B2C"/>
    <w:rsid w:val="009057C8"/>
    <w:rsid w:val="0090644D"/>
    <w:rsid w:val="00911F11"/>
    <w:rsid w:val="00915657"/>
    <w:rsid w:val="0092259C"/>
    <w:rsid w:val="0093193B"/>
    <w:rsid w:val="00932EBF"/>
    <w:rsid w:val="0094036B"/>
    <w:rsid w:val="00943BDC"/>
    <w:rsid w:val="009459A7"/>
    <w:rsid w:val="00947170"/>
    <w:rsid w:val="00947B3D"/>
    <w:rsid w:val="009535F3"/>
    <w:rsid w:val="00955F4A"/>
    <w:rsid w:val="00956E94"/>
    <w:rsid w:val="00957C33"/>
    <w:rsid w:val="00962312"/>
    <w:rsid w:val="009627A1"/>
    <w:rsid w:val="00964E95"/>
    <w:rsid w:val="00970905"/>
    <w:rsid w:val="009712FE"/>
    <w:rsid w:val="009875AD"/>
    <w:rsid w:val="00990ED5"/>
    <w:rsid w:val="009924AF"/>
    <w:rsid w:val="00992B4E"/>
    <w:rsid w:val="00993009"/>
    <w:rsid w:val="009A7F71"/>
    <w:rsid w:val="009B18C3"/>
    <w:rsid w:val="009B46F2"/>
    <w:rsid w:val="009B51D7"/>
    <w:rsid w:val="009C0664"/>
    <w:rsid w:val="009D1A29"/>
    <w:rsid w:val="009D3BEA"/>
    <w:rsid w:val="009D5161"/>
    <w:rsid w:val="009D581D"/>
    <w:rsid w:val="009D6807"/>
    <w:rsid w:val="009E4722"/>
    <w:rsid w:val="009E4D16"/>
    <w:rsid w:val="009E582D"/>
    <w:rsid w:val="009E5D00"/>
    <w:rsid w:val="009F12E2"/>
    <w:rsid w:val="009F297A"/>
    <w:rsid w:val="009F3358"/>
    <w:rsid w:val="009F4164"/>
    <w:rsid w:val="009F478B"/>
    <w:rsid w:val="009F69C1"/>
    <w:rsid w:val="00A00186"/>
    <w:rsid w:val="00A05C00"/>
    <w:rsid w:val="00A066B1"/>
    <w:rsid w:val="00A11B2C"/>
    <w:rsid w:val="00A35B2F"/>
    <w:rsid w:val="00A37CD1"/>
    <w:rsid w:val="00A40EE1"/>
    <w:rsid w:val="00A41C10"/>
    <w:rsid w:val="00A423ED"/>
    <w:rsid w:val="00A426BF"/>
    <w:rsid w:val="00A44ACF"/>
    <w:rsid w:val="00A536F3"/>
    <w:rsid w:val="00A53B53"/>
    <w:rsid w:val="00A53C08"/>
    <w:rsid w:val="00A55C27"/>
    <w:rsid w:val="00A64707"/>
    <w:rsid w:val="00A66D49"/>
    <w:rsid w:val="00A72103"/>
    <w:rsid w:val="00A75C67"/>
    <w:rsid w:val="00A81B5A"/>
    <w:rsid w:val="00A8621F"/>
    <w:rsid w:val="00A8756C"/>
    <w:rsid w:val="00A87F27"/>
    <w:rsid w:val="00A91D08"/>
    <w:rsid w:val="00A9384C"/>
    <w:rsid w:val="00A978F5"/>
    <w:rsid w:val="00AA04BC"/>
    <w:rsid w:val="00AA6318"/>
    <w:rsid w:val="00AA7FCB"/>
    <w:rsid w:val="00AB2FF8"/>
    <w:rsid w:val="00AB59AE"/>
    <w:rsid w:val="00AB5BD9"/>
    <w:rsid w:val="00AB790B"/>
    <w:rsid w:val="00AC040C"/>
    <w:rsid w:val="00AC24D5"/>
    <w:rsid w:val="00AC27C7"/>
    <w:rsid w:val="00AC44CB"/>
    <w:rsid w:val="00AC60D8"/>
    <w:rsid w:val="00AD0AA1"/>
    <w:rsid w:val="00AE07A3"/>
    <w:rsid w:val="00AE1944"/>
    <w:rsid w:val="00AE372A"/>
    <w:rsid w:val="00AF1A24"/>
    <w:rsid w:val="00AF53CE"/>
    <w:rsid w:val="00AF7C38"/>
    <w:rsid w:val="00B02BAA"/>
    <w:rsid w:val="00B10320"/>
    <w:rsid w:val="00B14E01"/>
    <w:rsid w:val="00B20378"/>
    <w:rsid w:val="00B258A9"/>
    <w:rsid w:val="00B275A9"/>
    <w:rsid w:val="00B3659D"/>
    <w:rsid w:val="00B40DBF"/>
    <w:rsid w:val="00B43E5B"/>
    <w:rsid w:val="00B44231"/>
    <w:rsid w:val="00B457C4"/>
    <w:rsid w:val="00B50188"/>
    <w:rsid w:val="00B507DC"/>
    <w:rsid w:val="00B54060"/>
    <w:rsid w:val="00B54162"/>
    <w:rsid w:val="00B6675D"/>
    <w:rsid w:val="00B67D2D"/>
    <w:rsid w:val="00B71178"/>
    <w:rsid w:val="00B800A8"/>
    <w:rsid w:val="00B81BC5"/>
    <w:rsid w:val="00B90C41"/>
    <w:rsid w:val="00B914A2"/>
    <w:rsid w:val="00B93B6C"/>
    <w:rsid w:val="00B94100"/>
    <w:rsid w:val="00B9541E"/>
    <w:rsid w:val="00B97F7B"/>
    <w:rsid w:val="00BA1CEB"/>
    <w:rsid w:val="00BA4B64"/>
    <w:rsid w:val="00BA4CDE"/>
    <w:rsid w:val="00BB0488"/>
    <w:rsid w:val="00BB13D8"/>
    <w:rsid w:val="00BB382B"/>
    <w:rsid w:val="00BB3ED5"/>
    <w:rsid w:val="00BB4AB9"/>
    <w:rsid w:val="00BB55E8"/>
    <w:rsid w:val="00BB7B12"/>
    <w:rsid w:val="00BC07C0"/>
    <w:rsid w:val="00BC6396"/>
    <w:rsid w:val="00BD1BE9"/>
    <w:rsid w:val="00BD3CFF"/>
    <w:rsid w:val="00BE17CE"/>
    <w:rsid w:val="00BE59BD"/>
    <w:rsid w:val="00BE683A"/>
    <w:rsid w:val="00BF11C4"/>
    <w:rsid w:val="00BF1425"/>
    <w:rsid w:val="00C0174A"/>
    <w:rsid w:val="00C02463"/>
    <w:rsid w:val="00C02F66"/>
    <w:rsid w:val="00C05D9B"/>
    <w:rsid w:val="00C20470"/>
    <w:rsid w:val="00C214BA"/>
    <w:rsid w:val="00C2562D"/>
    <w:rsid w:val="00C26130"/>
    <w:rsid w:val="00C315B6"/>
    <w:rsid w:val="00C31661"/>
    <w:rsid w:val="00C3293F"/>
    <w:rsid w:val="00C335C9"/>
    <w:rsid w:val="00C35966"/>
    <w:rsid w:val="00C376F3"/>
    <w:rsid w:val="00C4132F"/>
    <w:rsid w:val="00C45026"/>
    <w:rsid w:val="00C463D2"/>
    <w:rsid w:val="00C476D1"/>
    <w:rsid w:val="00C604EF"/>
    <w:rsid w:val="00C62A44"/>
    <w:rsid w:val="00C64917"/>
    <w:rsid w:val="00C71B3A"/>
    <w:rsid w:val="00C72722"/>
    <w:rsid w:val="00C80A39"/>
    <w:rsid w:val="00C81936"/>
    <w:rsid w:val="00C84C4C"/>
    <w:rsid w:val="00C86774"/>
    <w:rsid w:val="00C9136D"/>
    <w:rsid w:val="00C925B6"/>
    <w:rsid w:val="00C932E1"/>
    <w:rsid w:val="00C93E17"/>
    <w:rsid w:val="00C9436D"/>
    <w:rsid w:val="00C94C82"/>
    <w:rsid w:val="00C94EAC"/>
    <w:rsid w:val="00C960AE"/>
    <w:rsid w:val="00CA0137"/>
    <w:rsid w:val="00CA1702"/>
    <w:rsid w:val="00CA5CC2"/>
    <w:rsid w:val="00CA7D78"/>
    <w:rsid w:val="00CB631F"/>
    <w:rsid w:val="00CB757D"/>
    <w:rsid w:val="00CC450A"/>
    <w:rsid w:val="00CC5314"/>
    <w:rsid w:val="00CD1B48"/>
    <w:rsid w:val="00CD22FA"/>
    <w:rsid w:val="00CE166F"/>
    <w:rsid w:val="00CE1A11"/>
    <w:rsid w:val="00CE2308"/>
    <w:rsid w:val="00CE5B2E"/>
    <w:rsid w:val="00CF5003"/>
    <w:rsid w:val="00D0019C"/>
    <w:rsid w:val="00D0551E"/>
    <w:rsid w:val="00D1469F"/>
    <w:rsid w:val="00D1728E"/>
    <w:rsid w:val="00D17F80"/>
    <w:rsid w:val="00D20382"/>
    <w:rsid w:val="00D267BE"/>
    <w:rsid w:val="00D26890"/>
    <w:rsid w:val="00D310B1"/>
    <w:rsid w:val="00D3182B"/>
    <w:rsid w:val="00D413F1"/>
    <w:rsid w:val="00D427CB"/>
    <w:rsid w:val="00D42994"/>
    <w:rsid w:val="00D4468F"/>
    <w:rsid w:val="00D472DC"/>
    <w:rsid w:val="00D52AD6"/>
    <w:rsid w:val="00D52D73"/>
    <w:rsid w:val="00D6269E"/>
    <w:rsid w:val="00D64342"/>
    <w:rsid w:val="00D72979"/>
    <w:rsid w:val="00D861C1"/>
    <w:rsid w:val="00D86901"/>
    <w:rsid w:val="00D90C50"/>
    <w:rsid w:val="00D92835"/>
    <w:rsid w:val="00D94424"/>
    <w:rsid w:val="00D94738"/>
    <w:rsid w:val="00DA2CBE"/>
    <w:rsid w:val="00DA4EBD"/>
    <w:rsid w:val="00DA5E03"/>
    <w:rsid w:val="00DA6DB6"/>
    <w:rsid w:val="00DB0073"/>
    <w:rsid w:val="00DB4D56"/>
    <w:rsid w:val="00DB7B74"/>
    <w:rsid w:val="00DC229C"/>
    <w:rsid w:val="00DC41C9"/>
    <w:rsid w:val="00DC5473"/>
    <w:rsid w:val="00DC6167"/>
    <w:rsid w:val="00DC6A3F"/>
    <w:rsid w:val="00DD2F76"/>
    <w:rsid w:val="00DD3996"/>
    <w:rsid w:val="00DD5DE5"/>
    <w:rsid w:val="00DD6C43"/>
    <w:rsid w:val="00DE163D"/>
    <w:rsid w:val="00DE53DF"/>
    <w:rsid w:val="00DE6FE8"/>
    <w:rsid w:val="00DF7F6D"/>
    <w:rsid w:val="00E0354C"/>
    <w:rsid w:val="00E06193"/>
    <w:rsid w:val="00E114C5"/>
    <w:rsid w:val="00E13D93"/>
    <w:rsid w:val="00E162F5"/>
    <w:rsid w:val="00E17E68"/>
    <w:rsid w:val="00E208F6"/>
    <w:rsid w:val="00E22AB3"/>
    <w:rsid w:val="00E307F3"/>
    <w:rsid w:val="00E3230E"/>
    <w:rsid w:val="00E32613"/>
    <w:rsid w:val="00E335E1"/>
    <w:rsid w:val="00E35775"/>
    <w:rsid w:val="00E42EF0"/>
    <w:rsid w:val="00E44B2E"/>
    <w:rsid w:val="00E47885"/>
    <w:rsid w:val="00E64E16"/>
    <w:rsid w:val="00E66FA9"/>
    <w:rsid w:val="00E6717F"/>
    <w:rsid w:val="00E73D9D"/>
    <w:rsid w:val="00E826D1"/>
    <w:rsid w:val="00E83B58"/>
    <w:rsid w:val="00E870EB"/>
    <w:rsid w:val="00E90380"/>
    <w:rsid w:val="00E92156"/>
    <w:rsid w:val="00E94288"/>
    <w:rsid w:val="00E95CF7"/>
    <w:rsid w:val="00E96740"/>
    <w:rsid w:val="00E9715A"/>
    <w:rsid w:val="00EA0EEB"/>
    <w:rsid w:val="00EA5138"/>
    <w:rsid w:val="00EA7AE8"/>
    <w:rsid w:val="00EA7B4F"/>
    <w:rsid w:val="00EB19F0"/>
    <w:rsid w:val="00EB1AA6"/>
    <w:rsid w:val="00EC02C5"/>
    <w:rsid w:val="00ED2912"/>
    <w:rsid w:val="00ED2DCC"/>
    <w:rsid w:val="00EE0483"/>
    <w:rsid w:val="00EE12E2"/>
    <w:rsid w:val="00EE4702"/>
    <w:rsid w:val="00EF27F5"/>
    <w:rsid w:val="00EF2BE5"/>
    <w:rsid w:val="00F00238"/>
    <w:rsid w:val="00F008AF"/>
    <w:rsid w:val="00F042FA"/>
    <w:rsid w:val="00F0596C"/>
    <w:rsid w:val="00F126E2"/>
    <w:rsid w:val="00F16374"/>
    <w:rsid w:val="00F17927"/>
    <w:rsid w:val="00F22813"/>
    <w:rsid w:val="00F23CD7"/>
    <w:rsid w:val="00F2442A"/>
    <w:rsid w:val="00F4107A"/>
    <w:rsid w:val="00F51AFD"/>
    <w:rsid w:val="00F53530"/>
    <w:rsid w:val="00F55140"/>
    <w:rsid w:val="00F560DC"/>
    <w:rsid w:val="00F612FF"/>
    <w:rsid w:val="00F6493F"/>
    <w:rsid w:val="00F66AAE"/>
    <w:rsid w:val="00F66F46"/>
    <w:rsid w:val="00F67F2C"/>
    <w:rsid w:val="00F7512A"/>
    <w:rsid w:val="00F75663"/>
    <w:rsid w:val="00F80C1F"/>
    <w:rsid w:val="00F811E7"/>
    <w:rsid w:val="00F90060"/>
    <w:rsid w:val="00F9056C"/>
    <w:rsid w:val="00F9080B"/>
    <w:rsid w:val="00F92EF4"/>
    <w:rsid w:val="00F9489B"/>
    <w:rsid w:val="00F957AF"/>
    <w:rsid w:val="00F97A5A"/>
    <w:rsid w:val="00FA51E9"/>
    <w:rsid w:val="00FB2C31"/>
    <w:rsid w:val="00FB396A"/>
    <w:rsid w:val="00FB4891"/>
    <w:rsid w:val="00FB5199"/>
    <w:rsid w:val="00FC4FDE"/>
    <w:rsid w:val="00FC53E5"/>
    <w:rsid w:val="00FC686F"/>
    <w:rsid w:val="00FC7FBE"/>
    <w:rsid w:val="00FE0378"/>
    <w:rsid w:val="00FE1068"/>
    <w:rsid w:val="00FE2347"/>
    <w:rsid w:val="00FE6142"/>
    <w:rsid w:val="00FF3CCE"/>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qFormat/>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qFormat/>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UnresolvedMention">
    <w:name w:val="Unresolved Mention"/>
    <w:basedOn w:val="DefaultParagraphFont"/>
    <w:uiPriority w:val="99"/>
    <w:semiHidden/>
    <w:unhideWhenUsed/>
    <w:rsid w:val="00F80C1F"/>
    <w:rPr>
      <w:color w:val="605E5C"/>
      <w:shd w:val="clear" w:color="auto" w:fill="E1DFDD"/>
    </w:rPr>
  </w:style>
  <w:style w:type="character" w:styleId="FollowedHyperlink">
    <w:name w:val="FollowedHyperlink"/>
    <w:basedOn w:val="DefaultParagraphFont"/>
    <w:rsid w:val="00835C3E"/>
    <w:rPr>
      <w:color w:val="954F72" w:themeColor="followedHyperlink"/>
      <w:u w:val="single"/>
    </w:rPr>
  </w:style>
  <w:style w:type="character" w:styleId="PlaceholderText">
    <w:name w:val="Placeholder Text"/>
    <w:basedOn w:val="DefaultParagraphFont"/>
    <w:uiPriority w:val="99"/>
    <w:semiHidden/>
    <w:rsid w:val="005C1D99"/>
    <w:rPr>
      <w:color w:val="808080"/>
    </w:rPr>
  </w:style>
  <w:style w:type="paragraph" w:customStyle="1" w:styleId="BodyTextFirst5">
    <w:name w:val="Body Text First .5"/>
    <w:basedOn w:val="Normal"/>
    <w:qFormat/>
    <w:rsid w:val="005422CB"/>
    <w:pPr>
      <w:spacing w:after="240"/>
      <w:ind w:firstLine="720"/>
    </w:pPr>
    <w:rPr>
      <w:kern w:val="0"/>
      <w:szCs w:val="20"/>
      <w:lang w:eastAsia="en-US"/>
    </w:rPr>
  </w:style>
  <w:style w:type="paragraph" w:styleId="Revision">
    <w:name w:val="Revision"/>
    <w:hidden/>
    <w:uiPriority w:val="99"/>
    <w:semiHidden/>
    <w:rsid w:val="00764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83327">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35893163">
      <w:bodyDiv w:val="1"/>
      <w:marLeft w:val="0"/>
      <w:marRight w:val="0"/>
      <w:marTop w:val="0"/>
      <w:marBottom w:val="0"/>
      <w:divBdr>
        <w:top w:val="none" w:sz="0" w:space="0" w:color="auto"/>
        <w:left w:val="none" w:sz="0" w:space="0" w:color="auto"/>
        <w:bottom w:val="none" w:sz="0" w:space="0" w:color="auto"/>
        <w:right w:val="none" w:sz="0" w:space="0" w:color="auto"/>
      </w:divBdr>
    </w:div>
    <w:div w:id="766387459">
      <w:bodyDiv w:val="1"/>
      <w:marLeft w:val="0"/>
      <w:marRight w:val="0"/>
      <w:marTop w:val="0"/>
      <w:marBottom w:val="0"/>
      <w:divBdr>
        <w:top w:val="none" w:sz="0" w:space="0" w:color="auto"/>
        <w:left w:val="none" w:sz="0" w:space="0" w:color="auto"/>
        <w:bottom w:val="none" w:sz="0" w:space="0" w:color="auto"/>
        <w:right w:val="none" w:sz="0" w:space="0" w:color="auto"/>
      </w:divBdr>
    </w:div>
    <w:div w:id="808592051">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44420873">
      <w:bodyDiv w:val="1"/>
      <w:marLeft w:val="0"/>
      <w:marRight w:val="0"/>
      <w:marTop w:val="0"/>
      <w:marBottom w:val="0"/>
      <w:divBdr>
        <w:top w:val="none" w:sz="0" w:space="0" w:color="auto"/>
        <w:left w:val="none" w:sz="0" w:space="0" w:color="auto"/>
        <w:bottom w:val="none" w:sz="0" w:space="0" w:color="auto"/>
        <w:right w:val="none" w:sz="0" w:space="0" w:color="auto"/>
      </w:divBdr>
    </w:div>
    <w:div w:id="1461075649">
      <w:bodyDiv w:val="1"/>
      <w:marLeft w:val="0"/>
      <w:marRight w:val="0"/>
      <w:marTop w:val="0"/>
      <w:marBottom w:val="0"/>
      <w:divBdr>
        <w:top w:val="none" w:sz="0" w:space="0" w:color="auto"/>
        <w:left w:val="none" w:sz="0" w:space="0" w:color="auto"/>
        <w:bottom w:val="none" w:sz="0" w:space="0" w:color="auto"/>
        <w:right w:val="none" w:sz="0" w:space="0" w:color="auto"/>
      </w:divBdr>
    </w:div>
    <w:div w:id="1593009879">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9498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396B6-A403-48FD-93E8-5A87DDD8A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C2D71-5244-4267-A23A-1C1DABAE2AB5}">
  <ds:schemaRefs>
    <ds:schemaRef ds:uri="http://schemas.microsoft.com/sharepoint/v3/contenttype/forms"/>
  </ds:schemaRefs>
</ds:datastoreItem>
</file>

<file path=customXml/itemProps3.xml><?xml version="1.0" encoding="utf-8"?>
<ds:datastoreItem xmlns:ds="http://schemas.openxmlformats.org/officeDocument/2006/customXml" ds:itemID="{052F7E38-6809-4589-AD05-E39747940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6160</Words>
  <Characters>35113</Characters>
  <Application>Microsoft Office Word</Application>
  <DocSecurity>0</DocSecurity>
  <Lines>292</Lines>
  <Paragraphs>82</Paragraphs>
  <ScaleCrop>false</ScaleCrop>
  <Company/>
  <LinksUpToDate>false</LinksUpToDate>
  <CharactersWithSpaces>41191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10</cp:revision>
  <cp:lastPrinted>1900-01-01T06:00:00Z</cp:lastPrinted>
  <dcterms:created xsi:type="dcterms:W3CDTF">2023-09-12T19:31:00Z</dcterms:created>
  <dcterms:modified xsi:type="dcterms:W3CDTF">2023-09-12T19:36:00Z</dcterms:modified>
</cp:coreProperties>
</file>